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874C8" w14:textId="21B11F65" w:rsidR="007D317E" w:rsidRPr="005C5E32" w:rsidRDefault="00AB6113" w:rsidP="005C4066">
      <w:pPr>
        <w:pStyle w:val="BodyText"/>
      </w:pPr>
      <w:bookmarkStart w:id="0" w:name="_Toc207017373"/>
      <w:bookmarkStart w:id="1" w:name="_Toc210136360"/>
      <w:bookmarkStart w:id="2" w:name="_Toc170221682"/>
      <w:bookmarkStart w:id="3" w:name="_Toc177626475"/>
      <w:bookmarkStart w:id="4" w:name="_Toc215561202"/>
      <w:r>
        <w:rPr>
          <w:noProof/>
        </w:rPr>
        <w:drawing>
          <wp:anchor distT="0" distB="0" distL="114300" distR="114300" simplePos="0" relativeHeight="251660288" behindDoc="0" locked="0" layoutInCell="1" allowOverlap="1" wp14:anchorId="1CB91E81" wp14:editId="7EEA1777">
            <wp:simplePos x="0" y="0"/>
            <wp:positionH relativeFrom="page">
              <wp:posOffset>0</wp:posOffset>
            </wp:positionH>
            <wp:positionV relativeFrom="paragraph">
              <wp:posOffset>-728980</wp:posOffset>
            </wp:positionV>
            <wp:extent cx="7562898" cy="10697428"/>
            <wp:effectExtent l="0" t="0" r="0" b="8890"/>
            <wp:wrapNone/>
            <wp:docPr id="680035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035393" name="Picture 680035393"/>
                    <pic:cNvPicPr/>
                  </pic:nvPicPr>
                  <pic:blipFill>
                    <a:blip r:embed="rId12"/>
                    <a:stretch>
                      <a:fillRect/>
                    </a:stretch>
                  </pic:blipFill>
                  <pic:spPr>
                    <a:xfrm>
                      <a:off x="0" y="0"/>
                      <a:ext cx="7562898" cy="10697428"/>
                    </a:xfrm>
                    <a:prstGeom prst="rect">
                      <a:avLst/>
                    </a:prstGeom>
                  </pic:spPr>
                </pic:pic>
              </a:graphicData>
            </a:graphic>
            <wp14:sizeRelH relativeFrom="margin">
              <wp14:pctWidth>0</wp14:pctWidth>
            </wp14:sizeRelH>
            <wp14:sizeRelV relativeFrom="margin">
              <wp14:pctHeight>0</wp14:pctHeight>
            </wp14:sizeRelV>
          </wp:anchor>
        </w:drawing>
      </w:r>
    </w:p>
    <w:p w14:paraId="7424B5DE" w14:textId="4ABD9E15" w:rsidR="007D317E" w:rsidRPr="005C5E32" w:rsidRDefault="007D317E">
      <w:pPr>
        <w:spacing w:before="0" w:after="200" w:line="276" w:lineRule="auto"/>
        <w:jc w:val="left"/>
      </w:pPr>
      <w:r w:rsidRPr="005C5E32">
        <w:br w:type="page"/>
      </w:r>
    </w:p>
    <w:p w14:paraId="15533683" w14:textId="77777777" w:rsidR="00F41A9D" w:rsidRPr="005C5E32" w:rsidRDefault="00F41A9D" w:rsidP="00DE4E1D">
      <w:pPr>
        <w:pStyle w:val="Imprint"/>
      </w:pPr>
    </w:p>
    <w:p w14:paraId="3D2EDBDA" w14:textId="77777777" w:rsidR="00F41A9D" w:rsidRPr="005C5E32" w:rsidRDefault="00F41A9D" w:rsidP="00DE4E1D">
      <w:pPr>
        <w:pStyle w:val="Imprint"/>
      </w:pPr>
    </w:p>
    <w:p w14:paraId="426F9336" w14:textId="77777777" w:rsidR="00F41A9D" w:rsidRPr="005C5E32" w:rsidRDefault="00F41A9D" w:rsidP="00DE4E1D">
      <w:pPr>
        <w:pStyle w:val="Imprint"/>
      </w:pPr>
    </w:p>
    <w:p w14:paraId="40F25116" w14:textId="77777777" w:rsidR="00F41A9D" w:rsidRPr="005C5E32" w:rsidRDefault="00F41A9D" w:rsidP="00DE4E1D">
      <w:pPr>
        <w:pStyle w:val="Imprint"/>
      </w:pPr>
    </w:p>
    <w:p w14:paraId="26A57D6D" w14:textId="77777777" w:rsidR="00F41A9D" w:rsidRPr="005C5E32" w:rsidRDefault="00F41A9D" w:rsidP="00DE4E1D">
      <w:pPr>
        <w:pStyle w:val="Imprint"/>
      </w:pPr>
    </w:p>
    <w:p w14:paraId="0F744EAF" w14:textId="77777777" w:rsidR="00F41A9D" w:rsidRPr="005C5E32" w:rsidRDefault="00F41A9D" w:rsidP="00DE4E1D">
      <w:pPr>
        <w:pStyle w:val="Imprint"/>
      </w:pPr>
    </w:p>
    <w:p w14:paraId="743C1961" w14:textId="77777777" w:rsidR="00F41A9D" w:rsidRPr="005C5E32" w:rsidRDefault="00F41A9D" w:rsidP="00DE4E1D">
      <w:pPr>
        <w:pStyle w:val="Imprint"/>
      </w:pPr>
    </w:p>
    <w:p w14:paraId="5197F820" w14:textId="77777777" w:rsidR="00F41A9D" w:rsidRPr="005C5E32" w:rsidRDefault="00F41A9D" w:rsidP="00DE4E1D">
      <w:pPr>
        <w:pStyle w:val="Imprint"/>
      </w:pPr>
    </w:p>
    <w:p w14:paraId="5CAE0A87" w14:textId="77777777" w:rsidR="00F41A9D" w:rsidRPr="005C5E32" w:rsidRDefault="00F41A9D" w:rsidP="00DE4E1D">
      <w:pPr>
        <w:pStyle w:val="Imprint"/>
      </w:pPr>
    </w:p>
    <w:p w14:paraId="16DF7187" w14:textId="77777777" w:rsidR="00F41A9D" w:rsidRPr="005C5E32" w:rsidRDefault="00F41A9D" w:rsidP="00DE4E1D">
      <w:pPr>
        <w:pStyle w:val="Imprint"/>
      </w:pPr>
    </w:p>
    <w:p w14:paraId="14E04823" w14:textId="77777777" w:rsidR="00F41A9D" w:rsidRPr="005C5E32" w:rsidRDefault="00F41A9D" w:rsidP="00DE4E1D">
      <w:pPr>
        <w:pStyle w:val="Imprint"/>
      </w:pPr>
    </w:p>
    <w:p w14:paraId="4D77A7F2" w14:textId="77777777" w:rsidR="00F41A9D" w:rsidRPr="005C5E32" w:rsidRDefault="00F41A9D" w:rsidP="00DE4E1D">
      <w:pPr>
        <w:pStyle w:val="Imprint"/>
      </w:pPr>
    </w:p>
    <w:p w14:paraId="0739350D" w14:textId="77777777" w:rsidR="00F41A9D" w:rsidRPr="005C5E32" w:rsidRDefault="00F41A9D" w:rsidP="00DE4E1D">
      <w:pPr>
        <w:pStyle w:val="Imprint"/>
      </w:pPr>
    </w:p>
    <w:p w14:paraId="0D280E71" w14:textId="77777777" w:rsidR="00F41A9D" w:rsidRPr="005C5E32" w:rsidRDefault="00F41A9D" w:rsidP="00DE4E1D">
      <w:pPr>
        <w:pStyle w:val="Imprint"/>
      </w:pPr>
    </w:p>
    <w:p w14:paraId="32BFCFF8" w14:textId="77777777" w:rsidR="00F41A9D" w:rsidRPr="005C5E32" w:rsidRDefault="00F41A9D" w:rsidP="00DE4E1D">
      <w:pPr>
        <w:pStyle w:val="Imprint"/>
      </w:pPr>
    </w:p>
    <w:p w14:paraId="4A660C99" w14:textId="77777777" w:rsidR="00F41A9D" w:rsidRPr="005C5E32" w:rsidRDefault="00F41A9D" w:rsidP="00DE4E1D">
      <w:pPr>
        <w:pStyle w:val="Imprint"/>
      </w:pPr>
    </w:p>
    <w:p w14:paraId="7971311F" w14:textId="77777777" w:rsidR="00F41A9D" w:rsidRPr="005C5E32" w:rsidRDefault="00F41A9D" w:rsidP="00DE4E1D">
      <w:pPr>
        <w:pStyle w:val="Imprint"/>
      </w:pPr>
    </w:p>
    <w:p w14:paraId="65814D70" w14:textId="77777777" w:rsidR="00E93F55" w:rsidRPr="005C5E32" w:rsidRDefault="00E93F55" w:rsidP="00E93F55">
      <w:pPr>
        <w:pStyle w:val="Imprint"/>
        <w:spacing w:after="0"/>
      </w:pPr>
    </w:p>
    <w:p w14:paraId="14D1A49D" w14:textId="38D7EB68" w:rsidR="008B27AF" w:rsidRPr="005C5E32" w:rsidRDefault="008B27AF" w:rsidP="00E93F55">
      <w:pPr>
        <w:pStyle w:val="Imprint"/>
        <w:spacing w:before="0"/>
      </w:pPr>
      <w:r w:rsidRPr="005C5E32">
        <w:t xml:space="preserve">Published in October 2026 by the </w:t>
      </w:r>
      <w:r w:rsidRPr="005C5E32">
        <w:br/>
        <w:t xml:space="preserve">Ministry for </w:t>
      </w:r>
      <w:r w:rsidR="00CB4D80">
        <w:t>Cities, Environment, Regions and Transport</w:t>
      </w:r>
      <w:r w:rsidRPr="005C5E32">
        <w:br/>
        <w:t>PO Box 10362, Wellington 6143, New Zealand</w:t>
      </w:r>
      <w:r w:rsidRPr="005C5E32">
        <w:br/>
      </w:r>
    </w:p>
    <w:p w14:paraId="49A4C7C4" w14:textId="568E1E3A" w:rsidR="008B27AF" w:rsidRPr="005C5E32" w:rsidRDefault="008B27AF" w:rsidP="008B27AF">
      <w:pPr>
        <w:pStyle w:val="BodyText"/>
      </w:pPr>
      <w:r w:rsidRPr="005C5E32">
        <w:t>Publication number: MCERT 9</w:t>
      </w:r>
    </w:p>
    <w:p w14:paraId="4DD07A6A" w14:textId="77777777" w:rsidR="00DE4E1D" w:rsidRPr="005C5E32" w:rsidRDefault="008B27AF" w:rsidP="008B27AF">
      <w:pPr>
        <w:pStyle w:val="BodyText"/>
      </w:pPr>
      <w:r w:rsidRPr="005C5E32">
        <w:t>© Crown copyright New Zealand 2026</w:t>
      </w:r>
    </w:p>
    <w:p w14:paraId="519094E6" w14:textId="48EEB376" w:rsidR="008B27AF" w:rsidRPr="005C5E32" w:rsidRDefault="008B27AF" w:rsidP="008B27AF">
      <w:pPr>
        <w:pStyle w:val="BodyText"/>
      </w:pPr>
      <w:r w:rsidRPr="005C5E32">
        <w:t xml:space="preserve">This work is licensed under the </w:t>
      </w:r>
      <w:hyperlink r:id="rId13" w:tgtFrame="_blank" w:history="1">
        <w:r w:rsidRPr="005C5E32">
          <w:rPr>
            <w:rStyle w:val="Hyperlink"/>
          </w:rPr>
          <w:t>Creative Commons Attribution 4.0 New Zealand licence</w:t>
        </w:r>
      </w:hyperlink>
      <w:r w:rsidRPr="005C5E32">
        <w:t>. You</w:t>
      </w:r>
      <w:r w:rsidR="00B30A22" w:rsidRPr="005C5E32">
        <w:t> </w:t>
      </w:r>
      <w:r w:rsidRPr="005C5E32">
        <w:t>are free to copy, distribute and adapt the work, as long as you attribute the work to the</w:t>
      </w:r>
      <w:r w:rsidR="00B30A22" w:rsidRPr="005C5E32">
        <w:t> </w:t>
      </w:r>
      <w:r w:rsidRPr="005C5E32">
        <w:t>Ministry for the Environment and abide by the other licence terms. </w:t>
      </w:r>
    </w:p>
    <w:p w14:paraId="32AD2E92" w14:textId="2CD52671" w:rsidR="008B27AF" w:rsidRPr="005C5E32" w:rsidRDefault="008B27AF" w:rsidP="008B27AF">
      <w:pPr>
        <w:pStyle w:val="BodyText"/>
      </w:pPr>
      <w:r w:rsidRPr="005C5E32">
        <w:t>Please note you may not use any departmental or government emblem, logo or coat of arms in</w:t>
      </w:r>
      <w:r w:rsidR="00B30A22" w:rsidRPr="005C5E32">
        <w:t> </w:t>
      </w:r>
      <w:r w:rsidRPr="005C5E32">
        <w:t>any way that infringes any provision of the Flags, Emblems and Names Protection Act 1981. Use the wording ‘Ministry for the Environment’ in your attribution, not the Ministry for the Environment logo.</w:t>
      </w:r>
    </w:p>
    <w:p w14:paraId="1B2216E6" w14:textId="77777777" w:rsidR="00173E7F" w:rsidRPr="005C5E32" w:rsidRDefault="008B27AF" w:rsidP="008B27AF">
      <w:pPr>
        <w:pStyle w:val="BodyText"/>
        <w:sectPr w:rsidR="00173E7F" w:rsidRPr="005C5E32" w:rsidSect="00E93F55">
          <w:footerReference w:type="default" r:id="rId14"/>
          <w:footerReference w:type="first" r:id="rId15"/>
          <w:type w:val="continuous"/>
          <w:pgSz w:w="11907" w:h="16840" w:code="9"/>
          <w:pgMar w:top="1134" w:right="1474" w:bottom="1134" w:left="1418" w:header="567" w:footer="567" w:gutter="510"/>
          <w:cols w:space="720"/>
          <w:titlePg/>
          <w:docGrid w:linePitch="299"/>
        </w:sectPr>
      </w:pPr>
      <w:r w:rsidRPr="005C5E32">
        <w:t>The authors of this report used generative AI to help write and edit some of its content and verified all points of fact in the AI-generated material.</w:t>
      </w:r>
      <w:r w:rsidR="00173E7F" w:rsidRPr="005C5E32">
        <w:t xml:space="preserve"> </w:t>
      </w:r>
    </w:p>
    <w:p w14:paraId="3CE2646E" w14:textId="77777777" w:rsidR="008D151A" w:rsidRPr="005C5E32" w:rsidRDefault="008D151A" w:rsidP="008D151A">
      <w:pPr>
        <w:pStyle w:val="Heading"/>
      </w:pPr>
      <w:r w:rsidRPr="005C5E32">
        <w:lastRenderedPageBreak/>
        <w:t>Contents</w:t>
      </w:r>
    </w:p>
    <w:p w14:paraId="7FB9FA23" w14:textId="510F4EE9" w:rsidR="002C1BA6" w:rsidRDefault="00452C48">
      <w:pPr>
        <w:pStyle w:val="TOC1"/>
        <w:rPr>
          <w:rFonts w:asciiTheme="minorHAnsi" w:hAnsiTheme="minorHAnsi"/>
          <w:noProof/>
          <w:kern w:val="2"/>
          <w:sz w:val="24"/>
          <w:szCs w:val="24"/>
          <w14:ligatures w14:val="standardContextual"/>
        </w:rPr>
      </w:pPr>
      <w:r w:rsidRPr="005C5E32">
        <w:fldChar w:fldCharType="begin"/>
      </w:r>
      <w:r w:rsidRPr="005C5E32">
        <w:instrText xml:space="preserve"> TOC \h \z \t "Heading 1,1,Heading 2,2,Section heading,1,Heading 1 green,1,Heading 2 green,2" </w:instrText>
      </w:r>
      <w:r w:rsidRPr="005C5E32">
        <w:fldChar w:fldCharType="separate"/>
      </w:r>
      <w:hyperlink w:anchor="_Toc240445549" w:history="1">
        <w:r w:rsidR="002C1BA6" w:rsidRPr="00EE19D5">
          <w:rPr>
            <w:rStyle w:val="Hyperlink"/>
            <w:noProof/>
          </w:rPr>
          <w:t>1.</w:t>
        </w:r>
        <w:r w:rsidR="002C1BA6">
          <w:rPr>
            <w:rFonts w:asciiTheme="minorHAnsi" w:hAnsiTheme="minorHAnsi"/>
            <w:noProof/>
            <w:kern w:val="2"/>
            <w:sz w:val="24"/>
            <w:szCs w:val="24"/>
            <w14:ligatures w14:val="standardContextual"/>
          </w:rPr>
          <w:tab/>
        </w:r>
        <w:r w:rsidR="002C1BA6" w:rsidRPr="00EE19D5">
          <w:rPr>
            <w:rStyle w:val="Hyperlink"/>
            <w:noProof/>
          </w:rPr>
          <w:t xml:space="preserve">Introduction </w:t>
        </w:r>
        <w:r w:rsidR="002C1BA6" w:rsidRPr="00EE19D5">
          <w:rPr>
            <w:rStyle w:val="Hyperlink"/>
            <w:i/>
            <w:iCs/>
            <w:noProof/>
          </w:rPr>
          <w:t>Kupu whakataki</w:t>
        </w:r>
        <w:r w:rsidR="002C1BA6">
          <w:rPr>
            <w:noProof/>
            <w:webHidden/>
          </w:rPr>
          <w:tab/>
        </w:r>
        <w:r w:rsidR="002C1BA6">
          <w:rPr>
            <w:noProof/>
            <w:webHidden/>
          </w:rPr>
          <w:fldChar w:fldCharType="begin"/>
        </w:r>
        <w:r w:rsidR="002C1BA6">
          <w:rPr>
            <w:noProof/>
            <w:webHidden/>
          </w:rPr>
          <w:instrText xml:space="preserve"> PAGEREF _Toc240445549 \h </w:instrText>
        </w:r>
        <w:r w:rsidR="002C1BA6">
          <w:rPr>
            <w:noProof/>
            <w:webHidden/>
          </w:rPr>
        </w:r>
        <w:r w:rsidR="002C1BA6">
          <w:rPr>
            <w:noProof/>
            <w:webHidden/>
          </w:rPr>
          <w:fldChar w:fldCharType="separate"/>
        </w:r>
        <w:r w:rsidR="00D8311D">
          <w:rPr>
            <w:noProof/>
            <w:webHidden/>
          </w:rPr>
          <w:t>5</w:t>
        </w:r>
        <w:r w:rsidR="002C1BA6">
          <w:rPr>
            <w:noProof/>
            <w:webHidden/>
          </w:rPr>
          <w:fldChar w:fldCharType="end"/>
        </w:r>
      </w:hyperlink>
    </w:p>
    <w:p w14:paraId="1CBE18DD" w14:textId="357D2F04" w:rsidR="002C1BA6" w:rsidRDefault="002C1BA6">
      <w:pPr>
        <w:pStyle w:val="TOC2"/>
        <w:rPr>
          <w:rFonts w:asciiTheme="minorHAnsi" w:hAnsiTheme="minorHAnsi"/>
          <w:noProof/>
          <w:kern w:val="2"/>
          <w:sz w:val="24"/>
          <w:szCs w:val="24"/>
          <w14:ligatures w14:val="standardContextual"/>
        </w:rPr>
      </w:pPr>
      <w:hyperlink w:anchor="_Toc240445550" w:history="1">
        <w:r w:rsidRPr="00EE19D5">
          <w:rPr>
            <w:rStyle w:val="Hyperlink"/>
            <w:noProof/>
          </w:rPr>
          <w:t>Message from the Chief Executive for the Ministry for Cities, Environment, Regions and Transport and Secretary for the Environment</w:t>
        </w:r>
        <w:r>
          <w:rPr>
            <w:noProof/>
            <w:webHidden/>
          </w:rPr>
          <w:tab/>
        </w:r>
        <w:r>
          <w:rPr>
            <w:noProof/>
            <w:webHidden/>
          </w:rPr>
          <w:fldChar w:fldCharType="begin"/>
        </w:r>
        <w:r>
          <w:rPr>
            <w:noProof/>
            <w:webHidden/>
          </w:rPr>
          <w:instrText xml:space="preserve"> PAGEREF _Toc240445550 \h </w:instrText>
        </w:r>
        <w:r>
          <w:rPr>
            <w:noProof/>
            <w:webHidden/>
          </w:rPr>
        </w:r>
        <w:r>
          <w:rPr>
            <w:noProof/>
            <w:webHidden/>
          </w:rPr>
          <w:fldChar w:fldCharType="separate"/>
        </w:r>
        <w:r w:rsidR="00D8311D">
          <w:rPr>
            <w:noProof/>
            <w:webHidden/>
          </w:rPr>
          <w:t>6</w:t>
        </w:r>
        <w:r>
          <w:rPr>
            <w:noProof/>
            <w:webHidden/>
          </w:rPr>
          <w:fldChar w:fldCharType="end"/>
        </w:r>
      </w:hyperlink>
    </w:p>
    <w:p w14:paraId="43CC8B69" w14:textId="6A713843" w:rsidR="002C1BA6" w:rsidRDefault="002C1BA6">
      <w:pPr>
        <w:pStyle w:val="TOC2"/>
        <w:rPr>
          <w:rFonts w:asciiTheme="minorHAnsi" w:hAnsiTheme="minorHAnsi"/>
          <w:noProof/>
          <w:kern w:val="2"/>
          <w:sz w:val="24"/>
          <w:szCs w:val="24"/>
          <w14:ligatures w14:val="standardContextual"/>
        </w:rPr>
      </w:pPr>
      <w:hyperlink w:anchor="_Toc240445551" w:history="1">
        <w:r w:rsidRPr="00EE19D5">
          <w:rPr>
            <w:rStyle w:val="Hyperlink"/>
            <w:noProof/>
          </w:rPr>
          <w:t>Statement of responsibility</w:t>
        </w:r>
        <w:r>
          <w:rPr>
            <w:noProof/>
            <w:webHidden/>
          </w:rPr>
          <w:tab/>
        </w:r>
        <w:r>
          <w:rPr>
            <w:noProof/>
            <w:webHidden/>
          </w:rPr>
          <w:fldChar w:fldCharType="begin"/>
        </w:r>
        <w:r>
          <w:rPr>
            <w:noProof/>
            <w:webHidden/>
          </w:rPr>
          <w:instrText xml:space="preserve"> PAGEREF _Toc240445551 \h </w:instrText>
        </w:r>
        <w:r>
          <w:rPr>
            <w:noProof/>
            <w:webHidden/>
          </w:rPr>
        </w:r>
        <w:r>
          <w:rPr>
            <w:noProof/>
            <w:webHidden/>
          </w:rPr>
          <w:fldChar w:fldCharType="separate"/>
        </w:r>
        <w:r w:rsidR="00D8311D">
          <w:rPr>
            <w:noProof/>
            <w:webHidden/>
          </w:rPr>
          <w:t>8</w:t>
        </w:r>
        <w:r>
          <w:rPr>
            <w:noProof/>
            <w:webHidden/>
          </w:rPr>
          <w:fldChar w:fldCharType="end"/>
        </w:r>
      </w:hyperlink>
    </w:p>
    <w:p w14:paraId="190D0CAB" w14:textId="4A2BBA5D" w:rsidR="002C1BA6" w:rsidRDefault="002C1BA6">
      <w:pPr>
        <w:pStyle w:val="TOC2"/>
        <w:rPr>
          <w:rFonts w:asciiTheme="minorHAnsi" w:hAnsiTheme="minorHAnsi"/>
          <w:noProof/>
          <w:kern w:val="2"/>
          <w:sz w:val="24"/>
          <w:szCs w:val="24"/>
          <w14:ligatures w14:val="standardContextual"/>
        </w:rPr>
      </w:pPr>
      <w:hyperlink w:anchor="_Toc240445552" w:history="1">
        <w:r w:rsidRPr="00EE19D5">
          <w:rPr>
            <w:rStyle w:val="Hyperlink"/>
            <w:noProof/>
          </w:rPr>
          <w:t>A selection of milestones from 2025/26</w:t>
        </w:r>
        <w:r>
          <w:rPr>
            <w:noProof/>
            <w:webHidden/>
          </w:rPr>
          <w:tab/>
        </w:r>
        <w:r>
          <w:rPr>
            <w:noProof/>
            <w:webHidden/>
          </w:rPr>
          <w:fldChar w:fldCharType="begin"/>
        </w:r>
        <w:r>
          <w:rPr>
            <w:noProof/>
            <w:webHidden/>
          </w:rPr>
          <w:instrText xml:space="preserve"> PAGEREF _Toc240445552 \h </w:instrText>
        </w:r>
        <w:r>
          <w:rPr>
            <w:noProof/>
            <w:webHidden/>
          </w:rPr>
        </w:r>
        <w:r>
          <w:rPr>
            <w:noProof/>
            <w:webHidden/>
          </w:rPr>
          <w:fldChar w:fldCharType="separate"/>
        </w:r>
        <w:r w:rsidR="00D8311D">
          <w:rPr>
            <w:noProof/>
            <w:webHidden/>
          </w:rPr>
          <w:t>9</w:t>
        </w:r>
        <w:r>
          <w:rPr>
            <w:noProof/>
            <w:webHidden/>
          </w:rPr>
          <w:fldChar w:fldCharType="end"/>
        </w:r>
      </w:hyperlink>
    </w:p>
    <w:p w14:paraId="24ABC793" w14:textId="3A3FC512" w:rsidR="002C1BA6" w:rsidRDefault="002C1BA6">
      <w:pPr>
        <w:pStyle w:val="TOC2"/>
        <w:rPr>
          <w:rFonts w:asciiTheme="minorHAnsi" w:hAnsiTheme="minorHAnsi"/>
          <w:noProof/>
          <w:kern w:val="2"/>
          <w:sz w:val="24"/>
          <w:szCs w:val="24"/>
          <w14:ligatures w14:val="standardContextual"/>
        </w:rPr>
      </w:pPr>
      <w:hyperlink w:anchor="_Toc240445553" w:history="1">
        <w:r w:rsidRPr="00EE19D5">
          <w:rPr>
            <w:rStyle w:val="Hyperlink"/>
            <w:noProof/>
          </w:rPr>
          <w:t>Our Ministers</w:t>
        </w:r>
        <w:r>
          <w:rPr>
            <w:noProof/>
            <w:webHidden/>
          </w:rPr>
          <w:tab/>
        </w:r>
        <w:r>
          <w:rPr>
            <w:noProof/>
            <w:webHidden/>
          </w:rPr>
          <w:fldChar w:fldCharType="begin"/>
        </w:r>
        <w:r>
          <w:rPr>
            <w:noProof/>
            <w:webHidden/>
          </w:rPr>
          <w:instrText xml:space="preserve"> PAGEREF _Toc240445553 \h </w:instrText>
        </w:r>
        <w:r>
          <w:rPr>
            <w:noProof/>
            <w:webHidden/>
          </w:rPr>
        </w:r>
        <w:r>
          <w:rPr>
            <w:noProof/>
            <w:webHidden/>
          </w:rPr>
          <w:fldChar w:fldCharType="separate"/>
        </w:r>
        <w:r w:rsidR="00D8311D">
          <w:rPr>
            <w:noProof/>
            <w:webHidden/>
          </w:rPr>
          <w:t>10</w:t>
        </w:r>
        <w:r>
          <w:rPr>
            <w:noProof/>
            <w:webHidden/>
          </w:rPr>
          <w:fldChar w:fldCharType="end"/>
        </w:r>
      </w:hyperlink>
    </w:p>
    <w:p w14:paraId="6D1428DE" w14:textId="09B5A7CB" w:rsidR="002C1BA6" w:rsidRDefault="002C1BA6">
      <w:pPr>
        <w:pStyle w:val="TOC2"/>
        <w:rPr>
          <w:rFonts w:asciiTheme="minorHAnsi" w:hAnsiTheme="minorHAnsi"/>
          <w:noProof/>
          <w:kern w:val="2"/>
          <w:sz w:val="24"/>
          <w:szCs w:val="24"/>
          <w14:ligatures w14:val="standardContextual"/>
        </w:rPr>
      </w:pPr>
      <w:hyperlink w:anchor="_Toc240445554" w:history="1">
        <w:r w:rsidRPr="00EE19D5">
          <w:rPr>
            <w:rStyle w:val="Hyperlink"/>
            <w:noProof/>
          </w:rPr>
          <w:t>Te Pūrengi – Our leadership team</w:t>
        </w:r>
        <w:r>
          <w:rPr>
            <w:noProof/>
            <w:webHidden/>
          </w:rPr>
          <w:tab/>
        </w:r>
        <w:r>
          <w:rPr>
            <w:noProof/>
            <w:webHidden/>
          </w:rPr>
          <w:fldChar w:fldCharType="begin"/>
        </w:r>
        <w:r>
          <w:rPr>
            <w:noProof/>
            <w:webHidden/>
          </w:rPr>
          <w:instrText xml:space="preserve"> PAGEREF _Toc240445554 \h </w:instrText>
        </w:r>
        <w:r>
          <w:rPr>
            <w:noProof/>
            <w:webHidden/>
          </w:rPr>
        </w:r>
        <w:r>
          <w:rPr>
            <w:noProof/>
            <w:webHidden/>
          </w:rPr>
          <w:fldChar w:fldCharType="separate"/>
        </w:r>
        <w:r w:rsidR="00D8311D">
          <w:rPr>
            <w:noProof/>
            <w:webHidden/>
          </w:rPr>
          <w:t>10</w:t>
        </w:r>
        <w:r>
          <w:rPr>
            <w:noProof/>
            <w:webHidden/>
          </w:rPr>
          <w:fldChar w:fldCharType="end"/>
        </w:r>
      </w:hyperlink>
    </w:p>
    <w:p w14:paraId="3970BE04" w14:textId="367B306A" w:rsidR="002C1BA6" w:rsidRDefault="002C1BA6">
      <w:pPr>
        <w:pStyle w:val="TOC1"/>
        <w:rPr>
          <w:rFonts w:asciiTheme="minorHAnsi" w:hAnsiTheme="minorHAnsi"/>
          <w:noProof/>
          <w:kern w:val="2"/>
          <w:sz w:val="24"/>
          <w:szCs w:val="24"/>
          <w14:ligatures w14:val="standardContextual"/>
        </w:rPr>
      </w:pPr>
      <w:hyperlink w:anchor="_Toc240445555" w:history="1">
        <w:r w:rsidRPr="00EE19D5">
          <w:rPr>
            <w:rStyle w:val="Hyperlink"/>
            <w:noProof/>
          </w:rPr>
          <w:t>2.</w:t>
        </w:r>
        <w:r>
          <w:rPr>
            <w:rFonts w:asciiTheme="minorHAnsi" w:hAnsiTheme="minorHAnsi"/>
            <w:noProof/>
            <w:kern w:val="2"/>
            <w:sz w:val="24"/>
            <w:szCs w:val="24"/>
            <w14:ligatures w14:val="standardContextual"/>
          </w:rPr>
          <w:tab/>
        </w:r>
        <w:r w:rsidRPr="00EE19D5">
          <w:rPr>
            <w:rStyle w:val="Hyperlink"/>
            <w:noProof/>
          </w:rPr>
          <w:t xml:space="preserve">Our performance </w:t>
        </w:r>
        <w:r w:rsidRPr="00EE19D5">
          <w:rPr>
            <w:rStyle w:val="Hyperlink"/>
            <w:i/>
            <w:iCs/>
            <w:noProof/>
          </w:rPr>
          <w:t>Ā mātou whakatutukinga</w:t>
        </w:r>
        <w:r>
          <w:rPr>
            <w:noProof/>
            <w:webHidden/>
          </w:rPr>
          <w:tab/>
        </w:r>
        <w:r>
          <w:rPr>
            <w:noProof/>
            <w:webHidden/>
          </w:rPr>
          <w:fldChar w:fldCharType="begin"/>
        </w:r>
        <w:r>
          <w:rPr>
            <w:noProof/>
            <w:webHidden/>
          </w:rPr>
          <w:instrText xml:space="preserve"> PAGEREF _Toc240445555 \h </w:instrText>
        </w:r>
        <w:r>
          <w:rPr>
            <w:noProof/>
            <w:webHidden/>
          </w:rPr>
        </w:r>
        <w:r>
          <w:rPr>
            <w:noProof/>
            <w:webHidden/>
          </w:rPr>
          <w:fldChar w:fldCharType="separate"/>
        </w:r>
        <w:r w:rsidR="00D8311D">
          <w:rPr>
            <w:noProof/>
            <w:webHidden/>
          </w:rPr>
          <w:t>11</w:t>
        </w:r>
        <w:r>
          <w:rPr>
            <w:noProof/>
            <w:webHidden/>
          </w:rPr>
          <w:fldChar w:fldCharType="end"/>
        </w:r>
      </w:hyperlink>
    </w:p>
    <w:p w14:paraId="3536728D" w14:textId="3E148C9D" w:rsidR="002C1BA6" w:rsidRDefault="002C1BA6">
      <w:pPr>
        <w:pStyle w:val="TOC2"/>
        <w:rPr>
          <w:rFonts w:asciiTheme="minorHAnsi" w:hAnsiTheme="minorHAnsi"/>
          <w:noProof/>
          <w:kern w:val="2"/>
          <w:sz w:val="24"/>
          <w:szCs w:val="24"/>
          <w14:ligatures w14:val="standardContextual"/>
        </w:rPr>
      </w:pPr>
      <w:hyperlink w:anchor="_Toc240445556" w:history="1">
        <w:r w:rsidRPr="00EE19D5">
          <w:rPr>
            <w:rStyle w:val="Hyperlink"/>
            <w:noProof/>
          </w:rPr>
          <w:t>Progress on our strategic intentions</w:t>
        </w:r>
        <w:r>
          <w:rPr>
            <w:noProof/>
            <w:webHidden/>
          </w:rPr>
          <w:tab/>
        </w:r>
        <w:r>
          <w:rPr>
            <w:noProof/>
            <w:webHidden/>
          </w:rPr>
          <w:fldChar w:fldCharType="begin"/>
        </w:r>
        <w:r>
          <w:rPr>
            <w:noProof/>
            <w:webHidden/>
          </w:rPr>
          <w:instrText xml:space="preserve"> PAGEREF _Toc240445556 \h </w:instrText>
        </w:r>
        <w:r>
          <w:rPr>
            <w:noProof/>
            <w:webHidden/>
          </w:rPr>
        </w:r>
        <w:r>
          <w:rPr>
            <w:noProof/>
            <w:webHidden/>
          </w:rPr>
          <w:fldChar w:fldCharType="separate"/>
        </w:r>
        <w:r w:rsidR="00D8311D">
          <w:rPr>
            <w:noProof/>
            <w:webHidden/>
          </w:rPr>
          <w:t>12</w:t>
        </w:r>
        <w:r>
          <w:rPr>
            <w:noProof/>
            <w:webHidden/>
          </w:rPr>
          <w:fldChar w:fldCharType="end"/>
        </w:r>
      </w:hyperlink>
    </w:p>
    <w:p w14:paraId="04D54F90" w14:textId="398541AC" w:rsidR="002C1BA6" w:rsidRDefault="002C1BA6">
      <w:pPr>
        <w:pStyle w:val="TOC2"/>
        <w:rPr>
          <w:rFonts w:asciiTheme="minorHAnsi" w:hAnsiTheme="minorHAnsi"/>
          <w:noProof/>
          <w:kern w:val="2"/>
          <w:sz w:val="24"/>
          <w:szCs w:val="24"/>
          <w14:ligatures w14:val="standardContextual"/>
        </w:rPr>
      </w:pPr>
      <w:hyperlink w:anchor="_Toc240445557" w:history="1">
        <w:r w:rsidRPr="00EE19D5">
          <w:rPr>
            <w:rStyle w:val="Hyperlink"/>
            <w:noProof/>
            <w:lang w:eastAsia="en-US"/>
          </w:rPr>
          <w:t>Strategic priority 1: Improve the resource management system to be more efficient and effective</w:t>
        </w:r>
        <w:r>
          <w:rPr>
            <w:noProof/>
            <w:webHidden/>
          </w:rPr>
          <w:tab/>
        </w:r>
        <w:r>
          <w:rPr>
            <w:noProof/>
            <w:webHidden/>
          </w:rPr>
          <w:fldChar w:fldCharType="begin"/>
        </w:r>
        <w:r>
          <w:rPr>
            <w:noProof/>
            <w:webHidden/>
          </w:rPr>
          <w:instrText xml:space="preserve"> PAGEREF _Toc240445557 \h </w:instrText>
        </w:r>
        <w:r>
          <w:rPr>
            <w:noProof/>
            <w:webHidden/>
          </w:rPr>
        </w:r>
        <w:r>
          <w:rPr>
            <w:noProof/>
            <w:webHidden/>
          </w:rPr>
          <w:fldChar w:fldCharType="separate"/>
        </w:r>
        <w:r w:rsidR="00D8311D">
          <w:rPr>
            <w:noProof/>
            <w:webHidden/>
          </w:rPr>
          <w:t>13</w:t>
        </w:r>
        <w:r>
          <w:rPr>
            <w:noProof/>
            <w:webHidden/>
          </w:rPr>
          <w:fldChar w:fldCharType="end"/>
        </w:r>
      </w:hyperlink>
    </w:p>
    <w:p w14:paraId="0659ED9B" w14:textId="3A5F4EC7" w:rsidR="002C1BA6" w:rsidRDefault="002C1BA6">
      <w:pPr>
        <w:pStyle w:val="TOC2"/>
        <w:rPr>
          <w:rFonts w:asciiTheme="minorHAnsi" w:hAnsiTheme="minorHAnsi"/>
          <w:noProof/>
          <w:kern w:val="2"/>
          <w:sz w:val="24"/>
          <w:szCs w:val="24"/>
          <w14:ligatures w14:val="standardContextual"/>
        </w:rPr>
      </w:pPr>
      <w:hyperlink w:anchor="_Toc240445558" w:history="1">
        <w:r w:rsidRPr="00EE19D5">
          <w:rPr>
            <w:rStyle w:val="Hyperlink"/>
            <w:noProof/>
            <w:lang w:eastAsia="en-US"/>
          </w:rPr>
          <w:t>Strategic priority 2: Strengthen the resilience of communities, businesses and places to climate change and natural hazards</w:t>
        </w:r>
        <w:r>
          <w:rPr>
            <w:noProof/>
            <w:webHidden/>
          </w:rPr>
          <w:tab/>
        </w:r>
        <w:r>
          <w:rPr>
            <w:noProof/>
            <w:webHidden/>
          </w:rPr>
          <w:fldChar w:fldCharType="begin"/>
        </w:r>
        <w:r>
          <w:rPr>
            <w:noProof/>
            <w:webHidden/>
          </w:rPr>
          <w:instrText xml:space="preserve"> PAGEREF _Toc240445558 \h </w:instrText>
        </w:r>
        <w:r>
          <w:rPr>
            <w:noProof/>
            <w:webHidden/>
          </w:rPr>
        </w:r>
        <w:r>
          <w:rPr>
            <w:noProof/>
            <w:webHidden/>
          </w:rPr>
          <w:fldChar w:fldCharType="separate"/>
        </w:r>
        <w:r w:rsidR="00D8311D">
          <w:rPr>
            <w:noProof/>
            <w:webHidden/>
          </w:rPr>
          <w:t>14</w:t>
        </w:r>
        <w:r>
          <w:rPr>
            <w:noProof/>
            <w:webHidden/>
          </w:rPr>
          <w:fldChar w:fldCharType="end"/>
        </w:r>
      </w:hyperlink>
    </w:p>
    <w:p w14:paraId="42FCFFD1" w14:textId="31AA2DDA" w:rsidR="002C1BA6" w:rsidRDefault="002C1BA6">
      <w:pPr>
        <w:pStyle w:val="TOC2"/>
        <w:rPr>
          <w:rFonts w:asciiTheme="minorHAnsi" w:hAnsiTheme="minorHAnsi"/>
          <w:noProof/>
          <w:kern w:val="2"/>
          <w:sz w:val="24"/>
          <w:szCs w:val="24"/>
          <w14:ligatures w14:val="standardContextual"/>
        </w:rPr>
      </w:pPr>
      <w:hyperlink w:anchor="_Toc240445559" w:history="1">
        <w:r w:rsidRPr="00EE19D5">
          <w:rPr>
            <w:rStyle w:val="Hyperlink"/>
            <w:noProof/>
            <w:lang w:eastAsia="en-US"/>
          </w:rPr>
          <w:t>Strategic priority 3: Support the transition to a competitive low-emission, resource-efficient economy</w:t>
        </w:r>
        <w:r>
          <w:rPr>
            <w:noProof/>
            <w:webHidden/>
          </w:rPr>
          <w:tab/>
        </w:r>
        <w:r>
          <w:rPr>
            <w:noProof/>
            <w:webHidden/>
          </w:rPr>
          <w:fldChar w:fldCharType="begin"/>
        </w:r>
        <w:r>
          <w:rPr>
            <w:noProof/>
            <w:webHidden/>
          </w:rPr>
          <w:instrText xml:space="preserve"> PAGEREF _Toc240445559 \h </w:instrText>
        </w:r>
        <w:r>
          <w:rPr>
            <w:noProof/>
            <w:webHidden/>
          </w:rPr>
        </w:r>
        <w:r>
          <w:rPr>
            <w:noProof/>
            <w:webHidden/>
          </w:rPr>
          <w:fldChar w:fldCharType="separate"/>
        </w:r>
        <w:r w:rsidR="00D8311D">
          <w:rPr>
            <w:noProof/>
            <w:webHidden/>
          </w:rPr>
          <w:t>16</w:t>
        </w:r>
        <w:r>
          <w:rPr>
            <w:noProof/>
            <w:webHidden/>
          </w:rPr>
          <w:fldChar w:fldCharType="end"/>
        </w:r>
      </w:hyperlink>
    </w:p>
    <w:p w14:paraId="7EEECAB7" w14:textId="7211C698" w:rsidR="002C1BA6" w:rsidRDefault="002C1BA6">
      <w:pPr>
        <w:pStyle w:val="TOC2"/>
        <w:rPr>
          <w:rFonts w:asciiTheme="minorHAnsi" w:hAnsiTheme="minorHAnsi"/>
          <w:noProof/>
          <w:kern w:val="2"/>
          <w:sz w:val="24"/>
          <w:szCs w:val="24"/>
          <w14:ligatures w14:val="standardContextual"/>
        </w:rPr>
      </w:pPr>
      <w:hyperlink w:anchor="_Toc240445560" w:history="1">
        <w:r w:rsidRPr="00EE19D5">
          <w:rPr>
            <w:rStyle w:val="Hyperlink"/>
            <w:noProof/>
            <w:lang w:eastAsia="en-US"/>
          </w:rPr>
          <w:t>Strategic priority 4: Improve the quality and accessibility of evidence for all decision</w:t>
        </w:r>
        <w:r w:rsidRPr="00EE19D5">
          <w:rPr>
            <w:rStyle w:val="Hyperlink"/>
            <w:noProof/>
            <w:lang w:eastAsia="en-US"/>
          </w:rPr>
          <w:noBreakHyphen/>
          <w:t>makers</w:t>
        </w:r>
        <w:r>
          <w:rPr>
            <w:noProof/>
            <w:webHidden/>
          </w:rPr>
          <w:tab/>
        </w:r>
        <w:r>
          <w:rPr>
            <w:noProof/>
            <w:webHidden/>
          </w:rPr>
          <w:fldChar w:fldCharType="begin"/>
        </w:r>
        <w:r>
          <w:rPr>
            <w:noProof/>
            <w:webHidden/>
          </w:rPr>
          <w:instrText xml:space="preserve"> PAGEREF _Toc240445560 \h </w:instrText>
        </w:r>
        <w:r>
          <w:rPr>
            <w:noProof/>
            <w:webHidden/>
          </w:rPr>
        </w:r>
        <w:r>
          <w:rPr>
            <w:noProof/>
            <w:webHidden/>
          </w:rPr>
          <w:fldChar w:fldCharType="separate"/>
        </w:r>
        <w:r w:rsidR="00D8311D">
          <w:rPr>
            <w:noProof/>
            <w:webHidden/>
          </w:rPr>
          <w:t>20</w:t>
        </w:r>
        <w:r>
          <w:rPr>
            <w:noProof/>
            <w:webHidden/>
          </w:rPr>
          <w:fldChar w:fldCharType="end"/>
        </w:r>
      </w:hyperlink>
    </w:p>
    <w:p w14:paraId="29E3CDDC" w14:textId="2C4DAA13" w:rsidR="002C1BA6" w:rsidRDefault="002C1BA6">
      <w:pPr>
        <w:pStyle w:val="TOC2"/>
        <w:rPr>
          <w:rFonts w:asciiTheme="minorHAnsi" w:hAnsiTheme="minorHAnsi"/>
          <w:noProof/>
          <w:kern w:val="2"/>
          <w:sz w:val="24"/>
          <w:szCs w:val="24"/>
          <w14:ligatures w14:val="standardContextual"/>
        </w:rPr>
      </w:pPr>
      <w:hyperlink w:anchor="_Toc240445561" w:history="1">
        <w:r w:rsidRPr="00EE19D5">
          <w:rPr>
            <w:rStyle w:val="Hyperlink"/>
            <w:noProof/>
            <w:lang w:eastAsia="en-US"/>
          </w:rPr>
          <w:t>Strategic priority 5: Ensure our investments, partnerships and relationships enable others to achieve impactful solutions</w:t>
        </w:r>
        <w:r>
          <w:rPr>
            <w:noProof/>
            <w:webHidden/>
          </w:rPr>
          <w:tab/>
        </w:r>
        <w:r>
          <w:rPr>
            <w:noProof/>
            <w:webHidden/>
          </w:rPr>
          <w:fldChar w:fldCharType="begin"/>
        </w:r>
        <w:r>
          <w:rPr>
            <w:noProof/>
            <w:webHidden/>
          </w:rPr>
          <w:instrText xml:space="preserve"> PAGEREF _Toc240445561 \h </w:instrText>
        </w:r>
        <w:r>
          <w:rPr>
            <w:noProof/>
            <w:webHidden/>
          </w:rPr>
        </w:r>
        <w:r>
          <w:rPr>
            <w:noProof/>
            <w:webHidden/>
          </w:rPr>
          <w:fldChar w:fldCharType="separate"/>
        </w:r>
        <w:r w:rsidR="00D8311D">
          <w:rPr>
            <w:noProof/>
            <w:webHidden/>
          </w:rPr>
          <w:t>22</w:t>
        </w:r>
        <w:r>
          <w:rPr>
            <w:noProof/>
            <w:webHidden/>
          </w:rPr>
          <w:fldChar w:fldCharType="end"/>
        </w:r>
      </w:hyperlink>
    </w:p>
    <w:p w14:paraId="235D42AC" w14:textId="36BA71BE" w:rsidR="002C1BA6" w:rsidRDefault="002C1BA6">
      <w:pPr>
        <w:pStyle w:val="TOC2"/>
        <w:rPr>
          <w:rFonts w:asciiTheme="minorHAnsi" w:hAnsiTheme="minorHAnsi"/>
          <w:noProof/>
          <w:kern w:val="2"/>
          <w:sz w:val="24"/>
          <w:szCs w:val="24"/>
          <w14:ligatures w14:val="standardContextual"/>
        </w:rPr>
      </w:pPr>
      <w:hyperlink w:anchor="_Toc240445562" w:history="1">
        <w:r w:rsidRPr="00EE19D5">
          <w:rPr>
            <w:rStyle w:val="Hyperlink"/>
            <w:noProof/>
            <w:lang w:eastAsia="en-US"/>
          </w:rPr>
          <w:t>Notes to progress on our strategic priorities</w:t>
        </w:r>
        <w:r>
          <w:rPr>
            <w:noProof/>
            <w:webHidden/>
          </w:rPr>
          <w:tab/>
        </w:r>
        <w:r>
          <w:rPr>
            <w:noProof/>
            <w:webHidden/>
          </w:rPr>
          <w:fldChar w:fldCharType="begin"/>
        </w:r>
        <w:r>
          <w:rPr>
            <w:noProof/>
            <w:webHidden/>
          </w:rPr>
          <w:instrText xml:space="preserve"> PAGEREF _Toc240445562 \h </w:instrText>
        </w:r>
        <w:r>
          <w:rPr>
            <w:noProof/>
            <w:webHidden/>
          </w:rPr>
        </w:r>
        <w:r>
          <w:rPr>
            <w:noProof/>
            <w:webHidden/>
          </w:rPr>
          <w:fldChar w:fldCharType="separate"/>
        </w:r>
        <w:r w:rsidR="00D8311D">
          <w:rPr>
            <w:noProof/>
            <w:webHidden/>
          </w:rPr>
          <w:t>25</w:t>
        </w:r>
        <w:r>
          <w:rPr>
            <w:noProof/>
            <w:webHidden/>
          </w:rPr>
          <w:fldChar w:fldCharType="end"/>
        </w:r>
      </w:hyperlink>
    </w:p>
    <w:p w14:paraId="4BD37A7A" w14:textId="08BF0C5D" w:rsidR="002C1BA6" w:rsidRDefault="002C1BA6">
      <w:pPr>
        <w:pStyle w:val="TOC2"/>
        <w:rPr>
          <w:rFonts w:asciiTheme="minorHAnsi" w:hAnsiTheme="minorHAnsi"/>
          <w:noProof/>
          <w:kern w:val="2"/>
          <w:sz w:val="24"/>
          <w:szCs w:val="24"/>
          <w14:ligatures w14:val="standardContextual"/>
        </w:rPr>
      </w:pPr>
      <w:hyperlink w:anchor="_Toc240445563" w:history="1">
        <w:r w:rsidRPr="00EE19D5">
          <w:rPr>
            <w:rStyle w:val="Hyperlink"/>
            <w:noProof/>
          </w:rPr>
          <w:t>How we operate</w:t>
        </w:r>
        <w:r>
          <w:rPr>
            <w:noProof/>
            <w:webHidden/>
          </w:rPr>
          <w:tab/>
        </w:r>
        <w:r>
          <w:rPr>
            <w:noProof/>
            <w:webHidden/>
          </w:rPr>
          <w:fldChar w:fldCharType="begin"/>
        </w:r>
        <w:r>
          <w:rPr>
            <w:noProof/>
            <w:webHidden/>
          </w:rPr>
          <w:instrText xml:space="preserve"> PAGEREF _Toc240445563 \h </w:instrText>
        </w:r>
        <w:r>
          <w:rPr>
            <w:noProof/>
            <w:webHidden/>
          </w:rPr>
        </w:r>
        <w:r>
          <w:rPr>
            <w:noProof/>
            <w:webHidden/>
          </w:rPr>
          <w:fldChar w:fldCharType="separate"/>
        </w:r>
        <w:r w:rsidR="00D8311D">
          <w:rPr>
            <w:noProof/>
            <w:webHidden/>
          </w:rPr>
          <w:t>29</w:t>
        </w:r>
        <w:r>
          <w:rPr>
            <w:noProof/>
            <w:webHidden/>
          </w:rPr>
          <w:fldChar w:fldCharType="end"/>
        </w:r>
      </w:hyperlink>
    </w:p>
    <w:p w14:paraId="0B0E8ACB" w14:textId="48C0BD42" w:rsidR="002C1BA6" w:rsidRDefault="002C1BA6">
      <w:pPr>
        <w:pStyle w:val="TOC2"/>
        <w:rPr>
          <w:rFonts w:asciiTheme="minorHAnsi" w:hAnsiTheme="minorHAnsi"/>
          <w:noProof/>
          <w:kern w:val="2"/>
          <w:sz w:val="24"/>
          <w:szCs w:val="24"/>
          <w14:ligatures w14:val="standardContextual"/>
        </w:rPr>
      </w:pPr>
      <w:hyperlink w:anchor="_Toc240445564" w:history="1">
        <w:r w:rsidRPr="00EE19D5">
          <w:rPr>
            <w:rStyle w:val="Hyperlink"/>
            <w:noProof/>
          </w:rPr>
          <w:t>Implementing the Government’s priorities</w:t>
        </w:r>
        <w:r>
          <w:rPr>
            <w:noProof/>
            <w:webHidden/>
          </w:rPr>
          <w:tab/>
        </w:r>
        <w:r>
          <w:rPr>
            <w:noProof/>
            <w:webHidden/>
          </w:rPr>
          <w:fldChar w:fldCharType="begin"/>
        </w:r>
        <w:r>
          <w:rPr>
            <w:noProof/>
            <w:webHidden/>
          </w:rPr>
          <w:instrText xml:space="preserve"> PAGEREF _Toc240445564 \h </w:instrText>
        </w:r>
        <w:r>
          <w:rPr>
            <w:noProof/>
            <w:webHidden/>
          </w:rPr>
        </w:r>
        <w:r>
          <w:rPr>
            <w:noProof/>
            <w:webHidden/>
          </w:rPr>
          <w:fldChar w:fldCharType="separate"/>
        </w:r>
        <w:r w:rsidR="00D8311D">
          <w:rPr>
            <w:noProof/>
            <w:webHidden/>
          </w:rPr>
          <w:t>29</w:t>
        </w:r>
        <w:r>
          <w:rPr>
            <w:noProof/>
            <w:webHidden/>
          </w:rPr>
          <w:fldChar w:fldCharType="end"/>
        </w:r>
      </w:hyperlink>
    </w:p>
    <w:p w14:paraId="47EF3383" w14:textId="401254D5" w:rsidR="002C1BA6" w:rsidRDefault="002C1BA6">
      <w:pPr>
        <w:pStyle w:val="TOC2"/>
        <w:rPr>
          <w:rFonts w:asciiTheme="minorHAnsi" w:hAnsiTheme="minorHAnsi"/>
          <w:noProof/>
          <w:kern w:val="2"/>
          <w:sz w:val="24"/>
          <w:szCs w:val="24"/>
          <w14:ligatures w14:val="standardContextual"/>
        </w:rPr>
      </w:pPr>
      <w:hyperlink w:anchor="_Toc240445565" w:history="1">
        <w:r w:rsidRPr="00EE19D5">
          <w:rPr>
            <w:rStyle w:val="Hyperlink"/>
            <w:noProof/>
          </w:rPr>
          <w:t>Assessment of operations</w:t>
        </w:r>
        <w:r>
          <w:rPr>
            <w:noProof/>
            <w:webHidden/>
          </w:rPr>
          <w:tab/>
        </w:r>
        <w:r>
          <w:rPr>
            <w:noProof/>
            <w:webHidden/>
          </w:rPr>
          <w:fldChar w:fldCharType="begin"/>
        </w:r>
        <w:r>
          <w:rPr>
            <w:noProof/>
            <w:webHidden/>
          </w:rPr>
          <w:instrText xml:space="preserve"> PAGEREF _Toc240445565 \h </w:instrText>
        </w:r>
        <w:r>
          <w:rPr>
            <w:noProof/>
            <w:webHidden/>
          </w:rPr>
        </w:r>
        <w:r>
          <w:rPr>
            <w:noProof/>
            <w:webHidden/>
          </w:rPr>
          <w:fldChar w:fldCharType="separate"/>
        </w:r>
        <w:r w:rsidR="00D8311D">
          <w:rPr>
            <w:noProof/>
            <w:webHidden/>
          </w:rPr>
          <w:t>31</w:t>
        </w:r>
        <w:r>
          <w:rPr>
            <w:noProof/>
            <w:webHidden/>
          </w:rPr>
          <w:fldChar w:fldCharType="end"/>
        </w:r>
      </w:hyperlink>
    </w:p>
    <w:p w14:paraId="3E97F10C" w14:textId="201EB09E" w:rsidR="002C1BA6" w:rsidRDefault="002C1BA6">
      <w:pPr>
        <w:pStyle w:val="TOC2"/>
        <w:rPr>
          <w:rFonts w:asciiTheme="minorHAnsi" w:hAnsiTheme="minorHAnsi"/>
          <w:noProof/>
          <w:kern w:val="2"/>
          <w:sz w:val="24"/>
          <w:szCs w:val="24"/>
          <w14:ligatures w14:val="standardContextual"/>
        </w:rPr>
      </w:pPr>
      <w:hyperlink w:anchor="_Toc240445566" w:history="1">
        <w:r w:rsidRPr="00EE19D5">
          <w:rPr>
            <w:rStyle w:val="Hyperlink"/>
            <w:noProof/>
          </w:rPr>
          <w:t>Year-end performance information on appropriations</w:t>
        </w:r>
        <w:r>
          <w:rPr>
            <w:noProof/>
            <w:webHidden/>
          </w:rPr>
          <w:tab/>
        </w:r>
        <w:r>
          <w:rPr>
            <w:noProof/>
            <w:webHidden/>
          </w:rPr>
          <w:fldChar w:fldCharType="begin"/>
        </w:r>
        <w:r>
          <w:rPr>
            <w:noProof/>
            <w:webHidden/>
          </w:rPr>
          <w:instrText xml:space="preserve"> PAGEREF _Toc240445566 \h </w:instrText>
        </w:r>
        <w:r>
          <w:rPr>
            <w:noProof/>
            <w:webHidden/>
          </w:rPr>
        </w:r>
        <w:r>
          <w:rPr>
            <w:noProof/>
            <w:webHidden/>
          </w:rPr>
          <w:fldChar w:fldCharType="separate"/>
        </w:r>
        <w:r w:rsidR="00D8311D">
          <w:rPr>
            <w:noProof/>
            <w:webHidden/>
          </w:rPr>
          <w:t>33</w:t>
        </w:r>
        <w:r>
          <w:rPr>
            <w:noProof/>
            <w:webHidden/>
          </w:rPr>
          <w:fldChar w:fldCharType="end"/>
        </w:r>
      </w:hyperlink>
    </w:p>
    <w:p w14:paraId="660725A2" w14:textId="0D4317D6" w:rsidR="002C1BA6" w:rsidRDefault="002C1BA6">
      <w:pPr>
        <w:pStyle w:val="TOC2"/>
        <w:rPr>
          <w:rFonts w:asciiTheme="minorHAnsi" w:hAnsiTheme="minorHAnsi"/>
          <w:noProof/>
          <w:kern w:val="2"/>
          <w:sz w:val="24"/>
          <w:szCs w:val="24"/>
          <w14:ligatures w14:val="standardContextual"/>
        </w:rPr>
      </w:pPr>
      <w:hyperlink w:anchor="_Toc240445567" w:history="1">
        <w:r w:rsidRPr="00EE19D5">
          <w:rPr>
            <w:rStyle w:val="Hyperlink"/>
            <w:noProof/>
            <w:lang w:eastAsia="en-US"/>
          </w:rPr>
          <w:t>Notes to y</w:t>
        </w:r>
        <w:r w:rsidRPr="00EE19D5">
          <w:rPr>
            <w:rStyle w:val="Hyperlink"/>
            <w:noProof/>
          </w:rPr>
          <w:t>ear-end performance information on appropriations</w:t>
        </w:r>
        <w:r>
          <w:rPr>
            <w:noProof/>
            <w:webHidden/>
          </w:rPr>
          <w:tab/>
        </w:r>
        <w:r>
          <w:rPr>
            <w:noProof/>
            <w:webHidden/>
          </w:rPr>
          <w:fldChar w:fldCharType="begin"/>
        </w:r>
        <w:r>
          <w:rPr>
            <w:noProof/>
            <w:webHidden/>
          </w:rPr>
          <w:instrText xml:space="preserve"> PAGEREF _Toc240445567 \h </w:instrText>
        </w:r>
        <w:r>
          <w:rPr>
            <w:noProof/>
            <w:webHidden/>
          </w:rPr>
        </w:r>
        <w:r>
          <w:rPr>
            <w:noProof/>
            <w:webHidden/>
          </w:rPr>
          <w:fldChar w:fldCharType="separate"/>
        </w:r>
        <w:r w:rsidR="00D8311D">
          <w:rPr>
            <w:noProof/>
            <w:webHidden/>
          </w:rPr>
          <w:t>49</w:t>
        </w:r>
        <w:r>
          <w:rPr>
            <w:noProof/>
            <w:webHidden/>
          </w:rPr>
          <w:fldChar w:fldCharType="end"/>
        </w:r>
      </w:hyperlink>
    </w:p>
    <w:p w14:paraId="3B3BB49C" w14:textId="3A083879" w:rsidR="002C1BA6" w:rsidRDefault="002C1BA6">
      <w:pPr>
        <w:pStyle w:val="TOC1"/>
        <w:rPr>
          <w:rFonts w:asciiTheme="minorHAnsi" w:hAnsiTheme="minorHAnsi"/>
          <w:noProof/>
          <w:kern w:val="2"/>
          <w:sz w:val="24"/>
          <w:szCs w:val="24"/>
          <w14:ligatures w14:val="standardContextual"/>
        </w:rPr>
      </w:pPr>
      <w:hyperlink w:anchor="_Toc240445568" w:history="1">
        <w:r w:rsidRPr="00EE19D5">
          <w:rPr>
            <w:rStyle w:val="Hyperlink"/>
            <w:noProof/>
          </w:rPr>
          <w:t>3.</w:t>
        </w:r>
        <w:r>
          <w:rPr>
            <w:rFonts w:asciiTheme="minorHAnsi" w:hAnsiTheme="minorHAnsi"/>
            <w:noProof/>
            <w:kern w:val="2"/>
            <w:sz w:val="24"/>
            <w:szCs w:val="24"/>
            <w14:ligatures w14:val="standardContextual"/>
          </w:rPr>
          <w:tab/>
        </w:r>
        <w:r w:rsidRPr="00EE19D5">
          <w:rPr>
            <w:rStyle w:val="Hyperlink"/>
            <w:noProof/>
          </w:rPr>
          <w:t xml:space="preserve">Our organisational health and capability </w:t>
        </w:r>
        <w:r w:rsidRPr="00EE19D5">
          <w:rPr>
            <w:rStyle w:val="Hyperlink"/>
            <w:i/>
            <w:iCs/>
            <w:noProof/>
          </w:rPr>
          <w:t>Te hauora me te kaha o tō mātou whakahaere</w:t>
        </w:r>
        <w:r>
          <w:rPr>
            <w:noProof/>
            <w:webHidden/>
          </w:rPr>
          <w:tab/>
        </w:r>
        <w:r>
          <w:rPr>
            <w:noProof/>
            <w:webHidden/>
          </w:rPr>
          <w:fldChar w:fldCharType="begin"/>
        </w:r>
        <w:r>
          <w:rPr>
            <w:noProof/>
            <w:webHidden/>
          </w:rPr>
          <w:instrText xml:space="preserve"> PAGEREF _Toc240445568 \h </w:instrText>
        </w:r>
        <w:r>
          <w:rPr>
            <w:noProof/>
            <w:webHidden/>
          </w:rPr>
        </w:r>
        <w:r>
          <w:rPr>
            <w:noProof/>
            <w:webHidden/>
          </w:rPr>
          <w:fldChar w:fldCharType="separate"/>
        </w:r>
        <w:r w:rsidR="00D8311D">
          <w:rPr>
            <w:noProof/>
            <w:webHidden/>
          </w:rPr>
          <w:t>53</w:t>
        </w:r>
        <w:r>
          <w:rPr>
            <w:noProof/>
            <w:webHidden/>
          </w:rPr>
          <w:fldChar w:fldCharType="end"/>
        </w:r>
      </w:hyperlink>
    </w:p>
    <w:p w14:paraId="7C8C88B4" w14:textId="78A5A8D7" w:rsidR="002C1BA6" w:rsidRDefault="002C1BA6">
      <w:pPr>
        <w:pStyle w:val="TOC2"/>
        <w:rPr>
          <w:rFonts w:asciiTheme="minorHAnsi" w:hAnsiTheme="minorHAnsi"/>
          <w:noProof/>
          <w:kern w:val="2"/>
          <w:sz w:val="24"/>
          <w:szCs w:val="24"/>
          <w14:ligatures w14:val="standardContextual"/>
        </w:rPr>
      </w:pPr>
      <w:hyperlink w:anchor="_Toc240445569" w:history="1">
        <w:r w:rsidRPr="00EE19D5">
          <w:rPr>
            <w:rStyle w:val="Hyperlink"/>
            <w:noProof/>
          </w:rPr>
          <w:t>Our workforce</w:t>
        </w:r>
        <w:r>
          <w:rPr>
            <w:noProof/>
            <w:webHidden/>
          </w:rPr>
          <w:tab/>
        </w:r>
        <w:r>
          <w:rPr>
            <w:noProof/>
            <w:webHidden/>
          </w:rPr>
          <w:fldChar w:fldCharType="begin"/>
        </w:r>
        <w:r>
          <w:rPr>
            <w:noProof/>
            <w:webHidden/>
          </w:rPr>
          <w:instrText xml:space="preserve"> PAGEREF _Toc240445569 \h </w:instrText>
        </w:r>
        <w:r>
          <w:rPr>
            <w:noProof/>
            <w:webHidden/>
          </w:rPr>
        </w:r>
        <w:r>
          <w:rPr>
            <w:noProof/>
            <w:webHidden/>
          </w:rPr>
          <w:fldChar w:fldCharType="separate"/>
        </w:r>
        <w:r w:rsidR="00D8311D">
          <w:rPr>
            <w:noProof/>
            <w:webHidden/>
          </w:rPr>
          <w:t>54</w:t>
        </w:r>
        <w:r>
          <w:rPr>
            <w:noProof/>
            <w:webHidden/>
          </w:rPr>
          <w:fldChar w:fldCharType="end"/>
        </w:r>
      </w:hyperlink>
    </w:p>
    <w:p w14:paraId="36655EE5" w14:textId="0C59F1A1" w:rsidR="002C1BA6" w:rsidRDefault="002C1BA6">
      <w:pPr>
        <w:pStyle w:val="TOC2"/>
        <w:rPr>
          <w:rFonts w:asciiTheme="minorHAnsi" w:hAnsiTheme="minorHAnsi"/>
          <w:noProof/>
          <w:kern w:val="2"/>
          <w:sz w:val="24"/>
          <w:szCs w:val="24"/>
          <w14:ligatures w14:val="standardContextual"/>
        </w:rPr>
      </w:pPr>
      <w:hyperlink w:anchor="_Toc240445570" w:history="1">
        <w:r w:rsidRPr="00EE19D5">
          <w:rPr>
            <w:rStyle w:val="Hyperlink"/>
            <w:noProof/>
          </w:rPr>
          <w:t>Our organisational systems and processes</w:t>
        </w:r>
        <w:r>
          <w:rPr>
            <w:noProof/>
            <w:webHidden/>
          </w:rPr>
          <w:tab/>
        </w:r>
        <w:r>
          <w:rPr>
            <w:noProof/>
            <w:webHidden/>
          </w:rPr>
          <w:fldChar w:fldCharType="begin"/>
        </w:r>
        <w:r>
          <w:rPr>
            <w:noProof/>
            <w:webHidden/>
          </w:rPr>
          <w:instrText xml:space="preserve"> PAGEREF _Toc240445570 \h </w:instrText>
        </w:r>
        <w:r>
          <w:rPr>
            <w:noProof/>
            <w:webHidden/>
          </w:rPr>
        </w:r>
        <w:r>
          <w:rPr>
            <w:noProof/>
            <w:webHidden/>
          </w:rPr>
          <w:fldChar w:fldCharType="separate"/>
        </w:r>
        <w:r w:rsidR="00D8311D">
          <w:rPr>
            <w:noProof/>
            <w:webHidden/>
          </w:rPr>
          <w:t>59</w:t>
        </w:r>
        <w:r>
          <w:rPr>
            <w:noProof/>
            <w:webHidden/>
          </w:rPr>
          <w:fldChar w:fldCharType="end"/>
        </w:r>
      </w:hyperlink>
    </w:p>
    <w:p w14:paraId="69F65A9E" w14:textId="58E84476" w:rsidR="002C1BA6" w:rsidRDefault="002C1BA6">
      <w:pPr>
        <w:pStyle w:val="TOC2"/>
        <w:rPr>
          <w:rFonts w:asciiTheme="minorHAnsi" w:hAnsiTheme="minorHAnsi"/>
          <w:noProof/>
          <w:kern w:val="2"/>
          <w:sz w:val="24"/>
          <w:szCs w:val="24"/>
          <w14:ligatures w14:val="standardContextual"/>
        </w:rPr>
      </w:pPr>
      <w:hyperlink w:anchor="_Toc240445571" w:history="1">
        <w:r w:rsidRPr="00EE19D5">
          <w:rPr>
            <w:rStyle w:val="Hyperlink"/>
            <w:noProof/>
          </w:rPr>
          <w:t>Sustainability</w:t>
        </w:r>
        <w:r>
          <w:rPr>
            <w:noProof/>
            <w:webHidden/>
          </w:rPr>
          <w:tab/>
        </w:r>
        <w:r>
          <w:rPr>
            <w:noProof/>
            <w:webHidden/>
          </w:rPr>
          <w:fldChar w:fldCharType="begin"/>
        </w:r>
        <w:r>
          <w:rPr>
            <w:noProof/>
            <w:webHidden/>
          </w:rPr>
          <w:instrText xml:space="preserve"> PAGEREF _Toc240445571 \h </w:instrText>
        </w:r>
        <w:r>
          <w:rPr>
            <w:noProof/>
            <w:webHidden/>
          </w:rPr>
        </w:r>
        <w:r>
          <w:rPr>
            <w:noProof/>
            <w:webHidden/>
          </w:rPr>
          <w:fldChar w:fldCharType="separate"/>
        </w:r>
        <w:r w:rsidR="00D8311D">
          <w:rPr>
            <w:noProof/>
            <w:webHidden/>
          </w:rPr>
          <w:t>60</w:t>
        </w:r>
        <w:r>
          <w:rPr>
            <w:noProof/>
            <w:webHidden/>
          </w:rPr>
          <w:fldChar w:fldCharType="end"/>
        </w:r>
      </w:hyperlink>
    </w:p>
    <w:p w14:paraId="2AFF6107" w14:textId="018802DD" w:rsidR="002C1BA6" w:rsidRDefault="002C1BA6">
      <w:pPr>
        <w:pStyle w:val="TOC2"/>
        <w:rPr>
          <w:rFonts w:asciiTheme="minorHAnsi" w:hAnsiTheme="minorHAnsi"/>
          <w:noProof/>
          <w:kern w:val="2"/>
          <w:sz w:val="24"/>
          <w:szCs w:val="24"/>
          <w14:ligatures w14:val="standardContextual"/>
        </w:rPr>
      </w:pPr>
      <w:hyperlink w:anchor="_Toc240445572" w:history="1">
        <w:r w:rsidRPr="00EE19D5">
          <w:rPr>
            <w:rStyle w:val="Hyperlink"/>
            <w:noProof/>
          </w:rPr>
          <w:t>Our ao Māori strategy</w:t>
        </w:r>
        <w:r>
          <w:rPr>
            <w:noProof/>
            <w:webHidden/>
          </w:rPr>
          <w:tab/>
        </w:r>
        <w:r>
          <w:rPr>
            <w:noProof/>
            <w:webHidden/>
          </w:rPr>
          <w:fldChar w:fldCharType="begin"/>
        </w:r>
        <w:r>
          <w:rPr>
            <w:noProof/>
            <w:webHidden/>
          </w:rPr>
          <w:instrText xml:space="preserve"> PAGEREF _Toc240445572 \h </w:instrText>
        </w:r>
        <w:r>
          <w:rPr>
            <w:noProof/>
            <w:webHidden/>
          </w:rPr>
        </w:r>
        <w:r>
          <w:rPr>
            <w:noProof/>
            <w:webHidden/>
          </w:rPr>
          <w:fldChar w:fldCharType="separate"/>
        </w:r>
        <w:r w:rsidR="00D8311D">
          <w:rPr>
            <w:noProof/>
            <w:webHidden/>
          </w:rPr>
          <w:t>66</w:t>
        </w:r>
        <w:r>
          <w:rPr>
            <w:noProof/>
            <w:webHidden/>
          </w:rPr>
          <w:fldChar w:fldCharType="end"/>
        </w:r>
      </w:hyperlink>
    </w:p>
    <w:p w14:paraId="223A0629" w14:textId="6038AA9E" w:rsidR="002C1BA6" w:rsidRDefault="002C1BA6">
      <w:pPr>
        <w:pStyle w:val="TOC2"/>
        <w:rPr>
          <w:rFonts w:asciiTheme="minorHAnsi" w:hAnsiTheme="minorHAnsi"/>
          <w:noProof/>
          <w:kern w:val="2"/>
          <w:sz w:val="24"/>
          <w:szCs w:val="24"/>
          <w14:ligatures w14:val="standardContextual"/>
        </w:rPr>
      </w:pPr>
      <w:hyperlink w:anchor="_Toc240445573" w:history="1">
        <w:r w:rsidRPr="00EE19D5">
          <w:rPr>
            <w:rStyle w:val="Hyperlink"/>
            <w:noProof/>
          </w:rPr>
          <w:t>Our funding and impact</w:t>
        </w:r>
        <w:r>
          <w:rPr>
            <w:noProof/>
            <w:webHidden/>
          </w:rPr>
          <w:tab/>
        </w:r>
        <w:r>
          <w:rPr>
            <w:noProof/>
            <w:webHidden/>
          </w:rPr>
          <w:fldChar w:fldCharType="begin"/>
        </w:r>
        <w:r>
          <w:rPr>
            <w:noProof/>
            <w:webHidden/>
          </w:rPr>
          <w:instrText xml:space="preserve"> PAGEREF _Toc240445573 \h </w:instrText>
        </w:r>
        <w:r>
          <w:rPr>
            <w:noProof/>
            <w:webHidden/>
          </w:rPr>
        </w:r>
        <w:r>
          <w:rPr>
            <w:noProof/>
            <w:webHidden/>
          </w:rPr>
          <w:fldChar w:fldCharType="separate"/>
        </w:r>
        <w:r w:rsidR="00D8311D">
          <w:rPr>
            <w:noProof/>
            <w:webHidden/>
          </w:rPr>
          <w:t>68</w:t>
        </w:r>
        <w:r>
          <w:rPr>
            <w:noProof/>
            <w:webHidden/>
          </w:rPr>
          <w:fldChar w:fldCharType="end"/>
        </w:r>
      </w:hyperlink>
    </w:p>
    <w:p w14:paraId="270B2AB6" w14:textId="1FEAE6B7" w:rsidR="002C1BA6" w:rsidRDefault="002C1BA6">
      <w:pPr>
        <w:pStyle w:val="TOC1"/>
        <w:rPr>
          <w:rFonts w:asciiTheme="minorHAnsi" w:hAnsiTheme="minorHAnsi"/>
          <w:noProof/>
          <w:kern w:val="2"/>
          <w:sz w:val="24"/>
          <w:szCs w:val="24"/>
          <w14:ligatures w14:val="standardContextual"/>
        </w:rPr>
      </w:pPr>
      <w:hyperlink w:anchor="_Toc240445574" w:history="1">
        <w:r w:rsidRPr="00EE19D5">
          <w:rPr>
            <w:rStyle w:val="Hyperlink"/>
            <w:noProof/>
          </w:rPr>
          <w:t>4.</w:t>
        </w:r>
        <w:r>
          <w:rPr>
            <w:rFonts w:asciiTheme="minorHAnsi" w:hAnsiTheme="minorHAnsi"/>
            <w:noProof/>
            <w:kern w:val="2"/>
            <w:sz w:val="24"/>
            <w:szCs w:val="24"/>
            <w14:ligatures w14:val="standardContextual"/>
          </w:rPr>
          <w:tab/>
        </w:r>
        <w:r w:rsidRPr="00EE19D5">
          <w:rPr>
            <w:rStyle w:val="Hyperlink"/>
            <w:noProof/>
          </w:rPr>
          <w:t xml:space="preserve">Our finances </w:t>
        </w:r>
        <w:r w:rsidRPr="00EE19D5">
          <w:rPr>
            <w:rStyle w:val="Hyperlink"/>
            <w:i/>
            <w:noProof/>
          </w:rPr>
          <w:t>Kōrero pūtea</w:t>
        </w:r>
        <w:r>
          <w:rPr>
            <w:noProof/>
            <w:webHidden/>
          </w:rPr>
          <w:tab/>
        </w:r>
        <w:r>
          <w:rPr>
            <w:noProof/>
            <w:webHidden/>
          </w:rPr>
          <w:fldChar w:fldCharType="begin"/>
        </w:r>
        <w:r>
          <w:rPr>
            <w:noProof/>
            <w:webHidden/>
          </w:rPr>
          <w:instrText xml:space="preserve"> PAGEREF _Toc240445574 \h </w:instrText>
        </w:r>
        <w:r>
          <w:rPr>
            <w:noProof/>
            <w:webHidden/>
          </w:rPr>
        </w:r>
        <w:r>
          <w:rPr>
            <w:noProof/>
            <w:webHidden/>
          </w:rPr>
          <w:fldChar w:fldCharType="separate"/>
        </w:r>
        <w:r w:rsidR="00D8311D">
          <w:rPr>
            <w:noProof/>
            <w:webHidden/>
          </w:rPr>
          <w:t>69</w:t>
        </w:r>
        <w:r>
          <w:rPr>
            <w:noProof/>
            <w:webHidden/>
          </w:rPr>
          <w:fldChar w:fldCharType="end"/>
        </w:r>
      </w:hyperlink>
    </w:p>
    <w:p w14:paraId="72725D75" w14:textId="06A07362" w:rsidR="002C1BA6" w:rsidRDefault="002C1BA6">
      <w:pPr>
        <w:pStyle w:val="TOC2"/>
        <w:rPr>
          <w:rFonts w:asciiTheme="minorHAnsi" w:hAnsiTheme="minorHAnsi"/>
          <w:noProof/>
          <w:kern w:val="2"/>
          <w:sz w:val="24"/>
          <w:szCs w:val="24"/>
          <w14:ligatures w14:val="standardContextual"/>
        </w:rPr>
      </w:pPr>
      <w:hyperlink w:anchor="_Toc240445575" w:history="1">
        <w:r w:rsidRPr="00EE19D5">
          <w:rPr>
            <w:rStyle w:val="Hyperlink"/>
            <w:noProof/>
          </w:rPr>
          <w:t>Financial statements for the Ministry for the Environment</w:t>
        </w:r>
        <w:r>
          <w:rPr>
            <w:noProof/>
            <w:webHidden/>
          </w:rPr>
          <w:tab/>
        </w:r>
        <w:r>
          <w:rPr>
            <w:noProof/>
            <w:webHidden/>
          </w:rPr>
          <w:fldChar w:fldCharType="begin"/>
        </w:r>
        <w:r>
          <w:rPr>
            <w:noProof/>
            <w:webHidden/>
          </w:rPr>
          <w:instrText xml:space="preserve"> PAGEREF _Toc240445575 \h </w:instrText>
        </w:r>
        <w:r>
          <w:rPr>
            <w:noProof/>
            <w:webHidden/>
          </w:rPr>
        </w:r>
        <w:r>
          <w:rPr>
            <w:noProof/>
            <w:webHidden/>
          </w:rPr>
          <w:fldChar w:fldCharType="separate"/>
        </w:r>
        <w:r w:rsidR="00D8311D">
          <w:rPr>
            <w:noProof/>
            <w:webHidden/>
          </w:rPr>
          <w:t>70</w:t>
        </w:r>
        <w:r>
          <w:rPr>
            <w:noProof/>
            <w:webHidden/>
          </w:rPr>
          <w:fldChar w:fldCharType="end"/>
        </w:r>
      </w:hyperlink>
    </w:p>
    <w:p w14:paraId="2DB1F68E" w14:textId="77E431F9" w:rsidR="002C1BA6" w:rsidRDefault="002C1BA6">
      <w:pPr>
        <w:pStyle w:val="TOC2"/>
        <w:rPr>
          <w:rFonts w:asciiTheme="minorHAnsi" w:hAnsiTheme="minorHAnsi"/>
          <w:noProof/>
          <w:kern w:val="2"/>
          <w:sz w:val="24"/>
          <w:szCs w:val="24"/>
          <w14:ligatures w14:val="standardContextual"/>
        </w:rPr>
      </w:pPr>
      <w:hyperlink w:anchor="_Toc240445585" w:history="1">
        <w:r w:rsidRPr="00EE19D5">
          <w:rPr>
            <w:rStyle w:val="Hyperlink"/>
            <w:noProof/>
          </w:rPr>
          <w:t>Non-departmental statements and schedules</w:t>
        </w:r>
        <w:r>
          <w:rPr>
            <w:noProof/>
            <w:webHidden/>
          </w:rPr>
          <w:tab/>
        </w:r>
        <w:r>
          <w:rPr>
            <w:noProof/>
            <w:webHidden/>
          </w:rPr>
          <w:fldChar w:fldCharType="begin"/>
        </w:r>
        <w:r>
          <w:rPr>
            <w:noProof/>
            <w:webHidden/>
          </w:rPr>
          <w:instrText xml:space="preserve"> PAGEREF _Toc240445585 \h </w:instrText>
        </w:r>
        <w:r>
          <w:rPr>
            <w:noProof/>
            <w:webHidden/>
          </w:rPr>
        </w:r>
        <w:r>
          <w:rPr>
            <w:noProof/>
            <w:webHidden/>
          </w:rPr>
          <w:fldChar w:fldCharType="separate"/>
        </w:r>
        <w:r w:rsidR="00D8311D">
          <w:rPr>
            <w:noProof/>
            <w:webHidden/>
          </w:rPr>
          <w:t>100</w:t>
        </w:r>
        <w:r>
          <w:rPr>
            <w:noProof/>
            <w:webHidden/>
          </w:rPr>
          <w:fldChar w:fldCharType="end"/>
        </w:r>
      </w:hyperlink>
    </w:p>
    <w:p w14:paraId="2F036A27" w14:textId="1C517D67" w:rsidR="002C1BA6" w:rsidRDefault="002C1BA6">
      <w:pPr>
        <w:pStyle w:val="TOC2"/>
        <w:rPr>
          <w:rFonts w:asciiTheme="minorHAnsi" w:hAnsiTheme="minorHAnsi"/>
          <w:noProof/>
          <w:kern w:val="2"/>
          <w:sz w:val="24"/>
          <w:szCs w:val="24"/>
          <w14:ligatures w14:val="standardContextual"/>
        </w:rPr>
      </w:pPr>
      <w:hyperlink w:anchor="_Toc240445594" w:history="1">
        <w:r w:rsidRPr="00EE19D5">
          <w:rPr>
            <w:rStyle w:val="Hyperlink"/>
            <w:noProof/>
          </w:rPr>
          <w:t>Appropriation statements</w:t>
        </w:r>
        <w:r>
          <w:rPr>
            <w:noProof/>
            <w:webHidden/>
          </w:rPr>
          <w:tab/>
        </w:r>
        <w:r>
          <w:rPr>
            <w:noProof/>
            <w:webHidden/>
          </w:rPr>
          <w:fldChar w:fldCharType="begin"/>
        </w:r>
        <w:r>
          <w:rPr>
            <w:noProof/>
            <w:webHidden/>
          </w:rPr>
          <w:instrText xml:space="preserve"> PAGEREF _Toc240445594 \h </w:instrText>
        </w:r>
        <w:r>
          <w:rPr>
            <w:noProof/>
            <w:webHidden/>
          </w:rPr>
        </w:r>
        <w:r>
          <w:rPr>
            <w:noProof/>
            <w:webHidden/>
          </w:rPr>
          <w:fldChar w:fldCharType="separate"/>
        </w:r>
        <w:r w:rsidR="00D8311D">
          <w:rPr>
            <w:noProof/>
            <w:webHidden/>
          </w:rPr>
          <w:t>127</w:t>
        </w:r>
        <w:r>
          <w:rPr>
            <w:noProof/>
            <w:webHidden/>
          </w:rPr>
          <w:fldChar w:fldCharType="end"/>
        </w:r>
      </w:hyperlink>
    </w:p>
    <w:p w14:paraId="7A8FE76D" w14:textId="4E9449DD" w:rsidR="00A44954" w:rsidRPr="004D64A3" w:rsidRDefault="002C1BA6">
      <w:pPr>
        <w:pStyle w:val="TOC2"/>
        <w:rPr>
          <w:rStyle w:val="Hyperlink"/>
          <w:noProof/>
          <w:color w:val="auto"/>
        </w:rPr>
      </w:pPr>
      <w:hyperlink w:anchor="_Toc240445602" w:history="1">
        <w:r w:rsidRPr="00EE19D5">
          <w:rPr>
            <w:rStyle w:val="Hyperlink"/>
            <w:noProof/>
          </w:rPr>
          <w:t>Independent auditor’s report</w:t>
        </w:r>
        <w:r>
          <w:rPr>
            <w:noProof/>
            <w:webHidden/>
          </w:rPr>
          <w:tab/>
        </w:r>
        <w:r>
          <w:rPr>
            <w:noProof/>
            <w:webHidden/>
          </w:rPr>
          <w:fldChar w:fldCharType="begin"/>
        </w:r>
        <w:r>
          <w:rPr>
            <w:noProof/>
            <w:webHidden/>
          </w:rPr>
          <w:instrText xml:space="preserve"> PAGEREF _Toc240445602 \h </w:instrText>
        </w:r>
        <w:r>
          <w:rPr>
            <w:noProof/>
            <w:webHidden/>
          </w:rPr>
        </w:r>
        <w:r>
          <w:rPr>
            <w:noProof/>
            <w:webHidden/>
          </w:rPr>
          <w:fldChar w:fldCharType="separate"/>
        </w:r>
        <w:r w:rsidR="00D8311D">
          <w:rPr>
            <w:noProof/>
            <w:webHidden/>
          </w:rPr>
          <w:t>135</w:t>
        </w:r>
        <w:r>
          <w:rPr>
            <w:noProof/>
            <w:webHidden/>
          </w:rPr>
          <w:fldChar w:fldCharType="end"/>
        </w:r>
      </w:hyperlink>
    </w:p>
    <w:p w14:paraId="0D71B503" w14:textId="77777777" w:rsidR="00A44954" w:rsidRPr="00A44954" w:rsidRDefault="00A44954">
      <w:pPr>
        <w:spacing w:before="0" w:after="200" w:line="276" w:lineRule="auto"/>
        <w:jc w:val="left"/>
        <w:rPr>
          <w:rStyle w:val="Hyperlink"/>
          <w:noProof/>
          <w:color w:val="auto"/>
        </w:rPr>
      </w:pPr>
      <w:r>
        <w:rPr>
          <w:rStyle w:val="Hyperlink"/>
          <w:noProof/>
        </w:rPr>
        <w:br w:type="page"/>
      </w:r>
    </w:p>
    <w:p w14:paraId="7DAE2C7E" w14:textId="73A466BD" w:rsidR="002C1BA6" w:rsidRDefault="002C1BA6">
      <w:pPr>
        <w:pStyle w:val="TOC1"/>
        <w:rPr>
          <w:rFonts w:asciiTheme="minorHAnsi" w:hAnsiTheme="minorHAnsi"/>
          <w:noProof/>
          <w:kern w:val="2"/>
          <w:sz w:val="24"/>
          <w:szCs w:val="24"/>
          <w14:ligatures w14:val="standardContextual"/>
        </w:rPr>
      </w:pPr>
      <w:hyperlink w:anchor="_Toc240445603" w:history="1">
        <w:r w:rsidRPr="00EE19D5">
          <w:rPr>
            <w:rStyle w:val="Hyperlink"/>
            <w:noProof/>
          </w:rPr>
          <w:t>5.</w:t>
        </w:r>
        <w:r>
          <w:rPr>
            <w:rFonts w:asciiTheme="minorHAnsi" w:hAnsiTheme="minorHAnsi"/>
            <w:noProof/>
            <w:kern w:val="2"/>
            <w:sz w:val="24"/>
            <w:szCs w:val="24"/>
            <w14:ligatures w14:val="standardContextual"/>
          </w:rPr>
          <w:tab/>
        </w:r>
        <w:r w:rsidRPr="00EE19D5">
          <w:rPr>
            <w:rStyle w:val="Hyperlink"/>
            <w:noProof/>
          </w:rPr>
          <w:t xml:space="preserve">Non-departmental performance reports </w:t>
        </w:r>
        <w:r w:rsidRPr="00EE19D5">
          <w:rPr>
            <w:rStyle w:val="Hyperlink"/>
            <w:i/>
            <w:iCs/>
            <w:noProof/>
          </w:rPr>
          <w:t>Ngā pūrongo whakatutuki kore</w:t>
        </w:r>
        <w:r w:rsidR="003E2559">
          <w:rPr>
            <w:rStyle w:val="Hyperlink"/>
            <w:i/>
            <w:iCs/>
            <w:noProof/>
          </w:rPr>
          <w:t>-</w:t>
        </w:r>
        <w:r w:rsidRPr="00EE19D5">
          <w:rPr>
            <w:rStyle w:val="Hyperlink"/>
            <w:i/>
            <w:iCs/>
            <w:noProof/>
          </w:rPr>
          <w:t>tari</w:t>
        </w:r>
        <w:r>
          <w:rPr>
            <w:noProof/>
            <w:webHidden/>
          </w:rPr>
          <w:tab/>
        </w:r>
        <w:r>
          <w:rPr>
            <w:noProof/>
            <w:webHidden/>
          </w:rPr>
          <w:fldChar w:fldCharType="begin"/>
        </w:r>
        <w:r>
          <w:rPr>
            <w:noProof/>
            <w:webHidden/>
          </w:rPr>
          <w:instrText xml:space="preserve"> PAGEREF _Toc240445603 \h </w:instrText>
        </w:r>
        <w:r>
          <w:rPr>
            <w:noProof/>
            <w:webHidden/>
          </w:rPr>
        </w:r>
        <w:r>
          <w:rPr>
            <w:noProof/>
            <w:webHidden/>
          </w:rPr>
          <w:fldChar w:fldCharType="separate"/>
        </w:r>
        <w:r w:rsidR="00D8311D">
          <w:rPr>
            <w:noProof/>
            <w:webHidden/>
          </w:rPr>
          <w:t>140</w:t>
        </w:r>
        <w:r>
          <w:rPr>
            <w:noProof/>
            <w:webHidden/>
          </w:rPr>
          <w:fldChar w:fldCharType="end"/>
        </w:r>
      </w:hyperlink>
    </w:p>
    <w:p w14:paraId="1DEDCD32" w14:textId="5F771EC6" w:rsidR="002C1BA6" w:rsidRDefault="002C1BA6">
      <w:pPr>
        <w:pStyle w:val="TOC2"/>
        <w:rPr>
          <w:rFonts w:asciiTheme="minorHAnsi" w:hAnsiTheme="minorHAnsi"/>
          <w:noProof/>
          <w:kern w:val="2"/>
          <w:sz w:val="24"/>
          <w:szCs w:val="24"/>
          <w14:ligatures w14:val="standardContextual"/>
        </w:rPr>
      </w:pPr>
      <w:hyperlink w:anchor="_Toc240445604" w:history="1">
        <w:r w:rsidRPr="00EE19D5">
          <w:rPr>
            <w:rStyle w:val="Hyperlink"/>
            <w:noProof/>
          </w:rPr>
          <w:t>Minister of Climate Change’s Report on non</w:t>
        </w:r>
        <w:r w:rsidRPr="00EE19D5">
          <w:rPr>
            <w:rStyle w:val="Hyperlink"/>
            <w:noProof/>
          </w:rPr>
          <w:noBreakHyphen/>
          <w:t>departmental appropriations 2025/26</w:t>
        </w:r>
        <w:r>
          <w:rPr>
            <w:noProof/>
            <w:webHidden/>
          </w:rPr>
          <w:tab/>
        </w:r>
        <w:r>
          <w:rPr>
            <w:noProof/>
            <w:webHidden/>
          </w:rPr>
          <w:fldChar w:fldCharType="begin"/>
        </w:r>
        <w:r>
          <w:rPr>
            <w:noProof/>
            <w:webHidden/>
          </w:rPr>
          <w:instrText xml:space="preserve"> PAGEREF _Toc240445604 \h </w:instrText>
        </w:r>
        <w:r>
          <w:rPr>
            <w:noProof/>
            <w:webHidden/>
          </w:rPr>
        </w:r>
        <w:r>
          <w:rPr>
            <w:noProof/>
            <w:webHidden/>
          </w:rPr>
          <w:fldChar w:fldCharType="separate"/>
        </w:r>
        <w:r w:rsidR="00D8311D">
          <w:rPr>
            <w:noProof/>
            <w:webHidden/>
          </w:rPr>
          <w:t>141</w:t>
        </w:r>
        <w:r>
          <w:rPr>
            <w:noProof/>
            <w:webHidden/>
          </w:rPr>
          <w:fldChar w:fldCharType="end"/>
        </w:r>
      </w:hyperlink>
    </w:p>
    <w:p w14:paraId="7465A086" w14:textId="136B7AB2" w:rsidR="002C1BA6" w:rsidRDefault="002C1BA6">
      <w:pPr>
        <w:pStyle w:val="TOC2"/>
        <w:rPr>
          <w:rFonts w:asciiTheme="minorHAnsi" w:hAnsiTheme="minorHAnsi"/>
          <w:noProof/>
          <w:kern w:val="2"/>
          <w:sz w:val="24"/>
          <w:szCs w:val="24"/>
          <w14:ligatures w14:val="standardContextual"/>
        </w:rPr>
      </w:pPr>
      <w:hyperlink w:anchor="_Toc240445606" w:history="1">
        <w:r w:rsidRPr="00EE19D5">
          <w:rPr>
            <w:rStyle w:val="Hyperlink"/>
            <w:noProof/>
          </w:rPr>
          <w:t>Minister for the Environment’s Report on non-departmental appropriations 2025/26</w:t>
        </w:r>
        <w:r>
          <w:rPr>
            <w:noProof/>
            <w:webHidden/>
          </w:rPr>
          <w:tab/>
        </w:r>
        <w:r>
          <w:rPr>
            <w:noProof/>
            <w:webHidden/>
          </w:rPr>
          <w:fldChar w:fldCharType="begin"/>
        </w:r>
        <w:r>
          <w:rPr>
            <w:noProof/>
            <w:webHidden/>
          </w:rPr>
          <w:instrText xml:space="preserve"> PAGEREF _Toc240445606 \h </w:instrText>
        </w:r>
        <w:r>
          <w:rPr>
            <w:noProof/>
            <w:webHidden/>
          </w:rPr>
        </w:r>
        <w:r>
          <w:rPr>
            <w:noProof/>
            <w:webHidden/>
          </w:rPr>
          <w:fldChar w:fldCharType="separate"/>
        </w:r>
        <w:r w:rsidR="00D8311D">
          <w:rPr>
            <w:noProof/>
            <w:webHidden/>
          </w:rPr>
          <w:t>144</w:t>
        </w:r>
        <w:r>
          <w:rPr>
            <w:noProof/>
            <w:webHidden/>
          </w:rPr>
          <w:fldChar w:fldCharType="end"/>
        </w:r>
      </w:hyperlink>
    </w:p>
    <w:p w14:paraId="6BD23FBA" w14:textId="6FB5D981" w:rsidR="002C1BA6" w:rsidRDefault="002C1BA6">
      <w:pPr>
        <w:pStyle w:val="TOC1"/>
        <w:rPr>
          <w:rFonts w:asciiTheme="minorHAnsi" w:hAnsiTheme="minorHAnsi"/>
          <w:noProof/>
          <w:kern w:val="2"/>
          <w:sz w:val="24"/>
          <w:szCs w:val="24"/>
          <w14:ligatures w14:val="standardContextual"/>
        </w:rPr>
      </w:pPr>
      <w:hyperlink w:anchor="_Toc240445610" w:history="1">
        <w:r w:rsidRPr="00EE19D5">
          <w:rPr>
            <w:rStyle w:val="Hyperlink"/>
            <w:noProof/>
          </w:rPr>
          <w:t>6.</w:t>
        </w:r>
        <w:r>
          <w:rPr>
            <w:rFonts w:asciiTheme="minorHAnsi" w:hAnsiTheme="minorHAnsi"/>
            <w:noProof/>
            <w:kern w:val="2"/>
            <w:sz w:val="24"/>
            <w:szCs w:val="24"/>
            <w14:ligatures w14:val="standardContextual"/>
          </w:rPr>
          <w:tab/>
        </w:r>
        <w:r w:rsidRPr="00EE19D5">
          <w:rPr>
            <w:rStyle w:val="Hyperlink"/>
            <w:noProof/>
          </w:rPr>
          <w:t xml:space="preserve">Interdepartmental executive board annual report 2025/26 </w:t>
        </w:r>
        <w:r w:rsidRPr="00EE19D5">
          <w:rPr>
            <w:rStyle w:val="Hyperlink"/>
            <w:i/>
            <w:iCs/>
            <w:noProof/>
          </w:rPr>
          <w:t>Te pūrongo ā-tau a te poari whakahaere waenga tari 2025/26</w:t>
        </w:r>
        <w:r>
          <w:rPr>
            <w:noProof/>
            <w:webHidden/>
          </w:rPr>
          <w:tab/>
        </w:r>
        <w:r>
          <w:rPr>
            <w:noProof/>
            <w:webHidden/>
          </w:rPr>
          <w:fldChar w:fldCharType="begin"/>
        </w:r>
        <w:r>
          <w:rPr>
            <w:noProof/>
            <w:webHidden/>
          </w:rPr>
          <w:instrText xml:space="preserve"> PAGEREF _Toc240445610 \h </w:instrText>
        </w:r>
        <w:r>
          <w:rPr>
            <w:noProof/>
            <w:webHidden/>
          </w:rPr>
        </w:r>
        <w:r>
          <w:rPr>
            <w:noProof/>
            <w:webHidden/>
          </w:rPr>
          <w:fldChar w:fldCharType="separate"/>
        </w:r>
        <w:r w:rsidR="00D8311D">
          <w:rPr>
            <w:noProof/>
            <w:webHidden/>
          </w:rPr>
          <w:t>148</w:t>
        </w:r>
        <w:r>
          <w:rPr>
            <w:noProof/>
            <w:webHidden/>
          </w:rPr>
          <w:fldChar w:fldCharType="end"/>
        </w:r>
      </w:hyperlink>
    </w:p>
    <w:p w14:paraId="7BE3B462" w14:textId="204061BC" w:rsidR="002C1BA6" w:rsidRDefault="002C1BA6">
      <w:pPr>
        <w:pStyle w:val="TOC2"/>
        <w:rPr>
          <w:rFonts w:asciiTheme="minorHAnsi" w:hAnsiTheme="minorHAnsi"/>
          <w:noProof/>
          <w:kern w:val="2"/>
          <w:sz w:val="24"/>
          <w:szCs w:val="24"/>
          <w14:ligatures w14:val="standardContextual"/>
        </w:rPr>
      </w:pPr>
      <w:hyperlink w:anchor="_Toc240445611" w:history="1">
        <w:r w:rsidRPr="00EE19D5">
          <w:rPr>
            <w:rStyle w:val="Hyperlink"/>
            <w:noProof/>
          </w:rPr>
          <w:t>Climate Change Chief Executives Board Annual Report 2025/26</w:t>
        </w:r>
        <w:r>
          <w:rPr>
            <w:noProof/>
            <w:webHidden/>
          </w:rPr>
          <w:tab/>
        </w:r>
        <w:r>
          <w:rPr>
            <w:noProof/>
            <w:webHidden/>
          </w:rPr>
          <w:fldChar w:fldCharType="begin"/>
        </w:r>
        <w:r>
          <w:rPr>
            <w:noProof/>
            <w:webHidden/>
          </w:rPr>
          <w:instrText xml:space="preserve"> PAGEREF _Toc240445611 \h </w:instrText>
        </w:r>
        <w:r>
          <w:rPr>
            <w:noProof/>
            <w:webHidden/>
          </w:rPr>
        </w:r>
        <w:r>
          <w:rPr>
            <w:noProof/>
            <w:webHidden/>
          </w:rPr>
          <w:fldChar w:fldCharType="separate"/>
        </w:r>
        <w:r w:rsidR="00D8311D">
          <w:rPr>
            <w:noProof/>
            <w:webHidden/>
          </w:rPr>
          <w:t>149</w:t>
        </w:r>
        <w:r>
          <w:rPr>
            <w:noProof/>
            <w:webHidden/>
          </w:rPr>
          <w:fldChar w:fldCharType="end"/>
        </w:r>
      </w:hyperlink>
    </w:p>
    <w:p w14:paraId="4EBA52C6" w14:textId="698C1081" w:rsidR="00452C48" w:rsidRPr="005C5E32" w:rsidRDefault="00452C48" w:rsidP="00452C48">
      <w:r w:rsidRPr="005C5E32">
        <w:fldChar w:fldCharType="end"/>
      </w:r>
    </w:p>
    <w:p w14:paraId="49D17555" w14:textId="77777777" w:rsidR="000F63F7" w:rsidRPr="000F63F7" w:rsidRDefault="000F63F7" w:rsidP="000F63F7">
      <w:pPr>
        <w:pStyle w:val="BodyText"/>
        <w:rPr>
          <w:rStyle w:val="Heading1Char"/>
          <w:rFonts w:ascii="Calibri" w:eastAsiaTheme="minorEastAsia" w:hAnsi="Calibri" w:cstheme="minorBidi"/>
          <w:b w:val="0"/>
          <w:bCs w:val="0"/>
          <w:color w:val="auto"/>
          <w:sz w:val="22"/>
          <w:szCs w:val="22"/>
        </w:rPr>
      </w:pPr>
      <w:bookmarkStart w:id="5" w:name="_Toc240445549"/>
      <w:r w:rsidRPr="000F63F7">
        <w:rPr>
          <w:rStyle w:val="Heading1Char"/>
          <w:rFonts w:ascii="Calibri" w:eastAsiaTheme="minorEastAsia" w:hAnsi="Calibri" w:cstheme="minorBidi"/>
          <w:b w:val="0"/>
          <w:bCs w:val="0"/>
          <w:color w:val="auto"/>
          <w:sz w:val="22"/>
          <w:szCs w:val="22"/>
        </w:rPr>
        <w:br w:type="page"/>
      </w:r>
    </w:p>
    <w:p w14:paraId="255C1CF5" w14:textId="3A7A5283" w:rsidR="0034587E" w:rsidRPr="005C5E32" w:rsidRDefault="00F76CE1" w:rsidP="00DE1C21">
      <w:pPr>
        <w:pStyle w:val="Sectionheading"/>
        <w:rPr>
          <w:rStyle w:val="Heading1Char"/>
          <w:b/>
          <w:bCs/>
          <w:i/>
          <w:iCs/>
          <w:sz w:val="56"/>
          <w:szCs w:val="56"/>
        </w:rPr>
      </w:pPr>
      <w:r w:rsidRPr="005C5E32">
        <w:rPr>
          <w:rStyle w:val="Heading1Char"/>
          <w:b/>
          <w:bCs/>
          <w:sz w:val="56"/>
          <w:szCs w:val="56"/>
        </w:rPr>
        <w:lastRenderedPageBreak/>
        <w:t>1.</w:t>
      </w:r>
      <w:r w:rsidRPr="005C5E32">
        <w:rPr>
          <w:rStyle w:val="Heading1Char"/>
          <w:b/>
          <w:bCs/>
          <w:sz w:val="56"/>
          <w:szCs w:val="56"/>
        </w:rPr>
        <w:tab/>
      </w:r>
      <w:r w:rsidR="0034587E" w:rsidRPr="005C5E32">
        <w:rPr>
          <w:rStyle w:val="Heading1Char"/>
          <w:b/>
          <w:bCs/>
          <w:sz w:val="56"/>
          <w:szCs w:val="56"/>
        </w:rPr>
        <w:t>Introduction</w:t>
      </w:r>
      <w:r w:rsidR="0034587E" w:rsidRPr="005C5E32">
        <w:rPr>
          <w:rStyle w:val="Heading1Char"/>
          <w:b/>
          <w:bCs/>
          <w:sz w:val="56"/>
          <w:szCs w:val="56"/>
        </w:rPr>
        <w:br/>
      </w:r>
      <w:r w:rsidR="0034587E" w:rsidRPr="005C5E32">
        <w:rPr>
          <w:rStyle w:val="Heading1Char"/>
          <w:b/>
          <w:bCs/>
          <w:i/>
          <w:iCs/>
          <w:sz w:val="56"/>
          <w:szCs w:val="56"/>
        </w:rPr>
        <w:t>Kupu whakataki</w:t>
      </w:r>
      <w:bookmarkEnd w:id="0"/>
      <w:bookmarkEnd w:id="1"/>
      <w:bookmarkEnd w:id="5"/>
    </w:p>
    <w:p w14:paraId="59CF9880" w14:textId="1647D5FB" w:rsidR="0034587E" w:rsidRPr="005C5E32" w:rsidRDefault="0034587E" w:rsidP="00642241">
      <w:pPr>
        <w:pStyle w:val="Heading3"/>
        <w:spacing w:before="240" w:line="440" w:lineRule="exact"/>
        <w:rPr>
          <w:color w:val="1B556B" w:themeColor="text2"/>
          <w:sz w:val="32"/>
          <w:szCs w:val="26"/>
        </w:rPr>
      </w:pPr>
      <w:r w:rsidRPr="005C5E32">
        <w:rPr>
          <w:color w:val="1B556B" w:themeColor="text2"/>
          <w:sz w:val="32"/>
          <w:szCs w:val="26"/>
        </w:rPr>
        <w:t>Overview of the Ministry for the Environment and </w:t>
      </w:r>
      <w:r w:rsidR="00C25771" w:rsidRPr="005C5E32">
        <w:rPr>
          <w:color w:val="1B556B" w:themeColor="text2"/>
          <w:sz w:val="32"/>
          <w:szCs w:val="26"/>
        </w:rPr>
        <w:t>the</w:t>
      </w:r>
      <w:r w:rsidR="00780C3F" w:rsidRPr="005C5E32">
        <w:rPr>
          <w:color w:val="1B556B" w:themeColor="text2"/>
          <w:sz w:val="32"/>
          <w:szCs w:val="26"/>
        </w:rPr>
        <w:t xml:space="preserve"> role </w:t>
      </w:r>
      <w:r w:rsidR="00C25771" w:rsidRPr="005C5E32">
        <w:rPr>
          <w:color w:val="1B556B" w:themeColor="text2"/>
          <w:sz w:val="32"/>
          <w:szCs w:val="26"/>
        </w:rPr>
        <w:t>we play</w:t>
      </w:r>
      <w:r w:rsidR="00B37DC5" w:rsidRPr="005C5E32">
        <w:rPr>
          <w:color w:val="1B556B" w:themeColor="text2"/>
          <w:sz w:val="32"/>
          <w:szCs w:val="26"/>
        </w:rPr>
        <w:t>ed</w:t>
      </w:r>
      <w:r w:rsidR="00C25771" w:rsidRPr="005C5E32">
        <w:rPr>
          <w:color w:val="1B556B" w:themeColor="text2"/>
          <w:sz w:val="32"/>
          <w:szCs w:val="26"/>
        </w:rPr>
        <w:t xml:space="preserve"> </w:t>
      </w:r>
      <w:r w:rsidR="00780C3F" w:rsidRPr="005C5E32">
        <w:rPr>
          <w:color w:val="1B556B" w:themeColor="text2"/>
          <w:sz w:val="32"/>
          <w:szCs w:val="26"/>
        </w:rPr>
        <w:t>as Aotearoa New Zealand</w:t>
      </w:r>
      <w:r w:rsidR="000369F8" w:rsidRPr="005C5E32">
        <w:rPr>
          <w:color w:val="1B556B" w:themeColor="text2"/>
          <w:sz w:val="32"/>
          <w:szCs w:val="26"/>
        </w:rPr>
        <w:t>’</w:t>
      </w:r>
      <w:r w:rsidR="00780C3F" w:rsidRPr="005C5E32">
        <w:rPr>
          <w:color w:val="1B556B" w:themeColor="text2"/>
          <w:sz w:val="32"/>
          <w:szCs w:val="26"/>
        </w:rPr>
        <w:t xml:space="preserve">s lead advisor on the environment and climate </w:t>
      </w:r>
      <w:r w:rsidRPr="005C5E32">
        <w:rPr>
          <w:color w:val="1B556B" w:themeColor="text2"/>
          <w:sz w:val="32"/>
          <w:szCs w:val="26"/>
        </w:rPr>
        <w:t>in 202</w:t>
      </w:r>
      <w:r w:rsidR="00945797" w:rsidRPr="005C5E32">
        <w:rPr>
          <w:color w:val="1B556B" w:themeColor="text2"/>
          <w:sz w:val="32"/>
          <w:szCs w:val="26"/>
        </w:rPr>
        <w:t>5</w:t>
      </w:r>
      <w:r w:rsidRPr="005C5E32">
        <w:rPr>
          <w:color w:val="1B556B" w:themeColor="text2"/>
          <w:sz w:val="32"/>
          <w:szCs w:val="26"/>
        </w:rPr>
        <w:t>/2</w:t>
      </w:r>
      <w:r w:rsidR="002C01EB" w:rsidRPr="005C5E32">
        <w:rPr>
          <w:color w:val="1B556B" w:themeColor="text2"/>
          <w:sz w:val="32"/>
          <w:szCs w:val="26"/>
        </w:rPr>
        <w:t>6</w:t>
      </w:r>
    </w:p>
    <w:p w14:paraId="6CEF4995" w14:textId="77777777" w:rsidR="00642241" w:rsidRPr="005C5E32" w:rsidRDefault="00642241" w:rsidP="00A427A4">
      <w:pPr>
        <w:pStyle w:val="BodyText"/>
      </w:pPr>
    </w:p>
    <w:p w14:paraId="32B0EEEB" w14:textId="77777777" w:rsidR="006630F1" w:rsidRPr="005C5E32" w:rsidRDefault="006630F1" w:rsidP="00A427A4">
      <w:pPr>
        <w:pStyle w:val="BodyText"/>
      </w:pPr>
      <w:r w:rsidRPr="005C5E32">
        <w:br w:type="page"/>
      </w:r>
    </w:p>
    <w:p w14:paraId="78D6284F" w14:textId="29C4CA71" w:rsidR="00B77DAA" w:rsidRPr="00DC5D36" w:rsidRDefault="00B77DAA" w:rsidP="00DC5D36">
      <w:pPr>
        <w:pStyle w:val="Heading2"/>
        <w:spacing w:before="0"/>
      </w:pPr>
      <w:bookmarkStart w:id="6" w:name="_Toc207017374"/>
      <w:bookmarkStart w:id="7" w:name="_Toc210136361"/>
      <w:bookmarkStart w:id="8" w:name="_Toc240445550"/>
      <w:r w:rsidRPr="00DC5D36">
        <w:lastRenderedPageBreak/>
        <w:t>Message from the</w:t>
      </w:r>
      <w:r w:rsidR="00507803" w:rsidRPr="00DC5D36">
        <w:t xml:space="preserve"> Chief Executive </w:t>
      </w:r>
      <w:r w:rsidRPr="00DC5D36">
        <w:t xml:space="preserve">for the </w:t>
      </w:r>
      <w:r w:rsidR="00507803" w:rsidRPr="00DC5D36">
        <w:t xml:space="preserve">Ministry for Cities, </w:t>
      </w:r>
      <w:r w:rsidRPr="00DC5D36">
        <w:t>Environment</w:t>
      </w:r>
      <w:bookmarkEnd w:id="2"/>
      <w:bookmarkEnd w:id="3"/>
      <w:bookmarkEnd w:id="6"/>
      <w:bookmarkEnd w:id="7"/>
      <w:r w:rsidR="00507803" w:rsidRPr="00DC5D36">
        <w:t>, Regions and Transport</w:t>
      </w:r>
      <w:r w:rsidR="009329D4" w:rsidRPr="00DC5D36">
        <w:t xml:space="preserve"> </w:t>
      </w:r>
      <w:r w:rsidR="000040DE" w:rsidRPr="00DC5D36">
        <w:t>and Secretary for the</w:t>
      </w:r>
      <w:r w:rsidR="00ED6FFF" w:rsidRPr="00DC5D36">
        <w:t> </w:t>
      </w:r>
      <w:r w:rsidR="000040DE" w:rsidRPr="00DC5D36">
        <w:t>Environment</w:t>
      </w:r>
      <w:bookmarkEnd w:id="8"/>
    </w:p>
    <w:p w14:paraId="39F8A1BF" w14:textId="5AD820DE" w:rsidR="007D19D6" w:rsidRPr="005C5E32" w:rsidRDefault="007D19D6" w:rsidP="00825C81">
      <w:pPr>
        <w:pStyle w:val="BodyText"/>
        <w:rPr>
          <w:b/>
        </w:rPr>
      </w:pPr>
      <w:r w:rsidRPr="005C5E32">
        <w:rPr>
          <w:b/>
          <w:spacing w:val="-2"/>
        </w:rPr>
        <w:t>I am pleased to present the final Annual Report of the Ministry for the Environment | Manatū</w:t>
      </w:r>
      <w:r w:rsidRPr="005C5E32">
        <w:rPr>
          <w:b/>
        </w:rPr>
        <w:t xml:space="preserve"> mō te Taiao</w:t>
      </w:r>
      <w:r w:rsidR="007C4BC4" w:rsidRPr="005C5E32">
        <w:rPr>
          <w:b/>
        </w:rPr>
        <w:t xml:space="preserve"> (</w:t>
      </w:r>
      <w:r w:rsidR="006B3692" w:rsidRPr="005C5E32">
        <w:rPr>
          <w:b/>
        </w:rPr>
        <w:t>the Ministry)</w:t>
      </w:r>
      <w:r w:rsidRPr="005C5E32">
        <w:rPr>
          <w:b/>
        </w:rPr>
        <w:t xml:space="preserve"> for the year ended 30 June 2026.</w:t>
      </w:r>
    </w:p>
    <w:p w14:paraId="1261FA5A" w14:textId="66089A3B" w:rsidR="007D19D6" w:rsidRPr="005C5E32" w:rsidRDefault="007D19D6" w:rsidP="00825C81">
      <w:pPr>
        <w:pStyle w:val="BodyText"/>
      </w:pPr>
      <w:r w:rsidRPr="005C5E32">
        <w:t>This report marks the end of an important chapter in New Zealand</w:t>
      </w:r>
      <w:r w:rsidR="0025702F" w:rsidRPr="005C5E32">
        <w:t>’</w:t>
      </w:r>
      <w:r w:rsidRPr="005C5E32">
        <w:t>s public service. On 1 July 2026, the Ministry became part of the Ministry for Cities, Environment, Regions and Transport (MCERT). While the organisation has changed, the responsibilities it carried and the purpose that drove its work continue.</w:t>
      </w:r>
    </w:p>
    <w:p w14:paraId="53CDF9A1" w14:textId="744E57A6" w:rsidR="007D19D6" w:rsidRPr="005C5E32" w:rsidRDefault="007D19D6" w:rsidP="00825C81">
      <w:pPr>
        <w:pStyle w:val="BodyText"/>
      </w:pPr>
      <w:r w:rsidRPr="005C5E32">
        <w:t xml:space="preserve">As Chief Executive </w:t>
      </w:r>
      <w:r w:rsidR="008A082C">
        <w:t>for</w:t>
      </w:r>
      <w:r w:rsidR="008A082C" w:rsidRPr="005C5E32">
        <w:t xml:space="preserve"> </w:t>
      </w:r>
      <w:r w:rsidRPr="005C5E32">
        <w:t>MCERT and Secretary for the Environment, I think it is important to pause and reflect on the Ministry</w:t>
      </w:r>
      <w:r w:rsidR="0025702F" w:rsidRPr="005C5E32">
        <w:t>’</w:t>
      </w:r>
      <w:r w:rsidRPr="005C5E32">
        <w:t>s contribution over the past 40 years.</w:t>
      </w:r>
    </w:p>
    <w:p w14:paraId="1FEE7267" w14:textId="0F5BF2B9" w:rsidR="007D19D6" w:rsidRPr="005C5E32" w:rsidRDefault="007D19D6" w:rsidP="00825C81">
      <w:pPr>
        <w:pStyle w:val="BodyText"/>
      </w:pPr>
      <w:r w:rsidRPr="005C5E32">
        <w:t>Since its establishment in 1986, the Ministry has helped shape the way New Zealand understands, manages and protects its environment. It played a central role in developing the</w:t>
      </w:r>
      <w:r w:rsidR="001755C5" w:rsidRPr="005C5E32">
        <w:t> </w:t>
      </w:r>
      <w:r w:rsidRPr="005C5E32">
        <w:t>environmental management systems that have guided decisions about our natural and built environments for a generation. It helped establish New Zealand</w:t>
      </w:r>
      <w:r w:rsidR="0025702F" w:rsidRPr="005C5E32">
        <w:t>’</w:t>
      </w:r>
      <w:r w:rsidRPr="005C5E32">
        <w:t xml:space="preserve">s approach to addressing climate change, helped the country respond to some of its most significant environmental challenges, and strengthened the evidence, reporting and policy frameworks that support informed environmental decision-making across government. </w:t>
      </w:r>
    </w:p>
    <w:p w14:paraId="19A795E3" w14:textId="738F5A4B" w:rsidR="007D19D6" w:rsidRPr="005C5E32" w:rsidRDefault="007D19D6" w:rsidP="00825C81">
      <w:pPr>
        <w:pStyle w:val="BodyText"/>
      </w:pPr>
      <w:r w:rsidRPr="005C5E32">
        <w:t>These contributions have influenced how New Zealand balances environmental stewardship, economic development and community wellbeing. They are a legacy of the Ministry and of the people who have served within it.</w:t>
      </w:r>
    </w:p>
    <w:p w14:paraId="4D2DEF58" w14:textId="126AC619" w:rsidR="007D19D6" w:rsidRPr="005C5E32" w:rsidRDefault="007D19D6" w:rsidP="00825C81">
      <w:pPr>
        <w:pStyle w:val="BodyText"/>
      </w:pPr>
      <w:r w:rsidRPr="005C5E32">
        <w:t>The Ministry</w:t>
      </w:r>
      <w:r w:rsidR="0025702F" w:rsidRPr="005C5E32">
        <w:t>’</w:t>
      </w:r>
      <w:r w:rsidRPr="005C5E32">
        <w:t>s final year was no less significant than those that came before it.</w:t>
      </w:r>
    </w:p>
    <w:p w14:paraId="4CF6AEDF" w14:textId="5199CC10" w:rsidR="00306D30" w:rsidRDefault="006C5FDA" w:rsidP="00825C81">
      <w:pPr>
        <w:pStyle w:val="BodyText"/>
      </w:pPr>
      <w:r>
        <w:t>T</w:t>
      </w:r>
      <w:r w:rsidR="00306D30" w:rsidRPr="005C5E32">
        <w:t>he</w:t>
      </w:r>
      <w:r w:rsidR="007D19D6" w:rsidRPr="005C5E32">
        <w:t xml:space="preserve"> </w:t>
      </w:r>
      <w:r w:rsidR="00306D30" w:rsidRPr="005C5E32">
        <w:t>Government’s reform of New Zealand’s planning system reached a major milestone, with the introduction of the Planning Bill and Natural Environment Bill in December 2025. Implementing the new system will be a substantial, multi-year programme involving new legislation, digital platforms and data infrastructure, national direction, monitoring arrangements, and close partnership with local government and the planning sector.</w:t>
      </w:r>
    </w:p>
    <w:p w14:paraId="7643E08D" w14:textId="43BEE4FB" w:rsidR="007D19D6" w:rsidRPr="005C5E32" w:rsidRDefault="007D19D6" w:rsidP="00825C81">
      <w:pPr>
        <w:pStyle w:val="BodyText"/>
      </w:pPr>
      <w:r w:rsidRPr="005C5E32" w:rsidDel="00306D30">
        <w:t xml:space="preserve">During 2025/26, </w:t>
      </w:r>
      <w:r w:rsidRPr="005C5E32">
        <w:t xml:space="preserve">the Ministry provided more than $10 million to support 23 Māori-led climate projects through the Māori Climate Platform. It also released </w:t>
      </w:r>
      <w:r w:rsidRPr="005C5E32">
        <w:rPr>
          <w:i/>
          <w:iCs/>
        </w:rPr>
        <w:t>Our Marine Environment 2025</w:t>
      </w:r>
      <w:r w:rsidRPr="005C5E32">
        <w:t>, bringing together evidence on the climate-related changes affecting New Zealand</w:t>
      </w:r>
      <w:r w:rsidR="0025702F" w:rsidRPr="005C5E32">
        <w:t>’</w:t>
      </w:r>
      <w:r w:rsidRPr="005C5E32">
        <w:t>s coasts and</w:t>
      </w:r>
      <w:r w:rsidR="00A427A4" w:rsidRPr="005C5E32">
        <w:t> </w:t>
      </w:r>
      <w:r w:rsidRPr="005C5E32">
        <w:t>oceans</w:t>
      </w:r>
      <w:r w:rsidR="003D44AC">
        <w:t>,</w:t>
      </w:r>
      <w:r w:rsidR="00A96E43">
        <w:t xml:space="preserve"> and </w:t>
      </w:r>
      <w:r w:rsidR="00A96E43">
        <w:rPr>
          <w:i/>
          <w:iCs/>
        </w:rPr>
        <w:t>Our Freshwater 2026</w:t>
      </w:r>
      <w:r w:rsidR="00A96E43" w:rsidRPr="00E95C46">
        <w:t xml:space="preserve">, which looked at </w:t>
      </w:r>
      <w:r w:rsidR="00311A8E" w:rsidRPr="00E95C46">
        <w:t xml:space="preserve">the most </w:t>
      </w:r>
      <w:r w:rsidR="008C42EC">
        <w:t>pressing</w:t>
      </w:r>
      <w:r w:rsidR="00311A8E" w:rsidRPr="00E95C46">
        <w:t xml:space="preserve"> issues </w:t>
      </w:r>
      <w:r w:rsidR="00F549CF" w:rsidRPr="00E95C46">
        <w:t xml:space="preserve">in our groundwater, lakes and </w:t>
      </w:r>
      <w:r w:rsidR="001C17B2" w:rsidRPr="00E95C46">
        <w:t>river</w:t>
      </w:r>
      <w:r w:rsidR="00036585">
        <w:t>s</w:t>
      </w:r>
      <w:r w:rsidRPr="005C5E32">
        <w:t>.</w:t>
      </w:r>
    </w:p>
    <w:p w14:paraId="1E536CF0" w14:textId="134FF1C0" w:rsidR="007D19D6" w:rsidRPr="005C5E32" w:rsidRDefault="0025702F" w:rsidP="00825C81">
      <w:pPr>
        <w:pStyle w:val="BodyText"/>
      </w:pPr>
      <w:r w:rsidRPr="005C5E32">
        <w:t>In delivering its</w:t>
      </w:r>
      <w:r w:rsidR="007D19D6" w:rsidRPr="005C5E32">
        <w:t xml:space="preserve"> achievements</w:t>
      </w:r>
      <w:r w:rsidRPr="005C5E32">
        <w:t>, the Ministry has never worked</w:t>
      </w:r>
      <w:r w:rsidR="007D19D6" w:rsidRPr="005C5E32">
        <w:t xml:space="preserve"> on its own. Its impact has depended on strong partnerships with </w:t>
      </w:r>
      <w:r w:rsidR="003C30CD" w:rsidRPr="005C5E32">
        <w:t>local government</w:t>
      </w:r>
      <w:r w:rsidR="00755A32">
        <w:t xml:space="preserve"> and other government agencies</w:t>
      </w:r>
      <w:r w:rsidR="003C30CD">
        <w:t>,</w:t>
      </w:r>
      <w:r w:rsidR="007D19D6" w:rsidRPr="005C5E32">
        <w:t xml:space="preserve"> iwi Māori, businesses, community organisations, researchers and others who share responsibility for environmental outcomes.</w:t>
      </w:r>
    </w:p>
    <w:p w14:paraId="0186EDC9" w14:textId="77777777" w:rsidR="007D19D6" w:rsidRPr="005C5E32" w:rsidRDefault="007D19D6" w:rsidP="00825C81">
      <w:pPr>
        <w:pStyle w:val="BodyText"/>
      </w:pPr>
      <w:r w:rsidRPr="005C5E32">
        <w:rPr>
          <w:spacing w:val="-2"/>
        </w:rPr>
        <w:t>The Māori Climate Platform and joint work programme with Pou Take Āhuarangi are good examples of what can be achieved through partnership, supporting practical responses to climate change, including water infrastructure, renewable energy and coastal resilience projects</w:t>
      </w:r>
      <w:r w:rsidRPr="005C5E32">
        <w:t>.</w:t>
      </w:r>
    </w:p>
    <w:p w14:paraId="305CED25" w14:textId="77777777" w:rsidR="007D19D6" w:rsidRPr="005C5E32" w:rsidRDefault="007D19D6" w:rsidP="00825C81">
      <w:pPr>
        <w:pStyle w:val="BodyText"/>
      </w:pPr>
      <w:r w:rsidRPr="005C5E32">
        <w:lastRenderedPageBreak/>
        <w:t>Another highlight during the year was Adaptation Futures 2025, which brought together more than 2,000 participants from over 80 countries to advance climate adaptation and resilience, with a strong emphasis on Indigenous and Pacific leadership.</w:t>
      </w:r>
    </w:p>
    <w:p w14:paraId="780275F6" w14:textId="77777777" w:rsidR="007D19D6" w:rsidRPr="005C5E32" w:rsidRDefault="007D19D6" w:rsidP="00825C81">
      <w:pPr>
        <w:pStyle w:val="BodyText"/>
      </w:pPr>
      <w:r w:rsidRPr="005C5E32">
        <w:t>The Ministry also continued its partnership with the New Zealand Farm Environment Trust, supporting collaboration across the primary sector and practical conversations about environmental stewardship.</w:t>
      </w:r>
    </w:p>
    <w:p w14:paraId="11745BB0" w14:textId="77691C5E" w:rsidR="007D19D6" w:rsidRPr="005C5E32" w:rsidRDefault="007D19D6" w:rsidP="00825C81">
      <w:pPr>
        <w:pStyle w:val="BodyText"/>
      </w:pPr>
      <w:r w:rsidRPr="005C5E32">
        <w:t>Looking ahead, MCERT will continue the work of supporting implementation of the new planning system, advancing the Government</w:t>
      </w:r>
      <w:r w:rsidR="00703A61" w:rsidRPr="005C5E32">
        <w:t>’</w:t>
      </w:r>
      <w:r w:rsidRPr="005C5E32">
        <w:t>s climate adaptation priorities, maintaining key partnerships, and delivering the functions previously carried out by the Ministry for the Environment.</w:t>
      </w:r>
    </w:p>
    <w:p w14:paraId="37EE2DCE" w14:textId="5E45A1CF" w:rsidR="007D19D6" w:rsidRPr="005C5E32" w:rsidRDefault="007D19D6" w:rsidP="00825C81">
      <w:pPr>
        <w:pStyle w:val="BodyText"/>
      </w:pPr>
      <w:r w:rsidRPr="005C5E32">
        <w:t>Although this is the Ministry’s final annual report, those responsibilities continue. As Secretary for the Environment, I am responsible for ensuring these functions remain well</w:t>
      </w:r>
      <w:r w:rsidR="00703A61" w:rsidRPr="005C5E32">
        <w:t xml:space="preserve"> </w:t>
      </w:r>
      <w:r w:rsidRPr="005C5E32">
        <w:t xml:space="preserve">supported, visible and effective. Future MCERT annual reports will describe how </w:t>
      </w:r>
      <w:r w:rsidR="00703A61" w:rsidRPr="005C5E32">
        <w:t xml:space="preserve">those functions </w:t>
      </w:r>
      <w:r w:rsidRPr="005C5E32">
        <w:t>have been performed and how environmental considerations continue to be reflected in the organisation</w:t>
      </w:r>
      <w:r w:rsidR="001E7A2A" w:rsidRPr="005C5E32">
        <w:t>’</w:t>
      </w:r>
      <w:r w:rsidRPr="005C5E32">
        <w:t>s advice and decision-making. I look forward to being able to report that MCERT has consistently reflected environmental considerations in its decisions and advice.</w:t>
      </w:r>
    </w:p>
    <w:p w14:paraId="475FFA86" w14:textId="3C8BD6E6" w:rsidR="007D19D6" w:rsidRPr="005C5E32" w:rsidRDefault="007D19D6" w:rsidP="00825C81">
      <w:pPr>
        <w:pStyle w:val="BodyText"/>
      </w:pPr>
      <w:r w:rsidRPr="005C5E32">
        <w:t>Before closing, I want to acknowledge the people of the Ministry for the Environment</w:t>
      </w:r>
      <w:r w:rsidR="001A08E8" w:rsidRPr="005C5E32">
        <w:t xml:space="preserve"> across its history</w:t>
      </w:r>
      <w:r w:rsidRPr="005C5E32">
        <w:t>. Over four decades, thousands of public servants have contributed their expertise, judgement and commitment to improving environmental outcomes for New Zealand. They have helped governments navigate complex challenges, supported communities and partners across the country, and built an institution whose influence extends far beyond its size.</w:t>
      </w:r>
    </w:p>
    <w:p w14:paraId="481AB37B" w14:textId="0DD90688" w:rsidR="007D19D6" w:rsidRPr="005C5E32" w:rsidRDefault="007D19D6" w:rsidP="00825C81">
      <w:pPr>
        <w:pStyle w:val="BodyText"/>
      </w:pPr>
      <w:r w:rsidRPr="005C5E32">
        <w:t>The Ministry</w:t>
      </w:r>
      <w:r w:rsidR="00660A67" w:rsidRPr="005C5E32">
        <w:t>’</w:t>
      </w:r>
      <w:r w:rsidRPr="005C5E32">
        <w:t xml:space="preserve">s final year was marked by significant change, yet its people continued to deliver with professionalism, integrity and purpose. On behalf of New Zealanders, I thank them for their service and for the legacy they </w:t>
      </w:r>
      <w:r w:rsidR="00660A67" w:rsidRPr="005C5E32">
        <w:t>have left</w:t>
      </w:r>
      <w:r w:rsidRPr="005C5E32">
        <w:t>. That legacy will continue through the work of MCERT and through the generations of public servants who carry it forward.</w:t>
      </w:r>
    </w:p>
    <w:p w14:paraId="4364567E" w14:textId="2E521D39" w:rsidR="007D19D6" w:rsidRPr="005C5E32" w:rsidRDefault="007D19D6" w:rsidP="00825C81">
      <w:pPr>
        <w:pStyle w:val="BodyText"/>
      </w:pPr>
      <w:r w:rsidRPr="005C5E32">
        <w:t>I invite you to read about the Ministry</w:t>
      </w:r>
      <w:r w:rsidR="00660A67" w:rsidRPr="005C5E32">
        <w:t>’</w:t>
      </w:r>
      <w:r w:rsidRPr="005C5E32">
        <w:t>s final year as a stand-alone department, and the contribution it has made to New Zealand.</w:t>
      </w:r>
    </w:p>
    <w:p w14:paraId="7F7C100D" w14:textId="77777777" w:rsidR="00B77DAA" w:rsidRDefault="00B77DAA" w:rsidP="00710402">
      <w:pPr>
        <w:spacing w:before="100" w:after="100" w:line="260" w:lineRule="atLeast"/>
      </w:pPr>
      <w:r w:rsidRPr="005C5E32">
        <w:t>Nāku noa, nā</w:t>
      </w:r>
    </w:p>
    <w:p w14:paraId="64284763" w14:textId="5AAC295D" w:rsidR="00A321D8" w:rsidRDefault="005E2EC9" w:rsidP="006D5D5D">
      <w:pPr>
        <w:pStyle w:val="BodyText"/>
      </w:pPr>
      <w:r>
        <w:rPr>
          <w:noProof/>
        </w:rPr>
        <w:drawing>
          <wp:inline distT="0" distB="0" distL="0" distR="0" wp14:anchorId="19BBBC44" wp14:editId="021066EA">
            <wp:extent cx="417600" cy="586800"/>
            <wp:effectExtent l="0" t="0" r="1905" b="3810"/>
            <wp:docPr id="1852863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863761" name="Picture 1852863761"/>
                    <pic:cNvPicPr/>
                  </pic:nvPicPr>
                  <pic:blipFill>
                    <a:blip r:embed="rId16"/>
                    <a:stretch>
                      <a:fillRect/>
                    </a:stretch>
                  </pic:blipFill>
                  <pic:spPr>
                    <a:xfrm>
                      <a:off x="0" y="0"/>
                      <a:ext cx="417600" cy="586800"/>
                    </a:xfrm>
                    <a:prstGeom prst="rect">
                      <a:avLst/>
                    </a:prstGeom>
                  </pic:spPr>
                </pic:pic>
              </a:graphicData>
            </a:graphic>
          </wp:inline>
        </w:drawing>
      </w:r>
    </w:p>
    <w:p w14:paraId="166AD27B" w14:textId="45F6E878" w:rsidR="00D3643D" w:rsidRPr="005C5E32" w:rsidRDefault="00B7778A" w:rsidP="00D3643D">
      <w:pPr>
        <w:pStyle w:val="BodyText"/>
        <w:spacing w:before="100" w:after="100"/>
      </w:pPr>
      <w:bookmarkStart w:id="9" w:name="_Toc170221683"/>
      <w:bookmarkStart w:id="10" w:name="_Toc172623937"/>
      <w:bookmarkStart w:id="11" w:name="_Toc172626566"/>
      <w:r w:rsidRPr="005C5E32">
        <w:t>Jeremy Lightfoot</w:t>
      </w:r>
      <w:r w:rsidR="00B77DAA" w:rsidRPr="005C5E32">
        <w:br/>
      </w:r>
      <w:r w:rsidR="00D3643D" w:rsidRPr="005C5E32">
        <w:t>Chief Executive for the Ministry for Cities, Environment, Regions and Transport</w:t>
      </w:r>
      <w:r w:rsidR="00EE272C" w:rsidRPr="005C5E32">
        <w:t xml:space="preserve"> and</w:t>
      </w:r>
      <w:r w:rsidR="001755C5" w:rsidRPr="005C5E32">
        <w:t> </w:t>
      </w:r>
      <w:r w:rsidR="00EE272C" w:rsidRPr="005C5E32">
        <w:t>Secretary</w:t>
      </w:r>
      <w:r w:rsidR="001755C5" w:rsidRPr="005C5E32">
        <w:t> </w:t>
      </w:r>
      <w:r w:rsidR="00EE272C" w:rsidRPr="005C5E32">
        <w:t xml:space="preserve">for the Environment </w:t>
      </w:r>
    </w:p>
    <w:bookmarkEnd w:id="9"/>
    <w:bookmarkEnd w:id="10"/>
    <w:bookmarkEnd w:id="11"/>
    <w:p w14:paraId="0AF65B1B" w14:textId="69172F63" w:rsidR="00710402" w:rsidRPr="005C5E32" w:rsidRDefault="00710402" w:rsidP="00A608D3">
      <w:pPr>
        <w:pStyle w:val="BodyText"/>
        <w:spacing w:before="100" w:after="100"/>
      </w:pPr>
    </w:p>
    <w:p w14:paraId="4CF85143" w14:textId="7152A7A5" w:rsidR="00B77DAA" w:rsidRPr="005C5E32" w:rsidRDefault="00B77DAA" w:rsidP="00A608D3">
      <w:pPr>
        <w:pStyle w:val="BodyText"/>
        <w:spacing w:before="100" w:after="100"/>
      </w:pPr>
      <w:r w:rsidRPr="005C5E32">
        <w:br w:type="page"/>
      </w:r>
    </w:p>
    <w:p w14:paraId="66198ED4" w14:textId="00720D05" w:rsidR="00A43CDE" w:rsidRPr="005C5E32" w:rsidRDefault="00A43CDE" w:rsidP="00BF55E9">
      <w:pPr>
        <w:pStyle w:val="Heading2"/>
        <w:spacing w:before="0"/>
      </w:pPr>
      <w:bookmarkStart w:id="12" w:name="_Toc177626498"/>
      <w:bookmarkStart w:id="13" w:name="_Toc207017375"/>
      <w:bookmarkStart w:id="14" w:name="_Toc210136362"/>
      <w:bookmarkStart w:id="15" w:name="_Toc240445551"/>
      <w:bookmarkStart w:id="16" w:name="_Toc177626477"/>
      <w:r w:rsidRPr="005C5E32">
        <w:lastRenderedPageBreak/>
        <w:t>Statement of responsibility</w:t>
      </w:r>
      <w:bookmarkEnd w:id="12"/>
      <w:bookmarkEnd w:id="13"/>
      <w:bookmarkEnd w:id="14"/>
      <w:bookmarkEnd w:id="15"/>
    </w:p>
    <w:p w14:paraId="504155C0" w14:textId="67694442" w:rsidR="00BD6C0C" w:rsidRPr="005C5E32" w:rsidRDefault="001B7E47" w:rsidP="00BD6C0C">
      <w:pPr>
        <w:pStyle w:val="BodyText"/>
      </w:pPr>
      <w:r w:rsidRPr="005C5E32">
        <w:t xml:space="preserve">I am responsible, as Chief Executive </w:t>
      </w:r>
      <w:r w:rsidR="008A082C">
        <w:t>for</w:t>
      </w:r>
      <w:r w:rsidR="008A082C" w:rsidRPr="005C5E32">
        <w:t xml:space="preserve"> </w:t>
      </w:r>
      <w:r w:rsidRPr="005C5E32">
        <w:t>the Ministry for Cities, Environment, Regions and Transport (MCERT), for</w:t>
      </w:r>
      <w:r w:rsidR="006C65A2" w:rsidRPr="005C5E32">
        <w:t>:</w:t>
      </w:r>
      <w:r w:rsidR="00F901BD" w:rsidRPr="005C5E32">
        <w:rPr>
          <w:rStyle w:val="FootnoteReference"/>
        </w:rPr>
        <w:footnoteReference w:id="2"/>
      </w:r>
      <w:r w:rsidR="00DF350F" w:rsidRPr="005C5E32">
        <w:t xml:space="preserve"> </w:t>
      </w:r>
    </w:p>
    <w:p w14:paraId="49B29D7E" w14:textId="151060DE" w:rsidR="00F901BD" w:rsidRPr="005C5E32" w:rsidRDefault="00F901BD" w:rsidP="006C65A2">
      <w:pPr>
        <w:pStyle w:val="Bullet"/>
      </w:pPr>
      <w:r w:rsidRPr="005C5E32">
        <w:t>the preparation of the Ministry for the Environment’s (the Ministry</w:t>
      </w:r>
      <w:r w:rsidR="007E1CE9" w:rsidRPr="005C5E32">
        <w:t>’s</w:t>
      </w:r>
      <w:r w:rsidRPr="005C5E32">
        <w:t>) financial statements, and statements of expenses and capital expenditure, and for the judgements expressed in them;</w:t>
      </w:r>
    </w:p>
    <w:p w14:paraId="6450C62D" w14:textId="48FBFC50" w:rsidR="00F901BD" w:rsidRPr="005C5E32" w:rsidRDefault="00F901BD" w:rsidP="006C65A2">
      <w:pPr>
        <w:pStyle w:val="Bullet"/>
      </w:pPr>
      <w:r w:rsidRPr="005C5E32">
        <w:t>having in place a system of internal control designed to provide reasonable assurance as to the integrity and reliability of financial reporting;</w:t>
      </w:r>
    </w:p>
    <w:p w14:paraId="09CF8DFC" w14:textId="77777777" w:rsidR="00F901BD" w:rsidRPr="005C5E32" w:rsidRDefault="00F901BD" w:rsidP="006C65A2">
      <w:pPr>
        <w:pStyle w:val="Bullet"/>
      </w:pPr>
      <w:r w:rsidRPr="005C5E32">
        <w:t>ensuring that end-of-year performance information on each appropriation administered by the Ministry is provided in accordance with sections 19A to 19C of the Public Finance Act 1989, whether or not that information is included in this annual report; and</w:t>
      </w:r>
    </w:p>
    <w:p w14:paraId="7A86A3A8" w14:textId="440D5874" w:rsidR="00F901BD" w:rsidRPr="005C5E32" w:rsidRDefault="00F901BD" w:rsidP="006C65A2">
      <w:pPr>
        <w:pStyle w:val="Bullet"/>
      </w:pPr>
      <w:r w:rsidRPr="005C5E32">
        <w:t>the accuracy of any end-of-year performance information prepared by the Ministry, whether or not that information is included in this annual report.</w:t>
      </w:r>
    </w:p>
    <w:p w14:paraId="1A415D31" w14:textId="77777777" w:rsidR="00F901BD" w:rsidRPr="005C5E32" w:rsidRDefault="00F901BD" w:rsidP="005370D2">
      <w:pPr>
        <w:pStyle w:val="BodyText"/>
      </w:pPr>
      <w:r w:rsidRPr="005C5E32">
        <w:t>In my opinion:</w:t>
      </w:r>
    </w:p>
    <w:p w14:paraId="58A0EFB3" w14:textId="77777777" w:rsidR="00F901BD" w:rsidRPr="005C5E32" w:rsidRDefault="00F901BD" w:rsidP="00F901BD">
      <w:pPr>
        <w:pStyle w:val="Bullet"/>
      </w:pPr>
      <w:r w:rsidRPr="005C5E32">
        <w:t>the annual report fairly reflects the operations, progress, and the organisational health and capability of the Ministry; and</w:t>
      </w:r>
    </w:p>
    <w:p w14:paraId="31188A22" w14:textId="77777777" w:rsidR="00A43CDE" w:rsidRPr="005C5E32" w:rsidRDefault="00F901BD" w:rsidP="005664ED">
      <w:pPr>
        <w:pStyle w:val="Bullet"/>
      </w:pPr>
      <w:r w:rsidRPr="005C5E32">
        <w:rPr>
          <w:spacing w:val="-2"/>
        </w:rPr>
        <w:t>the financial statements fairly reflect the financial position of the Ministry as at 30 June 2026</w:t>
      </w:r>
      <w:r w:rsidRPr="005C5E32">
        <w:t xml:space="preserve"> and its operations for the year ended on that date.</w:t>
      </w:r>
    </w:p>
    <w:p w14:paraId="4EF1E74D" w14:textId="1BC60A5B" w:rsidR="005370D2" w:rsidRDefault="005E2EC9" w:rsidP="006D5D5D">
      <w:pPr>
        <w:pStyle w:val="BodyText"/>
      </w:pPr>
      <w:r>
        <w:rPr>
          <w:noProof/>
        </w:rPr>
        <w:drawing>
          <wp:inline distT="0" distB="0" distL="0" distR="0" wp14:anchorId="17881589" wp14:editId="00E69107">
            <wp:extent cx="417600" cy="586800"/>
            <wp:effectExtent l="0" t="0" r="1905" b="3810"/>
            <wp:docPr id="15073685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68579" name="Picture 1507368579"/>
                    <pic:cNvPicPr/>
                  </pic:nvPicPr>
                  <pic:blipFill>
                    <a:blip r:embed="rId16"/>
                    <a:stretch>
                      <a:fillRect/>
                    </a:stretch>
                  </pic:blipFill>
                  <pic:spPr>
                    <a:xfrm>
                      <a:off x="0" y="0"/>
                      <a:ext cx="417600" cy="586800"/>
                    </a:xfrm>
                    <a:prstGeom prst="rect">
                      <a:avLst/>
                    </a:prstGeom>
                  </pic:spPr>
                </pic:pic>
              </a:graphicData>
            </a:graphic>
          </wp:inline>
        </w:drawing>
      </w:r>
    </w:p>
    <w:p w14:paraId="2976FD50" w14:textId="070DDF0C" w:rsidR="002E3334" w:rsidRPr="005C5E32" w:rsidRDefault="0068377C" w:rsidP="002E3334">
      <w:pPr>
        <w:pStyle w:val="BodyText"/>
      </w:pPr>
      <w:r w:rsidRPr="005C5E32">
        <w:t>Jeremy Lightfoot</w:t>
      </w:r>
      <w:r w:rsidR="00A43CDE" w:rsidRPr="005C5E32">
        <w:br/>
      </w:r>
      <w:r w:rsidR="002E3334" w:rsidRPr="005C5E32">
        <w:t>Chief Executive for the Ministry for Cities, Environment, Regions and Transport</w:t>
      </w:r>
      <w:r w:rsidR="00EE272C" w:rsidRPr="005C5E32">
        <w:t xml:space="preserve"> and</w:t>
      </w:r>
      <w:r w:rsidR="001755C5" w:rsidRPr="005C5E32">
        <w:t> </w:t>
      </w:r>
      <w:r w:rsidR="00EE272C" w:rsidRPr="005C5E32">
        <w:t>Secretary</w:t>
      </w:r>
      <w:r w:rsidR="001755C5" w:rsidRPr="005C5E32">
        <w:t> </w:t>
      </w:r>
      <w:r w:rsidR="00EE272C" w:rsidRPr="005C5E32">
        <w:t xml:space="preserve">for the Environment </w:t>
      </w:r>
    </w:p>
    <w:p w14:paraId="24EA2D0F" w14:textId="43AD696D" w:rsidR="00A43CDE" w:rsidRPr="005C5E32" w:rsidRDefault="008E75A1" w:rsidP="005664ED">
      <w:pPr>
        <w:pStyle w:val="BodyText"/>
      </w:pPr>
      <w:r w:rsidRPr="00BC053B">
        <w:t>30 September 2026</w:t>
      </w:r>
    </w:p>
    <w:p w14:paraId="46CF4FF9" w14:textId="77777777" w:rsidR="00A43CDE" w:rsidRPr="005C5E32" w:rsidRDefault="00A43CDE" w:rsidP="005664ED">
      <w:pPr>
        <w:pStyle w:val="BodyText"/>
      </w:pPr>
      <w:r w:rsidRPr="005C5E32">
        <w:br w:type="page"/>
      </w:r>
    </w:p>
    <w:p w14:paraId="10C9DEEF" w14:textId="1A179185" w:rsidR="00452E06" w:rsidRPr="005C5E32" w:rsidRDefault="009E1A2D" w:rsidP="002D2703">
      <w:pPr>
        <w:pStyle w:val="Heading2"/>
        <w:spacing w:after="240"/>
      </w:pPr>
      <w:bookmarkStart w:id="17" w:name="_Toc207017376"/>
      <w:bookmarkStart w:id="18" w:name="_Toc210136363"/>
      <w:bookmarkStart w:id="19" w:name="_Toc240445552"/>
      <w:r w:rsidRPr="005C5E32">
        <w:lastRenderedPageBreak/>
        <w:t xml:space="preserve">A selection of </w:t>
      </w:r>
      <w:r w:rsidR="00DE0052" w:rsidRPr="005C5E32">
        <w:t>m</w:t>
      </w:r>
      <w:r w:rsidR="002D709E" w:rsidRPr="005C5E32">
        <w:t xml:space="preserve">ilestones </w:t>
      </w:r>
      <w:r w:rsidR="001E3DC7" w:rsidRPr="005C5E32">
        <w:t>from</w:t>
      </w:r>
      <w:r w:rsidR="001E1373" w:rsidRPr="005C5E32">
        <w:t> </w:t>
      </w:r>
      <w:r w:rsidR="001E3DC7" w:rsidRPr="005C5E32">
        <w:t>202</w:t>
      </w:r>
      <w:r w:rsidR="00093C8B" w:rsidRPr="005C5E32">
        <w:t>5</w:t>
      </w:r>
      <w:r w:rsidR="001E3DC7" w:rsidRPr="005C5E32">
        <w:t>/2</w:t>
      </w:r>
      <w:bookmarkEnd w:id="17"/>
      <w:bookmarkEnd w:id="18"/>
      <w:r w:rsidR="00093C8B" w:rsidRPr="005C5E32">
        <w:t>6</w:t>
      </w:r>
      <w:bookmarkEnd w:id="19"/>
    </w:p>
    <w:p w14:paraId="3B9BA9E3" w14:textId="230E2BE7" w:rsidR="006B4F0E" w:rsidRPr="005C5E32" w:rsidRDefault="00233659" w:rsidP="006B4F0E">
      <w:pPr>
        <w:pStyle w:val="BodyText"/>
      </w:pPr>
      <w:r>
        <w:rPr>
          <w:noProof/>
        </w:rPr>
        <w:drawing>
          <wp:inline distT="0" distB="0" distL="0" distR="0" wp14:anchorId="3F740CA3" wp14:editId="55564450">
            <wp:extent cx="5400675" cy="7301865"/>
            <wp:effectExtent l="0" t="0" r="9525" b="0"/>
            <wp:docPr id="20018903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90313" name="Picture 2001890313"/>
                    <pic:cNvPicPr/>
                  </pic:nvPicPr>
                  <pic:blipFill>
                    <a:blip r:embed="rId17"/>
                    <a:stretch>
                      <a:fillRect/>
                    </a:stretch>
                  </pic:blipFill>
                  <pic:spPr>
                    <a:xfrm>
                      <a:off x="0" y="0"/>
                      <a:ext cx="5400675" cy="7301865"/>
                    </a:xfrm>
                    <a:prstGeom prst="rect">
                      <a:avLst/>
                    </a:prstGeom>
                  </pic:spPr>
                </pic:pic>
              </a:graphicData>
            </a:graphic>
          </wp:inline>
        </w:drawing>
      </w:r>
    </w:p>
    <w:p w14:paraId="0126FE35" w14:textId="2446D59E" w:rsidR="002D709E" w:rsidRPr="005C5E32" w:rsidRDefault="002D709E" w:rsidP="007763CB">
      <w:pPr>
        <w:pStyle w:val="BodyText"/>
      </w:pPr>
      <w:r w:rsidRPr="005C5E32">
        <w:br w:type="page"/>
      </w:r>
    </w:p>
    <w:p w14:paraId="0DEF84D0" w14:textId="694E6FE1" w:rsidR="00B20229" w:rsidRPr="005C5E32" w:rsidRDefault="00B20229" w:rsidP="00B225D3">
      <w:pPr>
        <w:pStyle w:val="Heading2"/>
        <w:spacing w:after="120"/>
      </w:pPr>
      <w:bookmarkStart w:id="20" w:name="_Toc207017377"/>
      <w:bookmarkStart w:id="21" w:name="_Toc210136364"/>
      <w:bookmarkStart w:id="22" w:name="_Toc240445553"/>
      <w:r w:rsidRPr="005C5E32">
        <w:lastRenderedPageBreak/>
        <w:t>Our Ministers</w:t>
      </w:r>
      <w:bookmarkEnd w:id="16"/>
      <w:bookmarkEnd w:id="20"/>
      <w:bookmarkEnd w:id="21"/>
      <w:bookmarkEnd w:id="22"/>
    </w:p>
    <w:p w14:paraId="0201D131" w14:textId="2067E7A2" w:rsidR="00BC67ED" w:rsidRDefault="00BC67ED" w:rsidP="00B225D3">
      <w:pPr>
        <w:pStyle w:val="BodyText"/>
        <w:spacing w:after="360"/>
        <w:rPr>
          <w:spacing w:val="2"/>
        </w:rPr>
      </w:pPr>
      <w:r w:rsidRPr="002916A9">
        <w:rPr>
          <w:spacing w:val="2"/>
        </w:rPr>
        <w:t>During 202</w:t>
      </w:r>
      <w:r w:rsidR="00093C8B" w:rsidRPr="002916A9">
        <w:rPr>
          <w:spacing w:val="2"/>
        </w:rPr>
        <w:t>5</w:t>
      </w:r>
      <w:r w:rsidRPr="002916A9">
        <w:rPr>
          <w:spacing w:val="2"/>
        </w:rPr>
        <w:t>/2</w:t>
      </w:r>
      <w:r w:rsidR="00093C8B" w:rsidRPr="002916A9">
        <w:rPr>
          <w:spacing w:val="2"/>
        </w:rPr>
        <w:t>6</w:t>
      </w:r>
      <w:r w:rsidRPr="002916A9">
        <w:rPr>
          <w:spacing w:val="2"/>
        </w:rPr>
        <w:t xml:space="preserve">, we </w:t>
      </w:r>
      <w:r w:rsidR="00BD31AE" w:rsidRPr="002916A9">
        <w:rPr>
          <w:spacing w:val="2"/>
        </w:rPr>
        <w:t>served</w:t>
      </w:r>
      <w:r w:rsidRPr="002916A9">
        <w:rPr>
          <w:spacing w:val="2"/>
        </w:rPr>
        <w:t xml:space="preserve"> </w:t>
      </w:r>
      <w:r w:rsidR="0087410E" w:rsidRPr="002916A9">
        <w:rPr>
          <w:spacing w:val="2"/>
        </w:rPr>
        <w:t>f</w:t>
      </w:r>
      <w:r w:rsidR="001572E6" w:rsidRPr="002916A9">
        <w:rPr>
          <w:spacing w:val="2"/>
        </w:rPr>
        <w:t>ive</w:t>
      </w:r>
      <w:r w:rsidR="00E42244" w:rsidRPr="002916A9">
        <w:rPr>
          <w:spacing w:val="2"/>
        </w:rPr>
        <w:t xml:space="preserve"> </w:t>
      </w:r>
      <w:r w:rsidRPr="002916A9">
        <w:rPr>
          <w:spacing w:val="2"/>
        </w:rPr>
        <w:t>Ministers</w:t>
      </w:r>
      <w:r w:rsidR="006E5933" w:rsidRPr="002916A9">
        <w:rPr>
          <w:spacing w:val="2"/>
        </w:rPr>
        <w:t xml:space="preserve"> </w:t>
      </w:r>
      <w:r w:rsidR="004442F6" w:rsidRPr="002916A9">
        <w:rPr>
          <w:spacing w:val="2"/>
        </w:rPr>
        <w:t>and one Under</w:t>
      </w:r>
      <w:r w:rsidR="002F7FB8" w:rsidRPr="002916A9">
        <w:rPr>
          <w:spacing w:val="2"/>
        </w:rPr>
        <w:t>-S</w:t>
      </w:r>
      <w:r w:rsidR="004442F6" w:rsidRPr="002916A9">
        <w:rPr>
          <w:spacing w:val="2"/>
        </w:rPr>
        <w:t>ecretary</w:t>
      </w:r>
      <w:r w:rsidR="00B71DAA" w:rsidRPr="002916A9" w:rsidDel="006E5933">
        <w:rPr>
          <w:spacing w:val="2"/>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3"/>
      </w:tblGrid>
      <w:tr w:rsidR="00C11BE0" w:rsidRPr="00C11BE0" w14:paraId="0054C7D5" w14:textId="77777777" w:rsidTr="003F20FF">
        <w:tc>
          <w:tcPr>
            <w:tcW w:w="2500" w:type="pct"/>
          </w:tcPr>
          <w:p w14:paraId="07E46831" w14:textId="77777777" w:rsidR="00C11BE0" w:rsidRPr="003A71E8" w:rsidRDefault="00C11BE0" w:rsidP="00C11BE0">
            <w:pPr>
              <w:pStyle w:val="TableboldGreen"/>
              <w:spacing w:after="0"/>
              <w:rPr>
                <w:sz w:val="20"/>
              </w:rPr>
            </w:pPr>
            <w:r w:rsidRPr="003A71E8">
              <w:rPr>
                <w:sz w:val="20"/>
              </w:rPr>
              <w:t>Hon Nicola Grigg</w:t>
            </w:r>
          </w:p>
          <w:p w14:paraId="01841151" w14:textId="3126B5FA" w:rsidR="00C11BE0" w:rsidRPr="00C11BE0" w:rsidRDefault="00C11BE0" w:rsidP="00C11BE0">
            <w:pPr>
              <w:pStyle w:val="TableText"/>
              <w:spacing w:before="0"/>
              <w:rPr>
                <w:sz w:val="20"/>
              </w:rPr>
            </w:pPr>
            <w:r w:rsidRPr="003A71E8">
              <w:rPr>
                <w:sz w:val="20"/>
              </w:rPr>
              <w:t>Minister for the Environment</w:t>
            </w:r>
          </w:p>
        </w:tc>
        <w:tc>
          <w:tcPr>
            <w:tcW w:w="2500" w:type="pct"/>
          </w:tcPr>
          <w:p w14:paraId="6B15C5DB" w14:textId="77777777" w:rsidR="00C11BE0" w:rsidRPr="003A71E8" w:rsidRDefault="00C11BE0" w:rsidP="00C11BE0">
            <w:pPr>
              <w:pStyle w:val="TableboldGreen"/>
              <w:spacing w:after="0"/>
              <w:rPr>
                <w:sz w:val="20"/>
              </w:rPr>
            </w:pPr>
            <w:r w:rsidRPr="003A71E8">
              <w:rPr>
                <w:sz w:val="20"/>
              </w:rPr>
              <w:t>Hon Chris Bishop</w:t>
            </w:r>
          </w:p>
          <w:p w14:paraId="4298F0A5" w14:textId="4F75765F" w:rsidR="00C11BE0" w:rsidRPr="00C11BE0" w:rsidRDefault="00C11BE0" w:rsidP="003F20FF">
            <w:pPr>
              <w:pStyle w:val="TableText"/>
              <w:spacing w:before="0" w:after="240"/>
              <w:rPr>
                <w:sz w:val="20"/>
              </w:rPr>
            </w:pPr>
            <w:r w:rsidRPr="003A71E8">
              <w:rPr>
                <w:sz w:val="20"/>
              </w:rPr>
              <w:t>Minister for Infrastructure and Minister Responsible for RMA Reform</w:t>
            </w:r>
          </w:p>
        </w:tc>
      </w:tr>
      <w:tr w:rsidR="00C11BE0" w:rsidRPr="00C11BE0" w14:paraId="68CF911C" w14:textId="77777777" w:rsidTr="003F20FF">
        <w:tc>
          <w:tcPr>
            <w:tcW w:w="2500" w:type="pct"/>
          </w:tcPr>
          <w:p w14:paraId="2ADF5780" w14:textId="77777777" w:rsidR="00C11BE0" w:rsidRPr="003A71E8" w:rsidRDefault="00C11BE0" w:rsidP="00C11BE0">
            <w:pPr>
              <w:pStyle w:val="TableboldGreen"/>
              <w:spacing w:after="0"/>
              <w:rPr>
                <w:sz w:val="20"/>
              </w:rPr>
            </w:pPr>
            <w:r w:rsidRPr="003A71E8">
              <w:rPr>
                <w:sz w:val="20"/>
              </w:rPr>
              <w:t>Hon Simon Watts</w:t>
            </w:r>
          </w:p>
          <w:p w14:paraId="4F82E5CF" w14:textId="73EE77A2" w:rsidR="00C11BE0" w:rsidRPr="00C11BE0" w:rsidRDefault="00C11BE0" w:rsidP="00C11BE0">
            <w:pPr>
              <w:pStyle w:val="TableText"/>
              <w:spacing w:before="0"/>
              <w:rPr>
                <w:sz w:val="20"/>
              </w:rPr>
            </w:pPr>
            <w:r w:rsidRPr="003A71E8">
              <w:rPr>
                <w:sz w:val="20"/>
              </w:rPr>
              <w:t>Minister of Climate Change</w:t>
            </w:r>
          </w:p>
        </w:tc>
        <w:tc>
          <w:tcPr>
            <w:tcW w:w="2500" w:type="pct"/>
          </w:tcPr>
          <w:p w14:paraId="42187486" w14:textId="77777777" w:rsidR="00C11BE0" w:rsidRPr="003A71E8" w:rsidRDefault="00C11BE0" w:rsidP="009147E2">
            <w:pPr>
              <w:pStyle w:val="TableboldGreen"/>
              <w:spacing w:after="0"/>
              <w:rPr>
                <w:sz w:val="20"/>
              </w:rPr>
            </w:pPr>
            <w:r w:rsidRPr="003A71E8">
              <w:rPr>
                <w:sz w:val="20"/>
              </w:rPr>
              <w:t>Hon Andrew Hoggard</w:t>
            </w:r>
          </w:p>
          <w:p w14:paraId="6BB70F37" w14:textId="478DAEFC" w:rsidR="00C11BE0" w:rsidRPr="00C11BE0" w:rsidRDefault="00C11BE0" w:rsidP="009147E2">
            <w:pPr>
              <w:pStyle w:val="TableText"/>
              <w:spacing w:before="0" w:after="240"/>
              <w:rPr>
                <w:sz w:val="20"/>
              </w:rPr>
            </w:pPr>
            <w:r w:rsidRPr="003A71E8">
              <w:rPr>
                <w:sz w:val="20"/>
              </w:rPr>
              <w:t>Associate Minister for the Environment</w:t>
            </w:r>
          </w:p>
        </w:tc>
      </w:tr>
      <w:tr w:rsidR="00C11BE0" w:rsidRPr="00C11BE0" w14:paraId="4D15BCC6" w14:textId="77777777" w:rsidTr="003F20FF">
        <w:tc>
          <w:tcPr>
            <w:tcW w:w="2500" w:type="pct"/>
          </w:tcPr>
          <w:p w14:paraId="0F6A8F86" w14:textId="77777777" w:rsidR="00C11BE0" w:rsidRPr="003A71E8" w:rsidRDefault="00C11BE0" w:rsidP="00C11BE0">
            <w:pPr>
              <w:pStyle w:val="TableboldGreen"/>
              <w:spacing w:after="0"/>
              <w:rPr>
                <w:sz w:val="20"/>
              </w:rPr>
            </w:pPr>
            <w:r w:rsidRPr="003A71E8">
              <w:rPr>
                <w:sz w:val="20"/>
              </w:rPr>
              <w:t>Hon Penny Simmonds</w:t>
            </w:r>
          </w:p>
          <w:p w14:paraId="7DFEE12B" w14:textId="0610B610" w:rsidR="00C11BE0" w:rsidRPr="00C11BE0" w:rsidRDefault="00C11BE0" w:rsidP="009147E2">
            <w:pPr>
              <w:pStyle w:val="Tabletext0"/>
              <w:spacing w:before="0"/>
              <w:rPr>
                <w:sz w:val="20"/>
              </w:rPr>
            </w:pPr>
            <w:r w:rsidRPr="003A71E8">
              <w:rPr>
                <w:sz w:val="20"/>
              </w:rPr>
              <w:t>(Previous) Minister for the Environment</w:t>
            </w:r>
          </w:p>
        </w:tc>
        <w:tc>
          <w:tcPr>
            <w:tcW w:w="2500" w:type="pct"/>
          </w:tcPr>
          <w:p w14:paraId="4B0E7C98" w14:textId="77777777" w:rsidR="00C11BE0" w:rsidRPr="003A71E8" w:rsidRDefault="00C11BE0" w:rsidP="00C11BE0">
            <w:pPr>
              <w:pStyle w:val="TableboldGreen"/>
              <w:spacing w:after="0"/>
              <w:rPr>
                <w:sz w:val="20"/>
              </w:rPr>
            </w:pPr>
            <w:r w:rsidRPr="003A71E8">
              <w:rPr>
                <w:sz w:val="20"/>
              </w:rPr>
              <w:t>Simon Court</w:t>
            </w:r>
          </w:p>
          <w:p w14:paraId="36113472" w14:textId="05CEA319" w:rsidR="00C11BE0" w:rsidRPr="00C11BE0" w:rsidRDefault="00C11BE0" w:rsidP="009147E2">
            <w:pPr>
              <w:pStyle w:val="Tabletext0"/>
              <w:spacing w:before="0"/>
              <w:rPr>
                <w:sz w:val="20"/>
              </w:rPr>
            </w:pPr>
            <w:r w:rsidRPr="003A71E8">
              <w:rPr>
                <w:sz w:val="20"/>
              </w:rPr>
              <w:t>Parliamentary Under-Secretary for Infrastructure and RMA Reform</w:t>
            </w:r>
          </w:p>
        </w:tc>
      </w:tr>
    </w:tbl>
    <w:p w14:paraId="55C638CE" w14:textId="77777777" w:rsidR="005B4FF9" w:rsidRPr="005C5E32" w:rsidRDefault="005B4FF9" w:rsidP="00B8241B">
      <w:pPr>
        <w:pStyle w:val="Heading2"/>
        <w:spacing w:before="480" w:after="120"/>
      </w:pPr>
      <w:bookmarkStart w:id="23" w:name="_Toc240445554"/>
      <w:r w:rsidRPr="005C5E32">
        <w:t>Te Pūrengi – Our leadership team</w:t>
      </w:r>
      <w:bookmarkEnd w:id="23"/>
    </w:p>
    <w:p w14:paraId="307E1BEA" w14:textId="6DE862D1" w:rsidR="005B4FF9" w:rsidRPr="005C5E32" w:rsidRDefault="005B4FF9" w:rsidP="00B225D3">
      <w:pPr>
        <w:pStyle w:val="BodyText"/>
        <w:spacing w:after="240"/>
      </w:pPr>
      <w:r w:rsidRPr="005C5E32">
        <w:rPr>
          <w:spacing w:val="2"/>
        </w:rPr>
        <w:t xml:space="preserve">Te Pūrengi </w:t>
      </w:r>
      <w:r w:rsidR="00D3676C" w:rsidRPr="005C5E32">
        <w:rPr>
          <w:spacing w:val="2"/>
        </w:rPr>
        <w:t>was</w:t>
      </w:r>
      <w:r w:rsidRPr="005C5E32">
        <w:rPr>
          <w:spacing w:val="2"/>
        </w:rPr>
        <w:t xml:space="preserve"> accountable for setting and achieving the Ministry</w:t>
      </w:r>
      <w:r w:rsidR="000369F8" w:rsidRPr="005C5E32">
        <w:rPr>
          <w:spacing w:val="2"/>
        </w:rPr>
        <w:t>’</w:t>
      </w:r>
      <w:r w:rsidRPr="005C5E32">
        <w:rPr>
          <w:spacing w:val="2"/>
        </w:rPr>
        <w:t>s overarching organisational and policy strategies and monitoring the impact of our work</w:t>
      </w:r>
      <w:r w:rsidR="00D3676C" w:rsidRPr="005C5E32">
        <w:rPr>
          <w:spacing w:val="2"/>
        </w:rPr>
        <w:t xml:space="preserve"> throughout the</w:t>
      </w:r>
      <w:r w:rsidR="000452BC" w:rsidRPr="005C5E32">
        <w:rPr>
          <w:spacing w:val="2"/>
        </w:rPr>
        <w:t> </w:t>
      </w:r>
      <w:r w:rsidR="00B358E3" w:rsidRPr="005C5E32">
        <w:rPr>
          <w:spacing w:val="2"/>
        </w:rPr>
        <w:t>2025/26</w:t>
      </w:r>
      <w:r w:rsidR="00D3676C" w:rsidRPr="005C5E32">
        <w:rPr>
          <w:spacing w:val="2"/>
        </w:rPr>
        <w:t xml:space="preserve"> financial year</w:t>
      </w:r>
      <w:r w:rsidRPr="005C5E32">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8"/>
      </w:tblGrid>
      <w:tr w:rsidR="005B4FF9" w:rsidRPr="005C5E32" w14:paraId="6053B9F7" w14:textId="77777777" w:rsidTr="00A66E18">
        <w:tc>
          <w:tcPr>
            <w:tcW w:w="4247" w:type="dxa"/>
          </w:tcPr>
          <w:p w14:paraId="6C136C80" w14:textId="77777777" w:rsidR="00A66E18" w:rsidRPr="003A71E8" w:rsidRDefault="00A66E18" w:rsidP="00D420E0">
            <w:pPr>
              <w:pStyle w:val="TableboldGreen"/>
              <w:spacing w:after="0"/>
              <w:rPr>
                <w:sz w:val="20"/>
              </w:rPr>
            </w:pPr>
            <w:r w:rsidRPr="003A71E8">
              <w:rPr>
                <w:sz w:val="20"/>
              </w:rPr>
              <w:t>James Palmer</w:t>
            </w:r>
          </w:p>
          <w:p w14:paraId="0913680E" w14:textId="30723035" w:rsidR="005B4FF9" w:rsidRPr="003A71E8" w:rsidRDefault="00A66E18" w:rsidP="005F1AFA">
            <w:pPr>
              <w:pStyle w:val="TableText"/>
              <w:spacing w:before="0"/>
              <w:rPr>
                <w:sz w:val="20"/>
              </w:rPr>
            </w:pPr>
            <w:r w:rsidRPr="003A71E8">
              <w:rPr>
                <w:sz w:val="20"/>
              </w:rPr>
              <w:t>(Previous) Secretary for the Environment and</w:t>
            </w:r>
            <w:r w:rsidR="00D420E0" w:rsidRPr="003A71E8">
              <w:rPr>
                <w:sz w:val="20"/>
              </w:rPr>
              <w:t xml:space="preserve"> </w:t>
            </w:r>
            <w:r w:rsidRPr="003A71E8">
              <w:rPr>
                <w:sz w:val="20"/>
              </w:rPr>
              <w:t>Chief</w:t>
            </w:r>
            <w:r w:rsidR="00D420E0" w:rsidRPr="003A71E8">
              <w:rPr>
                <w:sz w:val="20"/>
              </w:rPr>
              <w:t> </w:t>
            </w:r>
            <w:r w:rsidRPr="003A71E8">
              <w:rPr>
                <w:sz w:val="20"/>
              </w:rPr>
              <w:t>Executive</w:t>
            </w:r>
            <w:r w:rsidR="00C86383" w:rsidRPr="003A71E8">
              <w:rPr>
                <w:sz w:val="20"/>
              </w:rPr>
              <w:t xml:space="preserve">, </w:t>
            </w:r>
            <w:r w:rsidR="00155848" w:rsidRPr="003A71E8">
              <w:rPr>
                <w:sz w:val="20"/>
              </w:rPr>
              <w:t>Ju</w:t>
            </w:r>
            <w:r w:rsidR="002B558F">
              <w:rPr>
                <w:sz w:val="20"/>
              </w:rPr>
              <w:t>ly</w:t>
            </w:r>
            <w:r w:rsidR="00155848" w:rsidRPr="003A71E8">
              <w:rPr>
                <w:sz w:val="20"/>
              </w:rPr>
              <w:t xml:space="preserve"> 2025 </w:t>
            </w:r>
            <w:r w:rsidR="00F1304F" w:rsidRPr="003A71E8">
              <w:rPr>
                <w:sz w:val="20"/>
              </w:rPr>
              <w:t>–</w:t>
            </w:r>
            <w:r w:rsidR="00155848" w:rsidRPr="003A71E8">
              <w:rPr>
                <w:sz w:val="20"/>
              </w:rPr>
              <w:t xml:space="preserve"> </w:t>
            </w:r>
            <w:r w:rsidR="009D6C77">
              <w:rPr>
                <w:sz w:val="20"/>
              </w:rPr>
              <w:t>February</w:t>
            </w:r>
            <w:r w:rsidR="009D6C77" w:rsidRPr="003A71E8">
              <w:rPr>
                <w:sz w:val="20"/>
              </w:rPr>
              <w:t xml:space="preserve"> </w:t>
            </w:r>
            <w:r w:rsidR="00F1304F" w:rsidRPr="003A71E8">
              <w:rPr>
                <w:sz w:val="20"/>
              </w:rPr>
              <w:t>2026</w:t>
            </w:r>
          </w:p>
          <w:p w14:paraId="6C449F4D" w14:textId="77777777" w:rsidR="00A66E18" w:rsidRPr="003A71E8" w:rsidRDefault="00A66E18" w:rsidP="00495C80">
            <w:pPr>
              <w:pStyle w:val="TableText"/>
              <w:spacing w:before="0"/>
              <w:rPr>
                <w:sz w:val="20"/>
              </w:rPr>
            </w:pPr>
          </w:p>
          <w:p w14:paraId="488B8C05" w14:textId="77777777" w:rsidR="00A66E18" w:rsidRPr="003A71E8" w:rsidRDefault="00A66E18" w:rsidP="00D420E0">
            <w:pPr>
              <w:pStyle w:val="TableboldGreen"/>
              <w:spacing w:after="0"/>
              <w:rPr>
                <w:sz w:val="20"/>
              </w:rPr>
            </w:pPr>
            <w:r w:rsidRPr="003A71E8">
              <w:rPr>
                <w:sz w:val="20"/>
              </w:rPr>
              <w:t>Sam Buckle</w:t>
            </w:r>
          </w:p>
          <w:p w14:paraId="49BBF8B3" w14:textId="24592794" w:rsidR="00A66E18" w:rsidRPr="003A71E8" w:rsidRDefault="00A66E18" w:rsidP="005F1AFA">
            <w:pPr>
              <w:pStyle w:val="TableText"/>
              <w:spacing w:before="0"/>
              <w:rPr>
                <w:sz w:val="20"/>
              </w:rPr>
            </w:pPr>
            <w:r w:rsidRPr="003A71E8">
              <w:rPr>
                <w:sz w:val="20"/>
              </w:rPr>
              <w:t>(Acting) Secretary for the Environment and</w:t>
            </w:r>
            <w:r w:rsidR="00D420E0" w:rsidRPr="003A71E8">
              <w:rPr>
                <w:sz w:val="20"/>
              </w:rPr>
              <w:t xml:space="preserve"> </w:t>
            </w:r>
            <w:r w:rsidRPr="003A71E8">
              <w:rPr>
                <w:sz w:val="20"/>
              </w:rPr>
              <w:t>Chief</w:t>
            </w:r>
            <w:r w:rsidR="00D420E0" w:rsidRPr="003A71E8">
              <w:rPr>
                <w:sz w:val="20"/>
              </w:rPr>
              <w:t> </w:t>
            </w:r>
            <w:r w:rsidRPr="003A71E8">
              <w:rPr>
                <w:sz w:val="20"/>
              </w:rPr>
              <w:t>Executive</w:t>
            </w:r>
            <w:r w:rsidR="00F1304F" w:rsidRPr="003A71E8">
              <w:rPr>
                <w:sz w:val="20"/>
              </w:rPr>
              <w:t>, March–June 2026</w:t>
            </w:r>
          </w:p>
          <w:p w14:paraId="1F365AC2" w14:textId="6524779C" w:rsidR="00A66E18" w:rsidRPr="003A71E8" w:rsidRDefault="00A66E18" w:rsidP="00A66E18">
            <w:pPr>
              <w:pStyle w:val="TableText"/>
              <w:rPr>
                <w:sz w:val="20"/>
              </w:rPr>
            </w:pPr>
            <w:r w:rsidRPr="003A71E8">
              <w:rPr>
                <w:sz w:val="20"/>
              </w:rPr>
              <w:t>Deputy Secretary, Climate Change Mitigation and</w:t>
            </w:r>
            <w:r w:rsidR="00D420E0" w:rsidRPr="003A71E8">
              <w:rPr>
                <w:sz w:val="20"/>
              </w:rPr>
              <w:t> </w:t>
            </w:r>
            <w:r w:rsidRPr="003A71E8">
              <w:rPr>
                <w:sz w:val="20"/>
              </w:rPr>
              <w:t>Resource Efficiency</w:t>
            </w:r>
          </w:p>
          <w:p w14:paraId="6427E43C" w14:textId="77777777" w:rsidR="00A66E18" w:rsidRPr="003A71E8" w:rsidRDefault="00A66E18" w:rsidP="00495C80">
            <w:pPr>
              <w:pStyle w:val="TableText"/>
              <w:spacing w:before="0"/>
              <w:rPr>
                <w:sz w:val="20"/>
              </w:rPr>
            </w:pPr>
          </w:p>
          <w:p w14:paraId="034482D2" w14:textId="77777777" w:rsidR="00A66E18" w:rsidRPr="003A71E8" w:rsidRDefault="00A66E18" w:rsidP="00D420E0">
            <w:pPr>
              <w:pStyle w:val="TableboldGreen"/>
              <w:spacing w:after="0"/>
              <w:rPr>
                <w:sz w:val="20"/>
              </w:rPr>
            </w:pPr>
            <w:r w:rsidRPr="003A71E8">
              <w:rPr>
                <w:sz w:val="20"/>
              </w:rPr>
              <w:t>Laura Dixon</w:t>
            </w:r>
          </w:p>
          <w:p w14:paraId="571126A3" w14:textId="7792A68D" w:rsidR="00A66E18" w:rsidRPr="003A71E8" w:rsidRDefault="00A66E18" w:rsidP="005F1AFA">
            <w:pPr>
              <w:pStyle w:val="TableText"/>
              <w:spacing w:before="0"/>
              <w:rPr>
                <w:sz w:val="20"/>
              </w:rPr>
            </w:pPr>
            <w:r w:rsidRPr="003A71E8">
              <w:rPr>
                <w:sz w:val="20"/>
              </w:rPr>
              <w:t>Chief Operating Officer / Deputy Secretary, Business</w:t>
            </w:r>
            <w:r w:rsidR="00D420E0" w:rsidRPr="003A71E8">
              <w:rPr>
                <w:sz w:val="20"/>
              </w:rPr>
              <w:t> </w:t>
            </w:r>
            <w:r w:rsidRPr="003A71E8">
              <w:rPr>
                <w:sz w:val="20"/>
              </w:rPr>
              <w:t>Transformation Services</w:t>
            </w:r>
          </w:p>
          <w:p w14:paraId="62B87CFB" w14:textId="77777777" w:rsidR="00A66E18" w:rsidRPr="003A71E8" w:rsidRDefault="00A66E18" w:rsidP="00495C80">
            <w:pPr>
              <w:pStyle w:val="TableText"/>
              <w:spacing w:before="0"/>
              <w:rPr>
                <w:sz w:val="20"/>
              </w:rPr>
            </w:pPr>
          </w:p>
          <w:p w14:paraId="48041787" w14:textId="77777777" w:rsidR="00A66E18" w:rsidRPr="003A71E8" w:rsidRDefault="00A66E18" w:rsidP="00D420E0">
            <w:pPr>
              <w:pStyle w:val="TableboldGreen"/>
              <w:spacing w:after="0"/>
              <w:rPr>
                <w:sz w:val="20"/>
              </w:rPr>
            </w:pPr>
            <w:r w:rsidRPr="003A71E8">
              <w:rPr>
                <w:sz w:val="20"/>
              </w:rPr>
              <w:t>Anne Haira</w:t>
            </w:r>
          </w:p>
          <w:p w14:paraId="68E5F8C2" w14:textId="05D114BB" w:rsidR="00A66E18" w:rsidRPr="003A71E8" w:rsidRDefault="00A66E18" w:rsidP="005F1AFA">
            <w:pPr>
              <w:pStyle w:val="TableText"/>
              <w:spacing w:before="0"/>
              <w:rPr>
                <w:sz w:val="20"/>
              </w:rPr>
            </w:pPr>
            <w:r w:rsidRPr="003A71E8">
              <w:rPr>
                <w:sz w:val="20"/>
              </w:rPr>
              <w:t>Deputy Secretary, Partnerships, Investments and</w:t>
            </w:r>
            <w:r w:rsidR="00D420E0" w:rsidRPr="003A71E8">
              <w:rPr>
                <w:sz w:val="20"/>
              </w:rPr>
              <w:t> </w:t>
            </w:r>
            <w:r w:rsidRPr="003A71E8">
              <w:rPr>
                <w:sz w:val="20"/>
              </w:rPr>
              <w:t>Enablement</w:t>
            </w:r>
          </w:p>
        </w:tc>
        <w:tc>
          <w:tcPr>
            <w:tcW w:w="4248" w:type="dxa"/>
          </w:tcPr>
          <w:p w14:paraId="76CA8403" w14:textId="77777777" w:rsidR="00A66E18" w:rsidRPr="003A71E8" w:rsidRDefault="00A66E18" w:rsidP="00D420E0">
            <w:pPr>
              <w:pStyle w:val="TableboldGreen"/>
              <w:spacing w:after="0"/>
              <w:rPr>
                <w:sz w:val="20"/>
              </w:rPr>
            </w:pPr>
            <w:r w:rsidRPr="003A71E8">
              <w:rPr>
                <w:sz w:val="20"/>
              </w:rPr>
              <w:t>Nadeine Dommisse</w:t>
            </w:r>
          </w:p>
          <w:p w14:paraId="4B63C31A" w14:textId="20FFF45A" w:rsidR="005B4FF9" w:rsidRPr="003A71E8" w:rsidRDefault="00A66E18" w:rsidP="005F1AFA">
            <w:pPr>
              <w:pStyle w:val="TableText"/>
              <w:spacing w:before="0"/>
              <w:rPr>
                <w:sz w:val="20"/>
              </w:rPr>
            </w:pPr>
            <w:r w:rsidRPr="003A71E8">
              <w:rPr>
                <w:sz w:val="20"/>
              </w:rPr>
              <w:t>Deputy Secretary, Environmental Management and</w:t>
            </w:r>
            <w:r w:rsidR="00D420E0" w:rsidRPr="003A71E8">
              <w:rPr>
                <w:sz w:val="20"/>
              </w:rPr>
              <w:t> </w:t>
            </w:r>
            <w:r w:rsidRPr="003A71E8">
              <w:rPr>
                <w:sz w:val="20"/>
              </w:rPr>
              <w:t>Adaptation</w:t>
            </w:r>
          </w:p>
          <w:p w14:paraId="3D087C4D" w14:textId="77777777" w:rsidR="00A66E18" w:rsidRPr="003A71E8" w:rsidRDefault="00A66E18" w:rsidP="00495C80">
            <w:pPr>
              <w:pStyle w:val="TableText"/>
              <w:spacing w:before="0"/>
              <w:rPr>
                <w:sz w:val="20"/>
              </w:rPr>
            </w:pPr>
          </w:p>
          <w:p w14:paraId="4D408F9D" w14:textId="77777777" w:rsidR="00D6573F" w:rsidRPr="003A71E8" w:rsidRDefault="00D6573F" w:rsidP="00D6573F">
            <w:pPr>
              <w:pStyle w:val="TableboldGreen"/>
              <w:spacing w:after="0"/>
              <w:rPr>
                <w:sz w:val="20"/>
              </w:rPr>
            </w:pPr>
            <w:r w:rsidRPr="003A71E8">
              <w:rPr>
                <w:sz w:val="20"/>
              </w:rPr>
              <w:t>Gina Rangi</w:t>
            </w:r>
          </w:p>
          <w:p w14:paraId="27249CBC" w14:textId="4297F03E" w:rsidR="00D6573F" w:rsidRPr="003A71E8" w:rsidRDefault="00D6573F" w:rsidP="00D6573F">
            <w:pPr>
              <w:pStyle w:val="TableText"/>
              <w:spacing w:before="0"/>
              <w:rPr>
                <w:sz w:val="20"/>
              </w:rPr>
            </w:pPr>
            <w:r w:rsidRPr="003A71E8">
              <w:rPr>
                <w:sz w:val="20"/>
              </w:rPr>
              <w:t>Deputy Secretary, Tūmatakōkiri (M</w:t>
            </w:r>
            <w:r w:rsidRPr="003A71E8">
              <w:rPr>
                <w:rFonts w:cs="Calibri"/>
                <w:sz w:val="20"/>
              </w:rPr>
              <w:t>ā</w:t>
            </w:r>
            <w:r w:rsidRPr="003A71E8">
              <w:rPr>
                <w:sz w:val="20"/>
              </w:rPr>
              <w:t>ori Strategy and Performance)</w:t>
            </w:r>
          </w:p>
          <w:p w14:paraId="42CCEA40" w14:textId="77777777" w:rsidR="00B654DE" w:rsidRPr="003A71E8" w:rsidRDefault="00B654DE" w:rsidP="00495C80">
            <w:pPr>
              <w:pStyle w:val="TableText"/>
              <w:spacing w:before="0"/>
              <w:rPr>
                <w:sz w:val="20"/>
              </w:rPr>
            </w:pPr>
          </w:p>
          <w:p w14:paraId="429DA6BF" w14:textId="77777777" w:rsidR="00A66E18" w:rsidRPr="003A71E8" w:rsidRDefault="00A66E18" w:rsidP="00D420E0">
            <w:pPr>
              <w:pStyle w:val="TableboldGreen"/>
              <w:spacing w:after="0"/>
              <w:rPr>
                <w:sz w:val="20"/>
              </w:rPr>
            </w:pPr>
            <w:r w:rsidRPr="003A71E8">
              <w:rPr>
                <w:sz w:val="20"/>
              </w:rPr>
              <w:t>Natasha Lewis</w:t>
            </w:r>
          </w:p>
          <w:p w14:paraId="1587E32B" w14:textId="41C27C68" w:rsidR="00A66E18" w:rsidRPr="003A71E8" w:rsidRDefault="00A66E18" w:rsidP="005F1AFA">
            <w:pPr>
              <w:pStyle w:val="TableText"/>
              <w:spacing w:before="0"/>
              <w:rPr>
                <w:sz w:val="20"/>
              </w:rPr>
            </w:pPr>
            <w:r w:rsidRPr="003A71E8">
              <w:rPr>
                <w:sz w:val="20"/>
              </w:rPr>
              <w:t>Deputy Secretary, Strategy, Stewardship and</w:t>
            </w:r>
            <w:r w:rsidR="00D420E0" w:rsidRPr="003A71E8">
              <w:rPr>
                <w:sz w:val="20"/>
              </w:rPr>
              <w:t> </w:t>
            </w:r>
            <w:r w:rsidRPr="003A71E8">
              <w:rPr>
                <w:sz w:val="20"/>
              </w:rPr>
              <w:t>Performance</w:t>
            </w:r>
          </w:p>
          <w:p w14:paraId="123A0223" w14:textId="77777777" w:rsidR="000758B1" w:rsidRPr="003A71E8" w:rsidRDefault="000758B1" w:rsidP="00495C80">
            <w:pPr>
              <w:pStyle w:val="TableText"/>
              <w:spacing w:before="0"/>
              <w:rPr>
                <w:sz w:val="20"/>
              </w:rPr>
            </w:pPr>
          </w:p>
          <w:p w14:paraId="3C485CF0" w14:textId="4F1C1C7E" w:rsidR="000758B1" w:rsidRPr="003A71E8" w:rsidRDefault="000758B1" w:rsidP="00D420E0">
            <w:pPr>
              <w:pStyle w:val="TableboldGreen"/>
              <w:spacing w:after="0"/>
              <w:rPr>
                <w:sz w:val="20"/>
              </w:rPr>
            </w:pPr>
            <w:r w:rsidRPr="003A71E8">
              <w:rPr>
                <w:sz w:val="20"/>
              </w:rPr>
              <w:t>Becky Prebble</w:t>
            </w:r>
          </w:p>
          <w:p w14:paraId="75C69458" w14:textId="45D9F3B5" w:rsidR="000758B1" w:rsidRPr="003A71E8" w:rsidRDefault="000758B1" w:rsidP="005F1AFA">
            <w:pPr>
              <w:pStyle w:val="TableText"/>
              <w:spacing w:before="0"/>
              <w:rPr>
                <w:sz w:val="20"/>
              </w:rPr>
            </w:pPr>
            <w:r w:rsidRPr="003A71E8">
              <w:rPr>
                <w:sz w:val="20"/>
              </w:rPr>
              <w:t>(Acting) Deputy Secretary, Climate Change Mitigation and Resource Efficiency, March–June 2026</w:t>
            </w:r>
          </w:p>
          <w:p w14:paraId="288ABA13" w14:textId="77777777" w:rsidR="00A66E18" w:rsidRPr="003A71E8" w:rsidRDefault="00A66E18" w:rsidP="00495C80">
            <w:pPr>
              <w:pStyle w:val="TableText"/>
              <w:spacing w:before="0"/>
              <w:rPr>
                <w:sz w:val="20"/>
              </w:rPr>
            </w:pPr>
          </w:p>
          <w:p w14:paraId="1922AF82" w14:textId="77777777" w:rsidR="00A66E18" w:rsidRPr="003A71E8" w:rsidRDefault="00A66E18" w:rsidP="005F1AFA">
            <w:pPr>
              <w:pStyle w:val="TableboldGreen"/>
              <w:spacing w:after="0"/>
              <w:rPr>
                <w:sz w:val="20"/>
              </w:rPr>
            </w:pPr>
            <w:r w:rsidRPr="003A71E8">
              <w:rPr>
                <w:sz w:val="20"/>
              </w:rPr>
              <w:t>Martin Workman</w:t>
            </w:r>
          </w:p>
          <w:p w14:paraId="59850D15" w14:textId="62B3BB42" w:rsidR="00A66E18" w:rsidRPr="003A71E8" w:rsidRDefault="00A66E18" w:rsidP="005F1AFA">
            <w:pPr>
              <w:pStyle w:val="TableText"/>
              <w:spacing w:before="0"/>
              <w:rPr>
                <w:sz w:val="20"/>
              </w:rPr>
            </w:pPr>
            <w:r w:rsidRPr="003A71E8">
              <w:rPr>
                <w:sz w:val="20"/>
              </w:rPr>
              <w:t>Chief of Staff</w:t>
            </w:r>
          </w:p>
        </w:tc>
      </w:tr>
    </w:tbl>
    <w:p w14:paraId="48BFF861" w14:textId="77777777" w:rsidR="00F24F86" w:rsidRDefault="00F24F86" w:rsidP="005B4FF9">
      <w:pPr>
        <w:pStyle w:val="BodyText"/>
        <w:spacing w:after="240"/>
      </w:pPr>
    </w:p>
    <w:p w14:paraId="5A5BCBDE" w14:textId="77777777" w:rsidR="00F24F86" w:rsidRDefault="00F24F86">
      <w:pPr>
        <w:spacing w:before="0" w:after="200" w:line="276" w:lineRule="auto"/>
        <w:jc w:val="left"/>
      </w:pPr>
      <w:r>
        <w:br w:type="page"/>
      </w:r>
    </w:p>
    <w:p w14:paraId="4ED3BAB2" w14:textId="77777777" w:rsidR="0012676C" w:rsidRPr="005C5E32" w:rsidRDefault="0012676C" w:rsidP="006353ED">
      <w:pPr>
        <w:pStyle w:val="Heading1"/>
        <w:rPr>
          <w:rStyle w:val="Heading1Char"/>
          <w:b/>
          <w:bCs/>
          <w:i/>
          <w:iCs/>
          <w:sz w:val="56"/>
          <w:szCs w:val="56"/>
        </w:rPr>
      </w:pPr>
      <w:bookmarkStart w:id="24" w:name="_Spatial_Planning_Board"/>
      <w:bookmarkStart w:id="25" w:name="_Toc207017379"/>
      <w:bookmarkStart w:id="26" w:name="_Toc210136366"/>
      <w:bookmarkStart w:id="27" w:name="_Toc240445555"/>
      <w:bookmarkStart w:id="28" w:name="_Toc177626480"/>
      <w:bookmarkEnd w:id="4"/>
      <w:bookmarkEnd w:id="24"/>
      <w:r w:rsidRPr="005C5E32">
        <w:rPr>
          <w:rStyle w:val="Heading1Char"/>
          <w:b/>
          <w:bCs/>
          <w:sz w:val="56"/>
          <w:szCs w:val="56"/>
        </w:rPr>
        <w:lastRenderedPageBreak/>
        <w:t>2.</w:t>
      </w:r>
      <w:r w:rsidRPr="005C5E32">
        <w:rPr>
          <w:rStyle w:val="Heading1Char"/>
          <w:b/>
          <w:bCs/>
          <w:sz w:val="56"/>
          <w:szCs w:val="56"/>
        </w:rPr>
        <w:tab/>
        <w:t>Our performance</w:t>
      </w:r>
      <w:r w:rsidRPr="005C5E32">
        <w:rPr>
          <w:rStyle w:val="Heading1Char"/>
          <w:b/>
          <w:bCs/>
          <w:sz w:val="56"/>
          <w:szCs w:val="56"/>
        </w:rPr>
        <w:br/>
      </w:r>
      <w:bookmarkEnd w:id="25"/>
      <w:r w:rsidRPr="005C5E32">
        <w:rPr>
          <w:rStyle w:val="Heading1Char"/>
          <w:b/>
          <w:bCs/>
          <w:i/>
          <w:iCs/>
          <w:sz w:val="56"/>
          <w:szCs w:val="56"/>
        </w:rPr>
        <w:t>Ā mātou whakatutukinga</w:t>
      </w:r>
      <w:bookmarkEnd w:id="26"/>
      <w:bookmarkEnd w:id="27"/>
    </w:p>
    <w:bookmarkEnd w:id="28"/>
    <w:p w14:paraId="2BAE1E20" w14:textId="77777777" w:rsidR="0012676C" w:rsidRPr="005C5E32" w:rsidRDefault="0012676C" w:rsidP="008D524B">
      <w:pPr>
        <w:pStyle w:val="Heading3"/>
        <w:spacing w:before="240" w:line="440" w:lineRule="exact"/>
        <w:rPr>
          <w:color w:val="1B556B" w:themeColor="text2"/>
          <w:sz w:val="32"/>
          <w:szCs w:val="26"/>
        </w:rPr>
      </w:pPr>
      <w:r w:rsidRPr="005C5E32">
        <w:rPr>
          <w:color w:val="1B556B" w:themeColor="text2"/>
          <w:sz w:val="32"/>
          <w:szCs w:val="26"/>
        </w:rPr>
        <w:t>An assessment of our 2025/26 performance in relation to the strategic intentions and year-end results against appropriations</w:t>
      </w:r>
    </w:p>
    <w:p w14:paraId="5019F8B4" w14:textId="77777777" w:rsidR="0076533F" w:rsidRPr="005C5E32" w:rsidRDefault="0076533F" w:rsidP="0076533F">
      <w:pPr>
        <w:pStyle w:val="BodyText"/>
      </w:pPr>
    </w:p>
    <w:p w14:paraId="538AD0E5" w14:textId="5DA2F83C" w:rsidR="0076533F" w:rsidRPr="005C5E32" w:rsidRDefault="0076533F" w:rsidP="0076533F">
      <w:pPr>
        <w:pStyle w:val="BodyText"/>
      </w:pPr>
      <w:r w:rsidRPr="005C5E32">
        <w:br w:type="page"/>
      </w:r>
    </w:p>
    <w:p w14:paraId="457D0CF5" w14:textId="3BBBDA43" w:rsidR="0012676C" w:rsidRPr="005C5E32" w:rsidRDefault="0012676C" w:rsidP="009F440E">
      <w:pPr>
        <w:pStyle w:val="Heading2"/>
      </w:pPr>
      <w:bookmarkStart w:id="29" w:name="_Our_strategic_priorities"/>
      <w:bookmarkStart w:id="30" w:name="_Progress_on_our"/>
      <w:bookmarkStart w:id="31" w:name="_Toc177626482"/>
      <w:bookmarkStart w:id="32" w:name="_Toc205384852"/>
      <w:bookmarkStart w:id="33" w:name="_Toc207017380"/>
      <w:bookmarkStart w:id="34" w:name="_Toc210136367"/>
      <w:bookmarkStart w:id="35" w:name="_Toc240445556"/>
      <w:bookmarkEnd w:id="29"/>
      <w:bookmarkEnd w:id="30"/>
      <w:r w:rsidRPr="005C5E32">
        <w:lastRenderedPageBreak/>
        <w:t xml:space="preserve">Progress on our </w:t>
      </w:r>
      <w:bookmarkEnd w:id="31"/>
      <w:r w:rsidRPr="005C5E32">
        <w:t>strategic intentions</w:t>
      </w:r>
      <w:bookmarkEnd w:id="32"/>
      <w:bookmarkEnd w:id="33"/>
      <w:bookmarkEnd w:id="34"/>
      <w:bookmarkEnd w:id="35"/>
    </w:p>
    <w:p w14:paraId="6966FD53" w14:textId="154CACC9" w:rsidR="0012676C" w:rsidRPr="005C5E32" w:rsidRDefault="00485C47">
      <w:pPr>
        <w:pStyle w:val="BodyText"/>
        <w:spacing w:before="100" w:after="100"/>
      </w:pPr>
      <w:r w:rsidRPr="005C5E32">
        <w:t>The</w:t>
      </w:r>
      <w:r w:rsidR="00C92844" w:rsidRPr="005C5E32">
        <w:t xml:space="preserve"> strategic framework for the</w:t>
      </w:r>
      <w:r w:rsidRPr="005C5E32">
        <w:t xml:space="preserve"> Ministry for the Environment (the Ministry)</w:t>
      </w:r>
      <w:r w:rsidR="0012676C" w:rsidRPr="005C5E32">
        <w:t xml:space="preserve"> provided the whetū – the guiding star – that gave direction and united our staff around a shared purpose. This was set out in our </w:t>
      </w:r>
      <w:hyperlink r:id="rId18" w:history="1">
        <w:r w:rsidR="0012676C" w:rsidRPr="005C5E32">
          <w:rPr>
            <w:rStyle w:val="Hyperlink"/>
            <w:i/>
            <w:iCs/>
          </w:rPr>
          <w:t>Strategic Intentions 2025–2029</w:t>
        </w:r>
      </w:hyperlink>
      <w:r w:rsidR="0012676C" w:rsidRPr="005C5E32">
        <w:t>, which guided our work for the financial year 2025/26 as Aotearoa New Zealand</w:t>
      </w:r>
      <w:r w:rsidR="000369F8" w:rsidRPr="005C5E32">
        <w:t>’</w:t>
      </w:r>
      <w:r w:rsidR="0012676C" w:rsidRPr="005C5E32">
        <w:t>s lead advisor on the environment and climate.</w:t>
      </w:r>
    </w:p>
    <w:p w14:paraId="2F114FB1" w14:textId="71D79A12" w:rsidR="0012676C" w:rsidRPr="005C5E32" w:rsidRDefault="0012676C" w:rsidP="0004429F">
      <w:pPr>
        <w:pStyle w:val="BodyText"/>
        <w:spacing w:before="100" w:after="100"/>
      </w:pPr>
      <w:r w:rsidRPr="005C5E32">
        <w:t>The Ministry</w:t>
      </w:r>
      <w:r w:rsidR="000369F8" w:rsidRPr="005C5E32">
        <w:t>’</w:t>
      </w:r>
      <w:r w:rsidRPr="005C5E32">
        <w:t>s work for the year</w:t>
      </w:r>
      <w:r w:rsidRPr="005C5E32" w:rsidDel="00FE7047">
        <w:t xml:space="preserve"> </w:t>
      </w:r>
      <w:r w:rsidRPr="005C5E32">
        <w:t>was</w:t>
      </w:r>
      <w:r w:rsidRPr="005C5E32" w:rsidDel="00FE7047">
        <w:t xml:space="preserve"> </w:t>
      </w:r>
      <w:r w:rsidRPr="005C5E32">
        <w:t xml:space="preserve">steered by three strategic outcomes that reflected our obligations under the Environment Act 1986, </w:t>
      </w:r>
      <w:r w:rsidR="00843887" w:rsidRPr="005C5E32">
        <w:t xml:space="preserve">as well as </w:t>
      </w:r>
      <w:r w:rsidRPr="005C5E32">
        <w:t>the interconnectedness of people, the economy and the environment.</w:t>
      </w:r>
    </w:p>
    <w:p w14:paraId="462AFA6A" w14:textId="77777777" w:rsidR="0012676C" w:rsidRPr="005C5E32" w:rsidRDefault="0012676C" w:rsidP="003D377C">
      <w:pPr>
        <w:pStyle w:val="Numberedparagraph"/>
        <w:numPr>
          <w:ilvl w:val="0"/>
          <w:numId w:val="25"/>
        </w:numPr>
      </w:pPr>
      <w:r w:rsidRPr="005C5E32">
        <w:t>Our natural and built environments can provide for the values, needs and wellbeing of current and future generations.</w:t>
      </w:r>
    </w:p>
    <w:p w14:paraId="79D5886D" w14:textId="77777777" w:rsidR="0012676C" w:rsidRPr="005C5E32" w:rsidRDefault="0012676C" w:rsidP="003D377C">
      <w:pPr>
        <w:pStyle w:val="Numberedparagraph"/>
      </w:pPr>
      <w:r w:rsidRPr="005C5E32">
        <w:t>Decision-makers at all levels take full and balanced account of environmental, social and economic costs and benefits.</w:t>
      </w:r>
    </w:p>
    <w:p w14:paraId="0FDFA839" w14:textId="6EF9B5E7" w:rsidR="0012676C" w:rsidRPr="005C5E32" w:rsidRDefault="0012676C" w:rsidP="003D377C">
      <w:pPr>
        <w:pStyle w:val="Numberedparagraph"/>
      </w:pPr>
      <w:r w:rsidRPr="005C5E32">
        <w:t>Te Tiriti</w:t>
      </w:r>
      <w:r w:rsidR="002A46B6" w:rsidRPr="005C5E32">
        <w:t xml:space="preserve"> o Waitangi (the Treaty of Waitangi)</w:t>
      </w:r>
      <w:r w:rsidRPr="005C5E32">
        <w:t xml:space="preserve"> is upheld</w:t>
      </w:r>
      <w:r w:rsidRPr="005C5E32" w:rsidDel="00492A99">
        <w:t>,</w:t>
      </w:r>
      <w:r w:rsidRPr="005C5E32">
        <w:t xml:space="preserve"> and the Māori–Crown relationship is</w:t>
      </w:r>
      <w:r w:rsidR="0076533F" w:rsidRPr="005C5E32">
        <w:t> </w:t>
      </w:r>
      <w:r w:rsidRPr="005C5E32">
        <w:t>strong.</w:t>
      </w:r>
    </w:p>
    <w:p w14:paraId="12455878" w14:textId="1DA555D9" w:rsidR="0012676C" w:rsidRPr="005C5E32" w:rsidRDefault="0012676C" w:rsidP="003B4A7F">
      <w:pPr>
        <w:pStyle w:val="BodyText"/>
      </w:pPr>
      <w:r w:rsidRPr="005C5E32">
        <w:t xml:space="preserve">The five strategic priorities identified in the </w:t>
      </w:r>
      <w:r w:rsidRPr="005C5E32">
        <w:rPr>
          <w:i/>
          <w:iCs/>
        </w:rPr>
        <w:t>Strategic Intentions 2025–2029</w:t>
      </w:r>
      <w:r w:rsidRPr="005C5E32">
        <w:t xml:space="preserve"> reflected the Government</w:t>
      </w:r>
      <w:r w:rsidR="000369F8" w:rsidRPr="005C5E32">
        <w:t>’</w:t>
      </w:r>
      <w:r w:rsidRPr="005C5E32">
        <w:t>s objectives and areas where the Ministry could have the most impact. These priorities guided our work programme and provided a clear line of sight between our actions and the outcomes we sought.</w:t>
      </w:r>
    </w:p>
    <w:p w14:paraId="095FAB32" w14:textId="6E3A243F" w:rsidR="0012676C" w:rsidRPr="005C5E32" w:rsidRDefault="0012676C">
      <w:pPr>
        <w:pStyle w:val="BodyText"/>
        <w:spacing w:after="100"/>
      </w:pPr>
      <w:r w:rsidRPr="005C5E32">
        <w:t>Our five strategic priorities were</w:t>
      </w:r>
      <w:r w:rsidR="00502F3C" w:rsidRPr="005C5E32">
        <w:t xml:space="preserve"> as follows.</w:t>
      </w:r>
    </w:p>
    <w:p w14:paraId="36374819" w14:textId="77777777" w:rsidR="0012676C" w:rsidRPr="005C5E32" w:rsidRDefault="0012676C" w:rsidP="003D377C">
      <w:pPr>
        <w:pStyle w:val="Numberedparagraph"/>
        <w:numPr>
          <w:ilvl w:val="0"/>
          <w:numId w:val="23"/>
        </w:numPr>
      </w:pPr>
      <w:r w:rsidRPr="005C5E32">
        <w:t>Improve the resource management system to be more efficient and effective.</w:t>
      </w:r>
    </w:p>
    <w:p w14:paraId="01D5C3FF" w14:textId="00023F68" w:rsidR="0012676C" w:rsidRPr="005C5E32" w:rsidRDefault="0012676C" w:rsidP="003D377C">
      <w:pPr>
        <w:pStyle w:val="Numberedparagraph"/>
      </w:pPr>
      <w:r w:rsidRPr="005C5E32">
        <w:t>Strengthen the resilience of communities, businesses and places to climate change and</w:t>
      </w:r>
      <w:r w:rsidR="005903F2" w:rsidRPr="005C5E32">
        <w:t> </w:t>
      </w:r>
      <w:r w:rsidRPr="005C5E32">
        <w:t>natural hazards.</w:t>
      </w:r>
    </w:p>
    <w:p w14:paraId="00CCCA1C" w14:textId="77777777" w:rsidR="0012676C" w:rsidRPr="005C5E32" w:rsidRDefault="0012676C" w:rsidP="003D377C">
      <w:pPr>
        <w:pStyle w:val="Numberedparagraph"/>
      </w:pPr>
      <w:r w:rsidRPr="005C5E32">
        <w:t>Support the transition to a competitive low-emission, resource-efficient economy.</w:t>
      </w:r>
    </w:p>
    <w:p w14:paraId="4B7237B1" w14:textId="77777777" w:rsidR="0012676C" w:rsidRPr="005C5E32" w:rsidRDefault="0012676C" w:rsidP="003D377C">
      <w:pPr>
        <w:pStyle w:val="Numberedparagraph"/>
      </w:pPr>
      <w:r w:rsidRPr="005C5E32">
        <w:t>Improve the quality and accessibility of evidence for all decision-makers.</w:t>
      </w:r>
    </w:p>
    <w:p w14:paraId="77CF4F84" w14:textId="77777777" w:rsidR="0012676C" w:rsidRPr="005C5E32" w:rsidRDefault="0012676C" w:rsidP="003D377C">
      <w:pPr>
        <w:pStyle w:val="Numberedparagraph"/>
      </w:pPr>
      <w:r w:rsidRPr="005C5E32">
        <w:t>Ensure our investments, partnerships and relationships enable others to achieve impactful solutions.</w:t>
      </w:r>
    </w:p>
    <w:p w14:paraId="672A8053" w14:textId="36BED976" w:rsidR="0012676C" w:rsidRPr="005C5E32" w:rsidRDefault="0012676C">
      <w:pPr>
        <w:pStyle w:val="BodyText"/>
      </w:pPr>
      <w:r w:rsidRPr="005C5E32">
        <w:t>This report reflects the</w:t>
      </w:r>
      <w:r w:rsidR="007B6624" w:rsidRPr="005C5E32">
        <w:t xml:space="preserve"> Ministry</w:t>
      </w:r>
      <w:r w:rsidR="000369F8" w:rsidRPr="005C5E32">
        <w:t>’</w:t>
      </w:r>
      <w:r w:rsidR="007B6624" w:rsidRPr="005C5E32">
        <w:t>s</w:t>
      </w:r>
      <w:r w:rsidRPr="005C5E32">
        <w:t xml:space="preserve"> final year of reporting against </w:t>
      </w:r>
      <w:r w:rsidR="007B6624" w:rsidRPr="005C5E32">
        <w:t xml:space="preserve">our </w:t>
      </w:r>
      <w:r w:rsidRPr="005C5E32">
        <w:rPr>
          <w:i/>
          <w:iCs/>
        </w:rPr>
        <w:t xml:space="preserve">Strategic Intentions </w:t>
      </w:r>
      <w:r w:rsidR="0076533F" w:rsidRPr="005C5E32">
        <w:rPr>
          <w:i/>
          <w:iCs/>
        </w:rPr>
        <w:br/>
      </w:r>
      <w:r w:rsidRPr="005C5E32">
        <w:rPr>
          <w:i/>
          <w:iCs/>
        </w:rPr>
        <w:t>2025–2029</w:t>
      </w:r>
      <w:r w:rsidR="00441ECB" w:rsidRPr="005C5E32">
        <w:t>.</w:t>
      </w:r>
      <w:r w:rsidR="00D64965" w:rsidRPr="005C5E32">
        <w:t xml:space="preserve"> </w:t>
      </w:r>
      <w:r w:rsidR="00441ECB" w:rsidRPr="005C5E32">
        <w:t xml:space="preserve">On 1 July 2026, the Ministry for the Environment ceased to be </w:t>
      </w:r>
      <w:r w:rsidRPr="005C5E32">
        <w:t>a standalone agency</w:t>
      </w:r>
      <w:r w:rsidR="00441ECB" w:rsidRPr="005C5E32">
        <w:t xml:space="preserve"> and became part of the Ministry for Cities, Environment, Regions and Transport (MCERT)</w:t>
      </w:r>
      <w:r w:rsidRPr="005C5E32">
        <w:t xml:space="preserve">. Updated strategic intentions </w:t>
      </w:r>
      <w:r w:rsidR="008C4EA0">
        <w:t>have been</w:t>
      </w:r>
      <w:r w:rsidRPr="005C5E32">
        <w:t xml:space="preserve"> developed to support the delivery of the Government</w:t>
      </w:r>
      <w:r w:rsidR="000369F8" w:rsidRPr="005C5E32">
        <w:t>’</w:t>
      </w:r>
      <w:r w:rsidRPr="005C5E32">
        <w:t xml:space="preserve">s priorities under </w:t>
      </w:r>
      <w:r w:rsidR="007B6624" w:rsidRPr="005C5E32">
        <w:t>MCERT</w:t>
      </w:r>
      <w:r w:rsidR="00520719">
        <w:t xml:space="preserve"> and, by the time of publication </w:t>
      </w:r>
      <w:r w:rsidR="00865FF0">
        <w:t>of this report, will be published on the MCERT website</w:t>
      </w:r>
      <w:r w:rsidRPr="005C5E32">
        <w:t>.</w:t>
      </w:r>
    </w:p>
    <w:p w14:paraId="6489D647" w14:textId="1F39BCDC" w:rsidR="0012676C" w:rsidRPr="005C5E32" w:rsidRDefault="0012676C" w:rsidP="0024522F">
      <w:pPr>
        <w:pStyle w:val="BodyText"/>
      </w:pPr>
      <w:bookmarkStart w:id="36" w:name="_Toc173852896"/>
      <w:bookmarkStart w:id="37" w:name="_Toc173931465"/>
      <w:bookmarkStart w:id="38" w:name="_Toc173932199"/>
      <w:bookmarkStart w:id="39" w:name="_Toc111637856"/>
      <w:bookmarkStart w:id="40" w:name="_Toc109648960"/>
      <w:bookmarkStart w:id="41" w:name="_Toc110587647"/>
      <w:bookmarkStart w:id="42" w:name="_Toc136349038"/>
      <w:bookmarkStart w:id="43" w:name="_Toc136349033"/>
      <w:bookmarkStart w:id="44" w:name="_Toc112144578"/>
      <w:r w:rsidRPr="005C5E32">
        <w:rPr>
          <w:spacing w:val="-2"/>
        </w:rPr>
        <w:t>The Ministry</w:t>
      </w:r>
      <w:r w:rsidR="008655A4" w:rsidRPr="005C5E32">
        <w:rPr>
          <w:spacing w:val="-2"/>
        </w:rPr>
        <w:t xml:space="preserve"> for the Environment</w:t>
      </w:r>
      <w:r w:rsidR="000369F8" w:rsidRPr="005C5E32">
        <w:rPr>
          <w:spacing w:val="-2"/>
        </w:rPr>
        <w:t>’</w:t>
      </w:r>
      <w:r w:rsidRPr="005C5E32">
        <w:rPr>
          <w:spacing w:val="-2"/>
        </w:rPr>
        <w:t>s performance reporting has been prepared in accordance with generally accepted</w:t>
      </w:r>
      <w:r w:rsidRPr="005C5E32">
        <w:t xml:space="preserve"> </w:t>
      </w:r>
      <w:r w:rsidRPr="005C5E32">
        <w:rPr>
          <w:spacing w:val="-2"/>
        </w:rPr>
        <w:t xml:space="preserve">accounting practice (GAAP) and the </w:t>
      </w:r>
      <w:hyperlink r:id="rId19" w:history="1">
        <w:r w:rsidR="003E003A" w:rsidRPr="00AF2BF4">
          <w:rPr>
            <w:rStyle w:val="Hyperlink"/>
            <w:i/>
            <w:spacing w:val="-2"/>
          </w:rPr>
          <w:t>Service Performance Reporting Standard (PBE FRS 48)</w:t>
        </w:r>
        <w:r w:rsidRPr="00AF2BF4">
          <w:rPr>
            <w:rStyle w:val="Hyperlink"/>
          </w:rPr>
          <w:t>.</w:t>
        </w:r>
      </w:hyperlink>
    </w:p>
    <w:p w14:paraId="16EE51BD" w14:textId="77777777" w:rsidR="0012676C" w:rsidRPr="005C5E32" w:rsidRDefault="0012676C" w:rsidP="0024522F">
      <w:pPr>
        <w:pStyle w:val="BodyText"/>
      </w:pPr>
    </w:p>
    <w:p w14:paraId="4FC2815F" w14:textId="77777777" w:rsidR="0012676C" w:rsidRPr="005C5E32" w:rsidRDefault="0012676C" w:rsidP="0024522F">
      <w:pPr>
        <w:pStyle w:val="BodyText"/>
      </w:pPr>
      <w:r w:rsidRPr="005C5E32">
        <w:br w:type="page"/>
      </w:r>
    </w:p>
    <w:p w14:paraId="73E9FED0" w14:textId="77777777" w:rsidR="0012676C" w:rsidRPr="005C5E32" w:rsidRDefault="0012676C" w:rsidP="003B4A7F">
      <w:pPr>
        <w:pStyle w:val="Heading2"/>
        <w:spacing w:after="240"/>
        <w:rPr>
          <w:lang w:eastAsia="en-US"/>
        </w:rPr>
      </w:pPr>
      <w:bookmarkStart w:id="45" w:name="_Strategic_priority_1:_1"/>
      <w:bookmarkStart w:id="46" w:name="_Strategic_priority_1:"/>
      <w:bookmarkStart w:id="47" w:name="_Toc207017381"/>
      <w:bookmarkStart w:id="48" w:name="_Toc210136368"/>
      <w:bookmarkStart w:id="49" w:name="_Toc240445557"/>
      <w:bookmarkEnd w:id="45"/>
      <w:bookmarkEnd w:id="46"/>
      <w:r w:rsidRPr="005C5E32">
        <w:rPr>
          <w:lang w:eastAsia="en-US"/>
        </w:rPr>
        <w:lastRenderedPageBreak/>
        <w:t>Strategic priority 1: Improve the resource management system to be more efficient and effective</w:t>
      </w:r>
      <w:bookmarkEnd w:id="47"/>
      <w:bookmarkEnd w:id="48"/>
      <w:bookmarkEnd w:id="49"/>
    </w:p>
    <w:p w14:paraId="72E16194" w14:textId="5B3C2CD4" w:rsidR="0012676C" w:rsidRPr="005C5E32" w:rsidRDefault="0012676C" w:rsidP="0076533F">
      <w:pPr>
        <w:pStyle w:val="BodyText"/>
      </w:pPr>
      <w:r w:rsidRPr="005C5E32">
        <w:t>Over the last financial year, the Ministry continued to reform the planning system</w:t>
      </w:r>
      <w:r w:rsidR="00E800FB" w:rsidRPr="005C5E32">
        <w:t xml:space="preserve"> and</w:t>
      </w:r>
      <w:r w:rsidR="00E46B8F" w:rsidRPr="005C5E32">
        <w:t xml:space="preserve"> to</w:t>
      </w:r>
      <w:r w:rsidR="00DB05E1" w:rsidRPr="005C5E32">
        <w:t xml:space="preserve"> </w:t>
      </w:r>
      <w:r w:rsidRPr="005C5E32">
        <w:t xml:space="preserve">implement </w:t>
      </w:r>
      <w:r w:rsidR="004D2317" w:rsidRPr="005C5E32">
        <w:t>g</w:t>
      </w:r>
      <w:r w:rsidRPr="005C5E32">
        <w:t>overnment policy</w:t>
      </w:r>
      <w:r w:rsidR="00286FE8" w:rsidRPr="005C5E32">
        <w:t>,</w:t>
      </w:r>
      <w:r w:rsidR="00B0429B" w:rsidRPr="005C5E32">
        <w:t xml:space="preserve"> and </w:t>
      </w:r>
      <w:r w:rsidR="00E800FB" w:rsidRPr="005C5E32">
        <w:t xml:space="preserve">it </w:t>
      </w:r>
      <w:r w:rsidR="00B0429B" w:rsidRPr="005C5E32">
        <w:t>achieved</w:t>
      </w:r>
      <w:r w:rsidRPr="005C5E32">
        <w:t xml:space="preserve"> significant milestones in the transition to the new system. In December 2025, the Planning </w:t>
      </w:r>
      <w:r w:rsidR="00EA5129" w:rsidRPr="005C5E32">
        <w:t xml:space="preserve">Bill </w:t>
      </w:r>
      <w:r w:rsidRPr="005C5E32">
        <w:t xml:space="preserve">and </w:t>
      </w:r>
      <w:r w:rsidR="00EA5129" w:rsidRPr="005C5E32">
        <w:t xml:space="preserve">the </w:t>
      </w:r>
      <w:r w:rsidRPr="005C5E32">
        <w:t>Natural Environment Bill were introduced to Parliament. This marked the start of a multi-year transformation programme.</w:t>
      </w:r>
    </w:p>
    <w:p w14:paraId="4B6959E2" w14:textId="77777777" w:rsidR="0012676C" w:rsidRPr="005C5E32" w:rsidRDefault="0012676C">
      <w:pPr>
        <w:pStyle w:val="Bullet"/>
      </w:pPr>
      <w:r w:rsidRPr="005C5E32">
        <w:t>The Planning Bill contains the rules for how land can be used and developed.</w:t>
      </w:r>
    </w:p>
    <w:p w14:paraId="23AA1B54" w14:textId="50184D11" w:rsidR="0012676C" w:rsidRPr="005C5E32" w:rsidRDefault="0012676C">
      <w:pPr>
        <w:pStyle w:val="Bullet"/>
      </w:pPr>
      <w:r w:rsidRPr="005C5E32">
        <w:t xml:space="preserve">The Natural Environment Bill </w:t>
      </w:r>
      <w:r w:rsidR="00343A06" w:rsidRPr="005C5E32">
        <w:t>provides the framework for managing natural resources and</w:t>
      </w:r>
      <w:r w:rsidR="005903F2" w:rsidRPr="005C5E32">
        <w:t> </w:t>
      </w:r>
      <w:r w:rsidR="00343A06" w:rsidRPr="005C5E32">
        <w:t>protecting the environment</w:t>
      </w:r>
      <w:r w:rsidR="009A5FAB" w:rsidRPr="005C5E32">
        <w:t>.</w:t>
      </w:r>
    </w:p>
    <w:p w14:paraId="4FE73264" w14:textId="2911A2FA" w:rsidR="0012676C" w:rsidRPr="005C5E32" w:rsidRDefault="0012676C">
      <w:pPr>
        <w:pStyle w:val="BodyText"/>
      </w:pPr>
      <w:r w:rsidRPr="005C5E32">
        <w:t>Alongside the new Bills, the Government is investing in the rollout of data and digital foundations and</w:t>
      </w:r>
      <w:r w:rsidR="00C301CF" w:rsidRPr="005C5E32">
        <w:t xml:space="preserve"> of</w:t>
      </w:r>
      <w:r w:rsidRPr="005C5E32">
        <w:t xml:space="preserve"> </w:t>
      </w:r>
      <w:r w:rsidR="00921075" w:rsidRPr="005C5E32">
        <w:t>n</w:t>
      </w:r>
      <w:r w:rsidRPr="005C5E32">
        <w:t xml:space="preserve">ational </w:t>
      </w:r>
      <w:r w:rsidR="00921075" w:rsidRPr="005C5E32">
        <w:t>i</w:t>
      </w:r>
      <w:r w:rsidRPr="005C5E32">
        <w:t xml:space="preserve">nstruments, which provide a nationally consistent approach to managing natural resources. This </w:t>
      </w:r>
      <w:r w:rsidR="00DA10AB" w:rsidRPr="005C5E32">
        <w:t xml:space="preserve">investment is intended to </w:t>
      </w:r>
      <w:r w:rsidRPr="005C5E32">
        <w:t>create a single, integrated system that is easier to access and use, supports more consistent decision-making and reduces duplication across regions.</w:t>
      </w:r>
    </w:p>
    <w:p w14:paraId="5ACA4ADD" w14:textId="4366F3E1" w:rsidR="00B63663" w:rsidRPr="005C5E32" w:rsidRDefault="00FA3AFD" w:rsidP="00B63663">
      <w:pPr>
        <w:pStyle w:val="BodyText"/>
      </w:pPr>
      <w:r w:rsidRPr="005C5E32">
        <w:t>These initiatives form part of the work to develop and implement the new planning system for</w:t>
      </w:r>
      <w:r w:rsidR="0076533F" w:rsidRPr="005C5E32">
        <w:t> </w:t>
      </w:r>
      <w:r w:rsidRPr="005C5E32">
        <w:t>New Zealanders.</w:t>
      </w:r>
    </w:p>
    <w:p w14:paraId="509F5D4C" w14:textId="23A35B33" w:rsidR="0012676C" w:rsidRPr="005C5E32" w:rsidRDefault="0012676C" w:rsidP="00B95283">
      <w:pPr>
        <w:pStyle w:val="Heading3"/>
        <w:spacing w:after="240"/>
      </w:pPr>
      <w:r w:rsidRPr="005C5E32">
        <w:t>How we measure progress</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CellMar>
          <w:left w:w="85" w:type="dxa"/>
          <w:right w:w="85" w:type="dxa"/>
        </w:tblCellMar>
        <w:tblLook w:val="04A0" w:firstRow="1" w:lastRow="0" w:firstColumn="1" w:lastColumn="0" w:noHBand="0" w:noVBand="1"/>
      </w:tblPr>
      <w:tblGrid>
        <w:gridCol w:w="3828"/>
        <w:gridCol w:w="4677"/>
      </w:tblGrid>
      <w:tr w:rsidR="0012676C" w:rsidRPr="005C5E32" w14:paraId="1E234D6A" w14:textId="77777777" w:rsidTr="005903F2">
        <w:trPr>
          <w:tblHeader/>
        </w:trPr>
        <w:tc>
          <w:tcPr>
            <w:tcW w:w="3828" w:type="dxa"/>
            <w:shd w:val="clear" w:color="auto" w:fill="1B556B"/>
          </w:tcPr>
          <w:p w14:paraId="0CCB1A28" w14:textId="77777777" w:rsidR="0012676C" w:rsidRPr="005C5E32" w:rsidRDefault="0012676C" w:rsidP="00B95283">
            <w:pPr>
              <w:pStyle w:val="TableTextbold"/>
              <w:keepNext/>
              <w:rPr>
                <w:color w:val="FFFFFF" w:themeColor="background1"/>
                <w:szCs w:val="18"/>
              </w:rPr>
            </w:pPr>
            <w:r w:rsidRPr="005C5E32">
              <w:rPr>
                <w:color w:val="FFFFFF" w:themeColor="background1"/>
                <w:szCs w:val="18"/>
              </w:rPr>
              <w:t>How we make a difference</w:t>
            </w:r>
          </w:p>
        </w:tc>
        <w:tc>
          <w:tcPr>
            <w:tcW w:w="4677" w:type="dxa"/>
            <w:shd w:val="clear" w:color="auto" w:fill="1B556B"/>
          </w:tcPr>
          <w:p w14:paraId="66B7396F" w14:textId="77777777" w:rsidR="0012676C" w:rsidRPr="005C5E32" w:rsidRDefault="0012676C" w:rsidP="00B95283">
            <w:pPr>
              <w:pStyle w:val="TableTextbold"/>
              <w:keepNext/>
              <w:rPr>
                <w:color w:val="FFFFFF" w:themeColor="background1"/>
                <w:szCs w:val="18"/>
              </w:rPr>
            </w:pPr>
            <w:r w:rsidRPr="005C5E32">
              <w:rPr>
                <w:color w:val="FFFFFF" w:themeColor="background1"/>
                <w:szCs w:val="18"/>
              </w:rPr>
              <w:t>2025/26</w:t>
            </w:r>
            <w:r w:rsidRPr="005C5E32">
              <w:rPr>
                <w:rStyle w:val="FootnoteReference"/>
                <w:color w:val="FFFFFF" w:themeColor="background1"/>
                <w:sz w:val="18"/>
                <w:szCs w:val="18"/>
              </w:rPr>
              <w:footnoteReference w:id="3"/>
            </w:r>
            <w:r w:rsidRPr="005C5E32">
              <w:rPr>
                <w:color w:val="FFFFFF" w:themeColor="background1"/>
                <w:szCs w:val="18"/>
              </w:rPr>
              <w:t xml:space="preserve"> performance and achievements</w:t>
            </w:r>
          </w:p>
        </w:tc>
      </w:tr>
      <w:tr w:rsidR="0012676C" w:rsidRPr="005C5E32" w14:paraId="44461DDD" w14:textId="77777777" w:rsidTr="005903F2">
        <w:tc>
          <w:tcPr>
            <w:tcW w:w="3828" w:type="dxa"/>
          </w:tcPr>
          <w:p w14:paraId="4B5D992C" w14:textId="24657EAD" w:rsidR="0012676C" w:rsidRPr="005C5E32" w:rsidRDefault="0012676C" w:rsidP="00B95283">
            <w:pPr>
              <w:pStyle w:val="TableText"/>
              <w:keepNext/>
              <w:spacing w:before="40" w:after="40"/>
              <w:rPr>
                <w:szCs w:val="18"/>
              </w:rPr>
            </w:pPr>
            <w:r w:rsidRPr="005C5E32">
              <w:rPr>
                <w:rFonts w:asciiTheme="minorHAnsi" w:hAnsiTheme="minorHAnsi" w:cstheme="minorHAnsi"/>
                <w:szCs w:val="18"/>
              </w:rPr>
              <w:t xml:space="preserve">Deliver </w:t>
            </w:r>
            <w:r w:rsidR="00837412" w:rsidRPr="005C5E32">
              <w:rPr>
                <w:rFonts w:asciiTheme="minorHAnsi" w:hAnsiTheme="minorHAnsi" w:cstheme="minorHAnsi"/>
                <w:szCs w:val="18"/>
              </w:rPr>
              <w:t>Resource Management Act 1991 (</w:t>
            </w:r>
            <w:r w:rsidRPr="005C5E32">
              <w:rPr>
                <w:rFonts w:asciiTheme="minorHAnsi" w:hAnsiTheme="minorHAnsi" w:cstheme="minorHAnsi"/>
                <w:szCs w:val="18"/>
              </w:rPr>
              <w:t>RMA</w:t>
            </w:r>
            <w:r w:rsidR="00837412" w:rsidRPr="005C5E32">
              <w:rPr>
                <w:rFonts w:asciiTheme="minorHAnsi" w:hAnsiTheme="minorHAnsi" w:cstheme="minorHAnsi"/>
                <w:szCs w:val="18"/>
              </w:rPr>
              <w:t>)</w:t>
            </w:r>
            <w:r w:rsidRPr="005C5E32">
              <w:rPr>
                <w:rFonts w:asciiTheme="minorHAnsi" w:hAnsiTheme="minorHAnsi" w:cstheme="minorHAnsi"/>
                <w:szCs w:val="18"/>
              </w:rPr>
              <w:t xml:space="preserve"> legislative amendments consistent with </w:t>
            </w:r>
            <w:r w:rsidR="00794146" w:rsidRPr="005C5E32">
              <w:rPr>
                <w:rFonts w:asciiTheme="minorHAnsi" w:hAnsiTheme="minorHAnsi" w:cstheme="minorHAnsi"/>
                <w:szCs w:val="18"/>
              </w:rPr>
              <w:t>g</w:t>
            </w:r>
            <w:r w:rsidRPr="005C5E32">
              <w:rPr>
                <w:rFonts w:asciiTheme="minorHAnsi" w:hAnsiTheme="minorHAnsi" w:cstheme="minorHAnsi"/>
                <w:szCs w:val="18"/>
              </w:rPr>
              <w:t>overnment priorities, objectives and timeframes</w:t>
            </w:r>
          </w:p>
        </w:tc>
        <w:tc>
          <w:tcPr>
            <w:tcW w:w="4677" w:type="dxa"/>
          </w:tcPr>
          <w:p w14:paraId="60CA19A1" w14:textId="3FED01E7" w:rsidR="0012676C" w:rsidRPr="005C5E32" w:rsidRDefault="0012676C">
            <w:pPr>
              <w:pStyle w:val="TableText"/>
              <w:rPr>
                <w:rFonts w:asciiTheme="minorHAnsi" w:hAnsiTheme="minorHAnsi" w:cstheme="minorBidi"/>
                <w:b/>
                <w:szCs w:val="18"/>
              </w:rPr>
            </w:pPr>
            <w:r w:rsidRPr="005C5E32">
              <w:rPr>
                <w:szCs w:val="18"/>
              </w:rPr>
              <w:t xml:space="preserve">The </w:t>
            </w:r>
            <w:hyperlink r:id="rId20" w:anchor="LMS1014951" w:history="1">
              <w:r w:rsidRPr="005C5E32">
                <w:rPr>
                  <w:rStyle w:val="Hyperlink"/>
                  <w:rFonts w:cstheme="minorBidi"/>
                  <w:spacing w:val="-2"/>
                  <w:szCs w:val="18"/>
                </w:rPr>
                <w:t>Resource Management (Consenting and Other System Changes) Amendment Act</w:t>
              </w:r>
            </w:hyperlink>
            <w:r w:rsidRPr="005C5E32">
              <w:rPr>
                <w:spacing w:val="-2"/>
                <w:szCs w:val="18"/>
              </w:rPr>
              <w:t xml:space="preserve"> passed into law on 20 August 2025</w:t>
            </w:r>
            <w:r w:rsidRPr="005C5E32">
              <w:rPr>
                <w:szCs w:val="18"/>
              </w:rPr>
              <w:t xml:space="preserve">. </w:t>
            </w:r>
          </w:p>
        </w:tc>
      </w:tr>
      <w:tr w:rsidR="0012676C" w:rsidRPr="005C5E32" w14:paraId="7995EF93" w14:textId="77777777" w:rsidTr="005903F2">
        <w:tc>
          <w:tcPr>
            <w:tcW w:w="3828" w:type="dxa"/>
          </w:tcPr>
          <w:p w14:paraId="50F48219" w14:textId="7E1778DE" w:rsidR="0012676C" w:rsidRPr="005C5E32" w:rsidRDefault="0012676C" w:rsidP="003D0CC1">
            <w:pPr>
              <w:pStyle w:val="TableText"/>
              <w:spacing w:before="40" w:after="40"/>
              <w:rPr>
                <w:szCs w:val="18"/>
              </w:rPr>
            </w:pPr>
            <w:r w:rsidRPr="005C5E32">
              <w:rPr>
                <w:rFonts w:asciiTheme="minorHAnsi" w:hAnsiTheme="minorHAnsi" w:cstheme="minorHAnsi"/>
                <w:szCs w:val="18"/>
              </w:rPr>
              <w:t>Deliver RMA national direction consistent with </w:t>
            </w:r>
            <w:r w:rsidR="00794146" w:rsidRPr="005C5E32">
              <w:rPr>
                <w:rFonts w:asciiTheme="minorHAnsi" w:hAnsiTheme="minorHAnsi" w:cstheme="minorHAnsi"/>
                <w:szCs w:val="18"/>
              </w:rPr>
              <w:t>g</w:t>
            </w:r>
            <w:r w:rsidRPr="005C5E32">
              <w:rPr>
                <w:rFonts w:asciiTheme="minorHAnsi" w:hAnsiTheme="minorHAnsi" w:cstheme="minorHAnsi"/>
                <w:szCs w:val="18"/>
              </w:rPr>
              <w:t>overnment priorities, objectives and timeframes</w:t>
            </w:r>
          </w:p>
        </w:tc>
        <w:tc>
          <w:tcPr>
            <w:tcW w:w="4677" w:type="dxa"/>
          </w:tcPr>
          <w:p w14:paraId="4F2FD89D" w14:textId="4448AB8E" w:rsidR="0012676C" w:rsidRPr="005C5E32" w:rsidRDefault="0012676C">
            <w:pPr>
              <w:pStyle w:val="TableText"/>
              <w:tabs>
                <w:tab w:val="left" w:pos="1578"/>
              </w:tabs>
              <w:rPr>
                <w:szCs w:val="18"/>
              </w:rPr>
            </w:pPr>
            <w:r w:rsidRPr="005C5E32">
              <w:t>Fourteen new or amended national direction instruments have been gazetted since December 2025.</w:t>
            </w:r>
            <w:r w:rsidR="002C5AF8" w:rsidRPr="005C5E32">
              <w:t xml:space="preserve"> For detailed information, see the Ministry</w:t>
            </w:r>
            <w:r w:rsidR="000369F8" w:rsidRPr="005C5E32">
              <w:t>’</w:t>
            </w:r>
            <w:r w:rsidR="002C5AF8" w:rsidRPr="005C5E32">
              <w:t xml:space="preserve">s </w:t>
            </w:r>
            <w:hyperlink r:id="rId21" w:history="1">
              <w:r w:rsidR="002C5AF8" w:rsidRPr="005C5E32">
                <w:rPr>
                  <w:rStyle w:val="Hyperlink"/>
                  <w:rFonts w:cstheme="minorBidi"/>
                  <w:szCs w:val="22"/>
                </w:rPr>
                <w:t>RMA National Direction updated</w:t>
              </w:r>
            </w:hyperlink>
            <w:r w:rsidR="0043518D" w:rsidRPr="005C5E32">
              <w:t xml:space="preserve"> webpage.</w:t>
            </w:r>
            <w:r w:rsidRPr="005C5E32">
              <w:t xml:space="preserve"> </w:t>
            </w:r>
            <w:r w:rsidRPr="005C5E32" w:rsidDel="002C5AF8">
              <w:fldChar w:fldCharType="begin"/>
            </w:r>
            <w:r w:rsidRPr="005C5E32" w:rsidDel="002C5AF8">
              <w:fldChar w:fldCharType="separate"/>
            </w:r>
            <w:r w:rsidRPr="005C5E32" w:rsidDel="002C5AF8">
              <w:fldChar w:fldCharType="end"/>
            </w:r>
          </w:p>
        </w:tc>
      </w:tr>
      <w:tr w:rsidR="0012676C" w:rsidRPr="005C5E32" w14:paraId="6F7F4548" w14:textId="77777777" w:rsidTr="005903F2">
        <w:tc>
          <w:tcPr>
            <w:tcW w:w="3828" w:type="dxa"/>
          </w:tcPr>
          <w:p w14:paraId="0814D3DD" w14:textId="3950A7A2" w:rsidR="0012676C" w:rsidRPr="005C5E32" w:rsidRDefault="0012676C" w:rsidP="003D0CC1">
            <w:pPr>
              <w:pStyle w:val="TableText"/>
              <w:spacing w:before="40" w:after="40"/>
              <w:rPr>
                <w:szCs w:val="18"/>
              </w:rPr>
            </w:pPr>
            <w:r w:rsidRPr="005C5E32">
              <w:rPr>
                <w:rFonts w:asciiTheme="minorHAnsi" w:hAnsiTheme="minorHAnsi" w:cstheme="minorHAnsi"/>
                <w:szCs w:val="18"/>
              </w:rPr>
              <w:t xml:space="preserve">Deliver legislation to replace the RMA within the 2025 calendar year, consistent with </w:t>
            </w:r>
            <w:r w:rsidR="00794146" w:rsidRPr="005C5E32">
              <w:rPr>
                <w:rFonts w:asciiTheme="minorHAnsi" w:hAnsiTheme="minorHAnsi" w:cstheme="minorHAnsi"/>
                <w:szCs w:val="18"/>
              </w:rPr>
              <w:t>g</w:t>
            </w:r>
            <w:r w:rsidRPr="005C5E32">
              <w:rPr>
                <w:rFonts w:asciiTheme="minorHAnsi" w:hAnsiTheme="minorHAnsi" w:cstheme="minorHAnsi"/>
                <w:szCs w:val="18"/>
              </w:rPr>
              <w:t>overnment priorities, objectives and timeframes</w:t>
            </w:r>
          </w:p>
        </w:tc>
        <w:tc>
          <w:tcPr>
            <w:tcW w:w="4677" w:type="dxa"/>
          </w:tcPr>
          <w:p w14:paraId="221089B2" w14:textId="2EA69287" w:rsidR="0012676C" w:rsidRPr="005C5E32" w:rsidRDefault="0012676C">
            <w:pPr>
              <w:pStyle w:val="TableText"/>
              <w:rPr>
                <w:rFonts w:asciiTheme="minorHAnsi" w:hAnsiTheme="minorHAnsi" w:cstheme="minorBidi"/>
                <w:szCs w:val="18"/>
              </w:rPr>
            </w:pPr>
            <w:r w:rsidRPr="005C5E32">
              <w:rPr>
                <w:rFonts w:asciiTheme="minorHAnsi" w:hAnsiTheme="minorHAnsi" w:cstheme="minorBidi"/>
                <w:szCs w:val="18"/>
              </w:rPr>
              <w:t xml:space="preserve">The </w:t>
            </w:r>
            <w:hyperlink r:id="rId22" w:history="1">
              <w:r w:rsidRPr="005C5E32">
                <w:rPr>
                  <w:rStyle w:val="Hyperlink"/>
                  <w:rFonts w:asciiTheme="minorHAnsi" w:hAnsiTheme="minorHAnsi" w:cstheme="minorBidi"/>
                  <w:szCs w:val="18"/>
                </w:rPr>
                <w:t>Planning B</w:t>
              </w:r>
              <w:bookmarkStart w:id="50" w:name="_Hlt235178657"/>
              <w:bookmarkStart w:id="51" w:name="_Hlt235178658"/>
              <w:r w:rsidRPr="005C5E32">
                <w:rPr>
                  <w:rStyle w:val="Hyperlink"/>
                  <w:rFonts w:asciiTheme="minorHAnsi" w:hAnsiTheme="minorHAnsi" w:cstheme="minorBidi"/>
                  <w:szCs w:val="18"/>
                </w:rPr>
                <w:t>i</w:t>
              </w:r>
              <w:bookmarkEnd w:id="50"/>
              <w:bookmarkEnd w:id="51"/>
              <w:r w:rsidRPr="005C5E32">
                <w:rPr>
                  <w:rStyle w:val="Hyperlink"/>
                  <w:rFonts w:asciiTheme="minorHAnsi" w:hAnsiTheme="minorHAnsi" w:cstheme="minorBidi"/>
                  <w:szCs w:val="18"/>
                </w:rPr>
                <w:t>ll</w:t>
              </w:r>
            </w:hyperlink>
            <w:r w:rsidRPr="005C5E32">
              <w:rPr>
                <w:rFonts w:asciiTheme="minorHAnsi" w:hAnsiTheme="minorHAnsi" w:cstheme="minorBidi"/>
                <w:szCs w:val="18"/>
              </w:rPr>
              <w:t xml:space="preserve"> and </w:t>
            </w:r>
            <w:hyperlink r:id="rId23" w:history="1">
              <w:r w:rsidRPr="005C5E32">
                <w:rPr>
                  <w:rStyle w:val="Hyperlink"/>
                  <w:rFonts w:asciiTheme="minorHAnsi" w:hAnsiTheme="minorHAnsi" w:cstheme="minorBidi"/>
                  <w:szCs w:val="18"/>
                </w:rPr>
                <w:t>Natural Environment Bill</w:t>
              </w:r>
            </w:hyperlink>
            <w:r w:rsidRPr="005C5E32">
              <w:rPr>
                <w:rFonts w:asciiTheme="minorHAnsi" w:hAnsiTheme="minorHAnsi" w:cstheme="minorBidi"/>
                <w:szCs w:val="18"/>
              </w:rPr>
              <w:t xml:space="preserve"> were introduced to Parliament on 9 December 2025</w:t>
            </w:r>
            <w:r w:rsidR="00AB49AB" w:rsidRPr="005C5E32">
              <w:rPr>
                <w:rFonts w:asciiTheme="minorHAnsi" w:hAnsiTheme="minorHAnsi" w:cstheme="minorBidi"/>
                <w:szCs w:val="18"/>
              </w:rPr>
              <w:t>. For updates on the progress</w:t>
            </w:r>
            <w:r w:rsidR="005C4991" w:rsidRPr="005C5E32">
              <w:rPr>
                <w:rFonts w:asciiTheme="minorHAnsi" w:hAnsiTheme="minorHAnsi" w:cstheme="minorBidi"/>
                <w:szCs w:val="18"/>
              </w:rPr>
              <w:t xml:space="preserve"> of each Bill</w:t>
            </w:r>
            <w:r w:rsidR="00AB49AB" w:rsidRPr="005C5E32">
              <w:rPr>
                <w:rFonts w:asciiTheme="minorHAnsi" w:hAnsiTheme="minorHAnsi" w:cstheme="minorBidi"/>
                <w:szCs w:val="18"/>
              </w:rPr>
              <w:t>, see</w:t>
            </w:r>
            <w:r w:rsidR="005C4991" w:rsidRPr="005C5E32">
              <w:rPr>
                <w:rFonts w:asciiTheme="minorHAnsi" w:hAnsiTheme="minorHAnsi" w:cstheme="minorBidi"/>
                <w:szCs w:val="18"/>
              </w:rPr>
              <w:t xml:space="preserve"> </w:t>
            </w:r>
            <w:r w:rsidRPr="005C5E32">
              <w:rPr>
                <w:rFonts w:asciiTheme="minorHAnsi" w:hAnsiTheme="minorHAnsi" w:cstheme="minorBidi"/>
                <w:szCs w:val="18"/>
              </w:rPr>
              <w:t>the Parliament website.</w:t>
            </w:r>
          </w:p>
        </w:tc>
      </w:tr>
      <w:tr w:rsidR="0012676C" w:rsidRPr="005C5E32" w14:paraId="2C3E5C2A" w14:textId="77777777" w:rsidTr="005903F2">
        <w:tc>
          <w:tcPr>
            <w:tcW w:w="3828" w:type="dxa"/>
          </w:tcPr>
          <w:p w14:paraId="0091D046" w14:textId="77777777" w:rsidR="0012676C" w:rsidRPr="005C5E32" w:rsidRDefault="0012676C" w:rsidP="00270A26">
            <w:pPr>
              <w:pStyle w:val="TableText"/>
              <w:rPr>
                <w:szCs w:val="18"/>
              </w:rPr>
            </w:pPr>
            <w:r w:rsidRPr="005C5E32">
              <w:rPr>
                <w:rFonts w:asciiTheme="minorHAnsi" w:hAnsiTheme="minorHAnsi" w:cstheme="minorHAnsi"/>
                <w:szCs w:val="18"/>
              </w:rPr>
              <w:t>Plan for the implementation, performance monitoring and digitisation of the future resource management system</w:t>
            </w:r>
          </w:p>
        </w:tc>
        <w:tc>
          <w:tcPr>
            <w:tcW w:w="4677" w:type="dxa"/>
          </w:tcPr>
          <w:p w14:paraId="74EFBD4E" w14:textId="477D8C5A" w:rsidR="0012676C" w:rsidRPr="005C5E32" w:rsidRDefault="0012676C">
            <w:pPr>
              <w:pStyle w:val="TableText"/>
              <w:rPr>
                <w:szCs w:val="18"/>
              </w:rPr>
            </w:pPr>
            <w:r w:rsidRPr="005C5E32">
              <w:t xml:space="preserve">A </w:t>
            </w:r>
            <w:r w:rsidR="007E5248" w:rsidRPr="005C5E32">
              <w:t>p</w:t>
            </w:r>
            <w:r w:rsidRPr="005C5E32">
              <w:t xml:space="preserve">rogramme </w:t>
            </w:r>
            <w:r w:rsidR="007E5248" w:rsidRPr="005C5E32">
              <w:t>b</w:t>
            </w:r>
            <w:r w:rsidRPr="005C5E32">
              <w:t xml:space="preserve">usiness </w:t>
            </w:r>
            <w:r w:rsidR="007E5248" w:rsidRPr="005C5E32">
              <w:t>c</w:t>
            </w:r>
            <w:r w:rsidRPr="005C5E32">
              <w:t xml:space="preserve">ase was reported to Cabinet in December 2025. Funding was announced as part of Budget </w:t>
            </w:r>
            <w:r w:rsidRPr="005C5E32">
              <w:rPr>
                <w:spacing w:val="-2"/>
              </w:rPr>
              <w:t>2026. A detailed business case is currently under development</w:t>
            </w:r>
            <w:r w:rsidRPr="005C5E32">
              <w:t>.</w:t>
            </w:r>
          </w:p>
        </w:tc>
      </w:tr>
    </w:tbl>
    <w:p w14:paraId="6F627BD1" w14:textId="77777777" w:rsidR="0012676C" w:rsidRPr="005C5E32" w:rsidRDefault="0012676C" w:rsidP="00B95283">
      <w:pPr>
        <w:pStyle w:val="BodyText"/>
      </w:pPr>
      <w:bookmarkStart w:id="52" w:name="_Strategic_priority_2:"/>
      <w:bookmarkEnd w:id="52"/>
    </w:p>
    <w:p w14:paraId="3034E27C" w14:textId="77777777" w:rsidR="0012676C" w:rsidRPr="005C5E32" w:rsidRDefault="0012676C" w:rsidP="00B95283">
      <w:pPr>
        <w:pStyle w:val="BodyText"/>
      </w:pPr>
      <w:r w:rsidRPr="005C5E32">
        <w:br w:type="page"/>
      </w:r>
    </w:p>
    <w:p w14:paraId="77E175B3" w14:textId="77777777" w:rsidR="0012676C" w:rsidRPr="005C5E32" w:rsidRDefault="0012676C" w:rsidP="003B4A7F">
      <w:pPr>
        <w:pStyle w:val="Heading2"/>
        <w:spacing w:after="240"/>
        <w:rPr>
          <w:lang w:eastAsia="en-US"/>
        </w:rPr>
      </w:pPr>
      <w:bookmarkStart w:id="53" w:name="_Strategic_priority_2:_1"/>
      <w:bookmarkStart w:id="54" w:name="_Toc207017382"/>
      <w:bookmarkStart w:id="55" w:name="_Toc210136369"/>
      <w:bookmarkStart w:id="56" w:name="_Toc240445558"/>
      <w:bookmarkEnd w:id="53"/>
      <w:r w:rsidRPr="005C5E32">
        <w:rPr>
          <w:lang w:eastAsia="en-US"/>
        </w:rPr>
        <w:lastRenderedPageBreak/>
        <w:t>Strategic priority 2: Strengthen the resilience of communities, businesses and places to climate change and natural hazards</w:t>
      </w:r>
      <w:bookmarkEnd w:id="54"/>
      <w:bookmarkEnd w:id="55"/>
      <w:bookmarkEnd w:id="56"/>
    </w:p>
    <w:p w14:paraId="1F6D5F3F" w14:textId="34E75918" w:rsidR="0012676C" w:rsidRPr="005C5E32" w:rsidRDefault="0012676C">
      <w:pPr>
        <w:pStyle w:val="BodyText"/>
      </w:pPr>
      <w:r w:rsidRPr="005C5E32">
        <w:t xml:space="preserve">The climate is changing, and we are increasingly experiencing </w:t>
      </w:r>
      <w:r w:rsidR="00BD6343" w:rsidRPr="005C5E32">
        <w:t>the</w:t>
      </w:r>
      <w:r w:rsidRPr="005C5E32">
        <w:t xml:space="preserve"> impacts</w:t>
      </w:r>
      <w:r w:rsidR="00BD6343" w:rsidRPr="005C5E32">
        <w:t xml:space="preserve"> of that change</w:t>
      </w:r>
      <w:r w:rsidRPr="005C5E32">
        <w:t>, with</w:t>
      </w:r>
      <w:r w:rsidR="008A1820" w:rsidRPr="005C5E32">
        <w:t> </w:t>
      </w:r>
      <w:r w:rsidRPr="005C5E32">
        <w:t>severe weather events placing pressure on communities, infrastructure and ecosystems. As the lead agency for the natural hazards and climate regulatory systems</w:t>
      </w:r>
      <w:r w:rsidR="002F2834" w:rsidRPr="005C5E32">
        <w:t xml:space="preserve"> in 2025/26</w:t>
      </w:r>
      <w:r w:rsidRPr="005C5E32">
        <w:t xml:space="preserve">, the Ministry </w:t>
      </w:r>
      <w:r w:rsidR="002F2834" w:rsidRPr="005C5E32">
        <w:t xml:space="preserve">had to </w:t>
      </w:r>
      <w:r w:rsidRPr="005C5E32">
        <w:t>ensure these systems remain</w:t>
      </w:r>
      <w:r w:rsidR="00AB49AB" w:rsidRPr="005C5E32">
        <w:t>ed</w:t>
      </w:r>
      <w:r w:rsidRPr="005C5E32">
        <w:t xml:space="preserve"> fit for purpose.</w:t>
      </w:r>
    </w:p>
    <w:p w14:paraId="41EBBA3F" w14:textId="40B4D028" w:rsidR="0012676C" w:rsidRPr="005C5E32" w:rsidRDefault="0012676C">
      <w:pPr>
        <w:pStyle w:val="BodyText"/>
      </w:pPr>
      <w:r w:rsidRPr="005C5E32">
        <w:t>Integrating the management of natural hazard risk and climate adaptation to build community resilience remains a key part of planning system reform. We continue</w:t>
      </w:r>
      <w:r w:rsidR="002F2834" w:rsidRPr="005C5E32">
        <w:t>d</w:t>
      </w:r>
      <w:r w:rsidRPr="005C5E32">
        <w:t xml:space="preserve"> to monitor and adapt </w:t>
      </w:r>
      <w:r w:rsidRPr="005C5E32">
        <w:rPr>
          <w:spacing w:val="-2"/>
        </w:rPr>
        <w:t>our policy settings and instruments, providing decision-makers with robust advice, information</w:t>
      </w:r>
      <w:r w:rsidRPr="005C5E32">
        <w:t>, data and evidence on how to strengthen New Zealand</w:t>
      </w:r>
      <w:r w:rsidR="000369F8" w:rsidRPr="005C5E32">
        <w:t>’</w:t>
      </w:r>
      <w:r w:rsidRPr="005C5E32">
        <w:t>s response to climate change and natural hazard risks.</w:t>
      </w:r>
    </w:p>
    <w:p w14:paraId="0B54CBDF" w14:textId="3B156283" w:rsidR="0012676C" w:rsidRPr="005C5E32" w:rsidRDefault="0012676C">
      <w:pPr>
        <w:pStyle w:val="BodyText"/>
      </w:pPr>
      <w:r w:rsidRPr="005C5E32">
        <w:t>The 2025/26 financial year saw significant progress in strengthening New Zealand</w:t>
      </w:r>
      <w:r w:rsidR="000369F8" w:rsidRPr="005C5E32">
        <w:t>’</w:t>
      </w:r>
      <w:r w:rsidRPr="005C5E32">
        <w:t>s approach to climate adaptation and natural hazard resilience. This included advancing key adaptation initiatives</w:t>
      </w:r>
      <w:r w:rsidR="00275AFB" w:rsidRPr="005C5E32">
        <w:t xml:space="preserve"> and projects </w:t>
      </w:r>
      <w:r w:rsidR="008A6B1E" w:rsidRPr="005C5E32">
        <w:t>(</w:t>
      </w:r>
      <w:r w:rsidR="00275AFB" w:rsidRPr="005C5E32">
        <w:t xml:space="preserve">including </w:t>
      </w:r>
      <w:r w:rsidR="008A6B1E" w:rsidRPr="005C5E32">
        <w:t xml:space="preserve">those </w:t>
      </w:r>
      <w:r w:rsidR="00275AFB" w:rsidRPr="005C5E32">
        <w:t xml:space="preserve">under the Māori Climate </w:t>
      </w:r>
      <w:r w:rsidR="000D2F76" w:rsidRPr="005C5E32">
        <w:t>Platform</w:t>
      </w:r>
      <w:r w:rsidR="008A6B1E" w:rsidRPr="005C5E32">
        <w:t>)</w:t>
      </w:r>
      <w:r w:rsidRPr="005C5E32">
        <w:t>,</w:t>
      </w:r>
      <w:r w:rsidR="001C6EF8" w:rsidRPr="005C5E32">
        <w:t xml:space="preserve"> </w:t>
      </w:r>
      <w:r w:rsidRPr="005C5E32">
        <w:t>developing nationally consistent flood hazard information and supporting improvements to the natural hazards regulatory system. Together, these actions contribute</w:t>
      </w:r>
      <w:r w:rsidR="002F2834" w:rsidRPr="005C5E32">
        <w:t>d</w:t>
      </w:r>
      <w:r w:rsidRPr="005C5E32">
        <w:t xml:space="preserve"> to a more resilient system in which communities, businesses and places are better able to manage, mitigate and adapt to changing climate and natural hazard risks.</w:t>
      </w:r>
    </w:p>
    <w:p w14:paraId="4F1DDA57" w14:textId="77777777" w:rsidR="0012676C" w:rsidRPr="005C5E32" w:rsidRDefault="0012676C" w:rsidP="00123150">
      <w:pPr>
        <w:pStyle w:val="Heading3"/>
        <w:spacing w:after="240"/>
      </w:pPr>
      <w:r w:rsidRPr="005C5E32">
        <w:t>How we measure progress</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CellMar>
          <w:left w:w="85" w:type="dxa"/>
          <w:right w:w="85" w:type="dxa"/>
        </w:tblCellMar>
        <w:tblLook w:val="04A0" w:firstRow="1" w:lastRow="0" w:firstColumn="1" w:lastColumn="0" w:noHBand="0" w:noVBand="1"/>
      </w:tblPr>
      <w:tblGrid>
        <w:gridCol w:w="3402"/>
        <w:gridCol w:w="5103"/>
      </w:tblGrid>
      <w:tr w:rsidR="0012676C" w:rsidRPr="005C5E32" w14:paraId="164E0E87" w14:textId="77777777" w:rsidTr="00936DA3">
        <w:trPr>
          <w:tblHeader/>
        </w:trPr>
        <w:tc>
          <w:tcPr>
            <w:tcW w:w="3402" w:type="dxa"/>
            <w:shd w:val="clear" w:color="auto" w:fill="1B556B" w:themeFill="text2"/>
          </w:tcPr>
          <w:p w14:paraId="474E1B83" w14:textId="77777777" w:rsidR="0012676C" w:rsidRPr="005C5E32" w:rsidRDefault="0012676C" w:rsidP="00123150">
            <w:pPr>
              <w:pStyle w:val="TableTextbold"/>
              <w:rPr>
                <w:color w:val="FFFFFF" w:themeColor="background1"/>
                <w:szCs w:val="18"/>
              </w:rPr>
            </w:pPr>
            <w:r w:rsidRPr="005C5E32">
              <w:rPr>
                <w:color w:val="FFFFFF" w:themeColor="background1"/>
                <w:szCs w:val="18"/>
              </w:rPr>
              <w:t>How we make a difference</w:t>
            </w:r>
          </w:p>
        </w:tc>
        <w:tc>
          <w:tcPr>
            <w:tcW w:w="5103" w:type="dxa"/>
            <w:shd w:val="clear" w:color="auto" w:fill="1B556B" w:themeFill="text2"/>
          </w:tcPr>
          <w:p w14:paraId="1A825D9D" w14:textId="77777777" w:rsidR="0012676C" w:rsidRPr="005C5E32" w:rsidRDefault="0012676C" w:rsidP="00123150">
            <w:pPr>
              <w:pStyle w:val="TableTextbold"/>
              <w:rPr>
                <w:color w:val="FFFFFF" w:themeColor="background1"/>
                <w:szCs w:val="18"/>
              </w:rPr>
            </w:pPr>
            <w:r w:rsidRPr="005C5E32">
              <w:rPr>
                <w:color w:val="FFFFFF" w:themeColor="background1"/>
                <w:szCs w:val="18"/>
              </w:rPr>
              <w:t>2025/26 performance and achievements</w:t>
            </w:r>
          </w:p>
        </w:tc>
      </w:tr>
      <w:tr w:rsidR="0012676C" w:rsidRPr="005C5E32" w14:paraId="0E8B90A4" w14:textId="77777777" w:rsidTr="00936DA3">
        <w:tc>
          <w:tcPr>
            <w:tcW w:w="3402" w:type="dxa"/>
            <w:tcBorders>
              <w:bottom w:val="single" w:sz="4" w:space="0" w:color="1B556B" w:themeColor="text2"/>
            </w:tcBorders>
          </w:tcPr>
          <w:p w14:paraId="4B901740" w14:textId="59E1740D" w:rsidR="0012676C" w:rsidRPr="005C5E32" w:rsidRDefault="0012676C">
            <w:pPr>
              <w:pStyle w:val="TableText"/>
              <w:spacing w:before="40" w:after="40"/>
              <w:rPr>
                <w:rFonts w:asciiTheme="minorHAnsi" w:hAnsiTheme="minorHAnsi" w:cstheme="minorHAnsi"/>
                <w:szCs w:val="18"/>
              </w:rPr>
            </w:pPr>
            <w:r w:rsidRPr="005C5E32">
              <w:rPr>
                <w:rFonts w:asciiTheme="minorHAnsi" w:hAnsiTheme="minorHAnsi" w:cstheme="minorHAnsi"/>
                <w:szCs w:val="18"/>
              </w:rPr>
              <w:t xml:space="preserve">Deliver national direction and legislation to strengthen natural hazard management and climate adaptation, consistent with </w:t>
            </w:r>
            <w:r w:rsidR="004C53DA" w:rsidRPr="005C5E32">
              <w:rPr>
                <w:rFonts w:asciiTheme="minorHAnsi" w:hAnsiTheme="minorHAnsi" w:cstheme="minorHAnsi"/>
                <w:szCs w:val="18"/>
              </w:rPr>
              <w:t>G</w:t>
            </w:r>
            <w:r w:rsidRPr="005C5E32">
              <w:rPr>
                <w:rFonts w:asciiTheme="minorHAnsi" w:hAnsiTheme="minorHAnsi" w:cstheme="minorHAnsi"/>
                <w:szCs w:val="18"/>
              </w:rPr>
              <w:t>overnment priorities, objectives and timeframes</w:t>
            </w:r>
          </w:p>
        </w:tc>
        <w:tc>
          <w:tcPr>
            <w:tcW w:w="5103" w:type="dxa"/>
            <w:tcBorders>
              <w:bottom w:val="single" w:sz="4" w:space="0" w:color="1B556B" w:themeColor="text2"/>
            </w:tcBorders>
          </w:tcPr>
          <w:p w14:paraId="71D8D3A7" w14:textId="37DA4F36" w:rsidR="0012676C" w:rsidRPr="005C5E32" w:rsidRDefault="0012676C">
            <w:pPr>
              <w:pStyle w:val="TableText"/>
              <w:rPr>
                <w:szCs w:val="18"/>
              </w:rPr>
            </w:pPr>
            <w:r w:rsidRPr="005C5E32">
              <w:rPr>
                <w:szCs w:val="18"/>
              </w:rPr>
              <w:t xml:space="preserve">The </w:t>
            </w:r>
            <w:hyperlink r:id="rId24" w:anchor="LMS1014951" w:history="1">
              <w:r w:rsidRPr="005C5E32">
                <w:rPr>
                  <w:rStyle w:val="Hyperlink"/>
                  <w:rFonts w:cstheme="minorBidi"/>
                  <w:szCs w:val="18"/>
                </w:rPr>
                <w:t>Resource Management (Consenting and Other System Changes) Amendment Act</w:t>
              </w:r>
            </w:hyperlink>
            <w:r w:rsidRPr="005C5E32">
              <w:rPr>
                <w:szCs w:val="18"/>
              </w:rPr>
              <w:t xml:space="preserve"> passed into law on 20 August 2025. The Act includes </w:t>
            </w:r>
            <w:r w:rsidR="003125B3" w:rsidRPr="005C5E32">
              <w:rPr>
                <w:szCs w:val="18"/>
              </w:rPr>
              <w:t>n</w:t>
            </w:r>
            <w:r w:rsidRPr="005C5E32">
              <w:rPr>
                <w:szCs w:val="18"/>
              </w:rPr>
              <w:t xml:space="preserve">atural </w:t>
            </w:r>
            <w:r w:rsidR="003125B3" w:rsidRPr="005C5E32">
              <w:rPr>
                <w:szCs w:val="18"/>
              </w:rPr>
              <w:t>h</w:t>
            </w:r>
            <w:r w:rsidRPr="005C5E32">
              <w:rPr>
                <w:szCs w:val="18"/>
              </w:rPr>
              <w:t xml:space="preserve">azard provisions </w:t>
            </w:r>
            <w:r w:rsidR="003125B3" w:rsidRPr="005C5E32">
              <w:rPr>
                <w:szCs w:val="18"/>
              </w:rPr>
              <w:t xml:space="preserve">that </w:t>
            </w:r>
            <w:r w:rsidRPr="005C5E32">
              <w:rPr>
                <w:szCs w:val="18"/>
              </w:rPr>
              <w:t>clarify and strengthen councils</w:t>
            </w:r>
            <w:r w:rsidR="000369F8" w:rsidRPr="005C5E32">
              <w:rPr>
                <w:szCs w:val="18"/>
              </w:rPr>
              <w:t>’</w:t>
            </w:r>
            <w:r w:rsidRPr="005C5E32">
              <w:rPr>
                <w:szCs w:val="18"/>
              </w:rPr>
              <w:t xml:space="preserve"> ability to decline land</w:t>
            </w:r>
            <w:r w:rsidR="003125B3" w:rsidRPr="005C5E32">
              <w:rPr>
                <w:szCs w:val="18"/>
              </w:rPr>
              <w:t>-</w:t>
            </w:r>
            <w:r w:rsidRPr="005C5E32">
              <w:rPr>
                <w:szCs w:val="18"/>
              </w:rPr>
              <w:t>use consents or impose relevant conditions where there is significant natural hazard risk.</w:t>
            </w:r>
          </w:p>
          <w:p w14:paraId="263CB2F8" w14:textId="2A1CA499" w:rsidR="0012676C" w:rsidRPr="005C5E32" w:rsidRDefault="0012676C">
            <w:pPr>
              <w:pStyle w:val="TableText"/>
              <w:rPr>
                <w:szCs w:val="18"/>
              </w:rPr>
            </w:pPr>
            <w:r w:rsidRPr="005C5E32">
              <w:rPr>
                <w:szCs w:val="18"/>
              </w:rPr>
              <w:t xml:space="preserve">The </w:t>
            </w:r>
            <w:hyperlink r:id="rId25" w:history="1">
              <w:r w:rsidRPr="005C5E32">
                <w:rPr>
                  <w:rStyle w:val="Hyperlink"/>
                  <w:rFonts w:cstheme="minorBidi"/>
                  <w:szCs w:val="18"/>
                </w:rPr>
                <w:t>National Policy Statement for Natural Hazards</w:t>
              </w:r>
            </w:hyperlink>
            <w:r w:rsidRPr="005C5E32">
              <w:rPr>
                <w:szCs w:val="18"/>
              </w:rPr>
              <w:t xml:space="preserve"> came into force on</w:t>
            </w:r>
            <w:r w:rsidRPr="005C5E32">
              <w:t xml:space="preserve"> </w:t>
            </w:r>
            <w:r w:rsidRPr="005C5E32">
              <w:rPr>
                <w:szCs w:val="18"/>
              </w:rPr>
              <w:t>15 January 2026.</w:t>
            </w:r>
          </w:p>
          <w:p w14:paraId="06EEB467" w14:textId="30338CD1" w:rsidR="0012676C" w:rsidRPr="005C5E32" w:rsidRDefault="0012676C">
            <w:pPr>
              <w:pStyle w:val="TableText"/>
              <w:rPr>
                <w:szCs w:val="18"/>
              </w:rPr>
            </w:pPr>
            <w:r w:rsidRPr="005C5E32">
              <w:rPr>
                <w:szCs w:val="18"/>
              </w:rPr>
              <w:t>In October 2025</w:t>
            </w:r>
            <w:r w:rsidR="00E73AA1" w:rsidRPr="005C5E32">
              <w:rPr>
                <w:szCs w:val="18"/>
              </w:rPr>
              <w:t>,</w:t>
            </w:r>
            <w:r w:rsidRPr="005C5E32">
              <w:rPr>
                <w:szCs w:val="18"/>
              </w:rPr>
              <w:t xml:space="preserve"> the Government released its plan for the </w:t>
            </w:r>
            <w:r w:rsidR="000E315B" w:rsidRPr="005C5E32">
              <w:t>N</w:t>
            </w:r>
            <w:r w:rsidR="0092606B" w:rsidRPr="005C5E32">
              <w:rPr>
                <w:szCs w:val="22"/>
              </w:rPr>
              <w:t xml:space="preserve">ational </w:t>
            </w:r>
            <w:r w:rsidR="000E315B" w:rsidRPr="005C5E32">
              <w:rPr>
                <w:szCs w:val="18"/>
              </w:rPr>
              <w:t>A</w:t>
            </w:r>
            <w:r w:rsidR="0092606B" w:rsidRPr="005C5E32">
              <w:rPr>
                <w:szCs w:val="22"/>
              </w:rPr>
              <w:t xml:space="preserve">daptation </w:t>
            </w:r>
            <w:r w:rsidR="000E315B" w:rsidRPr="005C5E32">
              <w:rPr>
                <w:szCs w:val="18"/>
              </w:rPr>
              <w:t>F</w:t>
            </w:r>
            <w:r w:rsidR="0092606B" w:rsidRPr="005C5E32">
              <w:rPr>
                <w:szCs w:val="22"/>
              </w:rPr>
              <w:t>ramework</w:t>
            </w:r>
            <w:r w:rsidRPr="005C5E32">
              <w:rPr>
                <w:szCs w:val="18"/>
              </w:rPr>
              <w:t xml:space="preserve">. This included </w:t>
            </w:r>
            <w:r w:rsidR="00302695" w:rsidRPr="005C5E32">
              <w:rPr>
                <w:szCs w:val="18"/>
              </w:rPr>
              <w:t xml:space="preserve">an </w:t>
            </w:r>
            <w:hyperlink r:id="rId26" w:history="1">
              <w:r w:rsidR="0037678F" w:rsidRPr="00EE5DDB">
                <w:rPr>
                  <w:rStyle w:val="Hyperlink"/>
                  <w:rFonts w:cstheme="minorBidi"/>
                  <w:szCs w:val="18"/>
                </w:rPr>
                <w:t>announcement</w:t>
              </w:r>
              <w:r w:rsidR="0037678F" w:rsidRPr="00EE5DDB">
                <w:rPr>
                  <w:rStyle w:val="Hyperlink"/>
                  <w:szCs w:val="18"/>
                </w:rPr>
                <w:t xml:space="preserve"> of 16 initial actions</w:t>
              </w:r>
            </w:hyperlink>
            <w:r w:rsidR="0037678F">
              <w:rPr>
                <w:szCs w:val="18"/>
              </w:rPr>
              <w:t xml:space="preserve">, </w:t>
            </w:r>
            <w:r w:rsidRPr="005C5E32">
              <w:rPr>
                <w:szCs w:val="18"/>
              </w:rPr>
              <w:t xml:space="preserve">which form the foundation of the </w:t>
            </w:r>
            <w:r w:rsidR="000E315B" w:rsidRPr="005C5E32">
              <w:rPr>
                <w:szCs w:val="18"/>
              </w:rPr>
              <w:t>F</w:t>
            </w:r>
            <w:r w:rsidRPr="005C5E32">
              <w:rPr>
                <w:szCs w:val="18"/>
              </w:rPr>
              <w:t xml:space="preserve">ramework. </w:t>
            </w:r>
            <w:r w:rsidR="006E7C1B" w:rsidRPr="005C5E32">
              <w:rPr>
                <w:szCs w:val="18"/>
              </w:rPr>
              <w:t>One</w:t>
            </w:r>
            <w:r w:rsidRPr="005C5E32">
              <w:rPr>
                <w:szCs w:val="18"/>
              </w:rPr>
              <w:t xml:space="preserve"> </w:t>
            </w:r>
            <w:r w:rsidR="006E7C1B" w:rsidRPr="005C5E32">
              <w:rPr>
                <w:szCs w:val="18"/>
              </w:rPr>
              <w:t xml:space="preserve">of those </w:t>
            </w:r>
            <w:r w:rsidRPr="005C5E32">
              <w:rPr>
                <w:szCs w:val="18"/>
              </w:rPr>
              <w:t>action</w:t>
            </w:r>
            <w:r w:rsidR="006E7C1B" w:rsidRPr="005C5E32">
              <w:rPr>
                <w:szCs w:val="18"/>
              </w:rPr>
              <w:t>s</w:t>
            </w:r>
            <w:r w:rsidRPr="005C5E32">
              <w:rPr>
                <w:szCs w:val="18"/>
              </w:rPr>
              <w:t xml:space="preserve"> is amending the Climate Change Response Act 2002</w:t>
            </w:r>
            <w:r w:rsidR="0065182B" w:rsidRPr="005C5E32">
              <w:rPr>
                <w:szCs w:val="18"/>
              </w:rPr>
              <w:t xml:space="preserve"> (CCRA)</w:t>
            </w:r>
            <w:r w:rsidRPr="005C5E32">
              <w:rPr>
                <w:szCs w:val="18"/>
              </w:rPr>
              <w:t xml:space="preserve"> to clarify requirements for local government </w:t>
            </w:r>
            <w:r w:rsidR="004C53DA" w:rsidRPr="005C5E32">
              <w:rPr>
                <w:szCs w:val="18"/>
              </w:rPr>
              <w:t xml:space="preserve">– specifically, it will </w:t>
            </w:r>
            <w:r w:rsidRPr="005C5E32">
              <w:rPr>
                <w:szCs w:val="18"/>
              </w:rPr>
              <w:t>requir</w:t>
            </w:r>
            <w:r w:rsidR="004C53DA" w:rsidRPr="005C5E32">
              <w:rPr>
                <w:szCs w:val="18"/>
              </w:rPr>
              <w:t>e them to develop</w:t>
            </w:r>
            <w:r w:rsidRPr="005C5E32">
              <w:rPr>
                <w:szCs w:val="18"/>
              </w:rPr>
              <w:t xml:space="preserve"> adaptation plans </w:t>
            </w:r>
            <w:r w:rsidR="004C53DA" w:rsidRPr="005C5E32">
              <w:rPr>
                <w:szCs w:val="18"/>
              </w:rPr>
              <w:t xml:space="preserve">for </w:t>
            </w:r>
            <w:r w:rsidRPr="005C5E32">
              <w:rPr>
                <w:szCs w:val="18"/>
              </w:rPr>
              <w:t>priority areas. Th</w:t>
            </w:r>
            <w:r w:rsidR="00401BDF" w:rsidRPr="005C5E32">
              <w:rPr>
                <w:szCs w:val="18"/>
              </w:rPr>
              <w:t xml:space="preserve">e </w:t>
            </w:r>
            <w:hyperlink r:id="rId27" w:history="1">
              <w:r w:rsidR="00401BDF" w:rsidRPr="005C5E32">
                <w:rPr>
                  <w:rStyle w:val="Hyperlink"/>
                  <w:rFonts w:cstheme="minorBidi"/>
                  <w:szCs w:val="18"/>
                </w:rPr>
                <w:t>Cl</w:t>
              </w:r>
              <w:r w:rsidR="00401BDF" w:rsidRPr="005C5E32">
                <w:rPr>
                  <w:rStyle w:val="Hyperlink"/>
                  <w:szCs w:val="18"/>
                </w:rPr>
                <w:t>imate Change Response</w:t>
              </w:r>
              <w:r w:rsidR="006E7C1B" w:rsidRPr="005C5E32">
                <w:rPr>
                  <w:rStyle w:val="Hyperlink"/>
                  <w:szCs w:val="18"/>
                </w:rPr>
                <w:t xml:space="preserve"> </w:t>
              </w:r>
              <w:r w:rsidR="00401BDF" w:rsidRPr="005C5E32">
                <w:rPr>
                  <w:rStyle w:val="Hyperlink"/>
                  <w:szCs w:val="18"/>
                </w:rPr>
                <w:t>A</w:t>
              </w:r>
              <w:r w:rsidR="006E7C1B" w:rsidRPr="005C5E32">
                <w:rPr>
                  <w:rStyle w:val="Hyperlink"/>
                  <w:szCs w:val="18"/>
                </w:rPr>
                <w:t xml:space="preserve">mendment </w:t>
              </w:r>
              <w:r w:rsidRPr="005C5E32">
                <w:rPr>
                  <w:rStyle w:val="Hyperlink"/>
                  <w:szCs w:val="18"/>
                </w:rPr>
                <w:t>Bill</w:t>
              </w:r>
            </w:hyperlink>
            <w:r w:rsidRPr="005C5E32">
              <w:rPr>
                <w:szCs w:val="18"/>
              </w:rPr>
              <w:t xml:space="preserve"> was introduced in July 2026</w:t>
            </w:r>
            <w:r w:rsidR="0052500E" w:rsidRPr="005C5E32">
              <w:rPr>
                <w:szCs w:val="18"/>
              </w:rPr>
              <w:t>. The Parliament website provides updates on</w:t>
            </w:r>
            <w:r w:rsidR="00401BDF" w:rsidRPr="005C5E32">
              <w:rPr>
                <w:szCs w:val="18"/>
              </w:rPr>
              <w:t xml:space="preserve"> its </w:t>
            </w:r>
            <w:r w:rsidR="0052500E" w:rsidRPr="005C5E32">
              <w:rPr>
                <w:szCs w:val="18"/>
              </w:rPr>
              <w:t>progress</w:t>
            </w:r>
            <w:r w:rsidRPr="005C5E32">
              <w:rPr>
                <w:szCs w:val="18"/>
              </w:rPr>
              <w:t xml:space="preserve">. </w:t>
            </w:r>
          </w:p>
        </w:tc>
      </w:tr>
      <w:tr w:rsidR="0012676C" w:rsidRPr="005C5E32" w14:paraId="7A34620B" w14:textId="77777777" w:rsidTr="00936DA3">
        <w:tc>
          <w:tcPr>
            <w:tcW w:w="3402" w:type="dxa"/>
            <w:tcBorders>
              <w:bottom w:val="single" w:sz="4" w:space="0" w:color="1B556B" w:themeColor="text2"/>
            </w:tcBorders>
          </w:tcPr>
          <w:p w14:paraId="1B38970C" w14:textId="77777777" w:rsidR="0012676C" w:rsidRPr="005C5E32" w:rsidRDefault="0012676C" w:rsidP="003D0CC1">
            <w:pPr>
              <w:pStyle w:val="TableText"/>
              <w:spacing w:before="40" w:after="40"/>
              <w:rPr>
                <w:szCs w:val="18"/>
              </w:rPr>
            </w:pPr>
            <w:r w:rsidRPr="005C5E32">
              <w:rPr>
                <w:rFonts w:asciiTheme="minorHAnsi" w:hAnsiTheme="minorHAnsi" w:cstheme="minorHAnsi"/>
                <w:szCs w:val="18"/>
              </w:rPr>
              <w:t>Support central and local governments to respond to major natural hazard events as required</w:t>
            </w:r>
          </w:p>
        </w:tc>
        <w:tc>
          <w:tcPr>
            <w:tcW w:w="5103" w:type="dxa"/>
            <w:tcBorders>
              <w:bottom w:val="single" w:sz="4" w:space="0" w:color="1B556B" w:themeColor="text2"/>
            </w:tcBorders>
          </w:tcPr>
          <w:p w14:paraId="650769C8" w14:textId="0F9B38F9" w:rsidR="0012676C" w:rsidRPr="005C5E32" w:rsidRDefault="002503F9">
            <w:pPr>
              <w:pStyle w:val="TableText"/>
              <w:rPr>
                <w:szCs w:val="18"/>
              </w:rPr>
            </w:pPr>
            <w:r w:rsidRPr="005C5E32">
              <w:rPr>
                <w:szCs w:val="18"/>
              </w:rPr>
              <w:t xml:space="preserve">Parliament </w:t>
            </w:r>
            <w:r w:rsidR="00964411" w:rsidRPr="005C5E32">
              <w:rPr>
                <w:szCs w:val="18"/>
              </w:rPr>
              <w:t>passed</w:t>
            </w:r>
            <w:r w:rsidR="0012676C" w:rsidRPr="005C5E32">
              <w:rPr>
                <w:szCs w:val="18"/>
              </w:rPr>
              <w:t xml:space="preserve"> changes to emergency provisions under the RMA, including</w:t>
            </w:r>
            <w:r w:rsidR="0052500E" w:rsidRPr="005C5E32">
              <w:rPr>
                <w:szCs w:val="18"/>
              </w:rPr>
              <w:t xml:space="preserve"> by</w:t>
            </w:r>
            <w:r w:rsidR="0012676C" w:rsidRPr="005C5E32">
              <w:rPr>
                <w:szCs w:val="18"/>
              </w:rPr>
              <w:t xml:space="preserve"> introducing a regulation-making power for the Minister for the Environment to use in the event of an emergency</w:t>
            </w:r>
            <w:r w:rsidR="00B0553E" w:rsidRPr="005C5E32">
              <w:rPr>
                <w:szCs w:val="18"/>
              </w:rPr>
              <w:t>,</w:t>
            </w:r>
            <w:r w:rsidR="0012676C" w:rsidRPr="005C5E32">
              <w:rPr>
                <w:szCs w:val="18"/>
              </w:rPr>
              <w:t xml:space="preserve"> to assist with response and recovery efforts. </w:t>
            </w:r>
            <w:r w:rsidR="00B0553E" w:rsidRPr="005C5E32">
              <w:rPr>
                <w:szCs w:val="18"/>
              </w:rPr>
              <w:t xml:space="preserve">The Ministry </w:t>
            </w:r>
            <w:r w:rsidR="00EB3853" w:rsidRPr="005C5E32">
              <w:rPr>
                <w:szCs w:val="18"/>
              </w:rPr>
              <w:t xml:space="preserve">was the lead advisor </w:t>
            </w:r>
            <w:r w:rsidR="00D65AED" w:rsidRPr="005C5E32">
              <w:rPr>
                <w:szCs w:val="18"/>
              </w:rPr>
              <w:t>on these changes</w:t>
            </w:r>
            <w:r w:rsidR="00B0553E" w:rsidRPr="005C5E32">
              <w:rPr>
                <w:szCs w:val="18"/>
              </w:rPr>
              <w:t>, which</w:t>
            </w:r>
            <w:r w:rsidR="00D64965" w:rsidRPr="005C5E32">
              <w:rPr>
                <w:szCs w:val="18"/>
              </w:rPr>
              <w:t xml:space="preserve"> </w:t>
            </w:r>
            <w:r w:rsidR="00B0553E" w:rsidRPr="005C5E32">
              <w:rPr>
                <w:szCs w:val="18"/>
              </w:rPr>
              <w:t>came into force on 20 August 2025 as part of the Resource Management (Consenting and Other System Changes) Amendment Act</w:t>
            </w:r>
            <w:r w:rsidR="00837412" w:rsidRPr="005C5E32">
              <w:rPr>
                <w:szCs w:val="18"/>
              </w:rPr>
              <w:t>.</w:t>
            </w:r>
          </w:p>
          <w:p w14:paraId="68720B9D" w14:textId="73C63048" w:rsidR="0012676C" w:rsidRPr="005C5E32" w:rsidRDefault="0012676C">
            <w:pPr>
              <w:pStyle w:val="TableText"/>
              <w:rPr>
                <w:szCs w:val="18"/>
              </w:rPr>
            </w:pPr>
            <w:r w:rsidRPr="005C5E32">
              <w:rPr>
                <w:szCs w:val="18"/>
              </w:rPr>
              <w:lastRenderedPageBreak/>
              <w:t>In August 2025</w:t>
            </w:r>
            <w:r w:rsidR="00A10D16" w:rsidRPr="005C5E32">
              <w:rPr>
                <w:szCs w:val="18"/>
              </w:rPr>
              <w:t>,</w:t>
            </w:r>
            <w:r w:rsidRPr="005C5E32">
              <w:rPr>
                <w:szCs w:val="18"/>
              </w:rPr>
              <w:t xml:space="preserve"> the </w:t>
            </w:r>
            <w:hyperlink r:id="rId28" w:anchor="LMS947160" w:history="1">
              <w:r w:rsidRPr="005C5E32">
                <w:rPr>
                  <w:rStyle w:val="Hyperlink"/>
                  <w:rFonts w:cstheme="minorBidi"/>
                  <w:szCs w:val="18"/>
                </w:rPr>
                <w:t>Severe Weather Emergency Recovery (Hawke</w:t>
              </w:r>
              <w:r w:rsidR="000369F8" w:rsidRPr="005C5E32">
                <w:rPr>
                  <w:rStyle w:val="Hyperlink"/>
                  <w:szCs w:val="18"/>
                </w:rPr>
                <w:t>’</w:t>
              </w:r>
              <w:r w:rsidRPr="005C5E32">
                <w:rPr>
                  <w:rStyle w:val="Hyperlink"/>
                  <w:szCs w:val="18"/>
                </w:rPr>
                <w:t>s Bay Flood Protection Works</w:t>
              </w:r>
              <w:r w:rsidR="00A10D16" w:rsidRPr="005C5E32">
                <w:rPr>
                  <w:rStyle w:val="Hyperlink"/>
                  <w:szCs w:val="18"/>
                </w:rPr>
                <w:t>)</w:t>
              </w:r>
              <w:r w:rsidRPr="005C5E32">
                <w:rPr>
                  <w:rStyle w:val="Hyperlink"/>
                  <w:szCs w:val="18"/>
                </w:rPr>
                <w:t xml:space="preserve"> Order</w:t>
              </w:r>
              <w:r w:rsidR="00A10D16" w:rsidRPr="005C5E32">
                <w:rPr>
                  <w:rStyle w:val="Hyperlink"/>
                  <w:szCs w:val="18"/>
                </w:rPr>
                <w:t xml:space="preserve"> 2024</w:t>
              </w:r>
            </w:hyperlink>
            <w:r w:rsidRPr="005C5E32">
              <w:rPr>
                <w:szCs w:val="18"/>
              </w:rPr>
              <w:t xml:space="preserve"> was amended to support the implementation of flood protection works in Wairoa as part of the recovery from Cyclone Gabrielle.</w:t>
            </w:r>
          </w:p>
        </w:tc>
      </w:tr>
      <w:tr w:rsidR="0012676C" w:rsidRPr="005C5E32" w14:paraId="37631BDF" w14:textId="77777777" w:rsidTr="00936DA3">
        <w:tc>
          <w:tcPr>
            <w:tcW w:w="3402" w:type="dxa"/>
            <w:tcBorders>
              <w:bottom w:val="single" w:sz="4" w:space="0" w:color="1B556B" w:themeColor="text2"/>
            </w:tcBorders>
          </w:tcPr>
          <w:p w14:paraId="46A2424C" w14:textId="77777777" w:rsidR="0012676C" w:rsidRPr="005C5E32" w:rsidRDefault="0012676C" w:rsidP="003D0CC1">
            <w:pPr>
              <w:pStyle w:val="TableText"/>
              <w:spacing w:before="40" w:after="40"/>
              <w:rPr>
                <w:rFonts w:asciiTheme="minorHAnsi" w:hAnsiTheme="minorHAnsi" w:cstheme="minorBidi"/>
                <w:szCs w:val="18"/>
              </w:rPr>
            </w:pPr>
            <w:r w:rsidRPr="005C5E32">
              <w:rPr>
                <w:rFonts w:asciiTheme="minorHAnsi" w:hAnsiTheme="minorHAnsi" w:cstheme="minorHAnsi"/>
                <w:szCs w:val="18"/>
              </w:rPr>
              <w:lastRenderedPageBreak/>
              <w:t>Lead/facilitate implementation of hazard management system improvements and monitoring of system performance</w:t>
            </w:r>
          </w:p>
        </w:tc>
        <w:tc>
          <w:tcPr>
            <w:tcW w:w="5103" w:type="dxa"/>
            <w:tcBorders>
              <w:bottom w:val="single" w:sz="4" w:space="0" w:color="1B556B" w:themeColor="text2"/>
            </w:tcBorders>
          </w:tcPr>
          <w:p w14:paraId="59D632A7" w14:textId="36CAF421" w:rsidR="0012676C" w:rsidRPr="005C5E32" w:rsidRDefault="0012676C">
            <w:pPr>
              <w:pStyle w:val="TableText"/>
              <w:rPr>
                <w:szCs w:val="18"/>
              </w:rPr>
            </w:pPr>
            <w:r w:rsidRPr="005C5E32">
              <w:rPr>
                <w:szCs w:val="18"/>
              </w:rPr>
              <w:t xml:space="preserve">The Natural Hazards Risk Reduction Forum was established to provide governance of national natural hazard risks on the National Risk Register. </w:t>
            </w:r>
            <w:r w:rsidR="0043518D" w:rsidRPr="005C5E32">
              <w:rPr>
                <w:szCs w:val="18"/>
              </w:rPr>
              <w:t>The Forum</w:t>
            </w:r>
            <w:r w:rsidRPr="005C5E32">
              <w:rPr>
                <w:szCs w:val="18"/>
              </w:rPr>
              <w:t xml:space="preserve"> comprises chief executives from across central government</w:t>
            </w:r>
            <w:r w:rsidR="004C53DA" w:rsidRPr="005C5E32">
              <w:rPr>
                <w:szCs w:val="18"/>
              </w:rPr>
              <w:t>. T</w:t>
            </w:r>
            <w:r w:rsidR="007D761C" w:rsidRPr="005C5E32">
              <w:rPr>
                <w:szCs w:val="18"/>
              </w:rPr>
              <w:t xml:space="preserve">he Ministry chaired and convened </w:t>
            </w:r>
            <w:r w:rsidR="00E42588" w:rsidRPr="005C5E32">
              <w:rPr>
                <w:szCs w:val="18"/>
              </w:rPr>
              <w:t xml:space="preserve">the </w:t>
            </w:r>
            <w:r w:rsidRPr="005C5E32">
              <w:rPr>
                <w:szCs w:val="18"/>
              </w:rPr>
              <w:t xml:space="preserve">first </w:t>
            </w:r>
            <w:r w:rsidR="00E42588" w:rsidRPr="005C5E32">
              <w:rPr>
                <w:szCs w:val="18"/>
              </w:rPr>
              <w:t>meeting</w:t>
            </w:r>
            <w:r w:rsidRPr="005C5E32">
              <w:rPr>
                <w:szCs w:val="18"/>
              </w:rPr>
              <w:t xml:space="preserve"> in March 2026.</w:t>
            </w:r>
          </w:p>
          <w:p w14:paraId="096210BB" w14:textId="7E78ABF6" w:rsidR="0012676C" w:rsidRPr="005C5E32" w:rsidRDefault="0012676C">
            <w:pPr>
              <w:pStyle w:val="TableText"/>
              <w:rPr>
                <w:szCs w:val="18"/>
              </w:rPr>
            </w:pPr>
            <w:r w:rsidRPr="005C5E32">
              <w:rPr>
                <w:szCs w:val="18"/>
              </w:rPr>
              <w:t xml:space="preserve">Stage one of the New Zealand Flood Map has been completed. </w:t>
            </w:r>
            <w:r w:rsidR="00255127" w:rsidRPr="005C5E32">
              <w:rPr>
                <w:szCs w:val="18"/>
              </w:rPr>
              <w:t>More information is available</w:t>
            </w:r>
            <w:r w:rsidR="00336924" w:rsidRPr="005C5E32">
              <w:rPr>
                <w:szCs w:val="18"/>
              </w:rPr>
              <w:t xml:space="preserve"> on the Ministry</w:t>
            </w:r>
            <w:r w:rsidR="000369F8" w:rsidRPr="005C5E32">
              <w:rPr>
                <w:szCs w:val="18"/>
              </w:rPr>
              <w:t>’</w:t>
            </w:r>
            <w:r w:rsidR="00336924" w:rsidRPr="005C5E32">
              <w:rPr>
                <w:szCs w:val="18"/>
              </w:rPr>
              <w:t xml:space="preserve">s </w:t>
            </w:r>
            <w:hyperlink r:id="rId29" w:history="1">
              <w:r w:rsidR="0043518D" w:rsidRPr="005C5E32">
                <w:rPr>
                  <w:rStyle w:val="Hyperlink"/>
                  <w:szCs w:val="18"/>
                </w:rPr>
                <w:t>New Zealand Flood Map</w:t>
              </w:r>
            </w:hyperlink>
            <w:r w:rsidR="0043518D" w:rsidRPr="005C5E32">
              <w:t xml:space="preserve"> webpage</w:t>
            </w:r>
            <w:r w:rsidR="00336924" w:rsidRPr="005C5E32">
              <w:rPr>
                <w:szCs w:val="18"/>
              </w:rPr>
              <w:t>.</w:t>
            </w:r>
            <w:r w:rsidRPr="005C5E32">
              <w:rPr>
                <w:szCs w:val="18"/>
              </w:rPr>
              <w:t xml:space="preserve"> Stage two is now in procurement. When complete, it will provide credible, nationally consistent</w:t>
            </w:r>
            <w:r w:rsidR="00564FAE" w:rsidRPr="005C5E32">
              <w:rPr>
                <w:szCs w:val="18"/>
              </w:rPr>
              <w:t xml:space="preserve"> information on</w:t>
            </w:r>
            <w:r w:rsidRPr="005C5E32">
              <w:rPr>
                <w:szCs w:val="18"/>
              </w:rPr>
              <w:t xml:space="preserve"> flood hazard</w:t>
            </w:r>
            <w:r w:rsidR="00564FAE" w:rsidRPr="005C5E32">
              <w:rPr>
                <w:szCs w:val="18"/>
              </w:rPr>
              <w:t>s</w:t>
            </w:r>
            <w:r w:rsidRPr="005C5E32">
              <w:rPr>
                <w:szCs w:val="18"/>
              </w:rPr>
              <w:t xml:space="preserve"> across the country. </w:t>
            </w:r>
          </w:p>
          <w:p w14:paraId="1228842B" w14:textId="761E7FA3" w:rsidR="0012676C" w:rsidRPr="005C5E32" w:rsidRDefault="0012676C">
            <w:pPr>
              <w:pStyle w:val="TableText"/>
              <w:rPr>
                <w:szCs w:val="18"/>
              </w:rPr>
            </w:pPr>
            <w:r w:rsidRPr="005C5E32">
              <w:rPr>
                <w:szCs w:val="18"/>
              </w:rPr>
              <w:t>New Zealand</w:t>
            </w:r>
            <w:r w:rsidR="000369F8" w:rsidRPr="005C5E32">
              <w:rPr>
                <w:szCs w:val="18"/>
              </w:rPr>
              <w:t>’</w:t>
            </w:r>
            <w:r w:rsidRPr="005C5E32">
              <w:rPr>
                <w:szCs w:val="18"/>
              </w:rPr>
              <w:t xml:space="preserve">s first national adaptation plan is currently being implemented. </w:t>
            </w:r>
            <w:r w:rsidR="00D90F9D" w:rsidRPr="005C5E32">
              <w:rPr>
                <w:szCs w:val="18"/>
              </w:rPr>
              <w:t>T</w:t>
            </w:r>
            <w:r w:rsidRPr="005C5E32">
              <w:rPr>
                <w:szCs w:val="18"/>
              </w:rPr>
              <w:t xml:space="preserve">he Climate Change </w:t>
            </w:r>
            <w:r w:rsidR="001F013F" w:rsidRPr="005C5E32">
              <w:rPr>
                <w:szCs w:val="18"/>
              </w:rPr>
              <w:t>Chief</w:t>
            </w:r>
            <w:r w:rsidRPr="005C5E32">
              <w:rPr>
                <w:szCs w:val="18"/>
              </w:rPr>
              <w:t xml:space="preserve"> Executives Board</w:t>
            </w:r>
            <w:r w:rsidR="00D90F9D" w:rsidRPr="005C5E32">
              <w:rPr>
                <w:szCs w:val="18"/>
              </w:rPr>
              <w:t xml:space="preserve"> monitors the plan’s progress and reports on it annually</w:t>
            </w:r>
            <w:r w:rsidRPr="005C5E32">
              <w:rPr>
                <w:szCs w:val="18"/>
              </w:rPr>
              <w:t xml:space="preserve">. </w:t>
            </w:r>
          </w:p>
        </w:tc>
      </w:tr>
    </w:tbl>
    <w:p w14:paraId="703100F7" w14:textId="77777777" w:rsidR="0012676C" w:rsidRPr="005C5E32" w:rsidRDefault="0012676C" w:rsidP="00123150">
      <w:pPr>
        <w:pStyle w:val="BodyText"/>
      </w:pPr>
    </w:p>
    <w:p w14:paraId="22FF0476" w14:textId="77777777" w:rsidR="0012676C" w:rsidRPr="005C5E32" w:rsidRDefault="0012676C" w:rsidP="00123150">
      <w:pPr>
        <w:pStyle w:val="BodyText"/>
      </w:pPr>
      <w:bookmarkStart w:id="57" w:name="_Strategic_priority_3:"/>
      <w:bookmarkEnd w:id="57"/>
      <w:r w:rsidRPr="005C5E32">
        <w:br w:type="page"/>
      </w:r>
    </w:p>
    <w:p w14:paraId="2C5AD8BE" w14:textId="18973D91" w:rsidR="0012676C" w:rsidRPr="005C5E32" w:rsidRDefault="0012676C">
      <w:pPr>
        <w:pStyle w:val="Heading2"/>
        <w:spacing w:after="240"/>
        <w:rPr>
          <w:lang w:eastAsia="en-US"/>
        </w:rPr>
      </w:pPr>
      <w:bookmarkStart w:id="58" w:name="_Strategic_priority_3:_1"/>
      <w:bookmarkStart w:id="59" w:name="_Toc207017383"/>
      <w:bookmarkStart w:id="60" w:name="_Toc210136370"/>
      <w:bookmarkStart w:id="61" w:name="_Toc240445559"/>
      <w:bookmarkEnd w:id="58"/>
      <w:r w:rsidRPr="005C5E32">
        <w:rPr>
          <w:lang w:eastAsia="en-US"/>
        </w:rPr>
        <w:lastRenderedPageBreak/>
        <w:t xml:space="preserve">Strategic priority 3: </w:t>
      </w:r>
      <w:bookmarkEnd w:id="36"/>
      <w:bookmarkEnd w:id="37"/>
      <w:bookmarkEnd w:id="38"/>
      <w:r w:rsidRPr="005C5E32">
        <w:rPr>
          <w:lang w:eastAsia="en-US"/>
        </w:rPr>
        <w:t>Support the transition</w:t>
      </w:r>
      <w:r w:rsidR="00936DA3" w:rsidRPr="005C5E32">
        <w:rPr>
          <w:lang w:eastAsia="en-US"/>
        </w:rPr>
        <w:t> </w:t>
      </w:r>
      <w:r w:rsidRPr="005C5E32">
        <w:rPr>
          <w:lang w:eastAsia="en-US"/>
        </w:rPr>
        <w:t>to a competitive low-emission, resource-efficient economy</w:t>
      </w:r>
      <w:bookmarkEnd w:id="59"/>
      <w:bookmarkEnd w:id="60"/>
      <w:bookmarkEnd w:id="61"/>
    </w:p>
    <w:p w14:paraId="2E5744E9" w14:textId="21D4EBC1" w:rsidR="007F3045" w:rsidRPr="005C5E32" w:rsidRDefault="0012676C" w:rsidP="00A45F4B">
      <w:pPr>
        <w:pStyle w:val="BodyText"/>
      </w:pPr>
      <w:r w:rsidRPr="005C5E32" w:rsidDel="007F3045">
        <w:rPr>
          <w:lang w:eastAsia="en-US"/>
        </w:rPr>
        <w:t xml:space="preserve">The Ministry </w:t>
      </w:r>
      <w:r w:rsidR="007F3045" w:rsidRPr="005C5E32">
        <w:t xml:space="preserve">continued to lead and support New Zealand’s transition to a low-emissions, resource-efficient economy. This included implementing emissions reduction plans </w:t>
      </w:r>
      <w:r w:rsidR="00734A67" w:rsidRPr="005C5E32">
        <w:t xml:space="preserve">to achieve emissions budgets and </w:t>
      </w:r>
      <w:r w:rsidR="007F3045" w:rsidRPr="005C5E32">
        <w:t>provide a pathway to achieving New Zealand’s legislated 2050 emissions reduction targets, while advancing initiatives to improve resource efficiency. Together, these efforts help reduce emissions, improve environmental outcomes and support</w:t>
      </w:r>
      <w:r w:rsidR="00936DA3" w:rsidRPr="005C5E32">
        <w:t> </w:t>
      </w:r>
      <w:r w:rsidR="007F3045" w:rsidRPr="005C5E32">
        <w:t>sustainable economic growth.</w:t>
      </w:r>
    </w:p>
    <w:p w14:paraId="1B338249" w14:textId="3D243164" w:rsidR="007F3045" w:rsidRPr="005C5E32" w:rsidRDefault="007F3045" w:rsidP="00A45F4B">
      <w:pPr>
        <w:pStyle w:val="BodyText"/>
      </w:pPr>
      <w:r w:rsidRPr="005C5E32">
        <w:t xml:space="preserve">The Ministry also progressed implementation of the Government’s Waste and Resource Efficiency Strategy, supporting efforts to reduce waste, increase resource recovery and minimise environmental harm from waste and litter. </w:t>
      </w:r>
    </w:p>
    <w:p w14:paraId="58714E43" w14:textId="091A5766" w:rsidR="007F3045" w:rsidRPr="005C5E32" w:rsidRDefault="007F3045" w:rsidP="00A45F4B">
      <w:pPr>
        <w:pStyle w:val="BodyText"/>
      </w:pPr>
      <w:r w:rsidRPr="005C5E32">
        <w:t>The Ministry maintained stewardship of the New Zealand Emissions Trading Scheme (NZ ETS), the Government’s primary tool for reducing greenhouse gas emissions, ensuring its settings remained aligned with emissions budgets and long-term climate targets. In addition, it supported New Zealand’s international climate change obligations under the Paris Agreement</w:t>
      </w:r>
      <w:r w:rsidR="00B71799" w:rsidRPr="005C5E32">
        <w:t>. This work</w:t>
      </w:r>
      <w:r w:rsidRPr="005C5E32">
        <w:t xml:space="preserve"> includ</w:t>
      </w:r>
      <w:r w:rsidR="00B71799" w:rsidRPr="005C5E32">
        <w:t>ed</w:t>
      </w:r>
      <w:r w:rsidRPr="005C5E32">
        <w:t xml:space="preserve"> monitoring and reporting progress towards the country’s Nationally Determined Contribution</w:t>
      </w:r>
      <w:r w:rsidR="00A62449" w:rsidRPr="005C5E32">
        <w:t xml:space="preserve"> (NDC) under the Paris Agreement</w:t>
      </w:r>
      <w:r w:rsidRPr="005C5E32">
        <w:t xml:space="preserve"> to reduce net greenhouse gas emissions to 50 percent below gross 2005 levels by 2030.</w:t>
      </w:r>
    </w:p>
    <w:p w14:paraId="630F5890" w14:textId="49C0E4FF" w:rsidR="00D23462" w:rsidRPr="005C5E32" w:rsidRDefault="00D23462" w:rsidP="00A45F4B">
      <w:pPr>
        <w:pStyle w:val="BodyText"/>
      </w:pPr>
      <w:r w:rsidRPr="005C5E32">
        <w:br w:type="page"/>
      </w:r>
    </w:p>
    <w:p w14:paraId="6DD5A059" w14:textId="568262A6" w:rsidR="0012676C" w:rsidRPr="005C5E32" w:rsidRDefault="0012676C" w:rsidP="00562FE7">
      <w:pPr>
        <w:pStyle w:val="Heading3"/>
        <w:spacing w:after="240"/>
      </w:pPr>
      <w:r w:rsidRPr="005C5E32">
        <w:lastRenderedPageBreak/>
        <w:t>How we measure progress</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CellMar>
          <w:left w:w="85" w:type="dxa"/>
          <w:right w:w="85" w:type="dxa"/>
        </w:tblCellMar>
        <w:tblLook w:val="04A0" w:firstRow="1" w:lastRow="0" w:firstColumn="1" w:lastColumn="0" w:noHBand="0" w:noVBand="1"/>
      </w:tblPr>
      <w:tblGrid>
        <w:gridCol w:w="2977"/>
        <w:gridCol w:w="567"/>
        <w:gridCol w:w="4961"/>
      </w:tblGrid>
      <w:tr w:rsidR="0012676C" w:rsidRPr="005C5E32" w14:paraId="2B8447E8" w14:textId="77777777" w:rsidTr="00474F32">
        <w:trPr>
          <w:tblHeader/>
        </w:trPr>
        <w:tc>
          <w:tcPr>
            <w:tcW w:w="3544" w:type="dxa"/>
            <w:gridSpan w:val="2"/>
            <w:shd w:val="clear" w:color="auto" w:fill="1B556B" w:themeFill="text2"/>
          </w:tcPr>
          <w:p w14:paraId="3775617B" w14:textId="77777777" w:rsidR="0012676C" w:rsidRPr="005C5E32" w:rsidRDefault="0012676C" w:rsidP="00B56F25">
            <w:pPr>
              <w:pStyle w:val="TableTextbold"/>
              <w:rPr>
                <w:color w:val="FFFFFF" w:themeColor="background1"/>
                <w:szCs w:val="18"/>
              </w:rPr>
            </w:pPr>
            <w:r w:rsidRPr="005C5E32">
              <w:rPr>
                <w:color w:val="FFFFFF" w:themeColor="background1"/>
                <w:szCs w:val="18"/>
              </w:rPr>
              <w:t>How we make a difference</w:t>
            </w:r>
          </w:p>
        </w:tc>
        <w:tc>
          <w:tcPr>
            <w:tcW w:w="4961" w:type="dxa"/>
            <w:shd w:val="clear" w:color="auto" w:fill="1B556B" w:themeFill="text2"/>
          </w:tcPr>
          <w:p w14:paraId="2D297BEF" w14:textId="77777777" w:rsidR="0012676C" w:rsidRPr="005C5E32" w:rsidRDefault="0012676C" w:rsidP="00B56F25">
            <w:pPr>
              <w:pStyle w:val="TableTextbold"/>
              <w:rPr>
                <w:color w:val="FFFFFF" w:themeColor="background1"/>
                <w:szCs w:val="18"/>
              </w:rPr>
            </w:pPr>
            <w:r w:rsidRPr="005C5E32">
              <w:rPr>
                <w:color w:val="FFFFFF" w:themeColor="background1"/>
                <w:szCs w:val="18"/>
              </w:rPr>
              <w:t>2025/26 performance and achievements</w:t>
            </w:r>
          </w:p>
        </w:tc>
      </w:tr>
      <w:tr w:rsidR="0012676C" w:rsidRPr="005C5E32" w14:paraId="4D68720F" w14:textId="77777777" w:rsidTr="009D7DC3">
        <w:tc>
          <w:tcPr>
            <w:tcW w:w="3544" w:type="dxa"/>
            <w:gridSpan w:val="2"/>
          </w:tcPr>
          <w:p w14:paraId="0CC75F15" w14:textId="3437D8AB" w:rsidR="0012676C" w:rsidRPr="005C5E32" w:rsidRDefault="0012676C" w:rsidP="003E6523">
            <w:pPr>
              <w:pStyle w:val="TableText"/>
              <w:rPr>
                <w:szCs w:val="18"/>
              </w:rPr>
            </w:pPr>
            <w:r w:rsidRPr="005C5E32">
              <w:rPr>
                <w:szCs w:val="18"/>
              </w:rPr>
              <w:t>On track</w:t>
            </w:r>
            <w:r w:rsidRPr="005C5E32">
              <w:rPr>
                <w:rStyle w:val="FootnoteReference"/>
                <w:rFonts w:cstheme="minorHAnsi"/>
                <w:sz w:val="18"/>
                <w:szCs w:val="18"/>
              </w:rPr>
              <w:footnoteReference w:id="4"/>
            </w:r>
            <w:r w:rsidRPr="005C5E32">
              <w:rPr>
                <w:szCs w:val="18"/>
              </w:rPr>
              <w:t xml:space="preserve"> to meet New Zealand</w:t>
            </w:r>
            <w:r w:rsidR="000369F8" w:rsidRPr="005C5E32">
              <w:rPr>
                <w:szCs w:val="18"/>
              </w:rPr>
              <w:t>’</w:t>
            </w:r>
            <w:r w:rsidRPr="005C5E32">
              <w:rPr>
                <w:szCs w:val="18"/>
              </w:rPr>
              <w:t>s 2050 net zero</w:t>
            </w:r>
            <w:r w:rsidRPr="005C5E32">
              <w:rPr>
                <w:rStyle w:val="FootnoteReference"/>
                <w:sz w:val="18"/>
                <w:szCs w:val="18"/>
              </w:rPr>
              <w:footnoteReference w:id="5"/>
            </w:r>
            <w:r w:rsidRPr="005C5E32">
              <w:rPr>
                <w:szCs w:val="18"/>
              </w:rPr>
              <w:t xml:space="preserve"> climate change targets with total net emissions</w:t>
            </w:r>
            <w:r w:rsidRPr="005C5E32">
              <w:rPr>
                <w:rStyle w:val="FootnoteReference"/>
                <w:sz w:val="18"/>
                <w:szCs w:val="18"/>
              </w:rPr>
              <w:footnoteReference w:id="6"/>
            </w:r>
            <w:r w:rsidRPr="005C5E32">
              <w:rPr>
                <w:szCs w:val="18"/>
              </w:rPr>
              <w:t xml:space="preserve"> of no more than 290 </w:t>
            </w:r>
            <w:r w:rsidRPr="005C5E32" w:rsidDel="00AD07DB">
              <w:rPr>
                <w:szCs w:val="18"/>
              </w:rPr>
              <w:t xml:space="preserve">megatonnes </w:t>
            </w:r>
            <w:r w:rsidRPr="005C5E32">
              <w:rPr>
                <w:szCs w:val="18"/>
              </w:rPr>
              <w:t>from 2022</w:t>
            </w:r>
            <w:r w:rsidRPr="005C5E32">
              <w:rPr>
                <w:b/>
                <w:bCs/>
                <w:szCs w:val="18"/>
              </w:rPr>
              <w:t>–</w:t>
            </w:r>
            <w:r w:rsidRPr="005C5E32">
              <w:rPr>
                <w:szCs w:val="18"/>
              </w:rPr>
              <w:t>25 and 305</w:t>
            </w:r>
            <w:r w:rsidR="00A45F4B" w:rsidRPr="005C5E32">
              <w:rPr>
                <w:szCs w:val="18"/>
              </w:rPr>
              <w:t> </w:t>
            </w:r>
            <w:r w:rsidRPr="005C5E32">
              <w:rPr>
                <w:szCs w:val="18"/>
              </w:rPr>
              <w:t>megatonnes from 2026</w:t>
            </w:r>
            <w:r w:rsidRPr="005C5E32">
              <w:rPr>
                <w:b/>
                <w:bCs/>
                <w:szCs w:val="18"/>
              </w:rPr>
              <w:t>–</w:t>
            </w:r>
            <w:r w:rsidRPr="005C5E32">
              <w:rPr>
                <w:szCs w:val="18"/>
              </w:rPr>
              <w:t>30</w:t>
            </w:r>
            <w:r w:rsidR="006B3321" w:rsidRPr="005C5E32">
              <w:rPr>
                <w:szCs w:val="18"/>
              </w:rPr>
              <w:t>.</w:t>
            </w:r>
            <w:r w:rsidRPr="005C5E32">
              <w:rPr>
                <w:rStyle w:val="FootnoteReference"/>
                <w:sz w:val="18"/>
                <w:szCs w:val="18"/>
              </w:rPr>
              <w:footnoteReference w:id="7"/>
            </w:r>
          </w:p>
          <w:p w14:paraId="57976D43" w14:textId="6FD7CDCF" w:rsidR="0012676C" w:rsidRPr="005C5E32" w:rsidRDefault="0012676C" w:rsidP="003E6523">
            <w:pPr>
              <w:pStyle w:val="TableText"/>
              <w:rPr>
                <w:rFonts w:asciiTheme="minorHAnsi" w:hAnsiTheme="minorHAnsi" w:cstheme="minorHAnsi"/>
                <w:szCs w:val="18"/>
              </w:rPr>
            </w:pPr>
            <w:r w:rsidRPr="005C5E32">
              <w:rPr>
                <w:rFonts w:asciiTheme="minorHAnsi" w:hAnsiTheme="minorHAnsi" w:cstheme="minorHAnsi"/>
                <w:szCs w:val="18"/>
              </w:rPr>
              <w:t xml:space="preserve">This measure is one of the </w:t>
            </w:r>
            <w:r w:rsidRPr="005C5E32">
              <w:rPr>
                <w:szCs w:val="18"/>
              </w:rPr>
              <w:t>nine</w:t>
            </w:r>
            <w:r w:rsidRPr="005C5E32">
              <w:rPr>
                <w:rFonts w:asciiTheme="minorHAnsi" w:hAnsiTheme="minorHAnsi" w:cstheme="minorHAnsi"/>
                <w:szCs w:val="18"/>
              </w:rPr>
              <w:t xml:space="preserve"> Government targets. For more information, see the Ministry</w:t>
            </w:r>
            <w:r w:rsidR="00B56600" w:rsidRPr="005C5E32">
              <w:rPr>
                <w:rFonts w:asciiTheme="minorHAnsi" w:hAnsiTheme="minorHAnsi" w:cstheme="minorHAnsi"/>
                <w:szCs w:val="18"/>
              </w:rPr>
              <w:t>’s</w:t>
            </w:r>
            <w:r w:rsidRPr="005C5E32">
              <w:rPr>
                <w:rFonts w:asciiTheme="minorHAnsi" w:hAnsiTheme="minorHAnsi" w:cstheme="minorHAnsi"/>
                <w:szCs w:val="18"/>
              </w:rPr>
              <w:t xml:space="preserve"> </w:t>
            </w:r>
            <w:hyperlink r:id="rId30" w:history="1">
              <w:r w:rsidRPr="005C5E32">
                <w:rPr>
                  <w:rStyle w:val="Hyperlink"/>
                  <w:szCs w:val="18"/>
                </w:rPr>
                <w:t>Government Target 9 quarterly reporting</w:t>
              </w:r>
            </w:hyperlink>
            <w:r w:rsidRPr="005C5E32">
              <w:rPr>
                <w:rFonts w:asciiTheme="minorHAnsi" w:hAnsiTheme="minorHAnsi" w:cstheme="minorHAnsi"/>
                <w:szCs w:val="18"/>
              </w:rPr>
              <w:t xml:space="preserve"> </w:t>
            </w:r>
            <w:r w:rsidR="006420DB" w:rsidRPr="005C5E32">
              <w:rPr>
                <w:rFonts w:asciiTheme="minorHAnsi" w:hAnsiTheme="minorHAnsi" w:cstheme="minorHAnsi"/>
                <w:szCs w:val="18"/>
              </w:rPr>
              <w:t xml:space="preserve">webpage </w:t>
            </w:r>
            <w:r w:rsidRPr="005C5E32">
              <w:rPr>
                <w:rFonts w:asciiTheme="minorHAnsi" w:hAnsiTheme="minorHAnsi" w:cstheme="minorHAnsi"/>
                <w:szCs w:val="18"/>
              </w:rPr>
              <w:t xml:space="preserve">or the </w:t>
            </w:r>
            <w:hyperlink r:id="rId31" w:history="1">
              <w:r w:rsidR="00B9112C" w:rsidRPr="005C5E32">
                <w:rPr>
                  <w:rStyle w:val="Hyperlink"/>
                  <w:rFonts w:asciiTheme="minorHAnsi" w:hAnsiTheme="minorHAnsi" w:cstheme="minorHAnsi"/>
                  <w:szCs w:val="18"/>
                </w:rPr>
                <w:t>Government Targets Quarterly Reports</w:t>
              </w:r>
            </w:hyperlink>
            <w:r w:rsidR="00B9112C" w:rsidRPr="005C5E32">
              <w:rPr>
                <w:szCs w:val="18"/>
              </w:rPr>
              <w:t xml:space="preserve"> webpage</w:t>
            </w:r>
            <w:r w:rsidR="00AD0E1B" w:rsidRPr="005C5E32">
              <w:rPr>
                <w:szCs w:val="18"/>
              </w:rPr>
              <w:t xml:space="preserve"> from the </w:t>
            </w:r>
            <w:r w:rsidR="00AD0E1B" w:rsidRPr="005C5E32">
              <w:rPr>
                <w:rFonts w:asciiTheme="minorHAnsi" w:hAnsiTheme="minorHAnsi" w:cstheme="minorHAnsi"/>
                <w:szCs w:val="18"/>
              </w:rPr>
              <w:t>Department of the Prime Minister and Cabinet (DPMC)</w:t>
            </w:r>
            <w:r w:rsidRPr="005C5E32">
              <w:rPr>
                <w:rFonts w:asciiTheme="minorHAnsi" w:hAnsiTheme="minorHAnsi" w:cstheme="minorHAnsi"/>
                <w:szCs w:val="18"/>
              </w:rPr>
              <w:t xml:space="preserve">. </w:t>
            </w:r>
          </w:p>
          <w:p w14:paraId="67478BDD" w14:textId="5F5F5AF6" w:rsidR="0012676C" w:rsidRPr="005C5E32" w:rsidRDefault="00CE255A" w:rsidP="003D0CC1">
            <w:pPr>
              <w:pStyle w:val="TableText"/>
              <w:spacing w:before="40" w:after="40"/>
              <w:rPr>
                <w:rFonts w:asciiTheme="minorHAnsi" w:hAnsiTheme="minorHAnsi" w:cstheme="minorHAnsi"/>
                <w:i/>
                <w:iCs/>
                <w:szCs w:val="18"/>
              </w:rPr>
            </w:pPr>
            <w:hyperlink w:anchor="_Note_1:_Reduction" w:history="1">
              <w:r w:rsidRPr="005C5E32">
                <w:rPr>
                  <w:rStyle w:val="Hyperlink"/>
                  <w:rFonts w:asciiTheme="minorHAnsi" w:hAnsiTheme="minorHAnsi" w:cstheme="minorHAnsi"/>
                  <w:i/>
                  <w:iCs/>
                  <w:szCs w:val="18"/>
                </w:rPr>
                <w:t>See note 1</w:t>
              </w:r>
            </w:hyperlink>
          </w:p>
        </w:tc>
        <w:tc>
          <w:tcPr>
            <w:tcW w:w="4961" w:type="dxa"/>
          </w:tcPr>
          <w:p w14:paraId="6D9BDE8F" w14:textId="3D06B960" w:rsidR="0012676C" w:rsidRPr="005C5E32" w:rsidRDefault="0012676C" w:rsidP="00511104">
            <w:pPr>
              <w:pStyle w:val="TableText"/>
              <w:rPr>
                <w:szCs w:val="18"/>
              </w:rPr>
            </w:pPr>
            <w:r w:rsidRPr="005C5E32">
              <w:rPr>
                <w:szCs w:val="18"/>
              </w:rPr>
              <w:t>With the implementation of policies from New Zealand</w:t>
            </w:r>
            <w:r w:rsidR="000369F8" w:rsidRPr="005C5E32">
              <w:rPr>
                <w:szCs w:val="18"/>
              </w:rPr>
              <w:t>’</w:t>
            </w:r>
            <w:r w:rsidRPr="005C5E32">
              <w:rPr>
                <w:szCs w:val="18"/>
              </w:rPr>
              <w:t>s second emissions reduction plan 2026</w:t>
            </w:r>
            <w:r w:rsidR="00C30B32" w:rsidRPr="005C5E32">
              <w:rPr>
                <w:szCs w:val="18"/>
              </w:rPr>
              <w:t>–</w:t>
            </w:r>
            <w:r w:rsidRPr="005C5E32">
              <w:rPr>
                <w:szCs w:val="18"/>
              </w:rPr>
              <w:t xml:space="preserve">30 (ERP2), the </w:t>
            </w:r>
            <w:r w:rsidR="00FA3E3D" w:rsidRPr="005C5E32">
              <w:rPr>
                <w:szCs w:val="18"/>
              </w:rPr>
              <w:t>greenhouse gas</w:t>
            </w:r>
            <w:r w:rsidRPr="005C5E32">
              <w:rPr>
                <w:szCs w:val="18"/>
              </w:rPr>
              <w:t xml:space="preserve"> emissions projections published in January 2026 </w:t>
            </w:r>
            <w:r w:rsidR="008A71A1" w:rsidRPr="005C5E32">
              <w:rPr>
                <w:szCs w:val="18"/>
              </w:rPr>
              <w:t xml:space="preserve">indicate </w:t>
            </w:r>
            <w:r w:rsidRPr="005C5E32">
              <w:rPr>
                <w:szCs w:val="18"/>
              </w:rPr>
              <w:t>that New</w:t>
            </w:r>
            <w:r w:rsidR="00A45F4B" w:rsidRPr="005C5E32">
              <w:rPr>
                <w:szCs w:val="18"/>
              </w:rPr>
              <w:t> </w:t>
            </w:r>
            <w:r w:rsidRPr="005C5E32">
              <w:rPr>
                <w:szCs w:val="18"/>
              </w:rPr>
              <w:t>Zealand is</w:t>
            </w:r>
            <w:r w:rsidR="001C01EF" w:rsidRPr="005C5E32">
              <w:rPr>
                <w:szCs w:val="18"/>
              </w:rPr>
              <w:t xml:space="preserve"> projected to</w:t>
            </w:r>
            <w:r w:rsidR="001C01EF" w:rsidRPr="005C5E32" w:rsidDel="00721419">
              <w:rPr>
                <w:szCs w:val="18"/>
              </w:rPr>
              <w:t xml:space="preserve"> </w:t>
            </w:r>
            <w:r w:rsidRPr="005C5E32">
              <w:rPr>
                <w:szCs w:val="18"/>
              </w:rPr>
              <w:t>achieve both the first (2022–25) and the second (2026–30) emissions budgets.</w:t>
            </w:r>
            <w:r w:rsidR="00D378B0" w:rsidRPr="005C5E32">
              <w:rPr>
                <w:rStyle w:val="FootnoteReference"/>
                <w:sz w:val="18"/>
                <w:szCs w:val="18"/>
              </w:rPr>
              <w:footnoteReference w:id="8"/>
            </w:r>
            <w:r w:rsidR="00966E99" w:rsidRPr="005C5E32">
              <w:rPr>
                <w:szCs w:val="18"/>
              </w:rPr>
              <w:t xml:space="preserve"> Th</w:t>
            </w:r>
            <w:r w:rsidR="00B71799" w:rsidRPr="005C5E32">
              <w:rPr>
                <w:szCs w:val="18"/>
              </w:rPr>
              <w:t>e projections</w:t>
            </w:r>
            <w:r w:rsidR="00966E99" w:rsidRPr="005C5E32">
              <w:rPr>
                <w:szCs w:val="18"/>
              </w:rPr>
              <w:t xml:space="preserve"> also show there is </w:t>
            </w:r>
            <w:r w:rsidR="004E2153" w:rsidRPr="005C5E32">
              <w:rPr>
                <w:szCs w:val="18"/>
              </w:rPr>
              <w:t xml:space="preserve">a </w:t>
            </w:r>
            <w:r w:rsidR="00966E99" w:rsidRPr="005C5E32">
              <w:rPr>
                <w:szCs w:val="18"/>
              </w:rPr>
              <w:t>gap</w:t>
            </w:r>
            <w:r w:rsidR="00132720" w:rsidRPr="005C5E32">
              <w:rPr>
                <w:szCs w:val="18"/>
              </w:rPr>
              <w:t xml:space="preserve"> to achieving the third </w:t>
            </w:r>
            <w:r w:rsidR="00406DEE" w:rsidRPr="005C5E32">
              <w:rPr>
                <w:szCs w:val="18"/>
              </w:rPr>
              <w:t>(2031</w:t>
            </w:r>
            <w:r w:rsidR="008A71A1" w:rsidRPr="005C5E32">
              <w:rPr>
                <w:szCs w:val="18"/>
              </w:rPr>
              <w:t>–</w:t>
            </w:r>
            <w:r w:rsidR="00406DEE" w:rsidRPr="005C5E32">
              <w:rPr>
                <w:szCs w:val="18"/>
              </w:rPr>
              <w:t>35) emissions budget</w:t>
            </w:r>
            <w:r w:rsidR="00B71799" w:rsidRPr="005C5E32">
              <w:rPr>
                <w:szCs w:val="18"/>
              </w:rPr>
              <w:t>,</w:t>
            </w:r>
            <w:r w:rsidR="00A23E6B" w:rsidRPr="005C5E32">
              <w:rPr>
                <w:szCs w:val="18"/>
              </w:rPr>
              <w:t xml:space="preserve"> which will </w:t>
            </w:r>
            <w:r w:rsidR="00945824" w:rsidRPr="005C5E32">
              <w:rPr>
                <w:szCs w:val="18"/>
              </w:rPr>
              <w:t xml:space="preserve">need to be considered </w:t>
            </w:r>
            <w:r w:rsidR="006245C2" w:rsidRPr="005C5E32">
              <w:rPr>
                <w:szCs w:val="18"/>
              </w:rPr>
              <w:t xml:space="preserve">in the near term. </w:t>
            </w:r>
          </w:p>
          <w:p w14:paraId="0FB6053E" w14:textId="2FCA071B" w:rsidR="0012676C" w:rsidRPr="005C5E32" w:rsidRDefault="0012676C">
            <w:pPr>
              <w:pStyle w:val="TableText"/>
              <w:rPr>
                <w:szCs w:val="18"/>
              </w:rPr>
            </w:pPr>
            <w:r w:rsidRPr="005C5E32">
              <w:rPr>
                <w:szCs w:val="18"/>
              </w:rPr>
              <w:t>Our key deliverables supporting the transition to a competitive and low</w:t>
            </w:r>
            <w:r w:rsidR="00293817" w:rsidRPr="005C5E32">
              <w:rPr>
                <w:szCs w:val="18"/>
              </w:rPr>
              <w:t>-</w:t>
            </w:r>
            <w:r w:rsidRPr="005C5E32">
              <w:rPr>
                <w:szCs w:val="18"/>
              </w:rPr>
              <w:t>emission</w:t>
            </w:r>
            <w:r w:rsidR="00812C02" w:rsidRPr="005C5E32">
              <w:rPr>
                <w:szCs w:val="18"/>
              </w:rPr>
              <w:t>s</w:t>
            </w:r>
            <w:r w:rsidRPr="005C5E32">
              <w:rPr>
                <w:szCs w:val="18"/>
              </w:rPr>
              <w:t xml:space="preserve"> economy include</w:t>
            </w:r>
            <w:r w:rsidR="004F0960" w:rsidRPr="005C5E32">
              <w:rPr>
                <w:szCs w:val="18"/>
              </w:rPr>
              <w:t>d</w:t>
            </w:r>
            <w:r w:rsidR="00A52C69" w:rsidRPr="005C5E32">
              <w:rPr>
                <w:szCs w:val="18"/>
              </w:rPr>
              <w:t xml:space="preserve"> the following</w:t>
            </w:r>
            <w:r w:rsidR="00A17B71" w:rsidRPr="005C5E32">
              <w:rPr>
                <w:szCs w:val="18"/>
              </w:rPr>
              <w:t>.</w:t>
            </w:r>
          </w:p>
          <w:p w14:paraId="54F3E793" w14:textId="1AB426B3" w:rsidR="0012676C" w:rsidRPr="005C5E32" w:rsidRDefault="00A52C69">
            <w:pPr>
              <w:pStyle w:val="TableBullet"/>
              <w:rPr>
                <w:szCs w:val="18"/>
              </w:rPr>
            </w:pPr>
            <w:r w:rsidRPr="005C5E32">
              <w:rPr>
                <w:szCs w:val="18"/>
              </w:rPr>
              <w:t xml:space="preserve">The </w:t>
            </w:r>
            <w:r w:rsidR="0012676C" w:rsidRPr="005C5E32">
              <w:rPr>
                <w:szCs w:val="18"/>
              </w:rPr>
              <w:t>target for reductions required in biogenic methane emissions by 2050</w:t>
            </w:r>
            <w:r w:rsidRPr="005C5E32">
              <w:rPr>
                <w:szCs w:val="18"/>
              </w:rPr>
              <w:t xml:space="preserve"> was reset.</w:t>
            </w:r>
          </w:p>
          <w:p w14:paraId="2C07DA41" w14:textId="06135E5F" w:rsidR="0012676C" w:rsidRPr="005C5E32" w:rsidRDefault="00A52C69">
            <w:pPr>
              <w:pStyle w:val="TableBullet"/>
              <w:rPr>
                <w:szCs w:val="18"/>
              </w:rPr>
            </w:pPr>
            <w:r w:rsidRPr="005C5E32">
              <w:rPr>
                <w:szCs w:val="18"/>
              </w:rPr>
              <w:t xml:space="preserve">We supported </w:t>
            </w:r>
            <w:r w:rsidR="0012676C" w:rsidRPr="005C5E32">
              <w:rPr>
                <w:szCs w:val="18"/>
              </w:rPr>
              <w:t>the Government to update the NZ</w:t>
            </w:r>
            <w:r w:rsidR="00D64965" w:rsidRPr="005C5E32">
              <w:rPr>
                <w:szCs w:val="18"/>
              </w:rPr>
              <w:t xml:space="preserve"> </w:t>
            </w:r>
            <w:r w:rsidR="0012676C" w:rsidRPr="005C5E32">
              <w:rPr>
                <w:szCs w:val="18"/>
              </w:rPr>
              <w:t>ETS settings to</w:t>
            </w:r>
            <w:r w:rsidR="00A45F4B" w:rsidRPr="005C5E32">
              <w:rPr>
                <w:szCs w:val="18"/>
              </w:rPr>
              <w:t> </w:t>
            </w:r>
            <w:r w:rsidR="0012676C" w:rsidRPr="005C5E32">
              <w:rPr>
                <w:szCs w:val="18"/>
              </w:rPr>
              <w:t>reduce risks to meeting emissions budgets and to ensure New</w:t>
            </w:r>
            <w:r w:rsidR="00A45F4B" w:rsidRPr="005C5E32">
              <w:rPr>
                <w:szCs w:val="18"/>
              </w:rPr>
              <w:t> </w:t>
            </w:r>
            <w:r w:rsidR="0012676C" w:rsidRPr="005C5E32">
              <w:rPr>
                <w:szCs w:val="18"/>
              </w:rPr>
              <w:t>Zealand has a credible market</w:t>
            </w:r>
            <w:r w:rsidR="0083333B" w:rsidRPr="005C5E32">
              <w:rPr>
                <w:szCs w:val="18"/>
              </w:rPr>
              <w:t>.</w:t>
            </w:r>
            <w:r w:rsidR="0012676C" w:rsidRPr="005C5E32">
              <w:rPr>
                <w:szCs w:val="18"/>
              </w:rPr>
              <w:t xml:space="preserve"> (</w:t>
            </w:r>
            <w:r w:rsidR="0083333B" w:rsidRPr="005C5E32">
              <w:rPr>
                <w:szCs w:val="18"/>
              </w:rPr>
              <w:t>T</w:t>
            </w:r>
            <w:r w:rsidR="0012676C" w:rsidRPr="005C5E32">
              <w:rPr>
                <w:szCs w:val="18"/>
              </w:rPr>
              <w:t>he number of units available from the Government</w:t>
            </w:r>
            <w:r w:rsidR="000369F8" w:rsidRPr="005C5E32">
              <w:rPr>
                <w:szCs w:val="18"/>
              </w:rPr>
              <w:t>’</w:t>
            </w:r>
            <w:r w:rsidR="0012676C" w:rsidRPr="005C5E32">
              <w:rPr>
                <w:szCs w:val="18"/>
              </w:rPr>
              <w:t xml:space="preserve">s primary auctions between 2026 and 2030 </w:t>
            </w:r>
            <w:r w:rsidR="0083333B" w:rsidRPr="005C5E32">
              <w:rPr>
                <w:szCs w:val="18"/>
              </w:rPr>
              <w:t xml:space="preserve">was </w:t>
            </w:r>
            <w:r w:rsidR="0012676C" w:rsidRPr="005C5E32">
              <w:rPr>
                <w:szCs w:val="18"/>
              </w:rPr>
              <w:t xml:space="preserve">maintained at 17 million units, considerably reducing the risk to meeting budgets </w:t>
            </w:r>
            <w:r w:rsidR="0083333B" w:rsidRPr="005C5E32">
              <w:rPr>
                <w:szCs w:val="18"/>
              </w:rPr>
              <w:t>that</w:t>
            </w:r>
            <w:r w:rsidR="0012676C" w:rsidRPr="005C5E32">
              <w:rPr>
                <w:szCs w:val="18"/>
              </w:rPr>
              <w:t xml:space="preserve"> the surplus stockpile units in the scheme</w:t>
            </w:r>
            <w:r w:rsidR="0083333B" w:rsidRPr="005C5E32">
              <w:rPr>
                <w:szCs w:val="18"/>
              </w:rPr>
              <w:t xml:space="preserve"> presented.</w:t>
            </w:r>
            <w:r w:rsidR="0012676C" w:rsidRPr="005C5E32">
              <w:rPr>
                <w:szCs w:val="18"/>
              </w:rPr>
              <w:t>)</w:t>
            </w:r>
          </w:p>
          <w:p w14:paraId="444CC003" w14:textId="17CF1F15" w:rsidR="0012676C" w:rsidRPr="005C5E32" w:rsidRDefault="00647856">
            <w:pPr>
              <w:pStyle w:val="TableBullet"/>
              <w:rPr>
                <w:szCs w:val="18"/>
              </w:rPr>
            </w:pPr>
            <w:r w:rsidRPr="005C5E32">
              <w:rPr>
                <w:szCs w:val="18"/>
              </w:rPr>
              <w:t>We published</w:t>
            </w:r>
            <w:r w:rsidR="0012676C" w:rsidRPr="005C5E32">
              <w:rPr>
                <w:szCs w:val="18"/>
              </w:rPr>
              <w:t xml:space="preserve"> the Removals Framework to assess when and how non</w:t>
            </w:r>
            <w:r w:rsidR="004F0960" w:rsidRPr="005C5E32">
              <w:rPr>
                <w:szCs w:val="18"/>
              </w:rPr>
              <w:t>-</w:t>
            </w:r>
            <w:r w:rsidR="0012676C" w:rsidRPr="005C5E32">
              <w:rPr>
                <w:szCs w:val="18"/>
              </w:rPr>
              <w:t>forest removals can be formally recognised in the NZ</w:t>
            </w:r>
            <w:r w:rsidR="006B3321" w:rsidRPr="005C5E32">
              <w:rPr>
                <w:szCs w:val="18"/>
              </w:rPr>
              <w:t> </w:t>
            </w:r>
            <w:r w:rsidR="0012676C" w:rsidRPr="005C5E32">
              <w:rPr>
                <w:szCs w:val="18"/>
              </w:rPr>
              <w:t>ETS or through other mechanisms. This will encourage recognition and reward for removal activities and support high</w:t>
            </w:r>
            <w:r w:rsidR="006B3321" w:rsidRPr="005C5E32">
              <w:rPr>
                <w:szCs w:val="18"/>
              </w:rPr>
              <w:noBreakHyphen/>
            </w:r>
            <w:r w:rsidR="0012676C" w:rsidRPr="005C5E32">
              <w:rPr>
                <w:szCs w:val="18"/>
              </w:rPr>
              <w:t>integrity carbon markets. The Removals Framework opened for applications in May 2026</w:t>
            </w:r>
            <w:r w:rsidRPr="005C5E32">
              <w:rPr>
                <w:szCs w:val="18"/>
              </w:rPr>
              <w:t>.</w:t>
            </w:r>
          </w:p>
          <w:p w14:paraId="4F6F091B" w14:textId="049F709B" w:rsidR="0012676C" w:rsidRPr="005C5E32" w:rsidRDefault="00647856" w:rsidP="00CB2219">
            <w:pPr>
              <w:pStyle w:val="TableBullet"/>
              <w:keepNext/>
              <w:rPr>
                <w:szCs w:val="18"/>
              </w:rPr>
            </w:pPr>
            <w:r w:rsidRPr="005C5E32">
              <w:rPr>
                <w:szCs w:val="18"/>
              </w:rPr>
              <w:lastRenderedPageBreak/>
              <w:t>We published</w:t>
            </w:r>
            <w:r w:rsidR="0012676C" w:rsidRPr="005C5E32">
              <w:rPr>
                <w:szCs w:val="18"/>
              </w:rPr>
              <w:t xml:space="preserve"> updated voluntary carbon market guidance</w:t>
            </w:r>
            <w:r w:rsidRPr="005C5E32">
              <w:rPr>
                <w:szCs w:val="18"/>
              </w:rPr>
              <w:t>.</w:t>
            </w:r>
          </w:p>
          <w:p w14:paraId="71BD3EBA" w14:textId="65D36C64" w:rsidR="0012676C" w:rsidRPr="005C5E32" w:rsidRDefault="00647856">
            <w:pPr>
              <w:pStyle w:val="TableBullet"/>
              <w:rPr>
                <w:szCs w:val="18"/>
              </w:rPr>
            </w:pPr>
            <w:r w:rsidRPr="005C5E32">
              <w:rPr>
                <w:szCs w:val="18"/>
              </w:rPr>
              <w:t>We supported</w:t>
            </w:r>
            <w:r w:rsidR="0012676C" w:rsidRPr="005C5E32">
              <w:rPr>
                <w:szCs w:val="18"/>
              </w:rPr>
              <w:t xml:space="preserve"> drafting</w:t>
            </w:r>
            <w:r w:rsidRPr="005C5E32">
              <w:rPr>
                <w:szCs w:val="18"/>
              </w:rPr>
              <w:t xml:space="preserve"> of</w:t>
            </w:r>
            <w:r w:rsidR="0012676C" w:rsidRPr="005C5E32">
              <w:rPr>
                <w:szCs w:val="18"/>
              </w:rPr>
              <w:t xml:space="preserve"> the Climate Change Response Amendment Bill</w:t>
            </w:r>
            <w:r w:rsidR="0065182B" w:rsidRPr="005C5E32">
              <w:rPr>
                <w:szCs w:val="18"/>
              </w:rPr>
              <w:t xml:space="preserve">, which is </w:t>
            </w:r>
            <w:r w:rsidR="0012676C" w:rsidRPr="005C5E32">
              <w:rPr>
                <w:szCs w:val="18"/>
              </w:rPr>
              <w:t xml:space="preserve">designed to support </w:t>
            </w:r>
            <w:r w:rsidR="00336942" w:rsidRPr="005C5E32">
              <w:rPr>
                <w:szCs w:val="18"/>
              </w:rPr>
              <w:t xml:space="preserve">the </w:t>
            </w:r>
            <w:r w:rsidR="0012676C" w:rsidRPr="005C5E32">
              <w:rPr>
                <w:szCs w:val="18"/>
              </w:rPr>
              <w:t>efficient and</w:t>
            </w:r>
            <w:r w:rsidR="00324B24" w:rsidRPr="005C5E32">
              <w:rPr>
                <w:szCs w:val="18"/>
              </w:rPr>
              <w:t> </w:t>
            </w:r>
            <w:r w:rsidR="0012676C" w:rsidRPr="005C5E32">
              <w:rPr>
                <w:szCs w:val="18"/>
              </w:rPr>
              <w:t>effective operation of the CCRA and the NZ ETS</w:t>
            </w:r>
            <w:r w:rsidRPr="005C5E32">
              <w:rPr>
                <w:szCs w:val="18"/>
              </w:rPr>
              <w:t>.</w:t>
            </w:r>
          </w:p>
          <w:p w14:paraId="041C5152" w14:textId="04F45F59" w:rsidR="0012676C" w:rsidRPr="005C5E32" w:rsidRDefault="00647856">
            <w:pPr>
              <w:pStyle w:val="TableBullet"/>
              <w:rPr>
                <w:szCs w:val="18"/>
              </w:rPr>
            </w:pPr>
            <w:r w:rsidRPr="005C5E32">
              <w:rPr>
                <w:szCs w:val="18"/>
              </w:rPr>
              <w:t>We updated</w:t>
            </w:r>
            <w:r w:rsidR="0012676C" w:rsidRPr="005C5E32">
              <w:rPr>
                <w:szCs w:val="18"/>
              </w:rPr>
              <w:t xml:space="preserve"> target progress tracking alongside the</w:t>
            </w:r>
            <w:r w:rsidR="0083333B" w:rsidRPr="005C5E32">
              <w:rPr>
                <w:szCs w:val="18"/>
              </w:rPr>
              <w:t xml:space="preserve"> annual</w:t>
            </w:r>
            <w:r w:rsidR="0012676C" w:rsidRPr="005C5E32">
              <w:rPr>
                <w:szCs w:val="18"/>
              </w:rPr>
              <w:t xml:space="preserve"> release of new </w:t>
            </w:r>
            <w:r w:rsidR="00FA3E3D" w:rsidRPr="005C5E32">
              <w:rPr>
                <w:szCs w:val="18"/>
              </w:rPr>
              <w:t>greenhouse gas</w:t>
            </w:r>
            <w:r w:rsidR="0012676C" w:rsidRPr="005C5E32">
              <w:rPr>
                <w:szCs w:val="18"/>
              </w:rPr>
              <w:t xml:space="preserve"> emissions projections. Historical and projected net emissions were estimated to be</w:t>
            </w:r>
            <w:r w:rsidR="00324B24" w:rsidRPr="005C5E32">
              <w:rPr>
                <w:szCs w:val="18"/>
              </w:rPr>
              <w:t> </w:t>
            </w:r>
            <w:r w:rsidR="0012676C" w:rsidRPr="005C5E32">
              <w:rPr>
                <w:szCs w:val="18"/>
              </w:rPr>
              <w:t xml:space="preserve">7.7 </w:t>
            </w:r>
            <w:r w:rsidR="00D64CDA" w:rsidRPr="005C5E32" w:rsidDel="00AD07DB">
              <w:rPr>
                <w:szCs w:val="18"/>
              </w:rPr>
              <w:t xml:space="preserve">megatonnes </w:t>
            </w:r>
            <w:r w:rsidR="0012676C" w:rsidRPr="005C5E32">
              <w:rPr>
                <w:szCs w:val="18"/>
              </w:rPr>
              <w:t>under the first emissions budget and 3.6</w:t>
            </w:r>
            <w:r w:rsidR="00BC1314" w:rsidRPr="005C5E32">
              <w:rPr>
                <w:szCs w:val="18"/>
              </w:rPr>
              <w:t> </w:t>
            </w:r>
            <w:r w:rsidR="00D64CDA" w:rsidRPr="005C5E32" w:rsidDel="00AD07DB">
              <w:rPr>
                <w:szCs w:val="18"/>
              </w:rPr>
              <w:t>megatonnes</w:t>
            </w:r>
            <w:r w:rsidR="00D64CDA" w:rsidRPr="005C5E32">
              <w:rPr>
                <w:szCs w:val="18"/>
              </w:rPr>
              <w:t xml:space="preserve"> </w:t>
            </w:r>
            <w:r w:rsidR="0012676C" w:rsidRPr="005C5E32">
              <w:rPr>
                <w:szCs w:val="18"/>
              </w:rPr>
              <w:t>under the second</w:t>
            </w:r>
            <w:r w:rsidR="00D74B14">
              <w:rPr>
                <w:szCs w:val="18"/>
              </w:rPr>
              <w:t xml:space="preserve"> (figure 1)</w:t>
            </w:r>
            <w:r w:rsidR="0012676C" w:rsidRPr="005C5E32">
              <w:rPr>
                <w:szCs w:val="18"/>
              </w:rPr>
              <w:t>. New projections will be released by the end of 2026.</w:t>
            </w:r>
          </w:p>
        </w:tc>
      </w:tr>
      <w:tr w:rsidR="009D7DC3" w:rsidRPr="005C5E32" w14:paraId="52074971" w14:textId="77777777" w:rsidTr="002A473A">
        <w:tc>
          <w:tcPr>
            <w:tcW w:w="8505" w:type="dxa"/>
            <w:gridSpan w:val="3"/>
            <w:tcBorders>
              <w:bottom w:val="single" w:sz="4" w:space="0" w:color="1B556B" w:themeColor="text2"/>
            </w:tcBorders>
          </w:tcPr>
          <w:p w14:paraId="79C2CDD0" w14:textId="1E191F2C" w:rsidR="009D7DC3" w:rsidRPr="005C5E32" w:rsidRDefault="009D7DC3" w:rsidP="00CB2219">
            <w:pPr>
              <w:pStyle w:val="Figureheading"/>
              <w:spacing w:after="80"/>
            </w:pPr>
            <w:bookmarkStart w:id="62" w:name="_Ref238701496"/>
            <w:r w:rsidRPr="005C5E32">
              <w:lastRenderedPageBreak/>
              <w:t xml:space="preserve">Figure </w:t>
            </w:r>
            <w:fldSimple w:instr=" SEQ Figure \* ARABIC ">
              <w:r w:rsidR="00D8311D">
                <w:rPr>
                  <w:noProof/>
                </w:rPr>
                <w:t>1</w:t>
              </w:r>
            </w:fldSimple>
            <w:bookmarkEnd w:id="62"/>
            <w:r w:rsidRPr="005C5E32">
              <w:t xml:space="preserve">: </w:t>
            </w:r>
            <w:r w:rsidRPr="005C5E32">
              <w:tab/>
              <w:t>Progress against the first and second emissions budgets, 2020–30</w:t>
            </w:r>
          </w:p>
          <w:p w14:paraId="415E8B11" w14:textId="77777777" w:rsidR="009D7DC3" w:rsidRPr="005C5E32" w:rsidRDefault="009D7DC3" w:rsidP="009D7DC3">
            <w:pPr>
              <w:pStyle w:val="BodyText"/>
              <w:spacing w:after="80"/>
            </w:pPr>
            <w:r w:rsidRPr="005C5E32">
              <w:rPr>
                <w:noProof/>
              </w:rPr>
              <w:drawing>
                <wp:inline distT="0" distB="0" distL="0" distR="0" wp14:anchorId="0AACBE45" wp14:editId="689AEB2C">
                  <wp:extent cx="5153025" cy="3240256"/>
                  <wp:effectExtent l="0" t="0" r="0" b="0"/>
                  <wp:docPr id="17174732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73267" name="Picture 1717473267"/>
                          <pic:cNvPicPr/>
                        </pic:nvPicPr>
                        <pic:blipFill>
                          <a:blip r:embed="rId32"/>
                          <a:stretch>
                            <a:fillRect/>
                          </a:stretch>
                        </pic:blipFill>
                        <pic:spPr>
                          <a:xfrm>
                            <a:off x="0" y="0"/>
                            <a:ext cx="5160528" cy="3244974"/>
                          </a:xfrm>
                          <a:prstGeom prst="rect">
                            <a:avLst/>
                          </a:prstGeom>
                        </pic:spPr>
                      </pic:pic>
                    </a:graphicData>
                  </a:graphic>
                </wp:inline>
              </w:drawing>
            </w:r>
          </w:p>
          <w:p w14:paraId="5DF318B2" w14:textId="6309D13B" w:rsidR="009D7DC3" w:rsidRPr="005C5E32" w:rsidRDefault="009D7DC3" w:rsidP="00CB2219">
            <w:pPr>
              <w:pStyle w:val="Note"/>
              <w:spacing w:before="60"/>
              <w:rPr>
                <w:szCs w:val="18"/>
              </w:rPr>
            </w:pPr>
            <w:r w:rsidRPr="005C5E32">
              <w:t>Note: The information in this graph is based on the Ministry projections as published on 29 January 2026. The estimated trajectory uses the central estimates from the ‘with additional measures’ scenario, including the impact of policies in ERP2. Projections are uncertain and are based on the best information available at the time.</w:t>
            </w:r>
          </w:p>
        </w:tc>
      </w:tr>
      <w:tr w:rsidR="002A473A" w:rsidRPr="005C5E32" w14:paraId="02D24327" w14:textId="5EFB5B64" w:rsidTr="002A473A">
        <w:tc>
          <w:tcPr>
            <w:tcW w:w="2977" w:type="dxa"/>
          </w:tcPr>
          <w:p w14:paraId="6F7C5D9B" w14:textId="77777777" w:rsidR="002A473A" w:rsidRPr="005C5E32" w:rsidRDefault="002A473A" w:rsidP="002A473A">
            <w:pPr>
              <w:pStyle w:val="TableText"/>
              <w:spacing w:before="40" w:after="40"/>
              <w:rPr>
                <w:szCs w:val="18"/>
              </w:rPr>
            </w:pPr>
            <w:r w:rsidRPr="005C5E32">
              <w:rPr>
                <w:szCs w:val="18"/>
              </w:rPr>
              <w:t>Waste tonnage per person decreases (based on annual data)</w:t>
            </w:r>
          </w:p>
          <w:p w14:paraId="4530F921" w14:textId="1E736AF4" w:rsidR="002A473A" w:rsidRPr="005C5E32" w:rsidRDefault="002A473A" w:rsidP="002A473A">
            <w:pPr>
              <w:pStyle w:val="TableText"/>
            </w:pPr>
            <w:hyperlink w:anchor="_Note_2:_Waste" w:history="1">
              <w:r w:rsidRPr="005C5E32">
                <w:rPr>
                  <w:rStyle w:val="Hyperlink"/>
                  <w:i/>
                  <w:iCs/>
                  <w:szCs w:val="18"/>
                </w:rPr>
                <w:t>See note 2</w:t>
              </w:r>
            </w:hyperlink>
          </w:p>
        </w:tc>
        <w:tc>
          <w:tcPr>
            <w:tcW w:w="5528" w:type="dxa"/>
            <w:gridSpan w:val="2"/>
          </w:tcPr>
          <w:p w14:paraId="3C059DA5" w14:textId="5962A319" w:rsidR="002A473A" w:rsidRPr="005C5E32" w:rsidRDefault="002A473A" w:rsidP="002A473A">
            <w:pPr>
              <w:pStyle w:val="TableText"/>
              <w:rPr>
                <w:szCs w:val="18"/>
              </w:rPr>
            </w:pPr>
            <w:r w:rsidRPr="005C5E32">
              <w:rPr>
                <w:szCs w:val="18"/>
              </w:rPr>
              <w:t>Waste tonnage going to Class 1 and 2 landfills per person in 2025/26 increased 3.0% from 2024/25 (</w:t>
            </w:r>
            <w:r w:rsidRPr="005C5E32">
              <w:rPr>
                <w:color w:val="32809C"/>
                <w:szCs w:val="18"/>
              </w:rPr>
              <w:fldChar w:fldCharType="begin"/>
            </w:r>
            <w:r w:rsidRPr="005C5E32">
              <w:rPr>
                <w:color w:val="32809C"/>
                <w:szCs w:val="18"/>
              </w:rPr>
              <w:instrText xml:space="preserve"> REF _Ref238701866 \h \*Lower  \* MERGEFORMAT </w:instrText>
            </w:r>
            <w:r w:rsidRPr="005C5E32">
              <w:rPr>
                <w:color w:val="32809C"/>
                <w:szCs w:val="18"/>
              </w:rPr>
            </w:r>
            <w:r w:rsidRPr="005C5E32">
              <w:rPr>
                <w:color w:val="32809C"/>
                <w:szCs w:val="18"/>
              </w:rPr>
              <w:fldChar w:fldCharType="separate"/>
            </w:r>
            <w:r w:rsidR="00D8311D" w:rsidRPr="00D8311D">
              <w:rPr>
                <w:color w:val="32809C"/>
                <w:szCs w:val="18"/>
              </w:rPr>
              <w:t>figure 2</w:t>
            </w:r>
            <w:r w:rsidRPr="005C5E32">
              <w:rPr>
                <w:color w:val="32809C"/>
                <w:szCs w:val="18"/>
              </w:rPr>
              <w:fldChar w:fldCharType="end"/>
            </w:r>
            <w:r w:rsidRPr="005C5E32">
              <w:rPr>
                <w:szCs w:val="18"/>
              </w:rPr>
              <w:t>). A range of factors may have contributed to the increase. The factors will be further examined to better understand the causes.</w:t>
            </w:r>
          </w:p>
          <w:p w14:paraId="3E7D8DCC" w14:textId="77777777" w:rsidR="002A473A" w:rsidRPr="005C5E32" w:rsidRDefault="002A473A" w:rsidP="002A473A">
            <w:pPr>
              <w:pStyle w:val="TableText"/>
              <w:spacing w:before="40" w:after="40"/>
              <w:rPr>
                <w:szCs w:val="18"/>
              </w:rPr>
            </w:pPr>
            <w:r w:rsidRPr="005C5E32">
              <w:rPr>
                <w:szCs w:val="18"/>
              </w:rPr>
              <w:t>Further, the reported decrease of 5.1% in 2024/25 of waste tonnage to Class 1 and 2 landfills per person has now been revised to a decrease of 4.6%, due to an update of the Stats NZ resident population estimates for historical quarters.</w:t>
            </w:r>
            <w:r w:rsidRPr="005C5E32" w:rsidDel="000761C2">
              <w:rPr>
                <w:rStyle w:val="FootnoteReference"/>
                <w:sz w:val="18"/>
                <w:szCs w:val="18"/>
              </w:rPr>
              <w:footnoteReference w:id="9"/>
            </w:r>
          </w:p>
          <w:p w14:paraId="71B59031" w14:textId="77777777" w:rsidR="002A473A" w:rsidRPr="005C5E32" w:rsidRDefault="002A473A" w:rsidP="002A473A">
            <w:pPr>
              <w:pStyle w:val="TableText"/>
              <w:spacing w:before="40" w:after="40"/>
              <w:rPr>
                <w:szCs w:val="18"/>
              </w:rPr>
            </w:pPr>
            <w:r w:rsidRPr="005C5E32">
              <w:rPr>
                <w:szCs w:val="18"/>
              </w:rPr>
              <w:t>Our key deliverables that supported the transition to a resource-efficient economy and reduced impacts from waste include the following.</w:t>
            </w:r>
          </w:p>
          <w:p w14:paraId="5D6993C5" w14:textId="77777777" w:rsidR="002A473A" w:rsidRPr="005C5E32" w:rsidRDefault="002A473A" w:rsidP="002A473A">
            <w:pPr>
              <w:pStyle w:val="TableBullet"/>
              <w:spacing w:after="40"/>
              <w:rPr>
                <w:szCs w:val="18"/>
              </w:rPr>
            </w:pPr>
            <w:r w:rsidRPr="005C5E32">
              <w:rPr>
                <w:szCs w:val="18"/>
              </w:rPr>
              <w:t xml:space="preserve">We obtained Cabinet approval for policy proposals to amend the Waste Minimisation Act 2008 and Litter Act 1979, including approval for the Parliamentary Counsel Office (PCO) to start drafting the Bill. The legislation is intended to create fit-for-purpose, modern waste legislation that provides more options and flexibility to reduce and manage waste effectively and efficiently. Officials are working with </w:t>
            </w:r>
            <w:r w:rsidRPr="005C5E32">
              <w:rPr>
                <w:szCs w:val="18"/>
              </w:rPr>
              <w:lastRenderedPageBreak/>
              <w:t>the PCO on drafting the new waste legislation. The Cabinet paper and summary of submissions from public consultation on the policy proposals were proactively released on 16 December 2025.</w:t>
            </w:r>
          </w:p>
          <w:p w14:paraId="3656E307" w14:textId="77777777" w:rsidR="002A473A" w:rsidRPr="005C5E32" w:rsidRDefault="002A473A" w:rsidP="002A473A">
            <w:pPr>
              <w:pStyle w:val="TableBullet"/>
              <w:spacing w:after="40"/>
              <w:rPr>
                <w:szCs w:val="18"/>
              </w:rPr>
            </w:pPr>
            <w:r w:rsidRPr="005C5E32">
              <w:rPr>
                <w:szCs w:val="18"/>
              </w:rPr>
              <w:t>We continued to leverage the Waste Minimisation Fund (WMF) to support investment in resource recovery systems and infrastructure.</w:t>
            </w:r>
          </w:p>
          <w:p w14:paraId="3E50640D" w14:textId="77777777" w:rsidR="002A473A" w:rsidRPr="005C5E32" w:rsidRDefault="002A473A" w:rsidP="002A473A">
            <w:pPr>
              <w:pStyle w:val="TableBullet"/>
              <w:spacing w:after="40"/>
              <w:rPr>
                <w:szCs w:val="18"/>
              </w:rPr>
            </w:pPr>
            <w:r w:rsidRPr="005C5E32">
              <w:rPr>
                <w:szCs w:val="18"/>
              </w:rPr>
              <w:t>We provided a tool and supporting resources to regional councils and unitary authorities to identify and assess landfills vulnerable to the effects of climate change in their regions.</w:t>
            </w:r>
          </w:p>
          <w:p w14:paraId="2D1B1EC4" w14:textId="7F66A6BC" w:rsidR="002A473A" w:rsidRPr="005C5E32" w:rsidRDefault="002A473A" w:rsidP="002A473A">
            <w:pPr>
              <w:pStyle w:val="TableBullet"/>
              <w:spacing w:after="40"/>
              <w:rPr>
                <w:szCs w:val="18"/>
              </w:rPr>
            </w:pPr>
            <w:r w:rsidRPr="005C5E32">
              <w:rPr>
                <w:szCs w:val="18"/>
              </w:rPr>
              <w:t xml:space="preserve">We continued implementation of the Tyrewise Regulated Product Stewardship scheme. We also progressed other schemes to implementation, including the scheme for agrichemicals, their containers and farm plastics, and the schemes for refrigerants and other synthetic greenhouse gases. For more information, see </w:t>
            </w:r>
            <w:hyperlink w:anchor="_Reducing_emissions_from" w:history="1">
              <w:r w:rsidRPr="005C5E32">
                <w:rPr>
                  <w:rStyle w:val="Hyperlink"/>
                  <w:szCs w:val="18"/>
                </w:rPr>
                <w:t>Product Stewardship multi-category appropriation</w:t>
              </w:r>
            </w:hyperlink>
            <w:r w:rsidRPr="005C5E32">
              <w:rPr>
                <w:szCs w:val="18"/>
              </w:rPr>
              <w:t>.</w:t>
            </w:r>
          </w:p>
          <w:p w14:paraId="04780918" w14:textId="77777777" w:rsidR="002A473A" w:rsidRPr="005C5E32" w:rsidRDefault="002A473A" w:rsidP="002A473A">
            <w:pPr>
              <w:pStyle w:val="TableBullet"/>
              <w:spacing w:after="40"/>
              <w:rPr>
                <w:szCs w:val="18"/>
              </w:rPr>
            </w:pPr>
            <w:r w:rsidRPr="005C5E32">
              <w:rPr>
                <w:szCs w:val="18"/>
              </w:rPr>
              <w:t xml:space="preserve">We worked with key stakeholders to support a more effective and efficient recycling system, including through providing secretariat support to the cross-sector Recycling Leadership Forum. </w:t>
            </w:r>
          </w:p>
          <w:p w14:paraId="0C018090" w14:textId="77777777" w:rsidR="002A473A" w:rsidRPr="005C5E32" w:rsidRDefault="002A473A" w:rsidP="002A473A">
            <w:pPr>
              <w:pStyle w:val="TableBullet"/>
              <w:spacing w:after="40"/>
              <w:rPr>
                <w:rFonts w:asciiTheme="minorHAnsi" w:hAnsiTheme="minorHAnsi" w:cstheme="minorHAnsi"/>
                <w:szCs w:val="18"/>
              </w:rPr>
            </w:pPr>
            <w:r w:rsidRPr="005C5E32">
              <w:rPr>
                <w:szCs w:val="18"/>
              </w:rPr>
              <w:t xml:space="preserve">We participated in ongoing United Nations negotiations towards a legally binding global plastics agreement, </w:t>
            </w:r>
            <w:r w:rsidRPr="005C5E32">
              <w:rPr>
                <w:rFonts w:asciiTheme="minorHAnsi" w:hAnsiTheme="minorHAnsi" w:cstheme="minorHAnsi"/>
                <w:szCs w:val="18"/>
              </w:rPr>
              <w:t>working with key stakeholders to reduce greenhouse gas emissions from organic waste and improve landfill gas capture. This is part of the action the Government has committed to in ERP2.</w:t>
            </w:r>
          </w:p>
          <w:p w14:paraId="30ADD98C" w14:textId="77777777" w:rsidR="002A473A" w:rsidRPr="005C5E32" w:rsidRDefault="002A473A" w:rsidP="002A473A">
            <w:pPr>
              <w:pStyle w:val="TableBullet"/>
              <w:spacing w:after="40"/>
              <w:rPr>
                <w:rFonts w:asciiTheme="minorHAnsi" w:hAnsiTheme="minorHAnsi" w:cstheme="minorHAnsi"/>
                <w:szCs w:val="18"/>
              </w:rPr>
            </w:pPr>
            <w:r w:rsidRPr="005C5E32">
              <w:rPr>
                <w:rFonts w:asciiTheme="minorHAnsi" w:hAnsiTheme="minorHAnsi" w:cstheme="minorHAnsi"/>
                <w:szCs w:val="18"/>
              </w:rPr>
              <w:t>We delivered a regulated product stewardship scheme for synthetic refrigerants to minimise leakage in heating, ventilation, air-conditioning and refrigeration equipment and reduce emissions.</w:t>
            </w:r>
          </w:p>
          <w:p w14:paraId="6BEDE83D" w14:textId="187FA368" w:rsidR="002A473A" w:rsidRPr="005C5E32" w:rsidRDefault="002A473A" w:rsidP="002A473A">
            <w:pPr>
              <w:pStyle w:val="TableBullet"/>
            </w:pPr>
            <w:r w:rsidRPr="005C5E32">
              <w:t xml:space="preserve">We continued working with key stakeholders to identify ways to reduce the quantity of surplus soils going to landfill, and to reuse this resource. </w:t>
            </w:r>
          </w:p>
        </w:tc>
      </w:tr>
      <w:tr w:rsidR="002A473A" w:rsidRPr="005C5E32" w14:paraId="5051F27D" w14:textId="77777777" w:rsidTr="00DA6E98">
        <w:tc>
          <w:tcPr>
            <w:tcW w:w="8505" w:type="dxa"/>
            <w:gridSpan w:val="3"/>
            <w:tcBorders>
              <w:bottom w:val="single" w:sz="4" w:space="0" w:color="1B556B" w:themeColor="text2"/>
            </w:tcBorders>
          </w:tcPr>
          <w:p w14:paraId="6189DC97" w14:textId="4D294D07" w:rsidR="002A473A" w:rsidRPr="005C5E32" w:rsidRDefault="002A473A" w:rsidP="0080383E">
            <w:pPr>
              <w:pStyle w:val="Figureheading"/>
              <w:keepNext w:val="0"/>
              <w:spacing w:after="80"/>
            </w:pPr>
            <w:bookmarkStart w:id="65" w:name="_Ref238701866"/>
            <w:bookmarkStart w:id="66" w:name="figure2"/>
            <w:bookmarkStart w:id="67" w:name="_Toc209456222"/>
            <w:r w:rsidRPr="005C5E32">
              <w:lastRenderedPageBreak/>
              <w:t xml:space="preserve">Figure </w:t>
            </w:r>
            <w:fldSimple w:instr=" SEQ Figure \* ARABIC ">
              <w:r w:rsidR="00D8311D">
                <w:rPr>
                  <w:noProof/>
                </w:rPr>
                <w:t>2</w:t>
              </w:r>
            </w:fldSimple>
            <w:bookmarkEnd w:id="65"/>
            <w:bookmarkEnd w:id="66"/>
            <w:r w:rsidRPr="005C5E32">
              <w:t xml:space="preserve">: </w:t>
            </w:r>
            <w:r w:rsidRPr="005C5E32">
              <w:tab/>
              <w:t>Waste disposed of at landfills subject to a waste disposal levy</w:t>
            </w:r>
            <w:bookmarkEnd w:id="67"/>
            <w:r w:rsidRPr="005C5E32">
              <w:t>, 2023/24–2025/26</w:t>
            </w:r>
          </w:p>
          <w:p w14:paraId="00E06606" w14:textId="77777777" w:rsidR="002A473A" w:rsidRPr="005C5E32" w:rsidRDefault="002A473A" w:rsidP="002A473A">
            <w:pPr>
              <w:pStyle w:val="BodyText"/>
            </w:pPr>
            <w:r w:rsidRPr="005C5E32">
              <w:rPr>
                <w:noProof/>
              </w:rPr>
              <w:drawing>
                <wp:inline distT="0" distB="0" distL="0" distR="0" wp14:anchorId="6A2ADF9D" wp14:editId="09D186B8">
                  <wp:extent cx="5099538" cy="3141867"/>
                  <wp:effectExtent l="0" t="0" r="6350" b="1905"/>
                  <wp:docPr id="5950715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071544" name="Picture 595071544"/>
                          <pic:cNvPicPr/>
                        </pic:nvPicPr>
                        <pic:blipFill>
                          <a:blip r:embed="rId33"/>
                          <a:stretch>
                            <a:fillRect/>
                          </a:stretch>
                        </pic:blipFill>
                        <pic:spPr>
                          <a:xfrm>
                            <a:off x="0" y="0"/>
                            <a:ext cx="5108494" cy="3147385"/>
                          </a:xfrm>
                          <a:prstGeom prst="rect">
                            <a:avLst/>
                          </a:prstGeom>
                        </pic:spPr>
                      </pic:pic>
                    </a:graphicData>
                  </a:graphic>
                </wp:inline>
              </w:drawing>
            </w:r>
          </w:p>
          <w:p w14:paraId="5B0B01D3" w14:textId="6C88DD42" w:rsidR="002A473A" w:rsidRPr="005C5E32" w:rsidRDefault="002A473A" w:rsidP="0080383E">
            <w:pPr>
              <w:pStyle w:val="Note"/>
              <w:spacing w:before="60"/>
              <w:rPr>
                <w:highlight w:val="yellow"/>
              </w:rPr>
            </w:pPr>
            <w:r w:rsidRPr="005C5E32">
              <w:t>Note: Class 2 facilities began reporting January 2022.</w:t>
            </w:r>
          </w:p>
        </w:tc>
      </w:tr>
    </w:tbl>
    <w:p w14:paraId="0238DA84" w14:textId="50C71B3F" w:rsidR="0032617F" w:rsidRPr="005C5E32" w:rsidRDefault="0032617F" w:rsidP="00CB2219">
      <w:pPr>
        <w:pStyle w:val="BodyText"/>
      </w:pPr>
    </w:p>
    <w:p w14:paraId="66549173" w14:textId="77777777" w:rsidR="0012676C" w:rsidRPr="005C5E32" w:rsidRDefault="0012676C" w:rsidP="00975348">
      <w:pPr>
        <w:pStyle w:val="Heading2"/>
        <w:pageBreakBefore/>
        <w:spacing w:after="240"/>
        <w:rPr>
          <w:lang w:eastAsia="en-US"/>
        </w:rPr>
      </w:pPr>
      <w:bookmarkStart w:id="68" w:name="_Strategic_priority_4:"/>
      <w:bookmarkStart w:id="69" w:name="_Toc207017384"/>
      <w:bookmarkStart w:id="70" w:name="_Toc210136371"/>
      <w:bookmarkStart w:id="71" w:name="_Toc240445560"/>
      <w:bookmarkEnd w:id="68"/>
      <w:r w:rsidRPr="005C5E32">
        <w:rPr>
          <w:lang w:eastAsia="en-US"/>
        </w:rPr>
        <w:lastRenderedPageBreak/>
        <w:t>Strategic priority 4: Improve the quality and accessibility of evidence for all decision</w:t>
      </w:r>
      <w:r w:rsidRPr="005C5E32">
        <w:rPr>
          <w:lang w:eastAsia="en-US"/>
        </w:rPr>
        <w:noBreakHyphen/>
        <w:t>makers</w:t>
      </w:r>
      <w:bookmarkEnd w:id="69"/>
      <w:bookmarkEnd w:id="70"/>
      <w:bookmarkEnd w:id="71"/>
    </w:p>
    <w:p w14:paraId="555CE5AF" w14:textId="55A3C13D" w:rsidR="0012676C" w:rsidRPr="005C5E32" w:rsidRDefault="0012676C" w:rsidP="008953B3">
      <w:pPr>
        <w:pStyle w:val="BodyText"/>
      </w:pPr>
      <w:r w:rsidRPr="005C5E32">
        <w:t xml:space="preserve">To achieve the </w:t>
      </w:r>
      <w:r w:rsidR="00F0025B" w:rsidRPr="005C5E32">
        <w:t xml:space="preserve">best </w:t>
      </w:r>
      <w:r w:rsidRPr="005C5E32">
        <w:t xml:space="preserve">outcomes for the environment and New Zealanders, our advice and decisions must be grounded in robust evidence, including </w:t>
      </w:r>
      <w:r w:rsidR="00B87A57" w:rsidRPr="005C5E32">
        <w:t xml:space="preserve">from </w:t>
      </w:r>
      <w:r w:rsidRPr="005C5E32">
        <w:t>science, mātauranga Māori and</w:t>
      </w:r>
      <w:r w:rsidR="008953B3" w:rsidRPr="005C5E32">
        <w:t> </w:t>
      </w:r>
      <w:r w:rsidRPr="005C5E32">
        <w:t xml:space="preserve">economics. Evidence helps us understand our environment today and anticipate future challenges, enabling us to provide trusted advice to decision-makers and develop effective policy and guidance. </w:t>
      </w:r>
    </w:p>
    <w:p w14:paraId="67E43C8B" w14:textId="05792A9B" w:rsidR="0012676C" w:rsidRPr="005C5E32" w:rsidRDefault="0012676C" w:rsidP="008953B3">
      <w:pPr>
        <w:pStyle w:val="BodyText"/>
      </w:pPr>
      <w:r w:rsidRPr="005C5E32">
        <w:t xml:space="preserve">As the evidence base continues to evolve, </w:t>
      </w:r>
      <w:r w:rsidR="00337DCC" w:rsidRPr="005C5E32">
        <w:t>we</w:t>
      </w:r>
      <w:r w:rsidRPr="005C5E32">
        <w:t xml:space="preserve"> must stay ahead of emerging issues and trends to deepen our understanding of the natural and built environments</w:t>
      </w:r>
      <w:r w:rsidR="00034764" w:rsidRPr="005C5E32">
        <w:t xml:space="preserve">, and to help </w:t>
      </w:r>
      <w:r w:rsidRPr="005C5E32">
        <w:t xml:space="preserve">communities </w:t>
      </w:r>
      <w:r w:rsidR="00D679DD" w:rsidRPr="005C5E32">
        <w:t xml:space="preserve">to </w:t>
      </w:r>
      <w:r w:rsidRPr="005C5E32">
        <w:t xml:space="preserve">thrive now and in the future. Information must be </w:t>
      </w:r>
      <w:r w:rsidR="00E70255" w:rsidRPr="005C5E32">
        <w:t xml:space="preserve">not only </w:t>
      </w:r>
      <w:r w:rsidRPr="005C5E32">
        <w:t xml:space="preserve">robust, but </w:t>
      </w:r>
      <w:r w:rsidR="00B87A57" w:rsidRPr="005C5E32">
        <w:t xml:space="preserve">also </w:t>
      </w:r>
      <w:r w:rsidRPr="005C5E32">
        <w:t>relevant, accessible and tailored to different audiences, so people can understand what the evidence means for them and make informed decisions.</w:t>
      </w:r>
    </w:p>
    <w:p w14:paraId="25867314" w14:textId="59434FDC" w:rsidR="005F7C5A" w:rsidRPr="005C5E32" w:rsidRDefault="00B34957" w:rsidP="008953B3">
      <w:pPr>
        <w:pStyle w:val="BodyText"/>
      </w:pPr>
      <w:r w:rsidRPr="005C5E32">
        <w:t>In 2025/26</w:t>
      </w:r>
      <w:r w:rsidR="00156DCE" w:rsidRPr="005C5E32">
        <w:t xml:space="preserve">, the Ministry delivered </w:t>
      </w:r>
      <w:r w:rsidR="0012676C" w:rsidRPr="005C5E32">
        <w:t>a comprehensive work programme that strengthen</w:t>
      </w:r>
      <w:r w:rsidR="00F51BCF" w:rsidRPr="005C5E32">
        <w:t>ed</w:t>
      </w:r>
      <w:r w:rsidR="0012676C" w:rsidRPr="005C5E32">
        <w:t xml:space="preserve"> </w:t>
      </w:r>
      <w:r w:rsidR="00156DCE" w:rsidRPr="005C5E32">
        <w:t>our</w:t>
      </w:r>
      <w:r w:rsidR="008953B3" w:rsidRPr="005C5E32">
        <w:t> </w:t>
      </w:r>
      <w:r w:rsidR="0012676C" w:rsidRPr="005C5E32">
        <w:t>ability to provide trusted, evidence-based advice. Alongside our statutory environmental and climate reporting programmes, we continue</w:t>
      </w:r>
      <w:r w:rsidR="00F51BCF" w:rsidRPr="005C5E32">
        <w:t>d</w:t>
      </w:r>
      <w:r w:rsidR="0012676C" w:rsidRPr="005C5E32">
        <w:t xml:space="preserve"> to invest in nationally significant datasets, monitoring systems and evidence infrastructure that enable</w:t>
      </w:r>
      <w:r w:rsidR="00F51BCF" w:rsidRPr="005C5E32">
        <w:t>d</w:t>
      </w:r>
      <w:r w:rsidR="0012676C" w:rsidRPr="005C5E32">
        <w:t xml:space="preserve"> decision-makers to better understand environmental challenges, assess risks and identify effective solutions.</w:t>
      </w:r>
    </w:p>
    <w:p w14:paraId="57011BA2" w14:textId="6D299F00" w:rsidR="00D91982" w:rsidRDefault="004A17D0" w:rsidP="00DF0193">
      <w:pPr>
        <w:pStyle w:val="BodyText"/>
      </w:pPr>
      <w:r>
        <w:t xml:space="preserve">The </w:t>
      </w:r>
      <w:r w:rsidR="00EC6A6F" w:rsidRPr="00EC6A6F">
        <w:t xml:space="preserve">Ministry's </w:t>
      </w:r>
      <w:r w:rsidR="00AD6EC7">
        <w:t>evidence priorities</w:t>
      </w:r>
      <w:r>
        <w:t xml:space="preserve"> informed </w:t>
      </w:r>
      <w:r w:rsidR="00562B00">
        <w:t xml:space="preserve">our </w:t>
      </w:r>
      <w:r w:rsidR="00EC6A6F" w:rsidRPr="00EC6A6F">
        <w:t xml:space="preserve">contribution to the Government's science, innovation and technology reforms, helping ensure environmental and climate evidence needs are reflected in future investment priorities and system settings. Together with the data and digital initiatives supporting planning system reform described under strategic priority 1, this work is strengthening the foundations for a more connected and accessible environmental information system, enabling better long-term decision-making for New Zealand. </w:t>
      </w:r>
    </w:p>
    <w:p w14:paraId="50C51794" w14:textId="1CA3E7D2" w:rsidR="0012676C" w:rsidRPr="005C5E32" w:rsidRDefault="0012676C" w:rsidP="0080602D">
      <w:pPr>
        <w:pStyle w:val="Heading3"/>
        <w:spacing w:before="240" w:after="120"/>
      </w:pPr>
      <w:r w:rsidRPr="005C5E32">
        <w:t>How we measure progress</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CellMar>
          <w:left w:w="85" w:type="dxa"/>
          <w:right w:w="85" w:type="dxa"/>
        </w:tblCellMar>
        <w:tblLook w:val="04A0" w:firstRow="1" w:lastRow="0" w:firstColumn="1" w:lastColumn="0" w:noHBand="0" w:noVBand="1"/>
      </w:tblPr>
      <w:tblGrid>
        <w:gridCol w:w="8505"/>
      </w:tblGrid>
      <w:tr w:rsidR="0012676C" w:rsidRPr="005C5E32" w14:paraId="437E797E" w14:textId="77777777" w:rsidTr="00706E10">
        <w:trPr>
          <w:tblHeader/>
        </w:trPr>
        <w:tc>
          <w:tcPr>
            <w:tcW w:w="8505" w:type="dxa"/>
            <w:shd w:val="clear" w:color="auto" w:fill="1B556B" w:themeFill="text2"/>
          </w:tcPr>
          <w:p w14:paraId="34267C62" w14:textId="77777777" w:rsidR="0012676C" w:rsidRPr="005C5E32" w:rsidRDefault="0012676C" w:rsidP="006A2028">
            <w:pPr>
              <w:pStyle w:val="TableTextbold"/>
              <w:keepNext/>
              <w:spacing w:before="40" w:after="40"/>
              <w:rPr>
                <w:color w:val="FFFFFF" w:themeColor="background1"/>
                <w:szCs w:val="18"/>
              </w:rPr>
            </w:pPr>
            <w:r w:rsidRPr="005C5E32">
              <w:rPr>
                <w:color w:val="FFFFFF" w:themeColor="background1"/>
                <w:szCs w:val="18"/>
              </w:rPr>
              <w:t>How we make a difference</w:t>
            </w:r>
          </w:p>
        </w:tc>
      </w:tr>
      <w:tr w:rsidR="0012676C" w:rsidRPr="005C5E32" w14:paraId="3658932D" w14:textId="77777777" w:rsidTr="00706E10">
        <w:tc>
          <w:tcPr>
            <w:tcW w:w="8505" w:type="dxa"/>
          </w:tcPr>
          <w:p w14:paraId="6607B1F6" w14:textId="601BE713" w:rsidR="0012676C" w:rsidRPr="005C5E32" w:rsidRDefault="0012676C" w:rsidP="00B117E2">
            <w:pPr>
              <w:pStyle w:val="TableText"/>
              <w:spacing w:before="40" w:after="40"/>
            </w:pPr>
            <w:r w:rsidRPr="005C5E32">
              <w:t>The Ministry</w:t>
            </w:r>
            <w:r w:rsidR="000369F8" w:rsidRPr="005C5E32">
              <w:t>’</w:t>
            </w:r>
            <w:r w:rsidRPr="005C5E32">
              <w:t xml:space="preserve">s ability to provide trusted, evidence-based advice </w:t>
            </w:r>
            <w:r w:rsidR="00AF16C7" w:rsidRPr="005C5E32">
              <w:t xml:space="preserve">has </w:t>
            </w:r>
            <w:r w:rsidRPr="005C5E32">
              <w:t>depend</w:t>
            </w:r>
            <w:r w:rsidR="00AF16C7" w:rsidRPr="005C5E32">
              <w:t>ed</w:t>
            </w:r>
            <w:r w:rsidRPr="005C5E32">
              <w:t xml:space="preserve"> on the strength of the information, data and partnerships that underpin it. </w:t>
            </w:r>
          </w:p>
          <w:p w14:paraId="50430661" w14:textId="45175270" w:rsidR="0012676C" w:rsidRPr="005C5E32" w:rsidRDefault="0012676C" w:rsidP="00B117E2">
            <w:pPr>
              <w:pStyle w:val="TableText"/>
              <w:spacing w:before="40"/>
            </w:pPr>
            <w:r w:rsidRPr="005C5E32">
              <w:t xml:space="preserve">The following case studies highlight two examples of how targeted investment </w:t>
            </w:r>
            <w:r w:rsidR="00EF5AD2" w:rsidRPr="005C5E32">
              <w:t xml:space="preserve">has </w:t>
            </w:r>
            <w:r w:rsidR="00BE6372" w:rsidRPr="005C5E32">
              <w:t>deliver</w:t>
            </w:r>
            <w:r w:rsidR="00EF5AD2" w:rsidRPr="005C5E32">
              <w:t>ed</w:t>
            </w:r>
            <w:r w:rsidR="00BE6372" w:rsidRPr="005C5E32">
              <w:t xml:space="preserve"> </w:t>
            </w:r>
            <w:r w:rsidRPr="005C5E32">
              <w:t>practical benefits for communities and the environment. They demonstrate how high-quality evidence</w:t>
            </w:r>
            <w:r w:rsidR="006F55FD" w:rsidRPr="005C5E32">
              <w:t xml:space="preserve"> –</w:t>
            </w:r>
            <w:r w:rsidRPr="005C5E32">
              <w:t xml:space="preserve"> delivered through strong partnerships and accessible information</w:t>
            </w:r>
            <w:r w:rsidR="006F55FD" w:rsidRPr="005C5E32">
              <w:t xml:space="preserve"> – </w:t>
            </w:r>
            <w:r w:rsidRPr="005C5E32">
              <w:t>support</w:t>
            </w:r>
            <w:r w:rsidR="00EF5AD2" w:rsidRPr="005C5E32">
              <w:t>ed</w:t>
            </w:r>
            <w:r w:rsidRPr="005C5E32">
              <w:t xml:space="preserve"> better decisions, improve</w:t>
            </w:r>
            <w:r w:rsidR="00EF5AD2" w:rsidRPr="005C5E32">
              <w:t>d</w:t>
            </w:r>
            <w:r w:rsidRPr="005C5E32">
              <w:t xml:space="preserve"> environmental outcomes and provide</w:t>
            </w:r>
            <w:r w:rsidR="00EF5AD2" w:rsidRPr="005C5E32">
              <w:t>d</w:t>
            </w:r>
            <w:r w:rsidRPr="005C5E32">
              <w:t xml:space="preserve"> long-term value for New Zealanders.</w:t>
            </w:r>
          </w:p>
        </w:tc>
      </w:tr>
      <w:tr w:rsidR="0012676C" w:rsidRPr="005C5E32" w14:paraId="0BDF9241" w14:textId="77777777" w:rsidTr="00706E10">
        <w:tc>
          <w:tcPr>
            <w:tcW w:w="8505" w:type="dxa"/>
            <w:shd w:val="clear" w:color="auto" w:fill="F2F2F2" w:themeFill="background1" w:themeFillShade="F2"/>
          </w:tcPr>
          <w:p w14:paraId="7F12FA50" w14:textId="77777777" w:rsidR="0012676C" w:rsidRPr="005C5E32" w:rsidRDefault="0012676C" w:rsidP="00753D35">
            <w:pPr>
              <w:pStyle w:val="TableText"/>
              <w:spacing w:before="40" w:after="40" w:line="230" w:lineRule="atLeast"/>
              <w:rPr>
                <w:sz w:val="20"/>
              </w:rPr>
            </w:pPr>
            <w:r w:rsidRPr="005C5E32">
              <w:rPr>
                <w:b/>
                <w:bCs/>
                <w:sz w:val="20"/>
                <w:szCs w:val="22"/>
              </w:rPr>
              <w:t>Environmental and climate reporting</w:t>
            </w:r>
          </w:p>
          <w:p w14:paraId="1619CE85" w14:textId="162BE769" w:rsidR="0012676C" w:rsidRPr="005C5E32" w:rsidRDefault="0012676C" w:rsidP="002773FE">
            <w:pPr>
              <w:pStyle w:val="TableText"/>
              <w:keepNext/>
              <w:spacing w:before="40" w:after="0" w:line="230" w:lineRule="atLeast"/>
              <w:rPr>
                <w:rFonts w:cs="Calibri"/>
                <w:b/>
                <w:szCs w:val="18"/>
              </w:rPr>
            </w:pPr>
            <w:r w:rsidRPr="005C5E32">
              <w:rPr>
                <w:rFonts w:cs="Calibri"/>
                <w:b/>
                <w:szCs w:val="18"/>
              </w:rPr>
              <w:t xml:space="preserve">Objective of </w:t>
            </w:r>
            <w:r w:rsidRPr="005C5E32">
              <w:rPr>
                <w:rFonts w:cs="Calibri"/>
                <w:b/>
                <w:bCs/>
                <w:szCs w:val="18"/>
              </w:rPr>
              <w:t>i</w:t>
            </w:r>
            <w:r w:rsidRPr="005C5E32">
              <w:rPr>
                <w:rFonts w:cs="Calibri"/>
                <w:b/>
                <w:szCs w:val="18"/>
              </w:rPr>
              <w:t>nvestment</w:t>
            </w:r>
          </w:p>
          <w:p w14:paraId="771476BD" w14:textId="592CCD13" w:rsidR="0012676C" w:rsidRPr="005C5E32" w:rsidRDefault="0012676C">
            <w:pPr>
              <w:pStyle w:val="TableText"/>
              <w:keepNext/>
              <w:spacing w:before="40" w:after="40" w:line="230" w:lineRule="atLeast"/>
              <w:rPr>
                <w:szCs w:val="18"/>
              </w:rPr>
            </w:pPr>
            <w:r w:rsidRPr="005C5E32">
              <w:rPr>
                <w:rFonts w:cs="Calibri"/>
                <w:szCs w:val="18"/>
              </w:rPr>
              <w:t>To support decision-makers and everyday New Zealanders to make choices informed by independent, transparent, evidence-based statutory reporting. Environmental and climate reporting provides visibility of the</w:t>
            </w:r>
            <w:r w:rsidR="0080602D" w:rsidRPr="005C5E32">
              <w:rPr>
                <w:rFonts w:cs="Calibri"/>
                <w:szCs w:val="18"/>
              </w:rPr>
              <w:t> </w:t>
            </w:r>
            <w:r w:rsidRPr="005C5E32">
              <w:rPr>
                <w:rFonts w:cs="Calibri"/>
                <w:szCs w:val="18"/>
              </w:rPr>
              <w:t>state of New Zealand</w:t>
            </w:r>
            <w:r w:rsidR="000369F8" w:rsidRPr="005C5E32">
              <w:rPr>
                <w:rFonts w:cs="Calibri"/>
                <w:szCs w:val="18"/>
              </w:rPr>
              <w:t>’</w:t>
            </w:r>
            <w:r w:rsidRPr="005C5E32">
              <w:rPr>
                <w:rFonts w:cs="Calibri"/>
                <w:szCs w:val="18"/>
              </w:rPr>
              <w:t xml:space="preserve">s environment and how </w:t>
            </w:r>
            <w:r w:rsidR="00C7308D" w:rsidRPr="005C5E32">
              <w:rPr>
                <w:rFonts w:cs="Calibri"/>
                <w:szCs w:val="18"/>
              </w:rPr>
              <w:t xml:space="preserve">the country is </w:t>
            </w:r>
            <w:r w:rsidRPr="005C5E32">
              <w:rPr>
                <w:rFonts w:cs="Calibri"/>
                <w:szCs w:val="18"/>
              </w:rPr>
              <w:t>tracking towards meeting climate obligations, including the Government</w:t>
            </w:r>
            <w:r w:rsidR="000369F8" w:rsidRPr="005C5E32">
              <w:rPr>
                <w:rFonts w:cs="Calibri"/>
                <w:szCs w:val="18"/>
              </w:rPr>
              <w:t>’</w:t>
            </w:r>
            <w:r w:rsidRPr="005C5E32">
              <w:rPr>
                <w:rFonts w:cs="Calibri"/>
                <w:szCs w:val="18"/>
              </w:rPr>
              <w:t xml:space="preserve">s Target 9 priority – reducing net </w:t>
            </w:r>
            <w:r w:rsidR="00FA3E3D" w:rsidRPr="005C5E32">
              <w:rPr>
                <w:rFonts w:cs="Calibri"/>
                <w:szCs w:val="18"/>
              </w:rPr>
              <w:t>greenhouse gas</w:t>
            </w:r>
            <w:r w:rsidRPr="005C5E32">
              <w:rPr>
                <w:rFonts w:cs="Calibri"/>
                <w:szCs w:val="18"/>
              </w:rPr>
              <w:t xml:space="preserve"> emissions</w:t>
            </w:r>
            <w:r w:rsidR="00C7308D" w:rsidRPr="005C5E32">
              <w:rPr>
                <w:rFonts w:cs="Calibri"/>
                <w:szCs w:val="18"/>
              </w:rPr>
              <w:t>.</w:t>
            </w:r>
          </w:p>
          <w:p w14:paraId="671C3A3A" w14:textId="5E05A0BE" w:rsidR="0012676C" w:rsidRPr="005C5E32" w:rsidRDefault="0012676C">
            <w:pPr>
              <w:pStyle w:val="TableText"/>
              <w:keepNext/>
              <w:spacing w:before="40" w:after="40" w:line="230" w:lineRule="atLeast"/>
              <w:rPr>
                <w:szCs w:val="18"/>
              </w:rPr>
            </w:pPr>
            <w:r w:rsidRPr="005C5E32">
              <w:rPr>
                <w:b/>
                <w:bCs/>
                <w:szCs w:val="18"/>
              </w:rPr>
              <w:t>What we invested in</w:t>
            </w:r>
          </w:p>
          <w:p w14:paraId="40F2AFCB" w14:textId="4FE81172" w:rsidR="0012676C" w:rsidRPr="005C5E32" w:rsidRDefault="0012676C">
            <w:pPr>
              <w:pStyle w:val="TableBullet"/>
              <w:rPr>
                <w:szCs w:val="18"/>
              </w:rPr>
            </w:pPr>
            <w:r w:rsidRPr="005C5E32">
              <w:rPr>
                <w:szCs w:val="18"/>
              </w:rPr>
              <w:t xml:space="preserve">The environmental reporting programme reports on different environmental domains across a three-year cycle, delivering two state of the environment reports each year. Over the </w:t>
            </w:r>
            <w:r w:rsidR="00643C69" w:rsidRPr="005C5E32">
              <w:rPr>
                <w:szCs w:val="18"/>
              </w:rPr>
              <w:t xml:space="preserve">2025/26 </w:t>
            </w:r>
            <w:r w:rsidRPr="005C5E32">
              <w:rPr>
                <w:szCs w:val="18"/>
              </w:rPr>
              <w:t>financial year,</w:t>
            </w:r>
            <w:r w:rsidR="00643C69" w:rsidRPr="005C5E32">
              <w:rPr>
                <w:szCs w:val="18"/>
              </w:rPr>
              <w:t xml:space="preserve"> we delivered</w:t>
            </w:r>
            <w:r w:rsidRPr="005C5E32">
              <w:rPr>
                <w:szCs w:val="18"/>
              </w:rPr>
              <w:t xml:space="preserve"> </w:t>
            </w:r>
            <w:hyperlink r:id="rId34" w:history="1">
              <w:r w:rsidRPr="005C5E32">
                <w:rPr>
                  <w:rStyle w:val="Hyperlink"/>
                  <w:i/>
                  <w:szCs w:val="18"/>
                </w:rPr>
                <w:t>Our Marine Environment 2025</w:t>
              </w:r>
            </w:hyperlink>
            <w:r w:rsidRPr="005C5E32">
              <w:rPr>
                <w:szCs w:val="18"/>
              </w:rPr>
              <w:t xml:space="preserve"> and </w:t>
            </w:r>
            <w:hyperlink r:id="rId35" w:history="1">
              <w:r w:rsidRPr="005C5E32">
                <w:rPr>
                  <w:rStyle w:val="Hyperlink"/>
                  <w:i/>
                  <w:szCs w:val="18"/>
                </w:rPr>
                <w:t>Our Freshwater 2026</w:t>
              </w:r>
            </w:hyperlink>
            <w:r w:rsidRPr="005C5E32">
              <w:rPr>
                <w:i/>
                <w:szCs w:val="18"/>
              </w:rPr>
              <w:t>.</w:t>
            </w:r>
            <w:r w:rsidRPr="005C5E32">
              <w:rPr>
                <w:i/>
              </w:rPr>
              <w:t xml:space="preserve"> </w:t>
            </w:r>
            <w:r w:rsidR="00A65F11">
              <w:rPr>
                <w:szCs w:val="18"/>
              </w:rPr>
              <w:t>S</w:t>
            </w:r>
            <w:r w:rsidRPr="005C5E32">
              <w:rPr>
                <w:szCs w:val="18"/>
              </w:rPr>
              <w:t xml:space="preserve">cientific knowledge </w:t>
            </w:r>
            <w:r w:rsidR="00A65F11">
              <w:rPr>
                <w:szCs w:val="18"/>
              </w:rPr>
              <w:t>and m</w:t>
            </w:r>
            <w:r w:rsidR="00A65F11" w:rsidRPr="005C5E32">
              <w:rPr>
                <w:szCs w:val="18"/>
              </w:rPr>
              <w:t>ātauranga Māori</w:t>
            </w:r>
            <w:r w:rsidRPr="005C5E32">
              <w:rPr>
                <w:szCs w:val="18"/>
              </w:rPr>
              <w:t xml:space="preserve"> were interwoven </w:t>
            </w:r>
            <w:r w:rsidR="004D3854" w:rsidRPr="005C5E32">
              <w:rPr>
                <w:szCs w:val="18"/>
              </w:rPr>
              <w:t xml:space="preserve">in this reporting, </w:t>
            </w:r>
            <w:r w:rsidRPr="005C5E32">
              <w:rPr>
                <w:szCs w:val="18"/>
              </w:rPr>
              <w:t>to provide a comprehensive understanding of environmental interconnections and long-term change.</w:t>
            </w:r>
          </w:p>
          <w:p w14:paraId="394EC7BA" w14:textId="47455572" w:rsidR="0012676C" w:rsidRPr="005C5E32" w:rsidRDefault="0012676C">
            <w:pPr>
              <w:pStyle w:val="TableBullet"/>
              <w:rPr>
                <w:szCs w:val="18"/>
              </w:rPr>
            </w:pPr>
            <w:r w:rsidRPr="005C5E32">
              <w:rPr>
                <w:szCs w:val="18"/>
              </w:rPr>
              <w:lastRenderedPageBreak/>
              <w:t>The climate reporting programme delivered</w:t>
            </w:r>
            <w:r w:rsidR="00E80A2B" w:rsidRPr="005C5E32">
              <w:rPr>
                <w:szCs w:val="18"/>
              </w:rPr>
              <w:t xml:space="preserve"> the </w:t>
            </w:r>
            <w:r w:rsidR="00CD481E" w:rsidRPr="005C5E32">
              <w:rPr>
                <w:szCs w:val="18"/>
              </w:rPr>
              <w:t>latest updates</w:t>
            </w:r>
            <w:r w:rsidR="005253D1" w:rsidRPr="005C5E32">
              <w:rPr>
                <w:szCs w:val="18"/>
              </w:rPr>
              <w:t xml:space="preserve"> </w:t>
            </w:r>
            <w:r w:rsidR="00CD481E" w:rsidRPr="005C5E32">
              <w:rPr>
                <w:szCs w:val="18"/>
              </w:rPr>
              <w:t>to</w:t>
            </w:r>
            <w:r w:rsidR="00D64965" w:rsidRPr="005C5E32">
              <w:rPr>
                <w:i/>
                <w:iCs/>
              </w:rPr>
              <w:t xml:space="preserve"> </w:t>
            </w:r>
            <w:hyperlink r:id="rId36" w:history="1">
              <w:r w:rsidRPr="005C5E32">
                <w:rPr>
                  <w:iCs/>
                </w:rPr>
                <w:t>New Zealand</w:t>
              </w:r>
              <w:r w:rsidR="000369F8" w:rsidRPr="005C5E32">
                <w:rPr>
                  <w:iCs/>
                </w:rPr>
                <w:t>’</w:t>
              </w:r>
              <w:r w:rsidRPr="005C5E32">
                <w:rPr>
                  <w:iCs/>
                </w:rPr>
                <w:t>s</w:t>
              </w:r>
              <w:r w:rsidRPr="005C5E32">
                <w:rPr>
                  <w:i/>
                  <w:iCs/>
                </w:rPr>
                <w:t xml:space="preserve"> </w:t>
              </w:r>
              <w:r w:rsidRPr="005C5E32">
                <w:t xml:space="preserve">Greenhouse Gas Inventory </w:t>
              </w:r>
              <w:r w:rsidR="001E4AB3" w:rsidRPr="005C5E32">
                <w:t>1990</w:t>
              </w:r>
              <w:r w:rsidR="00514A54" w:rsidRPr="005C5E32">
                <w:t>–</w:t>
              </w:r>
              <w:r w:rsidR="001E4AB3" w:rsidRPr="005C5E32">
                <w:t>2024</w:t>
              </w:r>
            </w:hyperlink>
            <w:r w:rsidR="001E4AB3" w:rsidRPr="005C5E32">
              <w:rPr>
                <w:i/>
                <w:iCs/>
                <w:szCs w:val="18"/>
              </w:rPr>
              <w:t xml:space="preserve"> </w:t>
            </w:r>
            <w:r w:rsidRPr="005C5E32" w:rsidDel="001E4AB3">
              <w:rPr>
                <w:szCs w:val="18"/>
              </w:rPr>
              <w:t>(</w:t>
            </w:r>
            <w:r w:rsidR="00E935CE" w:rsidRPr="005C5E32">
              <w:rPr>
                <w:iCs/>
                <w:szCs w:val="18"/>
              </w:rPr>
              <w:t>Greenhouse Gas Inventory</w:t>
            </w:r>
            <w:r w:rsidRPr="005C5E32">
              <w:rPr>
                <w:szCs w:val="18"/>
              </w:rPr>
              <w:t>)</w:t>
            </w:r>
            <w:r w:rsidR="00575022" w:rsidRPr="005C5E32">
              <w:rPr>
                <w:szCs w:val="18"/>
              </w:rPr>
              <w:t>, available on the Ministry’s</w:t>
            </w:r>
            <w:r w:rsidR="00D95482" w:rsidRPr="005C5E32">
              <w:rPr>
                <w:szCs w:val="18"/>
              </w:rPr>
              <w:t xml:space="preserve"> webpage</w:t>
            </w:r>
            <w:r w:rsidR="00575022" w:rsidRPr="005C5E32">
              <w:rPr>
                <w:szCs w:val="18"/>
              </w:rPr>
              <w:t xml:space="preserve"> </w:t>
            </w:r>
            <w:hyperlink r:id="rId37" w:history="1">
              <w:r w:rsidR="00D95482" w:rsidRPr="005C5E32">
                <w:rPr>
                  <w:rStyle w:val="Hyperlink"/>
                  <w:szCs w:val="18"/>
                </w:rPr>
                <w:t>New Zealand’s Greenhouse Gas Inventory</w:t>
              </w:r>
            </w:hyperlink>
            <w:r w:rsidR="00D95482" w:rsidRPr="005C5E32">
              <w:t>. We</w:t>
            </w:r>
            <w:r w:rsidRPr="005C5E32">
              <w:rPr>
                <w:szCs w:val="18"/>
              </w:rPr>
              <w:t xml:space="preserve"> also began</w:t>
            </w:r>
            <w:r w:rsidR="00D95482" w:rsidRPr="005C5E32">
              <w:rPr>
                <w:szCs w:val="18"/>
              </w:rPr>
              <w:t xml:space="preserve"> work</w:t>
            </w:r>
            <w:r w:rsidRPr="005C5E32">
              <w:rPr>
                <w:szCs w:val="18"/>
              </w:rPr>
              <w:t xml:space="preserve"> on </w:t>
            </w:r>
            <w:r w:rsidRPr="005C5E32">
              <w:rPr>
                <w:i/>
                <w:iCs/>
                <w:szCs w:val="18"/>
              </w:rPr>
              <w:t>New Zealand</w:t>
            </w:r>
            <w:r w:rsidR="000369F8" w:rsidRPr="005C5E32">
              <w:rPr>
                <w:i/>
                <w:iCs/>
                <w:szCs w:val="18"/>
              </w:rPr>
              <w:t>’</w:t>
            </w:r>
            <w:r w:rsidRPr="005C5E32">
              <w:rPr>
                <w:i/>
                <w:iCs/>
                <w:szCs w:val="18"/>
              </w:rPr>
              <w:t>s Second Biennial Transparency Report</w:t>
            </w:r>
            <w:r w:rsidR="00DE57F8" w:rsidRPr="005C5E32">
              <w:rPr>
                <w:szCs w:val="18"/>
              </w:rPr>
              <w:t xml:space="preserve">, to support </w:t>
            </w:r>
            <w:r w:rsidR="00D2748D" w:rsidRPr="005C5E32">
              <w:rPr>
                <w:szCs w:val="18"/>
              </w:rPr>
              <w:t>New Zealand to meet</w:t>
            </w:r>
            <w:r w:rsidR="00D64965" w:rsidRPr="005C5E32">
              <w:rPr>
                <w:szCs w:val="18"/>
              </w:rPr>
              <w:t xml:space="preserve"> </w:t>
            </w:r>
            <w:r w:rsidRPr="005C5E32">
              <w:rPr>
                <w:szCs w:val="18"/>
              </w:rPr>
              <w:t xml:space="preserve">domestic and international obligations in tracking and reducing </w:t>
            </w:r>
            <w:r w:rsidR="00FA3E3D" w:rsidRPr="005C5E32">
              <w:rPr>
                <w:szCs w:val="18"/>
              </w:rPr>
              <w:t>greenhouse gas</w:t>
            </w:r>
            <w:r w:rsidRPr="005C5E32">
              <w:rPr>
                <w:szCs w:val="18"/>
              </w:rPr>
              <w:t xml:space="preserve"> emissions. </w:t>
            </w:r>
          </w:p>
          <w:p w14:paraId="1E510144" w14:textId="0E87DEBF" w:rsidR="0012676C" w:rsidRPr="005C5E32" w:rsidRDefault="0012676C">
            <w:pPr>
              <w:pStyle w:val="TableBullet"/>
              <w:rPr>
                <w:szCs w:val="18"/>
              </w:rPr>
            </w:pPr>
            <w:r w:rsidRPr="005C5E32">
              <w:rPr>
                <w:szCs w:val="18"/>
              </w:rPr>
              <w:t>We contributed to global climate transparency by:</w:t>
            </w:r>
          </w:p>
          <w:p w14:paraId="24AA4740" w14:textId="5156DFF8" w:rsidR="0012676C" w:rsidRPr="005C5E32" w:rsidRDefault="0012676C">
            <w:pPr>
              <w:pStyle w:val="TableDash"/>
              <w:rPr>
                <w:szCs w:val="18"/>
              </w:rPr>
            </w:pPr>
            <w:r w:rsidRPr="005C5E32">
              <w:rPr>
                <w:szCs w:val="18"/>
              </w:rPr>
              <w:t>hosting a delegation of officials from eight Caribbean countries to share New Zealand</w:t>
            </w:r>
            <w:r w:rsidR="000369F8" w:rsidRPr="005C5E32">
              <w:rPr>
                <w:szCs w:val="18"/>
              </w:rPr>
              <w:t>’</w:t>
            </w:r>
            <w:r w:rsidRPr="005C5E32">
              <w:rPr>
                <w:szCs w:val="18"/>
              </w:rPr>
              <w:t xml:space="preserve">s expertise in </w:t>
            </w:r>
            <w:r w:rsidR="00FA3E3D" w:rsidRPr="005C5E32">
              <w:rPr>
                <w:szCs w:val="18"/>
              </w:rPr>
              <w:t>greenhouse gas</w:t>
            </w:r>
            <w:r w:rsidRPr="005C5E32">
              <w:rPr>
                <w:szCs w:val="18"/>
              </w:rPr>
              <w:t xml:space="preserve"> inventory and climate reporting</w:t>
            </w:r>
            <w:r w:rsidR="00D95482" w:rsidRPr="005C5E32">
              <w:rPr>
                <w:szCs w:val="18"/>
              </w:rPr>
              <w:t xml:space="preserve"> and in this way</w:t>
            </w:r>
            <w:r w:rsidRPr="005C5E32">
              <w:rPr>
                <w:szCs w:val="18"/>
              </w:rPr>
              <w:t xml:space="preserve"> to strengthen capability in other nations </w:t>
            </w:r>
          </w:p>
          <w:p w14:paraId="337C28E9" w14:textId="01DAC661" w:rsidR="0012676C" w:rsidRPr="005C5E32" w:rsidRDefault="0012676C">
            <w:pPr>
              <w:pStyle w:val="TableDash"/>
              <w:keepNext/>
              <w:spacing w:before="40" w:after="40" w:line="230" w:lineRule="atLeast"/>
              <w:rPr>
                <w:szCs w:val="18"/>
              </w:rPr>
            </w:pPr>
            <w:r w:rsidRPr="005C5E32">
              <w:rPr>
                <w:szCs w:val="18"/>
              </w:rPr>
              <w:t>hosting the United Nations</w:t>
            </w:r>
            <w:r w:rsidR="00DE57F8" w:rsidRPr="005C5E32">
              <w:rPr>
                <w:szCs w:val="18"/>
              </w:rPr>
              <w:t>–</w:t>
            </w:r>
            <w:r w:rsidRPr="005C5E32">
              <w:rPr>
                <w:szCs w:val="18"/>
              </w:rPr>
              <w:t xml:space="preserve">facilitated international expert review of </w:t>
            </w:r>
            <w:hyperlink r:id="rId38" w:history="1">
              <w:r w:rsidRPr="005C5E32">
                <w:rPr>
                  <w:rStyle w:val="Hyperlink"/>
                  <w:i/>
                  <w:iCs/>
                  <w:szCs w:val="18"/>
                </w:rPr>
                <w:t>New Zealand</w:t>
              </w:r>
              <w:r w:rsidR="000369F8" w:rsidRPr="005C5E32">
                <w:rPr>
                  <w:rStyle w:val="Hyperlink"/>
                  <w:i/>
                  <w:iCs/>
                  <w:szCs w:val="18"/>
                </w:rPr>
                <w:t>’</w:t>
              </w:r>
              <w:r w:rsidRPr="005C5E32">
                <w:rPr>
                  <w:rStyle w:val="Hyperlink"/>
                  <w:i/>
                  <w:iCs/>
                  <w:szCs w:val="18"/>
                </w:rPr>
                <w:t>s First Biennial Transparency Report</w:t>
              </w:r>
            </w:hyperlink>
            <w:r w:rsidR="00DE57F8" w:rsidRPr="005C5E32">
              <w:rPr>
                <w:szCs w:val="18"/>
              </w:rPr>
              <w:t xml:space="preserve"> and</w:t>
            </w:r>
            <w:r w:rsidR="00D2748D" w:rsidRPr="005C5E32">
              <w:rPr>
                <w:szCs w:val="18"/>
              </w:rPr>
              <w:t xml:space="preserve"> the previous </w:t>
            </w:r>
            <w:r w:rsidR="005253D1" w:rsidRPr="005C5E32">
              <w:rPr>
                <w:szCs w:val="18"/>
              </w:rPr>
              <w:t>2024 updates to the Greenhouse Gas Inventory</w:t>
            </w:r>
            <w:r w:rsidR="00DE57F8" w:rsidRPr="005C5E32">
              <w:rPr>
                <w:szCs w:val="18"/>
              </w:rPr>
              <w:t xml:space="preserve">, </w:t>
            </w:r>
            <w:r w:rsidR="00D95482" w:rsidRPr="005C5E32">
              <w:rPr>
                <w:szCs w:val="18"/>
              </w:rPr>
              <w:t xml:space="preserve">and </w:t>
            </w:r>
            <w:r w:rsidRPr="005C5E32">
              <w:rPr>
                <w:szCs w:val="18"/>
              </w:rPr>
              <w:t>then participating in the international accountability meetings</w:t>
            </w:r>
            <w:r w:rsidR="002F7D0E" w:rsidRPr="005C5E32">
              <w:rPr>
                <w:szCs w:val="18"/>
              </w:rPr>
              <w:t>,</w:t>
            </w:r>
            <w:r w:rsidRPr="005C5E32">
              <w:rPr>
                <w:szCs w:val="18"/>
              </w:rPr>
              <w:t xml:space="preserve"> where</w:t>
            </w:r>
            <w:r w:rsidR="005135F5" w:rsidRPr="005C5E32">
              <w:rPr>
                <w:szCs w:val="18"/>
              </w:rPr>
              <w:t xml:space="preserve"> other nations acknowledged</w:t>
            </w:r>
            <w:r w:rsidRPr="005C5E32">
              <w:rPr>
                <w:szCs w:val="18"/>
              </w:rPr>
              <w:t xml:space="preserve"> New Zealand</w:t>
            </w:r>
            <w:r w:rsidR="000369F8" w:rsidRPr="005C5E32">
              <w:rPr>
                <w:szCs w:val="18"/>
              </w:rPr>
              <w:t>’</w:t>
            </w:r>
            <w:r w:rsidRPr="005C5E32">
              <w:rPr>
                <w:szCs w:val="18"/>
              </w:rPr>
              <w:t>s strengths in transparent climate reporting.</w:t>
            </w:r>
            <w:r w:rsidR="00D64965" w:rsidRPr="005C5E32">
              <w:rPr>
                <w:szCs w:val="18"/>
              </w:rPr>
              <w:t xml:space="preserve"> </w:t>
            </w:r>
          </w:p>
          <w:p w14:paraId="3D3A3123" w14:textId="6601863B" w:rsidR="0012676C" w:rsidRPr="005C5E32" w:rsidRDefault="0012676C" w:rsidP="002773FE">
            <w:pPr>
              <w:pStyle w:val="TableDash"/>
              <w:keepNext/>
              <w:numPr>
                <w:ilvl w:val="0"/>
                <w:numId w:val="0"/>
              </w:numPr>
              <w:spacing w:before="40" w:after="0" w:line="230" w:lineRule="atLeast"/>
              <w:rPr>
                <w:b/>
                <w:bCs/>
                <w:szCs w:val="18"/>
              </w:rPr>
            </w:pPr>
            <w:r w:rsidRPr="005C5E32">
              <w:rPr>
                <w:b/>
                <w:bCs/>
                <w:szCs w:val="18"/>
              </w:rPr>
              <w:t>Impact of investment</w:t>
            </w:r>
          </w:p>
          <w:p w14:paraId="7C7BD1EB" w14:textId="6BAFFC9D" w:rsidR="0012676C" w:rsidRPr="005C5E32" w:rsidRDefault="0012676C" w:rsidP="002773FE">
            <w:pPr>
              <w:pStyle w:val="TableText"/>
              <w:spacing w:before="40" w:after="40"/>
              <w:rPr>
                <w:szCs w:val="18"/>
              </w:rPr>
            </w:pPr>
            <w:r w:rsidRPr="005C5E32">
              <w:t>Regular</w:t>
            </w:r>
            <w:r w:rsidRPr="005C5E32">
              <w:rPr>
                <w:szCs w:val="18"/>
              </w:rPr>
              <w:t xml:space="preserve"> environmental reporting provides New Zealanders with an authoritative picture of environmental change and the pressures affecting our natural systems. These reports have significant public </w:t>
            </w:r>
            <w:r w:rsidRPr="005C5E32">
              <w:t>reach.</w:t>
            </w:r>
            <w:r w:rsidRPr="005C5E32">
              <w:rPr>
                <w:szCs w:val="18"/>
              </w:rPr>
              <w:t xml:space="preserve"> For example, media coverage of </w:t>
            </w:r>
            <w:r w:rsidRPr="005C5E32">
              <w:rPr>
                <w:i/>
              </w:rPr>
              <w:t>Our Freshwater 2026</w:t>
            </w:r>
            <w:r w:rsidRPr="005C5E32">
              <w:rPr>
                <w:szCs w:val="18"/>
              </w:rPr>
              <w:t xml:space="preserve"> reached a potential audience of 1.14 million</w:t>
            </w:r>
            <w:r w:rsidR="00CE2B8A" w:rsidRPr="005C5E32">
              <w:rPr>
                <w:szCs w:val="18"/>
              </w:rPr>
              <w:t>,</w:t>
            </w:r>
            <w:r w:rsidRPr="005C5E32">
              <w:rPr>
                <w:szCs w:val="18"/>
              </w:rPr>
              <w:t xml:space="preserve"> based on the combined audiences of media outlets that reported on the release. </w:t>
            </w:r>
            <w:r w:rsidR="00CE2B8A" w:rsidRPr="005C5E32">
              <w:rPr>
                <w:szCs w:val="18"/>
              </w:rPr>
              <w:t>The</w:t>
            </w:r>
            <w:r w:rsidRPr="005C5E32">
              <w:rPr>
                <w:szCs w:val="18"/>
              </w:rPr>
              <w:t xml:space="preserve"> companion report, </w:t>
            </w:r>
            <w:hyperlink r:id="rId39" w:history="1">
              <w:r w:rsidRPr="005C5E32">
                <w:rPr>
                  <w:rStyle w:val="Hyperlink"/>
                  <w:rFonts w:cstheme="minorBidi"/>
                  <w:i/>
                  <w:iCs/>
                  <w:szCs w:val="22"/>
                </w:rPr>
                <w:t>Our Water, Our Lives: The Stories Behind the Numbers</w:t>
              </w:r>
            </w:hyperlink>
            <w:r w:rsidRPr="005C5E32">
              <w:t>,</w:t>
            </w:r>
            <w:r w:rsidRPr="005C5E32">
              <w:rPr>
                <w:szCs w:val="18"/>
              </w:rPr>
              <w:t xml:space="preserve"> </w:t>
            </w:r>
            <w:r w:rsidR="00CE2B8A" w:rsidRPr="005C5E32">
              <w:rPr>
                <w:szCs w:val="18"/>
              </w:rPr>
              <w:t xml:space="preserve">also </w:t>
            </w:r>
            <w:r w:rsidRPr="005C5E32">
              <w:rPr>
                <w:szCs w:val="18"/>
              </w:rPr>
              <w:t xml:space="preserve">broadened public awareness of the environmental challenges </w:t>
            </w:r>
            <w:r w:rsidR="005135F5" w:rsidRPr="005C5E32">
              <w:rPr>
                <w:szCs w:val="18"/>
              </w:rPr>
              <w:t xml:space="preserve">related to </w:t>
            </w:r>
            <w:r w:rsidRPr="005C5E32">
              <w:rPr>
                <w:szCs w:val="18"/>
              </w:rPr>
              <w:t>freshwater and highlighted how individuals, whānau, iwi, communities, organisations and decision-makers can contribute to positive environmental outcomes.</w:t>
            </w:r>
          </w:p>
          <w:p w14:paraId="3A774003" w14:textId="6A4505A0" w:rsidR="0012676C" w:rsidRPr="005C5E32" w:rsidRDefault="0012676C" w:rsidP="002773FE">
            <w:pPr>
              <w:pStyle w:val="TableText"/>
              <w:spacing w:before="40" w:after="40"/>
              <w:rPr>
                <w:szCs w:val="18"/>
              </w:rPr>
            </w:pPr>
            <w:r w:rsidRPr="005C5E32">
              <w:rPr>
                <w:szCs w:val="18"/>
              </w:rPr>
              <w:t>Climate reporting enables New Zealand to measure progress against emissions budgets and climate targets, and informs effective</w:t>
            </w:r>
            <w:r w:rsidR="005135F5" w:rsidRPr="005C5E32">
              <w:t xml:space="preserve"> policy</w:t>
            </w:r>
            <w:r w:rsidRPr="005C5E32">
              <w:t>.</w:t>
            </w:r>
            <w:r w:rsidRPr="005C5E32">
              <w:rPr>
                <w:szCs w:val="18"/>
              </w:rPr>
              <w:t xml:space="preserve"> By providing transparent and credible information, climate reporting helps build trust in New Zealand internationally, supports economic and trade interests, and enables meaningful contributions to global climate action.</w:t>
            </w:r>
          </w:p>
        </w:tc>
      </w:tr>
      <w:tr w:rsidR="0012676C" w:rsidRPr="005C5E32" w14:paraId="6762FF9A" w14:textId="77777777" w:rsidTr="00706E10">
        <w:tc>
          <w:tcPr>
            <w:tcW w:w="8505" w:type="dxa"/>
            <w:shd w:val="clear" w:color="auto" w:fill="F2F2F2" w:themeFill="background1" w:themeFillShade="F2"/>
          </w:tcPr>
          <w:p w14:paraId="1AFA6EF4" w14:textId="77777777" w:rsidR="0012676C" w:rsidRPr="005C5E32" w:rsidRDefault="0012676C" w:rsidP="00A35D75">
            <w:pPr>
              <w:pStyle w:val="TableSubheading"/>
              <w:rPr>
                <w:b w:val="0"/>
                <w:bCs w:val="0"/>
              </w:rPr>
            </w:pPr>
            <w:r w:rsidRPr="005C5E32">
              <w:lastRenderedPageBreak/>
              <w:t>Light Detection and Ranging (LiDAR)</w:t>
            </w:r>
          </w:p>
          <w:p w14:paraId="2EED3C10" w14:textId="77777777" w:rsidR="005E5BDE" w:rsidRPr="005C5E32" w:rsidRDefault="0012676C" w:rsidP="002773FE">
            <w:pPr>
              <w:pStyle w:val="TableText"/>
              <w:keepNext/>
              <w:spacing w:before="40" w:after="0" w:line="230" w:lineRule="atLeast"/>
              <w:rPr>
                <w:b/>
                <w:bCs/>
                <w:szCs w:val="18"/>
              </w:rPr>
            </w:pPr>
            <w:r w:rsidRPr="005C5E32">
              <w:rPr>
                <w:b/>
                <w:bCs/>
                <w:szCs w:val="18"/>
              </w:rPr>
              <w:t>Objective of investment</w:t>
            </w:r>
          </w:p>
          <w:p w14:paraId="4D0FEC51" w14:textId="1FF2B04C" w:rsidR="00CF4270" w:rsidRPr="005C5E32" w:rsidRDefault="0012676C">
            <w:pPr>
              <w:pStyle w:val="TableText"/>
              <w:keepNext/>
              <w:spacing w:before="40" w:after="40" w:line="230" w:lineRule="atLeast"/>
              <w:rPr>
                <w:szCs w:val="18"/>
              </w:rPr>
            </w:pPr>
            <w:r w:rsidRPr="005C5E32">
              <w:rPr>
                <w:szCs w:val="18"/>
              </w:rPr>
              <w:t xml:space="preserve">To establish complete, up-to-date and nationally consistent </w:t>
            </w:r>
            <w:r w:rsidR="00CF4270" w:rsidRPr="005C5E32">
              <w:rPr>
                <w:szCs w:val="18"/>
              </w:rPr>
              <w:t>3D</w:t>
            </w:r>
            <w:r w:rsidRPr="005C5E32">
              <w:rPr>
                <w:szCs w:val="18"/>
              </w:rPr>
              <w:t xml:space="preserve"> </w:t>
            </w:r>
            <w:r w:rsidR="007364C8" w:rsidRPr="005C5E32">
              <w:rPr>
                <w:szCs w:val="18"/>
              </w:rPr>
              <w:t xml:space="preserve">mapping </w:t>
            </w:r>
            <w:r w:rsidRPr="005C5E32">
              <w:rPr>
                <w:szCs w:val="18"/>
              </w:rPr>
              <w:t>of natural and built environments across New Zealand. This will</w:t>
            </w:r>
            <w:r w:rsidR="002952B3" w:rsidRPr="005C5E32">
              <w:rPr>
                <w:szCs w:val="18"/>
              </w:rPr>
              <w:t xml:space="preserve"> </w:t>
            </w:r>
            <w:r w:rsidR="005E78BA" w:rsidRPr="005C5E32">
              <w:rPr>
                <w:szCs w:val="18"/>
              </w:rPr>
              <w:t>provide the baseline data for</w:t>
            </w:r>
            <w:r w:rsidR="002952B3" w:rsidRPr="005C5E32">
              <w:rPr>
                <w:szCs w:val="18"/>
              </w:rPr>
              <w:t xml:space="preserve"> </w:t>
            </w:r>
            <w:r w:rsidR="00254F76" w:rsidRPr="005C5E32">
              <w:rPr>
                <w:szCs w:val="18"/>
              </w:rPr>
              <w:t>a range of initiatives</w:t>
            </w:r>
            <w:r w:rsidR="002C1ADA" w:rsidRPr="005C5E32">
              <w:rPr>
                <w:szCs w:val="18"/>
              </w:rPr>
              <w:t>,</w:t>
            </w:r>
            <w:r w:rsidR="00254F76" w:rsidRPr="005C5E32">
              <w:rPr>
                <w:szCs w:val="18"/>
              </w:rPr>
              <w:t xml:space="preserve"> including </w:t>
            </w:r>
            <w:r w:rsidR="005E5BDE" w:rsidRPr="005C5E32">
              <w:rPr>
                <w:szCs w:val="18"/>
              </w:rPr>
              <w:t>p</w:t>
            </w:r>
            <w:r w:rsidR="008301F1" w:rsidRPr="005C5E32">
              <w:rPr>
                <w:szCs w:val="18"/>
              </w:rPr>
              <w:t xml:space="preserve">lanning </w:t>
            </w:r>
            <w:r w:rsidR="005E5BDE" w:rsidRPr="005C5E32">
              <w:rPr>
                <w:szCs w:val="18"/>
              </w:rPr>
              <w:t>s</w:t>
            </w:r>
            <w:r w:rsidR="008301F1" w:rsidRPr="005C5E32">
              <w:rPr>
                <w:szCs w:val="18"/>
              </w:rPr>
              <w:t xml:space="preserve">ystem </w:t>
            </w:r>
            <w:r w:rsidR="005E5BDE" w:rsidRPr="005C5E32">
              <w:rPr>
                <w:szCs w:val="18"/>
              </w:rPr>
              <w:t>t</w:t>
            </w:r>
            <w:r w:rsidR="008301F1" w:rsidRPr="005C5E32">
              <w:rPr>
                <w:szCs w:val="18"/>
              </w:rPr>
              <w:t xml:space="preserve">ransformation and </w:t>
            </w:r>
            <w:r w:rsidR="00254F76" w:rsidRPr="005C5E32">
              <w:rPr>
                <w:szCs w:val="18"/>
              </w:rPr>
              <w:t>the N</w:t>
            </w:r>
            <w:r w:rsidR="005E5BDE" w:rsidRPr="005C5E32">
              <w:rPr>
                <w:szCs w:val="18"/>
              </w:rPr>
              <w:t xml:space="preserve">ew </w:t>
            </w:r>
            <w:r w:rsidR="00254F76" w:rsidRPr="005C5E32">
              <w:rPr>
                <w:szCs w:val="18"/>
              </w:rPr>
              <w:t>Z</w:t>
            </w:r>
            <w:r w:rsidR="005E5BDE" w:rsidRPr="005C5E32">
              <w:rPr>
                <w:szCs w:val="18"/>
              </w:rPr>
              <w:t>ealand</w:t>
            </w:r>
            <w:r w:rsidR="00254F76" w:rsidRPr="005C5E32">
              <w:rPr>
                <w:szCs w:val="18"/>
              </w:rPr>
              <w:t xml:space="preserve"> Flood Map</w:t>
            </w:r>
            <w:r w:rsidR="004C703D" w:rsidRPr="005C5E32">
              <w:rPr>
                <w:szCs w:val="18"/>
              </w:rPr>
              <w:t>,</w:t>
            </w:r>
            <w:r w:rsidR="00E027AE" w:rsidRPr="005C5E32">
              <w:rPr>
                <w:szCs w:val="18"/>
              </w:rPr>
              <w:t xml:space="preserve"> to</w:t>
            </w:r>
            <w:r w:rsidRPr="005C5E32">
              <w:rPr>
                <w:szCs w:val="18"/>
              </w:rPr>
              <w:t xml:space="preserve"> help answer some of the hardest questions we face</w:t>
            </w:r>
            <w:r w:rsidR="00A51776" w:rsidRPr="005C5E32">
              <w:rPr>
                <w:szCs w:val="18"/>
              </w:rPr>
              <w:t>.</w:t>
            </w:r>
            <w:r w:rsidRPr="005C5E32">
              <w:rPr>
                <w:szCs w:val="18"/>
              </w:rPr>
              <w:t xml:space="preserve"> </w:t>
            </w:r>
          </w:p>
          <w:p w14:paraId="25759344" w14:textId="0F98B0FF" w:rsidR="00CF4270" w:rsidRPr="005C5E32" w:rsidRDefault="00A51776" w:rsidP="00CF4270">
            <w:pPr>
              <w:pStyle w:val="TableBullet"/>
              <w:rPr>
                <w:szCs w:val="18"/>
              </w:rPr>
            </w:pPr>
            <w:r w:rsidRPr="005C5E32">
              <w:rPr>
                <w:szCs w:val="18"/>
              </w:rPr>
              <w:t>W</w:t>
            </w:r>
            <w:r w:rsidR="0012676C" w:rsidRPr="005C5E32">
              <w:rPr>
                <w:szCs w:val="18"/>
              </w:rPr>
              <w:t>here should we develop property and infrastructure</w:t>
            </w:r>
            <w:r w:rsidRPr="005C5E32">
              <w:rPr>
                <w:szCs w:val="18"/>
              </w:rPr>
              <w:t>?</w:t>
            </w:r>
          </w:p>
          <w:p w14:paraId="11898DA5" w14:textId="619752E5" w:rsidR="00CF4270" w:rsidRPr="005C5E32" w:rsidRDefault="00A51776" w:rsidP="00CF4270">
            <w:pPr>
              <w:pStyle w:val="TableBullet"/>
              <w:rPr>
                <w:szCs w:val="18"/>
              </w:rPr>
            </w:pPr>
            <w:r w:rsidRPr="005C5E32">
              <w:t>H</w:t>
            </w:r>
            <w:r w:rsidR="0012676C" w:rsidRPr="005C5E32">
              <w:t>ow will coastlines respond to sea-level rise</w:t>
            </w:r>
            <w:r w:rsidRPr="005C5E32">
              <w:t>?</w:t>
            </w:r>
          </w:p>
          <w:p w14:paraId="147F47FB" w14:textId="3B647578" w:rsidR="0012676C" w:rsidRPr="005C5E32" w:rsidRDefault="00A51776" w:rsidP="00C91895">
            <w:pPr>
              <w:pStyle w:val="TableBullet"/>
              <w:rPr>
                <w:szCs w:val="18"/>
              </w:rPr>
            </w:pPr>
            <w:r w:rsidRPr="005C5E32">
              <w:t>W</w:t>
            </w:r>
            <w:r w:rsidR="0012676C" w:rsidRPr="005C5E32">
              <w:t>hich land carries the greatest risk of erosion, landslides and flooding?</w:t>
            </w:r>
          </w:p>
          <w:p w14:paraId="706347E7" w14:textId="77777777" w:rsidR="005E5BDE" w:rsidRPr="005C5E32" w:rsidRDefault="0012676C" w:rsidP="002773FE">
            <w:pPr>
              <w:pStyle w:val="TableText"/>
              <w:keepNext/>
              <w:spacing w:before="40" w:after="0" w:line="230" w:lineRule="atLeast"/>
              <w:rPr>
                <w:szCs w:val="18"/>
              </w:rPr>
            </w:pPr>
            <w:r w:rsidRPr="005C5E32">
              <w:rPr>
                <w:b/>
                <w:bCs/>
                <w:szCs w:val="18"/>
              </w:rPr>
              <w:t>What we invested in</w:t>
            </w:r>
          </w:p>
          <w:p w14:paraId="71F92AA4" w14:textId="5242DD4B" w:rsidR="0012676C" w:rsidRPr="005C5E32" w:rsidRDefault="0012676C">
            <w:pPr>
              <w:pStyle w:val="TableText"/>
              <w:keepNext/>
              <w:spacing w:before="40" w:after="40" w:line="230" w:lineRule="atLeast"/>
              <w:rPr>
                <w:szCs w:val="18"/>
              </w:rPr>
            </w:pPr>
            <w:r w:rsidRPr="005C5E32">
              <w:rPr>
                <w:szCs w:val="18"/>
              </w:rPr>
              <w:t>The Ministry invested in partnerships with regional councils and Land Information New Zealand (LINZ) to produce high-quality 3D mapping across several regions</w:t>
            </w:r>
            <w:r w:rsidR="00B11184" w:rsidRPr="005C5E32">
              <w:rPr>
                <w:szCs w:val="18"/>
              </w:rPr>
              <w:t>,</w:t>
            </w:r>
            <w:r w:rsidRPr="005C5E32">
              <w:rPr>
                <w:szCs w:val="18"/>
              </w:rPr>
              <w:t xml:space="preserve"> and to make this information available through combined national elevation datasets. Th</w:t>
            </w:r>
            <w:r w:rsidR="006B1D01" w:rsidRPr="005C5E32">
              <w:rPr>
                <w:szCs w:val="18"/>
              </w:rPr>
              <w:t>ese investments</w:t>
            </w:r>
            <w:r w:rsidRPr="005C5E32">
              <w:rPr>
                <w:szCs w:val="18"/>
              </w:rPr>
              <w:t xml:space="preserve"> included:</w:t>
            </w:r>
            <w:r w:rsidR="005B7E42" w:rsidRPr="005C5E32">
              <w:rPr>
                <w:szCs w:val="18"/>
              </w:rPr>
              <w:t xml:space="preserve"> </w:t>
            </w:r>
          </w:p>
          <w:p w14:paraId="7EE5DA33" w14:textId="0051AF48" w:rsidR="0012676C" w:rsidRPr="005C5E32" w:rsidRDefault="0012676C" w:rsidP="00270CA4">
            <w:pPr>
              <w:pStyle w:val="TableBullet"/>
            </w:pPr>
            <w:r w:rsidRPr="005C5E32">
              <w:t>$1.4</w:t>
            </w:r>
            <w:r w:rsidR="00B11184" w:rsidRPr="005C5E32">
              <w:t xml:space="preserve"> </w:t>
            </w:r>
            <w:r w:rsidRPr="005C5E32">
              <w:t>m</w:t>
            </w:r>
            <w:r w:rsidR="00B11184" w:rsidRPr="005C5E32">
              <w:t>illion</w:t>
            </w:r>
            <w:r w:rsidRPr="005C5E32">
              <w:t xml:space="preserve"> in regional council co-funding for LiDAR acquisition in</w:t>
            </w:r>
            <w:r w:rsidR="00FA7807" w:rsidRPr="005C5E32">
              <w:t xml:space="preserve"> the</w:t>
            </w:r>
            <w:r w:rsidRPr="005C5E32">
              <w:t xml:space="preserve"> Otago, Manawatū-Whanganui and Southland regions to address remaining gaps in national LiDAR coverage</w:t>
            </w:r>
          </w:p>
          <w:p w14:paraId="52F0C3D9" w14:textId="32A7DAD9" w:rsidR="0012676C" w:rsidRPr="005C5E32" w:rsidRDefault="0012676C" w:rsidP="00270CA4">
            <w:pPr>
              <w:pStyle w:val="TableBullet"/>
            </w:pPr>
            <w:r w:rsidRPr="005C5E32">
              <w:t>$0.5</w:t>
            </w:r>
            <w:r w:rsidR="00B11184" w:rsidRPr="005C5E32">
              <w:t xml:space="preserve"> million</w:t>
            </w:r>
            <w:r w:rsidRPr="005C5E32">
              <w:t xml:space="preserve"> in funding for LINZ to refresh old and low-resolution LiDAR coverage in Canterbury and Marlborough</w:t>
            </w:r>
          </w:p>
          <w:p w14:paraId="79963644" w14:textId="4AB8267F" w:rsidR="0012676C" w:rsidRPr="005C5E32" w:rsidRDefault="0012676C" w:rsidP="00270CA4">
            <w:pPr>
              <w:pStyle w:val="TableBullet"/>
            </w:pPr>
            <w:r w:rsidRPr="005C5E32">
              <w:t>$1.8</w:t>
            </w:r>
            <w:r w:rsidR="00B11184" w:rsidRPr="005C5E32">
              <w:t xml:space="preserve"> million</w:t>
            </w:r>
            <w:r w:rsidRPr="005C5E32">
              <w:t xml:space="preserve"> in funding for LINZ to expand 3D coastal mapping to include lagoons and river mouths associated with significant coastal hazards. </w:t>
            </w:r>
          </w:p>
          <w:p w14:paraId="711F694D" w14:textId="77777777" w:rsidR="005E5BDE" w:rsidRPr="005C5E32" w:rsidRDefault="0012676C" w:rsidP="002773FE">
            <w:pPr>
              <w:pStyle w:val="TableText"/>
              <w:spacing w:before="40" w:after="0" w:line="230" w:lineRule="atLeast"/>
              <w:rPr>
                <w:b/>
                <w:bCs/>
                <w:szCs w:val="18"/>
              </w:rPr>
            </w:pPr>
            <w:r w:rsidRPr="005C5E32">
              <w:rPr>
                <w:b/>
                <w:bCs/>
                <w:szCs w:val="18"/>
              </w:rPr>
              <w:t>Impact of investment</w:t>
            </w:r>
          </w:p>
          <w:p w14:paraId="12ACD820" w14:textId="15EB77B5" w:rsidR="0012676C" w:rsidRPr="005C5E32" w:rsidRDefault="0012676C">
            <w:pPr>
              <w:pStyle w:val="TableText"/>
              <w:spacing w:before="40" w:after="40" w:line="230" w:lineRule="atLeast"/>
              <w:rPr>
                <w:b/>
                <w:bCs/>
                <w:szCs w:val="18"/>
              </w:rPr>
            </w:pPr>
            <w:r w:rsidRPr="005C5E32">
              <w:t>H</w:t>
            </w:r>
            <w:r w:rsidRPr="005C5E32">
              <w:rPr>
                <w:szCs w:val="18"/>
              </w:rPr>
              <w:t>ighly accurate and nationally consistent 3D mapping supports better decisions by:</w:t>
            </w:r>
          </w:p>
          <w:p w14:paraId="0BEBFC33" w14:textId="2BFDAC91" w:rsidR="0012676C" w:rsidRPr="005C5E32" w:rsidRDefault="0012676C" w:rsidP="00270CA4">
            <w:pPr>
              <w:pStyle w:val="TableBullet"/>
            </w:pPr>
            <w:r w:rsidRPr="005C5E32">
              <w:t>helping decision-makers identify what land is at risk from flooding, erosion, landslides and coastal hazards</w:t>
            </w:r>
            <w:r w:rsidR="00DF383B" w:rsidRPr="005C5E32">
              <w:t>,</w:t>
            </w:r>
            <w:r w:rsidRPr="005C5E32">
              <w:t xml:space="preserve"> through accurate modelling of terrain and elevation</w:t>
            </w:r>
          </w:p>
          <w:p w14:paraId="7736E952" w14:textId="44DC2855" w:rsidR="0012676C" w:rsidRPr="005C5E32" w:rsidRDefault="0012676C" w:rsidP="00270CA4">
            <w:pPr>
              <w:pStyle w:val="TableBullet"/>
            </w:pPr>
            <w:r w:rsidRPr="005C5E32">
              <w:t>enabling decision-makers to plan with greater confidence by providing evidence on where to develop property and infrastructure</w:t>
            </w:r>
          </w:p>
          <w:p w14:paraId="10A1E2DB" w14:textId="2EF36E9C" w:rsidR="0012676C" w:rsidRPr="005C5E32" w:rsidRDefault="0012676C" w:rsidP="00270CA4">
            <w:pPr>
              <w:pStyle w:val="TableBullet"/>
            </w:pPr>
            <w:r w:rsidRPr="005C5E32">
              <w:t xml:space="preserve">enhancing environmental and </w:t>
            </w:r>
            <w:r w:rsidR="00FA3E3D" w:rsidRPr="005C5E32">
              <w:t>greenhouse gas</w:t>
            </w:r>
            <w:r w:rsidRPr="005C5E32">
              <w:t xml:space="preserve"> emissions reporting, natural resource management and land</w:t>
            </w:r>
            <w:r w:rsidR="002773FE" w:rsidRPr="005C5E32">
              <w:noBreakHyphen/>
            </w:r>
            <w:r w:rsidRPr="005C5E32">
              <w:t>use analysis through nationally consistent information on terrain and vegetation</w:t>
            </w:r>
          </w:p>
          <w:p w14:paraId="2D88ACF9" w14:textId="7D8DB6A8" w:rsidR="0012676C" w:rsidRPr="005C5E32" w:rsidRDefault="0012676C" w:rsidP="00270CA4">
            <w:pPr>
              <w:pStyle w:val="TableBullet"/>
            </w:pPr>
            <w:r w:rsidRPr="005C5E32">
              <w:t>enabling central and local government, iwi, researchers and the private sector to work from a shared, high</w:t>
            </w:r>
            <w:r w:rsidR="002773FE" w:rsidRPr="005C5E32">
              <w:noBreakHyphen/>
            </w:r>
            <w:r w:rsidRPr="005C5E32">
              <w:t>quality evidence base, reducing duplication and improving efficiency</w:t>
            </w:r>
          </w:p>
          <w:p w14:paraId="6F6095E2" w14:textId="6E7FE8AB" w:rsidR="0012676C" w:rsidRPr="005C5E32" w:rsidRDefault="0012676C" w:rsidP="00270CA4">
            <w:pPr>
              <w:pStyle w:val="TableBullet"/>
            </w:pPr>
            <w:r w:rsidRPr="005C5E32">
              <w:t xml:space="preserve">increasing public access to critical environmental information through open data, </w:t>
            </w:r>
            <w:r w:rsidR="006B1D01" w:rsidRPr="005C5E32">
              <w:t xml:space="preserve">which in turn </w:t>
            </w:r>
            <w:r w:rsidRPr="005C5E32">
              <w:t>support</w:t>
            </w:r>
            <w:r w:rsidR="006B1D01" w:rsidRPr="005C5E32">
              <w:t>s</w:t>
            </w:r>
            <w:r w:rsidRPr="005C5E32">
              <w:t xml:space="preserve"> innovation, research, planning and economic development.</w:t>
            </w:r>
          </w:p>
        </w:tc>
      </w:tr>
    </w:tbl>
    <w:p w14:paraId="5BF4A490" w14:textId="145C8B5C" w:rsidR="0012676C" w:rsidRPr="005C5E32" w:rsidRDefault="0012676C" w:rsidP="006A2028">
      <w:pPr>
        <w:pStyle w:val="Heading2"/>
        <w:pageBreakBefore/>
        <w:spacing w:after="240"/>
        <w:rPr>
          <w:lang w:eastAsia="en-US"/>
        </w:rPr>
      </w:pPr>
      <w:bookmarkStart w:id="72" w:name="_Strategic_priority_5:"/>
      <w:bookmarkStart w:id="73" w:name="_Strategic_priority_5:_1"/>
      <w:bookmarkStart w:id="74" w:name="_Toc207017385"/>
      <w:bookmarkStart w:id="75" w:name="_Toc210136372"/>
      <w:bookmarkStart w:id="76" w:name="_Toc240445561"/>
      <w:bookmarkEnd w:id="72"/>
      <w:bookmarkEnd w:id="73"/>
      <w:r w:rsidRPr="005C5E32">
        <w:rPr>
          <w:lang w:eastAsia="en-US"/>
        </w:rPr>
        <w:lastRenderedPageBreak/>
        <w:t>Strategic priority 5: Ensure our investments, partnerships and relationships enable</w:t>
      </w:r>
      <w:r w:rsidR="00B63786" w:rsidRPr="005C5E32">
        <w:rPr>
          <w:lang w:eastAsia="en-US"/>
        </w:rPr>
        <w:t> </w:t>
      </w:r>
      <w:r w:rsidRPr="005C5E32">
        <w:rPr>
          <w:lang w:eastAsia="en-US"/>
        </w:rPr>
        <w:t>others to achieve impactful solutions</w:t>
      </w:r>
      <w:bookmarkEnd w:id="74"/>
      <w:bookmarkEnd w:id="75"/>
      <w:bookmarkEnd w:id="76"/>
    </w:p>
    <w:p w14:paraId="535A1E8C" w14:textId="69650BBC" w:rsidR="0012676C" w:rsidRPr="005C5E32" w:rsidRDefault="006B1D01">
      <w:pPr>
        <w:pStyle w:val="BodyText"/>
        <w:rPr>
          <w:lang w:eastAsia="en-US"/>
        </w:rPr>
      </w:pPr>
      <w:r w:rsidRPr="005C5E32">
        <w:rPr>
          <w:lang w:eastAsia="en-US"/>
        </w:rPr>
        <w:t>To d</w:t>
      </w:r>
      <w:r w:rsidR="005D43A5" w:rsidRPr="005C5E32">
        <w:rPr>
          <w:lang w:eastAsia="en-US"/>
        </w:rPr>
        <w:t xml:space="preserve">eliver </w:t>
      </w:r>
      <w:r w:rsidR="0012676C" w:rsidRPr="005C5E32">
        <w:rPr>
          <w:lang w:eastAsia="en-US"/>
        </w:rPr>
        <w:t>the best outcomes for New Zealand</w:t>
      </w:r>
      <w:r w:rsidRPr="005C5E32">
        <w:rPr>
          <w:lang w:eastAsia="en-US"/>
        </w:rPr>
        <w:t>, we needed</w:t>
      </w:r>
      <w:r w:rsidR="0012676C" w:rsidRPr="005C5E32">
        <w:rPr>
          <w:lang w:eastAsia="en-US"/>
        </w:rPr>
        <w:t xml:space="preserve"> strong partnerships and collaborative relationships, </w:t>
      </w:r>
      <w:r w:rsidR="00F14B32" w:rsidRPr="005C5E32">
        <w:rPr>
          <w:lang w:eastAsia="en-US"/>
        </w:rPr>
        <w:t>as well as</w:t>
      </w:r>
      <w:r w:rsidR="00D64965" w:rsidRPr="005C5E32">
        <w:rPr>
          <w:lang w:eastAsia="en-US"/>
        </w:rPr>
        <w:t xml:space="preserve"> </w:t>
      </w:r>
      <w:r w:rsidRPr="005C5E32">
        <w:rPr>
          <w:lang w:eastAsia="en-US"/>
        </w:rPr>
        <w:t xml:space="preserve">to </w:t>
      </w:r>
      <w:r w:rsidR="0012676C" w:rsidRPr="005C5E32">
        <w:rPr>
          <w:lang w:eastAsia="en-US"/>
        </w:rPr>
        <w:t>identify investment opportunities that maximise value for New Zealand. Lasting and meaningful outcomes are achieved by drawing on the deep local knowledge and expertise of our partners, ensuring solutions are well informed, effective and enduring. Strong connections to the people and places of New Zealand help</w:t>
      </w:r>
      <w:r w:rsidR="00045062" w:rsidRPr="005C5E32">
        <w:rPr>
          <w:lang w:eastAsia="en-US"/>
        </w:rPr>
        <w:t>ed</w:t>
      </w:r>
      <w:r w:rsidR="0012676C" w:rsidRPr="005C5E32">
        <w:rPr>
          <w:lang w:eastAsia="en-US"/>
        </w:rPr>
        <w:t xml:space="preserve"> us identify where investment can have the greatest impact</w:t>
      </w:r>
      <w:r w:rsidR="00F14B32" w:rsidRPr="005C5E32">
        <w:rPr>
          <w:lang w:eastAsia="en-US"/>
        </w:rPr>
        <w:t xml:space="preserve"> –</w:t>
      </w:r>
      <w:r w:rsidR="0012676C" w:rsidRPr="005C5E32">
        <w:rPr>
          <w:lang w:eastAsia="en-US"/>
        </w:rPr>
        <w:t xml:space="preserve"> whether through partnerships with iwi and Māori</w:t>
      </w:r>
      <w:r w:rsidR="00F14B32" w:rsidRPr="005C5E32">
        <w:rPr>
          <w:lang w:eastAsia="en-US"/>
        </w:rPr>
        <w:t>,</w:t>
      </w:r>
      <w:r w:rsidR="0012676C" w:rsidRPr="005C5E32">
        <w:rPr>
          <w:lang w:eastAsia="en-US"/>
        </w:rPr>
        <w:t xml:space="preserve"> or through public and private investment.</w:t>
      </w:r>
    </w:p>
    <w:p w14:paraId="4352D2D3" w14:textId="2AF4908E" w:rsidR="0012676C" w:rsidRPr="00AA3E0B" w:rsidRDefault="0012676C">
      <w:pPr>
        <w:pStyle w:val="BodyText"/>
        <w:rPr>
          <w:spacing w:val="-2"/>
          <w:lang w:eastAsia="en-US"/>
        </w:rPr>
      </w:pPr>
      <w:r w:rsidRPr="00AA3E0B">
        <w:rPr>
          <w:spacing w:val="-2"/>
          <w:lang w:eastAsia="en-US"/>
        </w:rPr>
        <w:t xml:space="preserve">Over the past year, </w:t>
      </w:r>
      <w:r w:rsidR="00DF7665" w:rsidRPr="00AA3E0B">
        <w:rPr>
          <w:spacing w:val="-2"/>
          <w:lang w:eastAsia="en-US"/>
        </w:rPr>
        <w:t>we</w:t>
      </w:r>
      <w:r w:rsidRPr="00AA3E0B">
        <w:rPr>
          <w:spacing w:val="-2"/>
          <w:lang w:eastAsia="en-US"/>
        </w:rPr>
        <w:t xml:space="preserve"> announced additional projects to be funded through </w:t>
      </w:r>
      <w:r w:rsidR="003B59DF" w:rsidRPr="00AA3E0B">
        <w:rPr>
          <w:spacing w:val="-2"/>
          <w:lang w:eastAsia="en-US"/>
        </w:rPr>
        <w:t>s</w:t>
      </w:r>
      <w:r w:rsidRPr="00AA3E0B">
        <w:rPr>
          <w:spacing w:val="-2"/>
          <w:lang w:eastAsia="en-US"/>
        </w:rPr>
        <w:t xml:space="preserve">tage </w:t>
      </w:r>
      <w:r w:rsidR="003B59DF" w:rsidRPr="00AA3E0B">
        <w:rPr>
          <w:spacing w:val="-2"/>
          <w:lang w:eastAsia="en-US"/>
        </w:rPr>
        <w:t>t</w:t>
      </w:r>
      <w:r w:rsidRPr="00AA3E0B">
        <w:rPr>
          <w:spacing w:val="-2"/>
          <w:lang w:eastAsia="en-US"/>
        </w:rPr>
        <w:t xml:space="preserve">wo of the </w:t>
      </w:r>
      <w:r w:rsidR="00F14B32" w:rsidRPr="00AA3E0B">
        <w:rPr>
          <w:spacing w:val="-2"/>
          <w:lang w:eastAsia="en-US"/>
        </w:rPr>
        <w:t xml:space="preserve">Ministry-administered </w:t>
      </w:r>
      <w:r w:rsidRPr="00AA3E0B">
        <w:rPr>
          <w:spacing w:val="-2"/>
          <w:lang w:eastAsia="en-US"/>
        </w:rPr>
        <w:t xml:space="preserve">Māori Climate Platform. Stage </w:t>
      </w:r>
      <w:r w:rsidR="003B59DF" w:rsidRPr="00AA3E0B">
        <w:rPr>
          <w:spacing w:val="-2"/>
          <w:lang w:eastAsia="en-US"/>
        </w:rPr>
        <w:t>o</w:t>
      </w:r>
      <w:r w:rsidRPr="00AA3E0B">
        <w:rPr>
          <w:spacing w:val="-2"/>
          <w:lang w:eastAsia="en-US"/>
        </w:rPr>
        <w:t xml:space="preserve">ne provided $3.58 million in funding for five pilot projects, benefiting 13 marae. Stage </w:t>
      </w:r>
      <w:r w:rsidR="003B59DF" w:rsidRPr="00AA3E0B">
        <w:rPr>
          <w:spacing w:val="-2"/>
          <w:lang w:eastAsia="en-US"/>
        </w:rPr>
        <w:t>t</w:t>
      </w:r>
      <w:r w:rsidRPr="00AA3E0B">
        <w:rPr>
          <w:spacing w:val="-2"/>
          <w:lang w:eastAsia="en-US"/>
        </w:rPr>
        <w:t xml:space="preserve">wo will fund 18 projects that will benefit </w:t>
      </w:r>
      <w:r w:rsidR="00944084" w:rsidRPr="00AA3E0B">
        <w:rPr>
          <w:spacing w:val="-2"/>
          <w:lang w:eastAsia="en-US"/>
        </w:rPr>
        <w:t>57 </w:t>
      </w:r>
      <w:r w:rsidRPr="00AA3E0B">
        <w:rPr>
          <w:spacing w:val="-2"/>
          <w:lang w:eastAsia="en-US"/>
        </w:rPr>
        <w:t xml:space="preserve">marae across 11 regions. The platform was established to support Māori communities to lead climate adaptation, mitigation and resilience initiatives. </w:t>
      </w:r>
      <w:r w:rsidR="00DB64E8" w:rsidRPr="00AA3E0B">
        <w:rPr>
          <w:spacing w:val="-2"/>
          <w:lang w:eastAsia="en-US"/>
        </w:rPr>
        <w:t>Pou Take Āhuarangi, the Climate Pou for the National Iwi Chairs Forum, supports i</w:t>
      </w:r>
      <w:r w:rsidRPr="00AA3E0B">
        <w:rPr>
          <w:spacing w:val="-2"/>
          <w:lang w:eastAsia="en-US"/>
        </w:rPr>
        <w:t>ts ongoing delivery and independent evaluation.</w:t>
      </w:r>
    </w:p>
    <w:p w14:paraId="3369F7D6" w14:textId="1FED0971" w:rsidR="00AD3708" w:rsidRPr="005C5E32" w:rsidRDefault="00F524E3">
      <w:pPr>
        <w:pStyle w:val="BodyText"/>
        <w:rPr>
          <w:lang w:eastAsia="en-US"/>
        </w:rPr>
      </w:pPr>
      <w:r w:rsidRPr="005C5E32">
        <w:rPr>
          <w:lang w:eastAsia="en-US"/>
        </w:rPr>
        <w:t>T</w:t>
      </w:r>
      <w:r w:rsidR="0012676C" w:rsidRPr="005C5E32">
        <w:rPr>
          <w:lang w:eastAsia="en-US"/>
        </w:rPr>
        <w:t>he Ministry also administered funding across a wide range of projects and funds, including freshwater and waste minimisation initiatives</w:t>
      </w:r>
      <w:r w:rsidR="00AD3708" w:rsidRPr="005C5E32">
        <w:rPr>
          <w:lang w:eastAsia="en-US"/>
        </w:rPr>
        <w:t xml:space="preserve">, such as: </w:t>
      </w:r>
    </w:p>
    <w:p w14:paraId="24BCCD9E" w14:textId="59BCBDFE" w:rsidR="00AD3708" w:rsidRPr="005C5E32" w:rsidRDefault="00B87655" w:rsidP="00AD3708">
      <w:pPr>
        <w:pStyle w:val="Bullet"/>
        <w:rPr>
          <w:lang w:eastAsia="en-US"/>
        </w:rPr>
      </w:pPr>
      <w:r w:rsidRPr="005C5E32">
        <w:rPr>
          <w:lang w:eastAsia="en-US"/>
        </w:rPr>
        <w:t>e</w:t>
      </w:r>
      <w:r w:rsidR="0012676C" w:rsidRPr="005C5E32">
        <w:rPr>
          <w:lang w:eastAsia="en-US"/>
        </w:rPr>
        <w:t xml:space="preserve">mergency </w:t>
      </w:r>
      <w:r w:rsidR="00DF7665" w:rsidRPr="005C5E32">
        <w:rPr>
          <w:lang w:eastAsia="en-US"/>
        </w:rPr>
        <w:t>w</w:t>
      </w:r>
      <w:r w:rsidR="0012676C" w:rsidRPr="005C5E32">
        <w:rPr>
          <w:lang w:eastAsia="en-US"/>
        </w:rPr>
        <w:t xml:space="preserve">aste </w:t>
      </w:r>
      <w:r w:rsidR="00DF7665" w:rsidRPr="005C5E32">
        <w:rPr>
          <w:lang w:eastAsia="en-US"/>
        </w:rPr>
        <w:t>f</w:t>
      </w:r>
      <w:r w:rsidR="0012676C" w:rsidRPr="005C5E32">
        <w:rPr>
          <w:lang w:eastAsia="en-US"/>
        </w:rPr>
        <w:t>unding</w:t>
      </w:r>
      <w:r w:rsidRPr="005C5E32">
        <w:rPr>
          <w:lang w:eastAsia="en-US"/>
        </w:rPr>
        <w:t>,</w:t>
      </w:r>
      <w:r w:rsidR="003B1669" w:rsidRPr="005C5E32">
        <w:rPr>
          <w:rStyle w:val="FootnoteReference"/>
          <w:lang w:eastAsia="en-US"/>
        </w:rPr>
        <w:footnoteReference w:id="10"/>
      </w:r>
      <w:r w:rsidR="00AD3708" w:rsidRPr="005C5E32">
        <w:rPr>
          <w:lang w:eastAsia="en-US"/>
        </w:rPr>
        <w:t xml:space="preserve"> which</w:t>
      </w:r>
      <w:r w:rsidR="0012676C" w:rsidRPr="005C5E32">
        <w:rPr>
          <w:lang w:eastAsia="en-US"/>
        </w:rPr>
        <w:t xml:space="preserve"> supports local authorities to act quickly in response to emergency events that pose waste-related risks to people</w:t>
      </w:r>
      <w:r w:rsidR="000369F8" w:rsidRPr="005C5E32">
        <w:rPr>
          <w:lang w:eastAsia="en-US"/>
        </w:rPr>
        <w:t>’</w:t>
      </w:r>
      <w:r w:rsidR="0012676C" w:rsidRPr="005C5E32">
        <w:rPr>
          <w:lang w:eastAsia="en-US"/>
        </w:rPr>
        <w:t>s health and the environment</w:t>
      </w:r>
    </w:p>
    <w:p w14:paraId="5B6ECD0E" w14:textId="1D3D4FCE" w:rsidR="0012676C" w:rsidRPr="005C5E32" w:rsidRDefault="00AD3708" w:rsidP="00403439">
      <w:pPr>
        <w:pStyle w:val="Bullet"/>
        <w:rPr>
          <w:lang w:eastAsia="en-US"/>
        </w:rPr>
      </w:pPr>
      <w:r w:rsidRPr="005C5E32">
        <w:rPr>
          <w:lang w:eastAsia="en-US"/>
        </w:rPr>
        <w:t>th</w:t>
      </w:r>
      <w:r w:rsidR="0012676C" w:rsidRPr="005C5E32">
        <w:rPr>
          <w:lang w:eastAsia="en-US"/>
        </w:rPr>
        <w:t>e Contaminated Sites and Vulnerable Landfills Fund</w:t>
      </w:r>
      <w:r w:rsidR="00DE3FCD" w:rsidRPr="005C5E32">
        <w:rPr>
          <w:lang w:eastAsia="en-US"/>
        </w:rPr>
        <w:t xml:space="preserve"> (CSVLF)</w:t>
      </w:r>
      <w:r w:rsidR="00017F9F" w:rsidRPr="005C5E32">
        <w:rPr>
          <w:lang w:eastAsia="en-US"/>
        </w:rPr>
        <w:t>,</w:t>
      </w:r>
      <w:r w:rsidR="006D2EE8" w:rsidRPr="005C5E32">
        <w:rPr>
          <w:vertAlign w:val="superscript"/>
          <w:lang w:eastAsia="en-US"/>
        </w:rPr>
        <w:t>9</w:t>
      </w:r>
      <w:r w:rsidR="001D3B80" w:rsidRPr="005C5E32">
        <w:rPr>
          <w:lang w:eastAsia="en-US"/>
        </w:rPr>
        <w:t xml:space="preserve"> which</w:t>
      </w:r>
      <w:r w:rsidR="0012676C" w:rsidRPr="005C5E32">
        <w:rPr>
          <w:lang w:eastAsia="en-US"/>
        </w:rPr>
        <w:t xml:space="preserve"> supports the investigation and remediation of legacy contaminated sites and vulnerable landfills</w:t>
      </w:r>
    </w:p>
    <w:p w14:paraId="2A7B068F" w14:textId="16FC378C" w:rsidR="00FF2490" w:rsidRPr="005C5E32" w:rsidRDefault="00B87655" w:rsidP="00AE6B5C">
      <w:pPr>
        <w:pStyle w:val="Bullet"/>
      </w:pPr>
      <w:r w:rsidRPr="005C5E32">
        <w:t>t</w:t>
      </w:r>
      <w:r w:rsidR="009559A1" w:rsidRPr="005C5E32">
        <w:t xml:space="preserve">he </w:t>
      </w:r>
      <w:r w:rsidR="00124286" w:rsidRPr="005C5E32">
        <w:t>WMF</w:t>
      </w:r>
      <w:r w:rsidRPr="005C5E32">
        <w:t>, which</w:t>
      </w:r>
      <w:r w:rsidR="009559A1" w:rsidRPr="005C5E32">
        <w:t xml:space="preserve"> met its</w:t>
      </w:r>
      <w:r w:rsidRPr="005C5E32">
        <w:t xml:space="preserve"> 20</w:t>
      </w:r>
      <w:r w:rsidR="009559A1" w:rsidRPr="005C5E32">
        <w:t>25/26 target of awarding $30 million to new projects. The fund focuses on boosting New Zealand</w:t>
      </w:r>
      <w:r w:rsidR="00017F9F" w:rsidRPr="005C5E32">
        <w:t>’</w:t>
      </w:r>
      <w:r w:rsidR="009559A1" w:rsidRPr="005C5E32">
        <w:t>s performance in waste minimisation by reducing waste and increasing the recovery of useful resources. Since 2022 the biggest area of investment for the WMF has been</w:t>
      </w:r>
      <w:r w:rsidR="00017F9F" w:rsidRPr="005C5E32">
        <w:t xml:space="preserve"> in</w:t>
      </w:r>
      <w:r w:rsidR="009559A1" w:rsidRPr="005C5E32">
        <w:t xml:space="preserve"> diver</w:t>
      </w:r>
      <w:r w:rsidR="00017F9F" w:rsidRPr="005C5E32">
        <w:t>ting</w:t>
      </w:r>
      <w:r w:rsidR="009559A1" w:rsidRPr="005C5E32">
        <w:t xml:space="preserve"> organic waste away from landfills to support our second </w:t>
      </w:r>
      <w:r w:rsidR="00017F9F" w:rsidRPr="005C5E32">
        <w:t>e</w:t>
      </w:r>
      <w:r w:rsidR="009559A1" w:rsidRPr="005C5E32">
        <w:t xml:space="preserve">missions </w:t>
      </w:r>
      <w:r w:rsidR="00017F9F" w:rsidRPr="005C5E32">
        <w:t>r</w:t>
      </w:r>
      <w:r w:rsidR="009559A1" w:rsidRPr="005C5E32">
        <w:t xml:space="preserve">eduction </w:t>
      </w:r>
      <w:r w:rsidR="00017F9F" w:rsidRPr="005C5E32">
        <w:t>p</w:t>
      </w:r>
      <w:r w:rsidR="009559A1" w:rsidRPr="005C5E32">
        <w:t>lan</w:t>
      </w:r>
      <w:r w:rsidR="00017F9F" w:rsidRPr="005C5E32">
        <w:t>. E</w:t>
      </w:r>
      <w:r w:rsidR="009559A1" w:rsidRPr="005C5E32">
        <w:t xml:space="preserve">missions reduction from </w:t>
      </w:r>
      <w:r w:rsidR="00017F9F" w:rsidRPr="005C5E32">
        <w:t>its</w:t>
      </w:r>
      <w:r w:rsidR="007607BE" w:rsidRPr="005C5E32">
        <w:t xml:space="preserve"> </w:t>
      </w:r>
      <w:r w:rsidR="009559A1" w:rsidRPr="005C5E32">
        <w:t xml:space="preserve">projects is </w:t>
      </w:r>
      <w:r w:rsidR="00017F9F" w:rsidRPr="005C5E32">
        <w:t xml:space="preserve">forecast to be </w:t>
      </w:r>
      <w:r w:rsidR="009559A1" w:rsidRPr="005C5E32">
        <w:t>167,855 tonnes</w:t>
      </w:r>
      <w:r w:rsidR="00017F9F" w:rsidRPr="005C5E32">
        <w:t xml:space="preserve"> of carbon dioxide equivalent (t</w:t>
      </w:r>
      <w:r w:rsidR="009559A1" w:rsidRPr="005C5E32">
        <w:t xml:space="preserve"> CO</w:t>
      </w:r>
      <w:r w:rsidR="009559A1" w:rsidRPr="005C5E32">
        <w:rPr>
          <w:vertAlign w:val="subscript"/>
        </w:rPr>
        <w:t>2</w:t>
      </w:r>
      <w:r w:rsidR="009559A1" w:rsidRPr="005C5E32">
        <w:t>e</w:t>
      </w:r>
      <w:r w:rsidR="00017F9F" w:rsidRPr="005C5E32">
        <w:t>)</w:t>
      </w:r>
      <w:r w:rsidR="009559A1" w:rsidRPr="005C5E32">
        <w:t xml:space="preserve"> per year.</w:t>
      </w:r>
    </w:p>
    <w:p w14:paraId="44BD7B36" w14:textId="77777777" w:rsidR="0012676C" w:rsidRPr="005C5E32" w:rsidRDefault="0012676C" w:rsidP="00AE6B5C">
      <w:pPr>
        <w:pStyle w:val="BodyText"/>
      </w:pPr>
    </w:p>
    <w:p w14:paraId="2E2BA4A7" w14:textId="77777777" w:rsidR="0012676C" w:rsidRPr="005C5E32" w:rsidRDefault="0012676C" w:rsidP="006A2028">
      <w:pPr>
        <w:pStyle w:val="Heading3"/>
        <w:spacing w:after="240"/>
      </w:pPr>
      <w:r w:rsidRPr="005C5E32">
        <w:lastRenderedPageBreak/>
        <w:t>How we measure progress</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CellMar>
          <w:left w:w="85" w:type="dxa"/>
          <w:right w:w="85" w:type="dxa"/>
        </w:tblCellMar>
        <w:tblLook w:val="04A0" w:firstRow="1" w:lastRow="0" w:firstColumn="1" w:lastColumn="0" w:noHBand="0" w:noVBand="1"/>
      </w:tblPr>
      <w:tblGrid>
        <w:gridCol w:w="3544"/>
        <w:gridCol w:w="4961"/>
      </w:tblGrid>
      <w:tr w:rsidR="0012676C" w:rsidRPr="005C5E32" w14:paraId="558E3C54" w14:textId="77777777" w:rsidTr="006A7FC5">
        <w:trPr>
          <w:tblHeader/>
        </w:trPr>
        <w:tc>
          <w:tcPr>
            <w:tcW w:w="3544" w:type="dxa"/>
            <w:shd w:val="clear" w:color="auto" w:fill="1B556B" w:themeFill="text2"/>
          </w:tcPr>
          <w:p w14:paraId="5B586898" w14:textId="77777777" w:rsidR="0012676C" w:rsidRPr="005C5E32" w:rsidRDefault="0012676C" w:rsidP="006A2028">
            <w:pPr>
              <w:pStyle w:val="TableTextbold"/>
              <w:keepNext/>
              <w:spacing w:before="40" w:after="40"/>
              <w:rPr>
                <w:color w:val="FFFFFF" w:themeColor="background1"/>
                <w:szCs w:val="18"/>
              </w:rPr>
            </w:pPr>
            <w:r w:rsidRPr="005C5E32">
              <w:rPr>
                <w:color w:val="FFFFFF" w:themeColor="background1"/>
                <w:szCs w:val="18"/>
              </w:rPr>
              <w:t>How we make a difference</w:t>
            </w:r>
          </w:p>
        </w:tc>
        <w:tc>
          <w:tcPr>
            <w:tcW w:w="4961" w:type="dxa"/>
            <w:shd w:val="clear" w:color="auto" w:fill="1B556B" w:themeFill="text2"/>
          </w:tcPr>
          <w:p w14:paraId="69B16576" w14:textId="77777777" w:rsidR="0012676C" w:rsidRPr="005C5E32" w:rsidRDefault="0012676C" w:rsidP="006A2028">
            <w:pPr>
              <w:pStyle w:val="TableTextbold"/>
              <w:keepNext/>
              <w:spacing w:before="40" w:after="40"/>
              <w:rPr>
                <w:color w:val="FFFFFF" w:themeColor="background1"/>
                <w:szCs w:val="18"/>
              </w:rPr>
            </w:pPr>
            <w:r w:rsidRPr="005C5E32">
              <w:rPr>
                <w:color w:val="FFFFFF" w:themeColor="background1"/>
                <w:szCs w:val="18"/>
              </w:rPr>
              <w:t>2025/26 performance and achievements</w:t>
            </w:r>
          </w:p>
        </w:tc>
      </w:tr>
      <w:tr w:rsidR="0012676C" w:rsidRPr="005C5E32" w14:paraId="5D67EEB1" w14:textId="77777777" w:rsidTr="006A7FC5">
        <w:tc>
          <w:tcPr>
            <w:tcW w:w="3544" w:type="dxa"/>
          </w:tcPr>
          <w:p w14:paraId="4CAD41E6" w14:textId="25AD6114" w:rsidR="0012676C" w:rsidRPr="005C5E32" w:rsidRDefault="0012676C" w:rsidP="006A2028">
            <w:pPr>
              <w:pStyle w:val="TableText"/>
              <w:keepNext/>
              <w:spacing w:before="40" w:after="40"/>
              <w:rPr>
                <w:rFonts w:cs="Calibri"/>
                <w:szCs w:val="18"/>
              </w:rPr>
            </w:pPr>
            <w:r w:rsidRPr="005C5E32">
              <w:rPr>
                <w:rFonts w:cs="Calibri"/>
                <w:szCs w:val="18"/>
              </w:rPr>
              <w:t>Targeted value-for-money evaluations of government funds show increasing positive return on investment</w:t>
            </w:r>
          </w:p>
        </w:tc>
        <w:tc>
          <w:tcPr>
            <w:tcW w:w="4961" w:type="dxa"/>
          </w:tcPr>
          <w:p w14:paraId="2DC5F729" w14:textId="5CA34BA8" w:rsidR="0012676C" w:rsidRPr="005C5E32" w:rsidRDefault="00483776">
            <w:pPr>
              <w:pStyle w:val="TableText"/>
              <w:rPr>
                <w:rFonts w:cs="Calibri"/>
                <w:szCs w:val="18"/>
              </w:rPr>
            </w:pPr>
            <w:r w:rsidRPr="005C5E32">
              <w:rPr>
                <w:rFonts w:cs="Calibri"/>
                <w:szCs w:val="18"/>
              </w:rPr>
              <w:t>We prioritised e</w:t>
            </w:r>
            <w:r w:rsidR="0012676C" w:rsidRPr="005C5E32">
              <w:rPr>
                <w:rFonts w:cs="Calibri"/>
                <w:szCs w:val="18"/>
              </w:rPr>
              <w:t xml:space="preserve">valuation activity across the investment portfolio using a consistent set of criteria aligned to </w:t>
            </w:r>
            <w:r w:rsidR="00017F9F" w:rsidRPr="005C5E32">
              <w:rPr>
                <w:rFonts w:cs="Calibri"/>
                <w:szCs w:val="18"/>
              </w:rPr>
              <w:t xml:space="preserve">Organisation of Economic Co-operation and Development </w:t>
            </w:r>
            <w:r w:rsidR="0012676C" w:rsidRPr="005C5E32">
              <w:rPr>
                <w:rFonts w:cs="Calibri"/>
                <w:szCs w:val="18"/>
              </w:rPr>
              <w:t>best practice. These criteria consider factors such as the scale of public investment, strategic importance, programme maturity, and where evaluation will best inform real decisions.</w:t>
            </w:r>
          </w:p>
          <w:p w14:paraId="1EA7BB3C" w14:textId="4678FDD3" w:rsidR="0012676C" w:rsidRPr="005C5E32" w:rsidRDefault="00483776">
            <w:pPr>
              <w:pStyle w:val="TableText"/>
              <w:rPr>
                <w:rFonts w:cs="Calibri"/>
                <w:szCs w:val="18"/>
              </w:rPr>
            </w:pPr>
            <w:r w:rsidRPr="005C5E32">
              <w:rPr>
                <w:rFonts w:cs="Calibri"/>
                <w:szCs w:val="18"/>
              </w:rPr>
              <w:t>Our e</w:t>
            </w:r>
            <w:r w:rsidR="0012676C" w:rsidRPr="005C5E32">
              <w:rPr>
                <w:rFonts w:cs="Calibri"/>
                <w:szCs w:val="18"/>
              </w:rPr>
              <w:t xml:space="preserve">valuation effort </w:t>
            </w:r>
            <w:r w:rsidR="00EF5AD2" w:rsidRPr="005C5E32">
              <w:rPr>
                <w:rFonts w:cs="Calibri"/>
                <w:szCs w:val="18"/>
              </w:rPr>
              <w:t xml:space="preserve">was </w:t>
            </w:r>
            <w:r w:rsidR="0012676C" w:rsidRPr="005C5E32">
              <w:rPr>
                <w:rFonts w:cs="Calibri"/>
                <w:szCs w:val="18"/>
              </w:rPr>
              <w:t>proportionate and targeted</w:t>
            </w:r>
            <w:r w:rsidR="00EF5AD2" w:rsidRPr="005C5E32">
              <w:rPr>
                <w:rFonts w:cs="Calibri"/>
                <w:szCs w:val="18"/>
              </w:rPr>
              <w:t>.</w:t>
            </w:r>
            <w:r w:rsidR="004D67C5" w:rsidRPr="005C5E32">
              <w:rPr>
                <w:rFonts w:cs="Calibri"/>
                <w:szCs w:val="18"/>
              </w:rPr>
              <w:t xml:space="preserve"> </w:t>
            </w:r>
            <w:r w:rsidR="00EF5AD2" w:rsidRPr="005C5E32">
              <w:rPr>
                <w:rFonts w:cs="Calibri"/>
                <w:szCs w:val="18"/>
              </w:rPr>
              <w:t>I</w:t>
            </w:r>
            <w:r w:rsidR="004D67C5" w:rsidRPr="005C5E32">
              <w:rPr>
                <w:rFonts w:cs="Calibri"/>
                <w:szCs w:val="18"/>
              </w:rPr>
              <w:t xml:space="preserve">t </w:t>
            </w:r>
            <w:r w:rsidR="0012676C" w:rsidRPr="005C5E32">
              <w:rPr>
                <w:rFonts w:cs="Calibri"/>
                <w:szCs w:val="18"/>
              </w:rPr>
              <w:t>focused on the funds</w:t>
            </w:r>
            <w:r w:rsidR="00EF5AD2" w:rsidRPr="005C5E32">
              <w:rPr>
                <w:rFonts w:cs="Calibri"/>
                <w:szCs w:val="18"/>
              </w:rPr>
              <w:t>, considering</w:t>
            </w:r>
            <w:r w:rsidR="0012676C" w:rsidRPr="005C5E32">
              <w:rPr>
                <w:rFonts w:cs="Calibri"/>
                <w:szCs w:val="18"/>
              </w:rPr>
              <w:t xml:space="preserve"> where </w:t>
            </w:r>
            <w:r w:rsidR="00EF5AD2" w:rsidRPr="005C5E32">
              <w:rPr>
                <w:rFonts w:cs="Calibri"/>
                <w:szCs w:val="18"/>
              </w:rPr>
              <w:t xml:space="preserve">they </w:t>
            </w:r>
            <w:r w:rsidR="0012676C" w:rsidRPr="005C5E32">
              <w:rPr>
                <w:rFonts w:cs="Calibri"/>
                <w:szCs w:val="18"/>
              </w:rPr>
              <w:t>will add the most value, rather than appl</w:t>
            </w:r>
            <w:r w:rsidR="00EF5AD2" w:rsidRPr="005C5E32">
              <w:rPr>
                <w:rFonts w:cs="Calibri"/>
                <w:szCs w:val="18"/>
              </w:rPr>
              <w:t>ying them</w:t>
            </w:r>
            <w:r w:rsidR="0012676C" w:rsidRPr="005C5E32">
              <w:rPr>
                <w:rFonts w:cs="Calibri"/>
                <w:szCs w:val="18"/>
              </w:rPr>
              <w:t xml:space="preserve"> uniformly each year.</w:t>
            </w:r>
          </w:p>
          <w:p w14:paraId="23C6B062" w14:textId="45937D4C" w:rsidR="0012676C" w:rsidRPr="005C5E32" w:rsidRDefault="0012676C">
            <w:pPr>
              <w:pStyle w:val="TableText"/>
              <w:rPr>
                <w:rFonts w:cs="Calibri"/>
                <w:szCs w:val="18"/>
              </w:rPr>
            </w:pPr>
            <w:r w:rsidRPr="005C5E32">
              <w:rPr>
                <w:rFonts w:cs="Calibri"/>
                <w:szCs w:val="18"/>
              </w:rPr>
              <w:t>Value</w:t>
            </w:r>
            <w:r w:rsidR="004D67C5" w:rsidRPr="005C5E32">
              <w:rPr>
                <w:rFonts w:cs="Calibri"/>
                <w:szCs w:val="18"/>
              </w:rPr>
              <w:t>-</w:t>
            </w:r>
            <w:r w:rsidRPr="005C5E32">
              <w:rPr>
                <w:rFonts w:cs="Calibri"/>
                <w:szCs w:val="18"/>
              </w:rPr>
              <w:t>for</w:t>
            </w:r>
            <w:r w:rsidR="004D67C5" w:rsidRPr="005C5E32">
              <w:rPr>
                <w:rFonts w:cs="Calibri"/>
                <w:szCs w:val="18"/>
              </w:rPr>
              <w:t>-</w:t>
            </w:r>
            <w:r w:rsidRPr="005C5E32">
              <w:rPr>
                <w:rFonts w:cs="Calibri"/>
                <w:szCs w:val="18"/>
              </w:rPr>
              <w:t>money assessment is one component of evaluation, and whether it is included will depend on the fund, the available evidence and what the evaluation is designed to support. As a result, the nature, scope and timing of evaluation activities will vary across funds and from year to year.</w:t>
            </w:r>
          </w:p>
          <w:p w14:paraId="1869734D" w14:textId="457B49D4" w:rsidR="0012676C" w:rsidRPr="005C5E32" w:rsidRDefault="0012676C">
            <w:pPr>
              <w:pStyle w:val="TableText"/>
              <w:rPr>
                <w:rFonts w:cs="Calibri"/>
                <w:szCs w:val="18"/>
              </w:rPr>
            </w:pPr>
            <w:r w:rsidRPr="005C5E32">
              <w:rPr>
                <w:rFonts w:cs="Calibri"/>
                <w:szCs w:val="18"/>
              </w:rPr>
              <w:t>We completed a number of evaluations in 2025</w:t>
            </w:r>
            <w:r w:rsidR="00EF5AD2" w:rsidRPr="005C5E32">
              <w:rPr>
                <w:rFonts w:cs="Calibri"/>
                <w:szCs w:val="18"/>
              </w:rPr>
              <w:t>.</w:t>
            </w:r>
            <w:r w:rsidRPr="005C5E32">
              <w:rPr>
                <w:rFonts w:cs="Calibri"/>
                <w:szCs w:val="18"/>
              </w:rPr>
              <w:t xml:space="preserve"> </w:t>
            </w:r>
            <w:r w:rsidR="00EF5AD2" w:rsidRPr="005C5E32">
              <w:rPr>
                <w:rFonts w:cs="Calibri"/>
                <w:szCs w:val="18"/>
              </w:rPr>
              <w:t>T</w:t>
            </w:r>
            <w:r w:rsidRPr="005C5E32">
              <w:rPr>
                <w:rFonts w:cs="Calibri"/>
                <w:szCs w:val="18"/>
              </w:rPr>
              <w:t>wo published in October 2025</w:t>
            </w:r>
            <w:r w:rsidR="00EF5AD2" w:rsidRPr="005C5E32">
              <w:rPr>
                <w:rFonts w:cs="Calibri"/>
                <w:szCs w:val="18"/>
              </w:rPr>
              <w:t xml:space="preserve"> were</w:t>
            </w:r>
            <w:r w:rsidRPr="005C5E32">
              <w:rPr>
                <w:rFonts w:cs="Calibri"/>
                <w:szCs w:val="18"/>
              </w:rPr>
              <w:t>:</w:t>
            </w:r>
          </w:p>
          <w:p w14:paraId="20790054" w14:textId="19891389" w:rsidR="0012676C" w:rsidRPr="005C5E32" w:rsidRDefault="0012676C" w:rsidP="00AE6B5C">
            <w:pPr>
              <w:pStyle w:val="TableBullet"/>
              <w:rPr>
                <w:rFonts w:cs="Calibri"/>
                <w:szCs w:val="18"/>
              </w:rPr>
            </w:pPr>
            <w:hyperlink r:id="rId40" w:history="1">
              <w:r w:rsidRPr="005C5E32">
                <w:rPr>
                  <w:rStyle w:val="Hyperlink"/>
                  <w:rFonts w:cs="Calibri"/>
                  <w:i/>
                  <w:iCs/>
                  <w:szCs w:val="18"/>
                </w:rPr>
                <w:t xml:space="preserve">Jobs for Nature: </w:t>
              </w:r>
              <w:r w:rsidR="00F47849" w:rsidRPr="005C5E32">
                <w:rPr>
                  <w:rStyle w:val="Hyperlink"/>
                  <w:rFonts w:cs="Calibri"/>
                  <w:i/>
                  <w:iCs/>
                  <w:szCs w:val="18"/>
                </w:rPr>
                <w:t>2025 Q4 impact assessment</w:t>
              </w:r>
            </w:hyperlink>
            <w:r w:rsidRPr="005C5E32">
              <w:rPr>
                <w:rFonts w:cs="Calibri"/>
                <w:szCs w:val="18"/>
              </w:rPr>
              <w:t xml:space="preserve"> – prepared by MartinJenkins </w:t>
            </w:r>
          </w:p>
          <w:p w14:paraId="0CCE322F" w14:textId="644CD0BA" w:rsidR="0012676C" w:rsidRPr="005C5E32" w:rsidRDefault="0012676C" w:rsidP="00AE6B5C">
            <w:pPr>
              <w:pStyle w:val="TableBullet"/>
              <w:rPr>
                <w:rFonts w:cs="Calibri"/>
                <w:szCs w:val="18"/>
              </w:rPr>
            </w:pPr>
            <w:hyperlink r:id="rId41" w:history="1">
              <w:r w:rsidRPr="005C5E32">
                <w:rPr>
                  <w:rStyle w:val="Hyperlink"/>
                  <w:rFonts w:cs="Calibri"/>
                  <w:i/>
                  <w:iCs/>
                  <w:szCs w:val="18"/>
                </w:rPr>
                <w:t xml:space="preserve">Investing in Minimising Waste: </w:t>
              </w:r>
              <w:r w:rsidR="00E43107" w:rsidRPr="005C5E32">
                <w:rPr>
                  <w:rStyle w:val="Hyperlink"/>
                  <w:rFonts w:cs="Calibri"/>
                  <w:i/>
                  <w:iCs/>
                  <w:szCs w:val="18"/>
                </w:rPr>
                <w:t>A</w:t>
              </w:r>
              <w:r w:rsidRPr="005C5E32">
                <w:rPr>
                  <w:rStyle w:val="Hyperlink"/>
                  <w:rFonts w:cs="Calibri"/>
                  <w:i/>
                  <w:iCs/>
                  <w:szCs w:val="18"/>
                </w:rPr>
                <w:t>n impact assessment</w:t>
              </w:r>
            </w:hyperlink>
            <w:r w:rsidRPr="005C5E32">
              <w:rPr>
                <w:rFonts w:cs="Calibri"/>
                <w:szCs w:val="18"/>
              </w:rPr>
              <w:t xml:space="preserve"> – prepared by MartinJenkins</w:t>
            </w:r>
            <w:r w:rsidR="00EF5AD2" w:rsidRPr="005C5E32">
              <w:rPr>
                <w:rFonts w:cs="Calibri"/>
                <w:szCs w:val="18"/>
              </w:rPr>
              <w:t>.</w:t>
            </w:r>
          </w:p>
        </w:tc>
      </w:tr>
    </w:tbl>
    <w:p w14:paraId="77DB279D" w14:textId="77777777" w:rsidR="0012676C" w:rsidRPr="005C5E32" w:rsidRDefault="0012676C" w:rsidP="00AE6B5C">
      <w:pPr>
        <w:pStyle w:val="BodyText"/>
      </w:pPr>
      <w:bookmarkStart w:id="77" w:name="_Notes_to_strategic"/>
      <w:bookmarkStart w:id="78" w:name="_Toc173852903"/>
      <w:bookmarkEnd w:id="39"/>
      <w:bookmarkEnd w:id="40"/>
      <w:bookmarkEnd w:id="41"/>
      <w:bookmarkEnd w:id="42"/>
      <w:bookmarkEnd w:id="43"/>
      <w:bookmarkEnd w:id="44"/>
      <w:bookmarkEnd w:id="77"/>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CellMar>
          <w:left w:w="85" w:type="dxa"/>
          <w:right w:w="85" w:type="dxa"/>
        </w:tblCellMar>
        <w:tblLook w:val="04A0" w:firstRow="1" w:lastRow="0" w:firstColumn="1" w:lastColumn="0" w:noHBand="0" w:noVBand="1"/>
      </w:tblPr>
      <w:tblGrid>
        <w:gridCol w:w="8505"/>
      </w:tblGrid>
      <w:tr w:rsidR="0012676C" w:rsidRPr="005C5E32" w14:paraId="6061C103" w14:textId="77777777">
        <w:trPr>
          <w:tblHeader/>
        </w:trPr>
        <w:tc>
          <w:tcPr>
            <w:tcW w:w="8505" w:type="dxa"/>
            <w:shd w:val="clear" w:color="auto" w:fill="1B556B" w:themeFill="text2"/>
          </w:tcPr>
          <w:p w14:paraId="2D8B9F0F" w14:textId="77777777" w:rsidR="0012676C" w:rsidRPr="005C5E32" w:rsidRDefault="0012676C">
            <w:pPr>
              <w:pStyle w:val="TableTextbold"/>
              <w:keepNext/>
              <w:spacing w:before="40" w:after="40"/>
              <w:rPr>
                <w:color w:val="FFFFFF" w:themeColor="background1"/>
                <w:szCs w:val="18"/>
              </w:rPr>
            </w:pPr>
            <w:r w:rsidRPr="005C5E32">
              <w:rPr>
                <w:color w:val="FFFFFF" w:themeColor="background1"/>
                <w:szCs w:val="18"/>
              </w:rPr>
              <w:t>How we make a difference</w:t>
            </w:r>
          </w:p>
        </w:tc>
      </w:tr>
      <w:tr w:rsidR="0012676C" w:rsidRPr="005C5E32" w14:paraId="436494C6" w14:textId="77777777">
        <w:tc>
          <w:tcPr>
            <w:tcW w:w="8505" w:type="dxa"/>
            <w:tcBorders>
              <w:top w:val="nil"/>
              <w:bottom w:val="single" w:sz="4" w:space="0" w:color="auto"/>
            </w:tcBorders>
          </w:tcPr>
          <w:p w14:paraId="213683A2" w14:textId="19F8ADC3" w:rsidR="0012676C" w:rsidRPr="005C5E32" w:rsidRDefault="00EC4E20" w:rsidP="00763B7E">
            <w:pPr>
              <w:pStyle w:val="TableText"/>
              <w:spacing w:before="40" w:after="40"/>
              <w:rPr>
                <w:szCs w:val="18"/>
              </w:rPr>
            </w:pPr>
            <w:r w:rsidRPr="005C5E32">
              <w:rPr>
                <w:szCs w:val="18"/>
              </w:rPr>
              <w:t xml:space="preserve">The following case studies highlight the difference our investments, partnerships and relationships </w:t>
            </w:r>
            <w:r w:rsidR="003B59DF" w:rsidRPr="005C5E32">
              <w:rPr>
                <w:szCs w:val="18"/>
              </w:rPr>
              <w:t xml:space="preserve">have made </w:t>
            </w:r>
            <w:r w:rsidRPr="005C5E32">
              <w:rPr>
                <w:szCs w:val="18"/>
              </w:rPr>
              <w:t>for people, communities and the environment. They demonstrate how working collaboratively with others enables impactful solutions and delivers meaningful outcomes for New Zealand.</w:t>
            </w:r>
          </w:p>
        </w:tc>
      </w:tr>
      <w:tr w:rsidR="0012676C" w:rsidRPr="005C5E32" w14:paraId="0518008F" w14:textId="77777777">
        <w:tc>
          <w:tcPr>
            <w:tcW w:w="8505" w:type="dxa"/>
            <w:tcBorders>
              <w:top w:val="single" w:sz="4" w:space="0" w:color="auto"/>
            </w:tcBorders>
            <w:shd w:val="clear" w:color="auto" w:fill="F2F2F2" w:themeFill="background1" w:themeFillShade="F2"/>
          </w:tcPr>
          <w:p w14:paraId="04AC4F3E" w14:textId="1F58E5BD" w:rsidR="0012676C" w:rsidRPr="005C5E32" w:rsidRDefault="0012676C" w:rsidP="00763B7E">
            <w:pPr>
              <w:pStyle w:val="TableSubheading"/>
              <w:keepNext w:val="0"/>
            </w:pPr>
            <w:r w:rsidRPr="005C5E32">
              <w:t>Remediating a contaminated coastal site: Te Raekaihau Point, Wellington</w:t>
            </w:r>
          </w:p>
          <w:p w14:paraId="3D38DE83" w14:textId="77777777" w:rsidR="000F373B" w:rsidRPr="005C5E32" w:rsidRDefault="0012676C">
            <w:pPr>
              <w:pStyle w:val="TableText"/>
              <w:keepNext/>
              <w:spacing w:before="40" w:after="40" w:line="230" w:lineRule="atLeast"/>
              <w:rPr>
                <w:szCs w:val="18"/>
              </w:rPr>
            </w:pPr>
            <w:r w:rsidRPr="005C5E32">
              <w:rPr>
                <w:b/>
                <w:bCs/>
                <w:szCs w:val="18"/>
              </w:rPr>
              <w:t>Objective of investment</w:t>
            </w:r>
          </w:p>
          <w:p w14:paraId="7C4BBA7A" w14:textId="1D8992E9" w:rsidR="00C16CF9" w:rsidRPr="005C5E32" w:rsidRDefault="00394873">
            <w:pPr>
              <w:pStyle w:val="TableText"/>
              <w:keepNext/>
              <w:spacing w:before="40" w:after="40" w:line="230" w:lineRule="atLeast"/>
              <w:rPr>
                <w:szCs w:val="18"/>
              </w:rPr>
            </w:pPr>
            <w:r w:rsidRPr="005C5E32">
              <w:rPr>
                <w:szCs w:val="18"/>
              </w:rPr>
              <w:t>To p</w:t>
            </w:r>
            <w:r w:rsidR="0012676C" w:rsidRPr="005C5E32">
              <w:rPr>
                <w:szCs w:val="18"/>
              </w:rPr>
              <w:t>rotect people and the environment at Te Raekaihau Point by</w:t>
            </w:r>
            <w:r w:rsidR="00C16CF9" w:rsidRPr="005C5E32">
              <w:rPr>
                <w:szCs w:val="18"/>
              </w:rPr>
              <w:t>:</w:t>
            </w:r>
          </w:p>
          <w:p w14:paraId="3EEAD2ED" w14:textId="0710FFDB" w:rsidR="00C16CF9" w:rsidRPr="005C5E32" w:rsidRDefault="0012676C" w:rsidP="00C16CF9">
            <w:pPr>
              <w:pStyle w:val="TableBullet"/>
            </w:pPr>
            <w:r w:rsidRPr="005C5E32">
              <w:t>investigating historic</w:t>
            </w:r>
            <w:r w:rsidR="00EF5AD2" w:rsidRPr="005C5E32">
              <w:t>al</w:t>
            </w:r>
            <w:r w:rsidRPr="005C5E32">
              <w:t xml:space="preserve"> contaminated fill at this popular coastal recreation area </w:t>
            </w:r>
          </w:p>
          <w:p w14:paraId="6168B2CC" w14:textId="6C9CB149" w:rsidR="0012676C" w:rsidRPr="005C5E32" w:rsidRDefault="0012676C" w:rsidP="00B44D08">
            <w:pPr>
              <w:pStyle w:val="TableBullet"/>
            </w:pPr>
            <w:r w:rsidRPr="005C5E32">
              <w:t>implementing a long-term solution that reduces the risk of contaminants spreading through erosion, storm surges and coastal inundation.</w:t>
            </w:r>
          </w:p>
          <w:p w14:paraId="16BBB709" w14:textId="77777777" w:rsidR="00394873" w:rsidRPr="005C5E32" w:rsidRDefault="0012676C">
            <w:pPr>
              <w:pStyle w:val="TableText"/>
              <w:keepNext/>
              <w:spacing w:before="40" w:after="40" w:line="230" w:lineRule="atLeast"/>
              <w:rPr>
                <w:szCs w:val="18"/>
              </w:rPr>
            </w:pPr>
            <w:r w:rsidRPr="005C5E32">
              <w:rPr>
                <w:b/>
                <w:bCs/>
                <w:szCs w:val="18"/>
              </w:rPr>
              <w:t>What we invested in</w:t>
            </w:r>
          </w:p>
          <w:p w14:paraId="08A01B92" w14:textId="00D716AA" w:rsidR="0012676C" w:rsidRPr="005C5E32" w:rsidRDefault="0012676C">
            <w:pPr>
              <w:pStyle w:val="TableText"/>
              <w:keepNext/>
              <w:spacing w:before="40" w:after="40" w:line="230" w:lineRule="atLeast"/>
              <w:rPr>
                <w:szCs w:val="18"/>
              </w:rPr>
            </w:pPr>
            <w:r w:rsidRPr="005C5E32">
              <w:rPr>
                <w:szCs w:val="18"/>
              </w:rPr>
              <w:t xml:space="preserve">The </w:t>
            </w:r>
            <w:r w:rsidR="00DE209D" w:rsidRPr="005C5E32">
              <w:rPr>
                <w:szCs w:val="18"/>
              </w:rPr>
              <w:t>CSVLF</w:t>
            </w:r>
            <w:r w:rsidRPr="005C5E32">
              <w:rPr>
                <w:szCs w:val="18"/>
              </w:rPr>
              <w:t xml:space="preserve"> supported a detailed site investigation, remedial planning and full remediation of the site</w:t>
            </w:r>
            <w:r w:rsidR="00EF5AD2" w:rsidRPr="005C5E32">
              <w:rPr>
                <w:szCs w:val="18"/>
              </w:rPr>
              <w:t>.</w:t>
            </w:r>
            <w:r w:rsidRPr="005C5E32">
              <w:rPr>
                <w:szCs w:val="18"/>
              </w:rPr>
              <w:t xml:space="preserve"> </w:t>
            </w:r>
            <w:r w:rsidR="00CA0AD1" w:rsidRPr="005C5E32">
              <w:rPr>
                <w:szCs w:val="18"/>
              </w:rPr>
              <w:t>Greater Wellington Regional Council received funding from the Ministry for a detailed site investigation to identify the extent of the contamination and suggest remedial options, and Wellington City Council then took responsibility for the remediation work.</w:t>
            </w:r>
          </w:p>
          <w:p w14:paraId="7094D016" w14:textId="77777777" w:rsidR="00394873" w:rsidRPr="005C5E32" w:rsidRDefault="0012676C">
            <w:pPr>
              <w:pStyle w:val="TableText"/>
              <w:keepNext/>
              <w:spacing w:before="40" w:after="40"/>
              <w:rPr>
                <w:rFonts w:cstheme="minorBidi"/>
                <w:sz w:val="22"/>
                <w:szCs w:val="22"/>
              </w:rPr>
            </w:pPr>
            <w:r w:rsidRPr="005C5E32">
              <w:rPr>
                <w:b/>
                <w:bCs/>
                <w:szCs w:val="18"/>
              </w:rPr>
              <w:t>Impact of investment</w:t>
            </w:r>
          </w:p>
          <w:p w14:paraId="39A83578" w14:textId="372635FE" w:rsidR="0012676C" w:rsidRPr="005C5E32" w:rsidRDefault="00DE209D">
            <w:pPr>
              <w:pStyle w:val="TableText"/>
              <w:keepNext/>
              <w:spacing w:before="40" w:after="40"/>
              <w:rPr>
                <w:szCs w:val="18"/>
              </w:rPr>
            </w:pPr>
            <w:r w:rsidRPr="005C5E32">
              <w:rPr>
                <w:szCs w:val="18"/>
              </w:rPr>
              <w:t>The</w:t>
            </w:r>
            <w:r w:rsidRPr="005C5E32">
              <w:rPr>
                <w:b/>
                <w:bCs/>
                <w:szCs w:val="18"/>
              </w:rPr>
              <w:t xml:space="preserve"> </w:t>
            </w:r>
            <w:r w:rsidR="0012676C" w:rsidRPr="005C5E32">
              <w:rPr>
                <w:szCs w:val="18"/>
              </w:rPr>
              <w:t xml:space="preserve">Wellington City Council moved from temporary management to full removal of contaminated material, reducing risks to human health, the coastline and the nearby marine environment, including Taputeranga Marine Reserve. </w:t>
            </w:r>
            <w:r w:rsidR="009A1708" w:rsidRPr="005C5E32">
              <w:rPr>
                <w:szCs w:val="18"/>
              </w:rPr>
              <w:t>C</w:t>
            </w:r>
            <w:r w:rsidR="0012676C" w:rsidRPr="005C5E32">
              <w:rPr>
                <w:szCs w:val="18"/>
              </w:rPr>
              <w:t xml:space="preserve">ombining co-funding with early action helped </w:t>
            </w:r>
            <w:r w:rsidR="009A1708" w:rsidRPr="005C5E32">
              <w:rPr>
                <w:szCs w:val="18"/>
              </w:rPr>
              <w:t xml:space="preserve">to </w:t>
            </w:r>
            <w:r w:rsidR="0012676C" w:rsidRPr="005C5E32">
              <w:rPr>
                <w:szCs w:val="18"/>
              </w:rPr>
              <w:t xml:space="preserve">avoid higher ongoing management costs, </w:t>
            </w:r>
            <w:r w:rsidR="00202C0C" w:rsidRPr="005C5E32">
              <w:rPr>
                <w:szCs w:val="18"/>
              </w:rPr>
              <w:t xml:space="preserve">as well as </w:t>
            </w:r>
            <w:r w:rsidR="0012676C" w:rsidRPr="005C5E32">
              <w:rPr>
                <w:szCs w:val="18"/>
              </w:rPr>
              <w:t>protect</w:t>
            </w:r>
            <w:r w:rsidR="00202C0C" w:rsidRPr="005C5E32">
              <w:rPr>
                <w:szCs w:val="18"/>
              </w:rPr>
              <w:t>ing</w:t>
            </w:r>
            <w:r w:rsidR="0012676C" w:rsidRPr="005C5E32">
              <w:rPr>
                <w:szCs w:val="18"/>
              </w:rPr>
              <w:t xml:space="preserve"> public access and important environmental and cultural values</w:t>
            </w:r>
            <w:r w:rsidR="00E02CD5" w:rsidRPr="005C5E32">
              <w:rPr>
                <w:szCs w:val="18"/>
              </w:rPr>
              <w:t xml:space="preserve"> –</w:t>
            </w:r>
            <w:r w:rsidR="0012676C" w:rsidRPr="005C5E32">
              <w:rPr>
                <w:szCs w:val="18"/>
              </w:rPr>
              <w:t xml:space="preserve"> including the marine reserve and the site</w:t>
            </w:r>
            <w:r w:rsidR="000369F8" w:rsidRPr="005C5E32">
              <w:rPr>
                <w:szCs w:val="18"/>
              </w:rPr>
              <w:t>’</w:t>
            </w:r>
            <w:r w:rsidR="0012676C" w:rsidRPr="005C5E32">
              <w:rPr>
                <w:szCs w:val="18"/>
              </w:rPr>
              <w:t>s significance to Taranaki Whānui</w:t>
            </w:r>
            <w:r w:rsidR="00202C0C" w:rsidRPr="005C5E32">
              <w:rPr>
                <w:szCs w:val="18"/>
              </w:rPr>
              <w:t>. Further, it</w:t>
            </w:r>
            <w:r w:rsidR="0012676C" w:rsidRPr="005C5E32">
              <w:rPr>
                <w:szCs w:val="18"/>
              </w:rPr>
              <w:t xml:space="preserve"> strengthened collaboration between councils, Taranaki Whānui and delivery partners.</w:t>
            </w:r>
          </w:p>
        </w:tc>
      </w:tr>
      <w:tr w:rsidR="0012676C" w:rsidRPr="005C5E32" w14:paraId="1510A48C" w14:textId="77777777" w:rsidTr="00FD5561">
        <w:trPr>
          <w:trHeight w:val="3792"/>
        </w:trPr>
        <w:tc>
          <w:tcPr>
            <w:tcW w:w="8505" w:type="dxa"/>
            <w:tcBorders>
              <w:bottom w:val="single" w:sz="4" w:space="0" w:color="1B556B" w:themeColor="text2"/>
            </w:tcBorders>
            <w:shd w:val="clear" w:color="auto" w:fill="F2F2F2" w:themeFill="background1" w:themeFillShade="F2"/>
          </w:tcPr>
          <w:p w14:paraId="04DA233A" w14:textId="50CD0BBB" w:rsidR="0012676C" w:rsidRPr="005C5E32" w:rsidRDefault="0012676C" w:rsidP="00B44D08">
            <w:pPr>
              <w:pStyle w:val="TableSubheading"/>
            </w:pPr>
            <w:r w:rsidRPr="005C5E32">
              <w:lastRenderedPageBreak/>
              <w:t>Improving New Zealand</w:t>
            </w:r>
            <w:r w:rsidR="000369F8" w:rsidRPr="005C5E32">
              <w:t>’</w:t>
            </w:r>
            <w:r w:rsidRPr="005C5E32">
              <w:t>s plastics recycling capacity: Marley New Zealand / Plastics Recycling NZ</w:t>
            </w:r>
          </w:p>
          <w:p w14:paraId="454D4D23" w14:textId="77777777" w:rsidR="00394873" w:rsidRPr="005C5E32" w:rsidRDefault="0012676C" w:rsidP="00617C13">
            <w:pPr>
              <w:pStyle w:val="TableText"/>
              <w:keepNext/>
              <w:spacing w:before="40" w:after="0" w:line="230" w:lineRule="atLeast"/>
              <w:rPr>
                <w:szCs w:val="18"/>
              </w:rPr>
            </w:pPr>
            <w:r w:rsidRPr="005C5E32">
              <w:rPr>
                <w:b/>
                <w:bCs/>
                <w:szCs w:val="18"/>
              </w:rPr>
              <w:t>Objective of investment</w:t>
            </w:r>
          </w:p>
          <w:p w14:paraId="3F86212B" w14:textId="55F54270" w:rsidR="0012676C" w:rsidRPr="005C5E32" w:rsidRDefault="00E02CD5">
            <w:pPr>
              <w:pStyle w:val="TableText"/>
              <w:keepNext/>
              <w:spacing w:before="40" w:after="40" w:line="230" w:lineRule="atLeast"/>
              <w:rPr>
                <w:szCs w:val="18"/>
              </w:rPr>
            </w:pPr>
            <w:r w:rsidRPr="005C5E32">
              <w:rPr>
                <w:szCs w:val="18"/>
              </w:rPr>
              <w:t xml:space="preserve">To create a practical national system to collect and recycle these plastics and turn them back into useful products. </w:t>
            </w:r>
            <w:r w:rsidR="00695ABC" w:rsidRPr="005C5E32">
              <w:rPr>
                <w:szCs w:val="18"/>
              </w:rPr>
              <w:t>To date, c</w:t>
            </w:r>
            <w:r w:rsidR="0012676C" w:rsidRPr="005C5E32">
              <w:rPr>
                <w:szCs w:val="18"/>
              </w:rPr>
              <w:t xml:space="preserve">onstruction and demolition plastics such as </w:t>
            </w:r>
            <w:r w:rsidR="005C3B51" w:rsidRPr="005C5E32">
              <w:rPr>
                <w:szCs w:val="18"/>
              </w:rPr>
              <w:t>polyvinyl chloride (</w:t>
            </w:r>
            <w:r w:rsidR="0012676C" w:rsidRPr="005C5E32">
              <w:rPr>
                <w:szCs w:val="18"/>
              </w:rPr>
              <w:t>PVC</w:t>
            </w:r>
            <w:r w:rsidR="005C3B51" w:rsidRPr="005C5E32">
              <w:rPr>
                <w:szCs w:val="18"/>
              </w:rPr>
              <w:t>)</w:t>
            </w:r>
            <w:r w:rsidR="0012676C" w:rsidRPr="005C5E32">
              <w:rPr>
                <w:szCs w:val="18"/>
              </w:rPr>
              <w:t xml:space="preserve">, </w:t>
            </w:r>
            <w:r w:rsidR="006F0D8B" w:rsidRPr="005C5E32">
              <w:rPr>
                <w:szCs w:val="18"/>
              </w:rPr>
              <w:t>high-density polyethylene (</w:t>
            </w:r>
            <w:r w:rsidR="0012676C" w:rsidRPr="005C5E32">
              <w:rPr>
                <w:szCs w:val="18"/>
              </w:rPr>
              <w:t>HDPE</w:t>
            </w:r>
            <w:r w:rsidR="006F0D8B" w:rsidRPr="005C5E32">
              <w:rPr>
                <w:szCs w:val="18"/>
              </w:rPr>
              <w:t>)</w:t>
            </w:r>
            <w:r w:rsidR="00D64965" w:rsidRPr="005C5E32">
              <w:rPr>
                <w:szCs w:val="18"/>
              </w:rPr>
              <w:t xml:space="preserve"> </w:t>
            </w:r>
            <w:r w:rsidR="0012676C" w:rsidRPr="005C5E32">
              <w:rPr>
                <w:szCs w:val="18"/>
              </w:rPr>
              <w:t xml:space="preserve">and </w:t>
            </w:r>
            <w:r w:rsidR="006F0D8B" w:rsidRPr="005C5E32">
              <w:rPr>
                <w:szCs w:val="18"/>
              </w:rPr>
              <w:t>polyethylene (</w:t>
            </w:r>
            <w:r w:rsidR="0012676C" w:rsidRPr="005C5E32">
              <w:rPr>
                <w:szCs w:val="18"/>
              </w:rPr>
              <w:t>PE</w:t>
            </w:r>
            <w:r w:rsidR="006F0D8B" w:rsidRPr="005C5E32">
              <w:rPr>
                <w:szCs w:val="18"/>
              </w:rPr>
              <w:t>)</w:t>
            </w:r>
            <w:r w:rsidR="0012676C" w:rsidRPr="005C5E32">
              <w:rPr>
                <w:szCs w:val="18"/>
              </w:rPr>
              <w:t xml:space="preserve"> have had limited recycling options in New Zealand, with large volumes going to landfill. </w:t>
            </w:r>
          </w:p>
          <w:p w14:paraId="6B806C6A" w14:textId="1D951534" w:rsidR="00394873" w:rsidRPr="005C5E32" w:rsidRDefault="0012676C" w:rsidP="00617C13">
            <w:pPr>
              <w:pStyle w:val="TableText"/>
              <w:keepNext/>
              <w:spacing w:before="40" w:after="0" w:line="230" w:lineRule="atLeast"/>
              <w:rPr>
                <w:szCs w:val="18"/>
              </w:rPr>
            </w:pPr>
            <w:r w:rsidRPr="005C5E32">
              <w:rPr>
                <w:b/>
                <w:bCs/>
                <w:szCs w:val="18"/>
              </w:rPr>
              <w:t>What we invested in</w:t>
            </w:r>
          </w:p>
          <w:p w14:paraId="17B331D6" w14:textId="23B4F66E" w:rsidR="0012676C" w:rsidRPr="005C5E32" w:rsidRDefault="0012676C">
            <w:pPr>
              <w:pStyle w:val="TableText"/>
              <w:keepNext/>
              <w:spacing w:before="40" w:after="40" w:line="230" w:lineRule="atLeast"/>
              <w:rPr>
                <w:szCs w:val="18"/>
              </w:rPr>
            </w:pPr>
            <w:r w:rsidRPr="005C5E32">
              <w:rPr>
                <w:szCs w:val="18"/>
              </w:rPr>
              <w:t>Beginning in 2022, the Plastics Innovation Fund supported Marley New Zealand and its partners to establish a joint venture and build a nationwide collection and consolidation system for waste PVC, HDPE and PE, along with recycling plants to wash, shred and process the plastic for reuse in manufacturing.</w:t>
            </w:r>
            <w:r w:rsidR="00237F0E" w:rsidRPr="005C5E32">
              <w:rPr>
                <w:szCs w:val="18"/>
              </w:rPr>
              <w:t xml:space="preserve"> </w:t>
            </w:r>
            <w:r w:rsidR="00597F17" w:rsidRPr="00597F17">
              <w:rPr>
                <w:szCs w:val="18"/>
              </w:rPr>
              <w:t>The Plastics Innovation Fund contributed about $4.5 million towards the project's total cost of about $11.1 million.</w:t>
            </w:r>
          </w:p>
          <w:p w14:paraId="503BA82A" w14:textId="77777777" w:rsidR="00394873" w:rsidRPr="005C5E32" w:rsidRDefault="0012676C" w:rsidP="00617C13">
            <w:pPr>
              <w:pStyle w:val="TableText"/>
              <w:keepNext/>
              <w:spacing w:before="40" w:after="0"/>
              <w:rPr>
                <w:rFonts w:cstheme="minorBidi"/>
                <w:sz w:val="22"/>
                <w:szCs w:val="22"/>
              </w:rPr>
            </w:pPr>
            <w:r w:rsidRPr="005C5E32">
              <w:rPr>
                <w:b/>
                <w:bCs/>
                <w:szCs w:val="18"/>
              </w:rPr>
              <w:t>Impact of investment</w:t>
            </w:r>
          </w:p>
          <w:p w14:paraId="508B8F98" w14:textId="203DBB4D" w:rsidR="0012676C" w:rsidRPr="005C5E32" w:rsidRDefault="0012676C">
            <w:pPr>
              <w:pStyle w:val="TableText"/>
              <w:keepNext/>
              <w:spacing w:before="40" w:after="40"/>
              <w:rPr>
                <w:szCs w:val="18"/>
              </w:rPr>
            </w:pPr>
            <w:r w:rsidRPr="005C5E32">
              <w:rPr>
                <w:szCs w:val="18"/>
              </w:rPr>
              <w:t>This project created New Zealand</w:t>
            </w:r>
            <w:r w:rsidR="000369F8" w:rsidRPr="005C5E32">
              <w:rPr>
                <w:szCs w:val="18"/>
              </w:rPr>
              <w:t>’</w:t>
            </w:r>
            <w:r w:rsidRPr="005C5E32">
              <w:rPr>
                <w:szCs w:val="18"/>
              </w:rPr>
              <w:t xml:space="preserve">s first dedicated PVC recycling line and national infrastructure to collect and recycle PVC and HDPE plastic at scale, helping move hard-to-recycle building plastics from landfill into reuse. It is on track to divert 2,000 to 3,000 tonnes of plastic from landfill, has created at least 16 new jobs and </w:t>
            </w:r>
            <w:r w:rsidR="001E001A" w:rsidRPr="005C5E32">
              <w:rPr>
                <w:szCs w:val="18"/>
              </w:rPr>
              <w:t xml:space="preserve">has </w:t>
            </w:r>
            <w:r w:rsidRPr="005C5E32">
              <w:rPr>
                <w:szCs w:val="18"/>
              </w:rPr>
              <w:t xml:space="preserve">increased the use of recycled material in new products. </w:t>
            </w:r>
            <w:r w:rsidR="00FC26E9" w:rsidRPr="005C5E32">
              <w:rPr>
                <w:szCs w:val="18"/>
              </w:rPr>
              <w:t>The project</w:t>
            </w:r>
            <w:r w:rsidRPr="005C5E32">
              <w:rPr>
                <w:szCs w:val="18"/>
              </w:rPr>
              <w:t xml:space="preserve"> represents good long-term value</w:t>
            </w:r>
            <w:r w:rsidR="00FC26E9" w:rsidRPr="005C5E32">
              <w:rPr>
                <w:szCs w:val="18"/>
              </w:rPr>
              <w:t>,</w:t>
            </w:r>
            <w:r w:rsidRPr="005C5E32">
              <w:rPr>
                <w:szCs w:val="18"/>
              </w:rPr>
              <w:t xml:space="preserve"> because public funding helped unlock larger private investment, built lasting recycling infrastructure and created a local market for plastic waste that previously had limited reuse options.</w:t>
            </w:r>
          </w:p>
        </w:tc>
      </w:tr>
    </w:tbl>
    <w:p w14:paraId="3A8538AC" w14:textId="77777777" w:rsidR="0012676C" w:rsidRPr="005C5E32" w:rsidRDefault="0012676C" w:rsidP="006A2028">
      <w:pPr>
        <w:pStyle w:val="BodyText"/>
      </w:pPr>
    </w:p>
    <w:p w14:paraId="23DBDF99" w14:textId="77777777" w:rsidR="0012676C" w:rsidRPr="005C5E32" w:rsidRDefault="0012676C" w:rsidP="006A2028">
      <w:pPr>
        <w:pStyle w:val="BodyText"/>
      </w:pPr>
      <w:r w:rsidRPr="005C5E32">
        <w:br w:type="page"/>
      </w:r>
    </w:p>
    <w:p w14:paraId="451DC480" w14:textId="0DCB0024" w:rsidR="0012676C" w:rsidRPr="005C5E32" w:rsidRDefault="0012676C" w:rsidP="003B4A7F">
      <w:pPr>
        <w:pStyle w:val="Heading2"/>
        <w:rPr>
          <w:lang w:eastAsia="en-US"/>
        </w:rPr>
      </w:pPr>
      <w:bookmarkStart w:id="79" w:name="_Notes_to_progress"/>
      <w:bookmarkStart w:id="80" w:name="_Toc207017386"/>
      <w:bookmarkStart w:id="81" w:name="_Toc210136373"/>
      <w:bookmarkStart w:id="82" w:name="_Toc240445562"/>
      <w:bookmarkEnd w:id="79"/>
      <w:r w:rsidRPr="005C5E32">
        <w:rPr>
          <w:lang w:eastAsia="en-US"/>
        </w:rPr>
        <w:lastRenderedPageBreak/>
        <w:t>Notes to progress on our strategic priorities</w:t>
      </w:r>
      <w:bookmarkEnd w:id="78"/>
      <w:bookmarkEnd w:id="80"/>
      <w:bookmarkEnd w:id="81"/>
      <w:bookmarkEnd w:id="82"/>
    </w:p>
    <w:p w14:paraId="790FEB17" w14:textId="0202BEC0" w:rsidR="00F8644F" w:rsidRPr="005C5E32" w:rsidRDefault="000261B1" w:rsidP="0069028B">
      <w:pPr>
        <w:pStyle w:val="BodyText"/>
        <w:spacing w:after="100"/>
      </w:pPr>
      <w:r w:rsidRPr="005C5E32">
        <w:t>P</w:t>
      </w:r>
      <w:r w:rsidR="0012676C" w:rsidRPr="005C5E32">
        <w:t xml:space="preserve">reparing performance information to demonstrate the </w:t>
      </w:r>
      <w:r w:rsidR="004F610F" w:rsidRPr="005C5E32">
        <w:t xml:space="preserve">Ministry’s </w:t>
      </w:r>
      <w:r w:rsidR="0012676C" w:rsidRPr="005C5E32">
        <w:t xml:space="preserve">progress </w:t>
      </w:r>
      <w:r w:rsidR="001E001A" w:rsidRPr="005C5E32">
        <w:t>towards our</w:t>
      </w:r>
      <w:r w:rsidR="0012676C" w:rsidRPr="005C5E32">
        <w:t xml:space="preserve"> strategic intentions </w:t>
      </w:r>
      <w:r w:rsidRPr="005C5E32">
        <w:t xml:space="preserve">involved </w:t>
      </w:r>
      <w:r w:rsidR="001E001A" w:rsidRPr="005C5E32">
        <w:t xml:space="preserve">making </w:t>
      </w:r>
      <w:r w:rsidR="0012676C" w:rsidRPr="005C5E32">
        <w:t>several key judgements about</w:t>
      </w:r>
      <w:r w:rsidR="00F8644F" w:rsidRPr="005C5E32">
        <w:t>:</w:t>
      </w:r>
    </w:p>
    <w:p w14:paraId="42468471" w14:textId="0914B06E" w:rsidR="00F8644F" w:rsidRPr="005C5E32" w:rsidRDefault="0012676C" w:rsidP="0069028B">
      <w:pPr>
        <w:pStyle w:val="Bullet"/>
        <w:spacing w:after="100"/>
      </w:pPr>
      <w:r w:rsidRPr="005C5E32">
        <w:t>the aspects of performance to report against</w:t>
      </w:r>
    </w:p>
    <w:p w14:paraId="60C37579" w14:textId="2C77A1DB" w:rsidR="00F8644F" w:rsidRPr="005C5E32" w:rsidRDefault="0012676C" w:rsidP="0069028B">
      <w:pPr>
        <w:pStyle w:val="Bullet"/>
        <w:spacing w:after="100"/>
      </w:pPr>
      <w:r w:rsidRPr="005C5E32">
        <w:t>the selection of appropriate and meaningful performance measures</w:t>
      </w:r>
    </w:p>
    <w:p w14:paraId="22084D20" w14:textId="6B9593A7" w:rsidR="0012676C" w:rsidRPr="005C5E32" w:rsidRDefault="0012676C" w:rsidP="0069028B">
      <w:pPr>
        <w:pStyle w:val="Bullet"/>
        <w:spacing w:after="100"/>
      </w:pPr>
      <w:r w:rsidRPr="005C5E32">
        <w:t xml:space="preserve">how to measure performance and/or targets. </w:t>
      </w:r>
    </w:p>
    <w:p w14:paraId="33838A4F" w14:textId="30ABB908" w:rsidR="0012676C" w:rsidRPr="005C5E32" w:rsidRDefault="001E001A" w:rsidP="0069028B">
      <w:pPr>
        <w:pStyle w:val="BodyText"/>
        <w:spacing w:after="100"/>
      </w:pPr>
      <w:r w:rsidRPr="005C5E32">
        <w:rPr>
          <w:spacing w:val="-2"/>
        </w:rPr>
        <w:t xml:space="preserve">We </w:t>
      </w:r>
      <w:r w:rsidR="0012676C" w:rsidRPr="005C5E32">
        <w:rPr>
          <w:spacing w:val="-2"/>
        </w:rPr>
        <w:t>select</w:t>
      </w:r>
      <w:r w:rsidRPr="005C5E32">
        <w:rPr>
          <w:spacing w:val="-2"/>
        </w:rPr>
        <w:t>ed</w:t>
      </w:r>
      <w:r w:rsidR="0012676C" w:rsidRPr="005C5E32">
        <w:rPr>
          <w:spacing w:val="-2"/>
        </w:rPr>
        <w:t xml:space="preserve"> performance measures based on the Ministry</w:t>
      </w:r>
      <w:r w:rsidR="000369F8" w:rsidRPr="005C5E32">
        <w:rPr>
          <w:spacing w:val="-2"/>
        </w:rPr>
        <w:t>’</w:t>
      </w:r>
      <w:r w:rsidR="0012676C" w:rsidRPr="005C5E32">
        <w:rPr>
          <w:spacing w:val="-2"/>
        </w:rPr>
        <w:t>s purpose, strategic outcome</w:t>
      </w:r>
      <w:r w:rsidR="0012676C" w:rsidRPr="005C5E32">
        <w:t>s and strategic priorities</w:t>
      </w:r>
      <w:r w:rsidR="00F8644F" w:rsidRPr="005C5E32">
        <w:t>,</w:t>
      </w:r>
      <w:r w:rsidR="0012676C" w:rsidRPr="005C5E32">
        <w:t xml:space="preserve"> as provided in the </w:t>
      </w:r>
      <w:hyperlink r:id="rId42" w:history="1">
        <w:r w:rsidR="00F8644F" w:rsidRPr="005C5E32">
          <w:rPr>
            <w:rStyle w:val="Hyperlink"/>
            <w:i/>
            <w:iCs/>
          </w:rPr>
          <w:t>Strategic Intentions 2025–2029</w:t>
        </w:r>
      </w:hyperlink>
      <w:r w:rsidR="0012676C" w:rsidRPr="005C5E32">
        <w:t xml:space="preserve">. </w:t>
      </w:r>
      <w:r w:rsidR="0062610E" w:rsidRPr="005C5E32">
        <w:t xml:space="preserve">We also </w:t>
      </w:r>
      <w:r w:rsidR="001B35FC" w:rsidRPr="005C5E32">
        <w:t>consider</w:t>
      </w:r>
      <w:r w:rsidRPr="005C5E32">
        <w:t>ed</w:t>
      </w:r>
      <w:r w:rsidR="0062610E" w:rsidRPr="005C5E32">
        <w:t xml:space="preserve"> the </w:t>
      </w:r>
      <w:r w:rsidR="0012676C" w:rsidRPr="005C5E32">
        <w:t>areas of the Ministry</w:t>
      </w:r>
      <w:r w:rsidR="000369F8" w:rsidRPr="005C5E32">
        <w:t>’</w:t>
      </w:r>
      <w:r w:rsidR="0012676C" w:rsidRPr="005C5E32">
        <w:t>s performance</w:t>
      </w:r>
      <w:r w:rsidR="001B35FC" w:rsidRPr="005C5E32">
        <w:t xml:space="preserve"> most likely</w:t>
      </w:r>
      <w:r w:rsidR="0012676C" w:rsidRPr="005C5E32">
        <w:t xml:space="preserve"> </w:t>
      </w:r>
      <w:r w:rsidR="001B35FC" w:rsidRPr="005C5E32">
        <w:t>to</w:t>
      </w:r>
      <w:r w:rsidR="0012676C" w:rsidRPr="005C5E32" w:rsidDel="001B35FC">
        <w:t xml:space="preserve"> </w:t>
      </w:r>
      <w:r w:rsidR="0012676C" w:rsidRPr="005C5E32">
        <w:t xml:space="preserve">interest the public and the Government. </w:t>
      </w:r>
    </w:p>
    <w:p w14:paraId="585DCFB1" w14:textId="3BCFC65C" w:rsidR="0012676C" w:rsidRPr="005C5E32" w:rsidRDefault="0012676C" w:rsidP="00BA3D29">
      <w:pPr>
        <w:pStyle w:val="BodyText"/>
      </w:pPr>
      <w:r w:rsidRPr="005C5E32">
        <w:t xml:space="preserve">The following notes provide further information </w:t>
      </w:r>
      <w:r w:rsidR="00492316" w:rsidRPr="005C5E32">
        <w:t>about the</w:t>
      </w:r>
      <w:r w:rsidRPr="005C5E32">
        <w:t xml:space="preserve"> performance information </w:t>
      </w:r>
      <w:r w:rsidR="001E001A" w:rsidRPr="005C5E32">
        <w:t>reported</w:t>
      </w:r>
      <w:r w:rsidR="00617C13" w:rsidRPr="005C5E32">
        <w:t> </w:t>
      </w:r>
      <w:r w:rsidR="001E001A" w:rsidRPr="005C5E32">
        <w:t>here</w:t>
      </w:r>
      <w:r w:rsidRPr="005C5E32">
        <w:t>.</w:t>
      </w:r>
    </w:p>
    <w:p w14:paraId="21F58EB9" w14:textId="77777777" w:rsidR="0012676C" w:rsidRPr="005C5E32" w:rsidRDefault="0012676C" w:rsidP="00EE7437">
      <w:pPr>
        <w:pStyle w:val="Heading4"/>
      </w:pPr>
      <w:bookmarkStart w:id="83" w:name="_Note_1:_Reduction"/>
      <w:bookmarkEnd w:id="83"/>
      <w:r w:rsidRPr="005C5E32">
        <w:t>Note 1: Reduction of greenhouse gas emissions</w:t>
      </w:r>
    </w:p>
    <w:p w14:paraId="64710561" w14:textId="317A78D7" w:rsidR="0012676C" w:rsidRPr="005C5E32" w:rsidRDefault="0012676C" w:rsidP="0069028B">
      <w:pPr>
        <w:pStyle w:val="BodyText"/>
        <w:spacing w:after="100"/>
      </w:pPr>
      <w:r w:rsidRPr="005C5E32">
        <w:t xml:space="preserve">The following points relate to the performance measure under </w:t>
      </w:r>
      <w:hyperlink w:anchor="_Strategic_priority_3:_1" w:history="1">
        <w:r w:rsidRPr="005C5E32">
          <w:rPr>
            <w:rStyle w:val="Hyperlink"/>
          </w:rPr>
          <w:t>strategic priority 3</w:t>
        </w:r>
      </w:hyperlink>
      <w:r w:rsidRPr="005C5E32">
        <w:t xml:space="preserve"> that seeks to</w:t>
      </w:r>
      <w:r w:rsidR="00617C13" w:rsidRPr="005C5E32">
        <w:t> </w:t>
      </w:r>
      <w:r w:rsidRPr="005C5E32">
        <w:t>demonstrate progress</w:t>
      </w:r>
      <w:r w:rsidRPr="005C5E32" w:rsidDel="00AD29A3">
        <w:t xml:space="preserve"> </w:t>
      </w:r>
      <w:r w:rsidRPr="005C5E32">
        <w:t>in achieving the long-term outcome of reducing greenhouse gas emissions.</w:t>
      </w:r>
      <w:r w:rsidR="002D3389" w:rsidRPr="005C5E32" w:rsidDel="00B32497">
        <w:t xml:space="preserve"> </w:t>
      </w:r>
      <w:r w:rsidR="00C54B59" w:rsidRPr="005C5E32">
        <w:t xml:space="preserve">The data outlined </w:t>
      </w:r>
      <w:r w:rsidR="00AD29A3" w:rsidRPr="005C5E32">
        <w:t xml:space="preserve">in this note </w:t>
      </w:r>
      <w:r w:rsidR="00C54B59" w:rsidRPr="005C5E32">
        <w:t>inform</w:t>
      </w:r>
      <w:r w:rsidR="002D3389" w:rsidRPr="005C5E32">
        <w:t xml:space="preserve"> the reporting on Target 9</w:t>
      </w:r>
      <w:r w:rsidR="001E001A" w:rsidRPr="005C5E32">
        <w:t>; for more</w:t>
      </w:r>
      <w:r w:rsidR="00B56600" w:rsidRPr="005C5E32">
        <w:t xml:space="preserve"> detail on</w:t>
      </w:r>
      <w:r w:rsidR="00617C13" w:rsidRPr="005C5E32">
        <w:t> </w:t>
      </w:r>
      <w:r w:rsidR="001E001A" w:rsidRPr="005C5E32">
        <w:t xml:space="preserve">this target, see </w:t>
      </w:r>
      <w:r w:rsidR="00B56600" w:rsidRPr="005C5E32">
        <w:rPr>
          <w:rFonts w:asciiTheme="minorHAnsi" w:hAnsiTheme="minorHAnsi" w:cstheme="minorHAnsi"/>
          <w:szCs w:val="18"/>
        </w:rPr>
        <w:t xml:space="preserve">the Ministry’s </w:t>
      </w:r>
      <w:hyperlink r:id="rId43" w:history="1">
        <w:r w:rsidR="00B56600" w:rsidRPr="005C5E32">
          <w:rPr>
            <w:rStyle w:val="Hyperlink"/>
            <w:szCs w:val="18"/>
          </w:rPr>
          <w:t>Government Target 9 quarterly reporting</w:t>
        </w:r>
      </w:hyperlink>
      <w:r w:rsidR="00B56600" w:rsidRPr="005C5E32">
        <w:rPr>
          <w:rFonts w:asciiTheme="minorHAnsi" w:hAnsiTheme="minorHAnsi" w:cstheme="minorHAnsi"/>
          <w:szCs w:val="18"/>
        </w:rPr>
        <w:t xml:space="preserve"> webpage</w:t>
      </w:r>
      <w:r w:rsidR="002D3389" w:rsidRPr="005C5E32">
        <w:t>.</w:t>
      </w:r>
    </w:p>
    <w:p w14:paraId="5EE84097" w14:textId="52DD4278" w:rsidR="0012676C" w:rsidRPr="005C5E32" w:rsidRDefault="00C7658B" w:rsidP="0069028B">
      <w:pPr>
        <w:pStyle w:val="BodyText"/>
        <w:spacing w:after="100"/>
      </w:pPr>
      <w:r w:rsidRPr="005C5E32">
        <w:t>As in previous years, w</w:t>
      </w:r>
      <w:r w:rsidR="0012676C" w:rsidRPr="005C5E32">
        <w:t>e estimate</w:t>
      </w:r>
      <w:r w:rsidRPr="005C5E32">
        <w:t>d</w:t>
      </w:r>
      <w:r w:rsidR="0012676C" w:rsidRPr="005C5E32">
        <w:t xml:space="preserve"> historical </w:t>
      </w:r>
      <w:r w:rsidR="00FA3E3D" w:rsidRPr="005C5E32">
        <w:t>greenhouse gas</w:t>
      </w:r>
      <w:r w:rsidR="0012676C" w:rsidRPr="005C5E32">
        <w:t xml:space="preserve"> emissions when compiling</w:t>
      </w:r>
      <w:r w:rsidR="00575022" w:rsidRPr="005C5E32">
        <w:t xml:space="preserve"> </w:t>
      </w:r>
      <w:r w:rsidRPr="005C5E32">
        <w:t>the</w:t>
      </w:r>
      <w:r w:rsidR="00575022" w:rsidRPr="005C5E32">
        <w:t xml:space="preserve"> Greenhouse Gas Inventory</w:t>
      </w:r>
      <w:r w:rsidR="00AB7EFB" w:rsidRPr="005C5E32">
        <w:t>. W</w:t>
      </w:r>
      <w:r w:rsidR="0012676C" w:rsidRPr="005C5E32">
        <w:t xml:space="preserve">e </w:t>
      </w:r>
      <w:r w:rsidR="00AB7EFB" w:rsidRPr="005C5E32">
        <w:t xml:space="preserve">then </w:t>
      </w:r>
      <w:r w:rsidR="0012676C" w:rsidRPr="005C5E32">
        <w:t>use</w:t>
      </w:r>
      <w:r w:rsidRPr="005C5E32">
        <w:t>d</w:t>
      </w:r>
      <w:r w:rsidR="0012676C" w:rsidRPr="005C5E32">
        <w:t xml:space="preserve"> th</w:t>
      </w:r>
      <w:r w:rsidR="00C44477" w:rsidRPr="005C5E32">
        <w:t>ese estimates</w:t>
      </w:r>
      <w:r w:rsidR="0012676C" w:rsidRPr="005C5E32">
        <w:t xml:space="preserve"> to develop projections that help</w:t>
      </w:r>
      <w:r w:rsidRPr="005C5E32">
        <w:t>ed</w:t>
      </w:r>
      <w:r w:rsidR="0012676C" w:rsidRPr="005C5E32">
        <w:t xml:space="preserve"> us understand how New Zealand is tracking towards its emissions reduction targets.</w:t>
      </w:r>
    </w:p>
    <w:p w14:paraId="5AD1DF36" w14:textId="69DAC865" w:rsidR="00B23A02" w:rsidRPr="005C5E32" w:rsidRDefault="00B23A02" w:rsidP="0069028B">
      <w:pPr>
        <w:pStyle w:val="BodyText"/>
        <w:spacing w:after="100"/>
      </w:pPr>
      <w:r w:rsidRPr="005C5E32">
        <w:t xml:space="preserve">The latest greenhouse gas emissions projections </w:t>
      </w:r>
      <w:r w:rsidR="00457A5B" w:rsidRPr="005C5E32">
        <w:t xml:space="preserve">indicate </w:t>
      </w:r>
      <w:r w:rsidRPr="005C5E32">
        <w:t>that New Zealand is</w:t>
      </w:r>
      <w:r w:rsidR="009E020E" w:rsidRPr="005C5E32">
        <w:t xml:space="preserve"> projected</w:t>
      </w:r>
      <w:r w:rsidRPr="005C5E32">
        <w:t xml:space="preserve"> to</w:t>
      </w:r>
      <w:r w:rsidR="00617C13" w:rsidRPr="005C5E32">
        <w:t> </w:t>
      </w:r>
      <w:r w:rsidRPr="005C5E32">
        <w:t>meet its first and second emissions budgets. The first emissions budget</w:t>
      </w:r>
      <w:r w:rsidR="00CA4F20" w:rsidRPr="005C5E32">
        <w:t xml:space="preserve"> </w:t>
      </w:r>
      <w:r w:rsidR="008B56D8" w:rsidRPr="005C5E32">
        <w:t>is for</w:t>
      </w:r>
      <w:r w:rsidRPr="005C5E32">
        <w:t xml:space="preserve"> no more than</w:t>
      </w:r>
      <w:r w:rsidR="00617C13" w:rsidRPr="005C5E32">
        <w:t> </w:t>
      </w:r>
      <w:r w:rsidRPr="005C5E32">
        <w:rPr>
          <w:szCs w:val="18"/>
        </w:rPr>
        <w:t>290 </w:t>
      </w:r>
      <w:r w:rsidR="00163FC6" w:rsidRPr="005C5E32">
        <w:rPr>
          <w:szCs w:val="18"/>
        </w:rPr>
        <w:t xml:space="preserve">megatonnes </w:t>
      </w:r>
      <w:r w:rsidR="00163FC6" w:rsidRPr="005C5E32">
        <w:t>of carbon dioxide equivalent (Mt CO</w:t>
      </w:r>
      <w:r w:rsidR="00163FC6" w:rsidRPr="005C5E32">
        <w:rPr>
          <w:vertAlign w:val="subscript"/>
        </w:rPr>
        <w:t>2</w:t>
      </w:r>
      <w:r w:rsidR="00163FC6" w:rsidRPr="005C5E32">
        <w:t xml:space="preserve">e) </w:t>
      </w:r>
      <w:r w:rsidRPr="005C5E32">
        <w:rPr>
          <w:szCs w:val="18"/>
        </w:rPr>
        <w:t>from 2022</w:t>
      </w:r>
      <w:r w:rsidRPr="005C5E32">
        <w:rPr>
          <w:b/>
          <w:bCs/>
          <w:szCs w:val="18"/>
        </w:rPr>
        <w:t>–</w:t>
      </w:r>
      <w:r w:rsidRPr="005C5E32">
        <w:rPr>
          <w:szCs w:val="18"/>
        </w:rPr>
        <w:t xml:space="preserve">25 </w:t>
      </w:r>
      <w:r w:rsidRPr="005C5E32">
        <w:t>(</w:t>
      </w:r>
      <w:r w:rsidR="008B56D8" w:rsidRPr="005C5E32">
        <w:t>ending</w:t>
      </w:r>
      <w:r w:rsidRPr="005C5E32">
        <w:t xml:space="preserve"> on 31</w:t>
      </w:r>
      <w:r w:rsidR="00617C13" w:rsidRPr="005C5E32">
        <w:t> </w:t>
      </w:r>
      <w:r w:rsidRPr="005C5E32">
        <w:t>December 2025)</w:t>
      </w:r>
      <w:r w:rsidR="008B56D8" w:rsidRPr="005C5E32">
        <w:t>, which New Zealand</w:t>
      </w:r>
      <w:r w:rsidRPr="005C5E32">
        <w:t xml:space="preserve"> is projected to me</w:t>
      </w:r>
      <w:r w:rsidR="008B56D8" w:rsidRPr="005C5E32">
        <w:t>e</w:t>
      </w:r>
      <w:r w:rsidRPr="005C5E32">
        <w:t>t with a 7.7 Mt CO</w:t>
      </w:r>
      <w:r w:rsidRPr="005C5E32">
        <w:rPr>
          <w:vertAlign w:val="subscript"/>
        </w:rPr>
        <w:t>2</w:t>
      </w:r>
      <w:r w:rsidRPr="005C5E32">
        <w:t>e buffer</w:t>
      </w:r>
      <w:r w:rsidR="006A23A4" w:rsidRPr="005C5E32">
        <w:t>.</w:t>
      </w:r>
      <w:r w:rsidRPr="005C5E32">
        <w:t xml:space="preserve"> </w:t>
      </w:r>
      <w:r w:rsidR="006A23A4" w:rsidRPr="005C5E32">
        <w:t>The</w:t>
      </w:r>
      <w:r w:rsidR="00617C13" w:rsidRPr="005C5E32">
        <w:t> </w:t>
      </w:r>
      <w:r w:rsidRPr="005C5E32">
        <w:t>second emissions budget</w:t>
      </w:r>
      <w:r w:rsidR="006A23A4" w:rsidRPr="005C5E32">
        <w:t xml:space="preserve"> </w:t>
      </w:r>
      <w:r w:rsidR="008B56D8" w:rsidRPr="005C5E32">
        <w:t>is for</w:t>
      </w:r>
      <w:r w:rsidRPr="005C5E32">
        <w:t xml:space="preserve"> no more than </w:t>
      </w:r>
      <w:r w:rsidRPr="005C5E32">
        <w:rPr>
          <w:szCs w:val="18"/>
        </w:rPr>
        <w:t xml:space="preserve">305 </w:t>
      </w:r>
      <w:r w:rsidR="00FF768C" w:rsidRPr="005C5E32">
        <w:t>Mt CO</w:t>
      </w:r>
      <w:r w:rsidR="00FF768C" w:rsidRPr="005C5E32">
        <w:rPr>
          <w:vertAlign w:val="subscript"/>
        </w:rPr>
        <w:t>2</w:t>
      </w:r>
      <w:r w:rsidR="00FF768C" w:rsidRPr="005C5E32">
        <w:t>e</w:t>
      </w:r>
      <w:r w:rsidRPr="005C5E32">
        <w:rPr>
          <w:szCs w:val="18"/>
        </w:rPr>
        <w:t xml:space="preserve"> from 2026</w:t>
      </w:r>
      <w:r w:rsidRPr="005C5E32">
        <w:rPr>
          <w:b/>
          <w:bCs/>
          <w:szCs w:val="18"/>
        </w:rPr>
        <w:t>–</w:t>
      </w:r>
      <w:r w:rsidRPr="005C5E32">
        <w:rPr>
          <w:szCs w:val="18"/>
        </w:rPr>
        <w:t>30</w:t>
      </w:r>
      <w:r w:rsidRPr="005C5E32">
        <w:t xml:space="preserve"> (</w:t>
      </w:r>
      <w:r w:rsidR="008B56D8" w:rsidRPr="005C5E32">
        <w:t>starting</w:t>
      </w:r>
      <w:r w:rsidRPr="005C5E32">
        <w:t xml:space="preserve"> on 1</w:t>
      </w:r>
      <w:r w:rsidR="00617C13" w:rsidRPr="005C5E32">
        <w:t> </w:t>
      </w:r>
      <w:r w:rsidRPr="005C5E32">
        <w:t>January 2026)</w:t>
      </w:r>
      <w:r w:rsidR="008B56D8" w:rsidRPr="005C5E32">
        <w:t>, which New Zealand</w:t>
      </w:r>
      <w:r w:rsidR="006A23A4" w:rsidRPr="005C5E32">
        <w:t xml:space="preserve"> </w:t>
      </w:r>
      <w:r w:rsidRPr="005C5E32">
        <w:t>is projected to me</w:t>
      </w:r>
      <w:r w:rsidR="008B56D8" w:rsidRPr="005C5E32">
        <w:t>e</w:t>
      </w:r>
      <w:r w:rsidRPr="005C5E32">
        <w:t>t</w:t>
      </w:r>
      <w:r w:rsidR="008B56D8" w:rsidRPr="005C5E32">
        <w:t xml:space="preserve"> </w:t>
      </w:r>
      <w:r w:rsidRPr="005C5E32">
        <w:t>with a 3.6 Mt CO</w:t>
      </w:r>
      <w:r w:rsidRPr="005C5E32">
        <w:rPr>
          <w:vertAlign w:val="subscript"/>
        </w:rPr>
        <w:t>2</w:t>
      </w:r>
      <w:r w:rsidRPr="005C5E32">
        <w:t xml:space="preserve">e buffer. </w:t>
      </w:r>
    </w:p>
    <w:p w14:paraId="0F02BF58" w14:textId="7AEE2FDA" w:rsidR="0012676C" w:rsidRPr="005C5E32" w:rsidRDefault="00DA1139" w:rsidP="0069028B">
      <w:pPr>
        <w:pStyle w:val="BodyText"/>
        <w:spacing w:after="100"/>
      </w:pPr>
      <w:r w:rsidRPr="005C5E32">
        <w:t xml:space="preserve">The </w:t>
      </w:r>
      <w:r w:rsidR="00485F31" w:rsidRPr="005C5E32">
        <w:t xml:space="preserve">Greenhouse Gas </w:t>
      </w:r>
      <w:r w:rsidRPr="005C5E32">
        <w:t xml:space="preserve">Inventory </w:t>
      </w:r>
      <w:r w:rsidR="00D77E33" w:rsidRPr="005C5E32">
        <w:t xml:space="preserve">is the official report that tracks all human-induced greenhouse gas emissions and removals in New Zealand since 1990. It </w:t>
      </w:r>
      <w:r w:rsidRPr="005C5E32">
        <w:t>contains full</w:t>
      </w:r>
      <w:r w:rsidR="0012676C" w:rsidRPr="005C5E32">
        <w:t xml:space="preserve"> disclosure on</w:t>
      </w:r>
      <w:r w:rsidR="0012676C" w:rsidRPr="005C5E32" w:rsidDel="0052436D">
        <w:t xml:space="preserve"> </w:t>
      </w:r>
      <w:r w:rsidR="0012676C" w:rsidRPr="005C5E32">
        <w:t>New</w:t>
      </w:r>
      <w:r w:rsidR="00617C13" w:rsidRPr="005C5E32">
        <w:t> </w:t>
      </w:r>
      <w:r w:rsidR="0012676C" w:rsidRPr="005C5E32">
        <w:t>Zealand</w:t>
      </w:r>
      <w:r w:rsidR="000369F8" w:rsidRPr="005C5E32">
        <w:t>’</w:t>
      </w:r>
      <w:r w:rsidR="0012676C" w:rsidRPr="005C5E32">
        <w:t xml:space="preserve">s </w:t>
      </w:r>
      <w:r w:rsidR="00FA3E3D" w:rsidRPr="005C5E32">
        <w:t>greenhouse gas</w:t>
      </w:r>
      <w:r w:rsidR="0012676C" w:rsidRPr="005C5E32">
        <w:t xml:space="preserve"> emissions estimates, including inventory uncertainties, methodologies and assumptions used in the calculations.</w:t>
      </w:r>
      <w:r w:rsidR="0012676C" w:rsidRPr="005C5E32" w:rsidDel="00D77E33">
        <w:t xml:space="preserve"> </w:t>
      </w:r>
      <w:r w:rsidR="008F7959" w:rsidRPr="005C5E32">
        <w:t xml:space="preserve">New Zealand submits its </w:t>
      </w:r>
      <w:r w:rsidR="0012676C" w:rsidRPr="005C5E32">
        <w:t xml:space="preserve">Greenhouse </w:t>
      </w:r>
      <w:r w:rsidR="008F7959" w:rsidRPr="005C5E32">
        <w:t>G</w:t>
      </w:r>
      <w:r w:rsidR="0012676C" w:rsidRPr="005C5E32">
        <w:t xml:space="preserve">as </w:t>
      </w:r>
      <w:r w:rsidR="008F7959" w:rsidRPr="005C5E32">
        <w:t>I</w:t>
      </w:r>
      <w:r w:rsidR="0012676C" w:rsidRPr="005C5E32">
        <w:t>nventor</w:t>
      </w:r>
      <w:r w:rsidR="008F7959" w:rsidRPr="005C5E32">
        <w:t>y</w:t>
      </w:r>
      <w:r w:rsidR="0012676C" w:rsidRPr="005C5E32">
        <w:t xml:space="preserve"> annually under the Paris Agreement and the United Nations Framework Convention on Climate Change. </w:t>
      </w:r>
      <w:r w:rsidR="008F7959" w:rsidRPr="005C5E32">
        <w:t xml:space="preserve">In April of each year, </w:t>
      </w:r>
      <w:r w:rsidR="00B65DAA" w:rsidRPr="005C5E32">
        <w:t>New Zealand’s</w:t>
      </w:r>
      <w:r w:rsidR="00D64965" w:rsidRPr="005C5E32">
        <w:t xml:space="preserve"> </w:t>
      </w:r>
      <w:r w:rsidR="00D0457D" w:rsidRPr="005C5E32">
        <w:t xml:space="preserve">updated </w:t>
      </w:r>
      <w:r w:rsidR="001A556D" w:rsidRPr="005C5E32">
        <w:t>inventory</w:t>
      </w:r>
      <w:r w:rsidR="00D0457D" w:rsidRPr="005C5E32">
        <w:t xml:space="preserve"> </w:t>
      </w:r>
      <w:r w:rsidR="008F7959" w:rsidRPr="005C5E32">
        <w:t xml:space="preserve">has been </w:t>
      </w:r>
      <w:r w:rsidR="004068D8" w:rsidRPr="005C5E32">
        <w:t xml:space="preserve">published </w:t>
      </w:r>
      <w:r w:rsidR="003E2A1A" w:rsidRPr="005C5E32">
        <w:t>on the Ministry</w:t>
      </w:r>
      <w:r w:rsidR="000369F8" w:rsidRPr="005C5E32">
        <w:t>’</w:t>
      </w:r>
      <w:r w:rsidR="003E2A1A" w:rsidRPr="005C5E32">
        <w:t xml:space="preserve">s </w:t>
      </w:r>
      <w:hyperlink r:id="rId44" w:history="1">
        <w:r w:rsidR="00580F14" w:rsidRPr="005C5E32">
          <w:rPr>
            <w:rStyle w:val="Hyperlink"/>
          </w:rPr>
          <w:t>New Zealand’s Greenhouse Gas Inventory</w:t>
        </w:r>
      </w:hyperlink>
      <w:r w:rsidR="00580F14" w:rsidRPr="005C5E32">
        <w:t xml:space="preserve"> webpage</w:t>
      </w:r>
      <w:r w:rsidR="00776C42" w:rsidRPr="005C5E32">
        <w:t>,</w:t>
      </w:r>
      <w:r w:rsidR="00580F14" w:rsidRPr="005C5E32" w:rsidDel="00580F14">
        <w:t xml:space="preserve"> </w:t>
      </w:r>
      <w:r w:rsidR="008F7959" w:rsidRPr="005C5E32">
        <w:t xml:space="preserve">while </w:t>
      </w:r>
      <w:r w:rsidR="00776C42" w:rsidRPr="005C5E32">
        <w:t xml:space="preserve">projections </w:t>
      </w:r>
      <w:r w:rsidR="008F7959" w:rsidRPr="005C5E32">
        <w:t>have been</w:t>
      </w:r>
      <w:r w:rsidR="008F7959" w:rsidRPr="005C5E32" w:rsidDel="00D0457D">
        <w:t xml:space="preserve"> </w:t>
      </w:r>
      <w:r w:rsidR="0012676C" w:rsidRPr="005C5E32">
        <w:t xml:space="preserve">submitted biennially under the Paris Agreement via biennial transparency reports. </w:t>
      </w:r>
    </w:p>
    <w:p w14:paraId="6AE586D6" w14:textId="1DA8715E" w:rsidR="008F7959" w:rsidRPr="005C5E32" w:rsidRDefault="0012676C" w:rsidP="001D3BF0">
      <w:pPr>
        <w:pStyle w:val="BodyText"/>
      </w:pPr>
      <w:r w:rsidRPr="005C5E32">
        <w:t xml:space="preserve">Under the Paris Agreement, the </w:t>
      </w:r>
      <w:r w:rsidR="001A556D" w:rsidRPr="005C5E32">
        <w:t xml:space="preserve">Greenhouse Gas </w:t>
      </w:r>
      <w:r w:rsidRPr="005C5E32">
        <w:t>Inventory is subject to a United Nations</w:t>
      </w:r>
      <w:r w:rsidR="00EA5497" w:rsidRPr="005C5E32">
        <w:t>–</w:t>
      </w:r>
      <w:r w:rsidRPr="005C5E32">
        <w:t>facilitated biennial technical expert review</w:t>
      </w:r>
      <w:r w:rsidR="005C4E71" w:rsidRPr="005C5E32">
        <w:t xml:space="preserve"> of </w:t>
      </w:r>
      <w:r w:rsidR="004E048A" w:rsidRPr="005C5E32">
        <w:t>biennial transparency reports</w:t>
      </w:r>
      <w:r w:rsidRPr="005C5E32">
        <w:t xml:space="preserve">, </w:t>
      </w:r>
      <w:r w:rsidR="008F7959" w:rsidRPr="005C5E32">
        <w:t xml:space="preserve">which </w:t>
      </w:r>
      <w:r w:rsidR="00C44477" w:rsidRPr="005C5E32">
        <w:t xml:space="preserve">also </w:t>
      </w:r>
      <w:r w:rsidRPr="005C5E32">
        <w:t>assess</w:t>
      </w:r>
      <w:r w:rsidR="008F7959" w:rsidRPr="005C5E32">
        <w:t xml:space="preserve">es how well </w:t>
      </w:r>
      <w:r w:rsidR="00C44477" w:rsidRPr="005C5E32">
        <w:t>the inventory</w:t>
      </w:r>
      <w:r w:rsidRPr="005C5E32">
        <w:t xml:space="preserve"> align</w:t>
      </w:r>
      <w:r w:rsidR="008F7959" w:rsidRPr="005C5E32">
        <w:t>s</w:t>
      </w:r>
      <w:r w:rsidRPr="005C5E32">
        <w:t xml:space="preserve"> with international reporting requirements. </w:t>
      </w:r>
      <w:r w:rsidR="008F7959" w:rsidRPr="005C5E32">
        <w:t>A</w:t>
      </w:r>
      <w:r w:rsidRPr="005C5E32">
        <w:t xml:space="preserve"> team of qualified subject</w:t>
      </w:r>
      <w:r w:rsidR="00925101" w:rsidRPr="005C5E32">
        <w:t>-</w:t>
      </w:r>
      <w:r w:rsidRPr="005C5E32">
        <w:t>matter experts drawn from other</w:t>
      </w:r>
      <w:r w:rsidRPr="005C5E32" w:rsidDel="00925101">
        <w:t xml:space="preserve"> </w:t>
      </w:r>
      <w:r w:rsidR="00925101" w:rsidRPr="005C5E32">
        <w:t>p</w:t>
      </w:r>
      <w:r w:rsidRPr="005C5E32">
        <w:t>arties to the Paris Agreement</w:t>
      </w:r>
      <w:r w:rsidR="008F7959" w:rsidRPr="005C5E32">
        <w:t xml:space="preserve"> conducts this in-depth review</w:t>
      </w:r>
      <w:r w:rsidRPr="005C5E32">
        <w:t xml:space="preserve">. </w:t>
      </w:r>
    </w:p>
    <w:p w14:paraId="77734851" w14:textId="304C8CBF" w:rsidR="0012676C" w:rsidRPr="005C5E32" w:rsidRDefault="0012676C" w:rsidP="001D3BF0">
      <w:pPr>
        <w:pStyle w:val="BodyText"/>
      </w:pPr>
      <w:r w:rsidRPr="005C5E32">
        <w:t>The most recent technical expert review</w:t>
      </w:r>
      <w:r w:rsidR="004A5D1E" w:rsidRPr="005C5E32">
        <w:t xml:space="preserve"> </w:t>
      </w:r>
      <w:r w:rsidR="00CD6305" w:rsidRPr="005C5E32">
        <w:t>(</w:t>
      </w:r>
      <w:r w:rsidR="004A5D1E" w:rsidRPr="005C5E32">
        <w:t>and addendum</w:t>
      </w:r>
      <w:r w:rsidR="00CD6305" w:rsidRPr="005C5E32">
        <w:t>)</w:t>
      </w:r>
      <w:r w:rsidR="00F65B03" w:rsidRPr="005C5E32">
        <w:t>,</w:t>
      </w:r>
      <w:r w:rsidRPr="005C5E32">
        <w:t xml:space="preserve"> completed and published in February 2026</w:t>
      </w:r>
      <w:r w:rsidR="004A5D1E" w:rsidRPr="005C5E32">
        <w:t xml:space="preserve">, </w:t>
      </w:r>
      <w:r w:rsidR="00CD6305" w:rsidRPr="005C5E32">
        <w:t>is</w:t>
      </w:r>
      <w:r w:rsidR="00C915D7" w:rsidRPr="005C5E32">
        <w:t xml:space="preserve"> </w:t>
      </w:r>
      <w:r w:rsidR="004A5D1E" w:rsidRPr="005C5E32">
        <w:t>available on the United Nations</w:t>
      </w:r>
      <w:r w:rsidR="00C86172" w:rsidRPr="005C5E32">
        <w:t xml:space="preserve"> webpage,</w:t>
      </w:r>
      <w:r w:rsidR="004A5D1E" w:rsidRPr="005C5E32">
        <w:t xml:space="preserve"> </w:t>
      </w:r>
      <w:hyperlink r:id="rId45" w:history="1">
        <w:r w:rsidR="00C915D7" w:rsidRPr="005C5E32">
          <w:rPr>
            <w:rStyle w:val="Hyperlink"/>
          </w:rPr>
          <w:t>Report on the technical expert review of the first biennial transparency report of New Zealand</w:t>
        </w:r>
      </w:hyperlink>
      <w:r w:rsidR="00C915D7" w:rsidRPr="005C5E32">
        <w:t>.</w:t>
      </w:r>
      <w:r w:rsidRPr="005C5E32">
        <w:t xml:space="preserve"> </w:t>
      </w:r>
      <w:r w:rsidR="00C915D7" w:rsidRPr="005C5E32">
        <w:t xml:space="preserve">The review </w:t>
      </w:r>
      <w:r w:rsidR="008F7959" w:rsidRPr="005C5E32">
        <w:t xml:space="preserve">examined the level </w:t>
      </w:r>
      <w:r w:rsidR="008F7959" w:rsidRPr="005C5E32">
        <w:rPr>
          <w:spacing w:val="-2"/>
        </w:rPr>
        <w:lastRenderedPageBreak/>
        <w:t xml:space="preserve">of </w:t>
      </w:r>
      <w:r w:rsidRPr="005C5E32">
        <w:rPr>
          <w:spacing w:val="-2"/>
        </w:rPr>
        <w:t xml:space="preserve">consistency of </w:t>
      </w:r>
      <w:hyperlink r:id="rId46" w:history="1">
        <w:r w:rsidRPr="005C5E32">
          <w:rPr>
            <w:rStyle w:val="Hyperlink"/>
            <w:i/>
            <w:spacing w:val="-2"/>
          </w:rPr>
          <w:t>New Zealand</w:t>
        </w:r>
        <w:r w:rsidR="000369F8" w:rsidRPr="005C5E32">
          <w:rPr>
            <w:rStyle w:val="Hyperlink"/>
            <w:i/>
            <w:spacing w:val="-2"/>
          </w:rPr>
          <w:t>’</w:t>
        </w:r>
        <w:r w:rsidRPr="005C5E32">
          <w:rPr>
            <w:rStyle w:val="Hyperlink"/>
            <w:i/>
            <w:spacing w:val="-2"/>
          </w:rPr>
          <w:t xml:space="preserve">s </w:t>
        </w:r>
        <w:r w:rsidR="0048615B" w:rsidRPr="005C5E32">
          <w:rPr>
            <w:rStyle w:val="Hyperlink"/>
            <w:i/>
            <w:spacing w:val="-2"/>
          </w:rPr>
          <w:t>First Biennial Transparency Report</w:t>
        </w:r>
      </w:hyperlink>
      <w:r w:rsidR="0048615B" w:rsidRPr="005C5E32" w:rsidDel="008D62EA">
        <w:rPr>
          <w:spacing w:val="-2"/>
        </w:rPr>
        <w:t xml:space="preserve"> </w:t>
      </w:r>
      <w:r w:rsidRPr="005C5E32">
        <w:rPr>
          <w:spacing w:val="-2"/>
        </w:rPr>
        <w:t>with reporting requirements</w:t>
      </w:r>
      <w:r w:rsidRPr="005C5E32">
        <w:t xml:space="preserve">, the implementation and achievement of </w:t>
      </w:r>
      <w:r w:rsidR="00EE25E6" w:rsidRPr="005C5E32">
        <w:t xml:space="preserve">New Zealand’s </w:t>
      </w:r>
      <w:r w:rsidR="009F51F7" w:rsidRPr="005C5E32">
        <w:t>NDC</w:t>
      </w:r>
      <w:r w:rsidRPr="005C5E32">
        <w:t xml:space="preserve"> to the Paris Agreement and New</w:t>
      </w:r>
      <w:r w:rsidR="0069028B" w:rsidRPr="005C5E32">
        <w:t> </w:t>
      </w:r>
      <w:r w:rsidRPr="005C5E32">
        <w:t>Zealand</w:t>
      </w:r>
      <w:r w:rsidR="0073253F" w:rsidRPr="005C5E32">
        <w:t>’s support provided to</w:t>
      </w:r>
      <w:r w:rsidRPr="005C5E32" w:rsidDel="0073253F">
        <w:t xml:space="preserve"> </w:t>
      </w:r>
      <w:r w:rsidRPr="005C5E32">
        <w:t xml:space="preserve">developing countries during the reporting period. </w:t>
      </w:r>
      <w:r w:rsidR="008F7959" w:rsidRPr="005C5E32">
        <w:t>While identifying</w:t>
      </w:r>
      <w:r w:rsidRPr="005C5E32">
        <w:t xml:space="preserve"> areas </w:t>
      </w:r>
      <w:r w:rsidR="00711368" w:rsidRPr="005C5E32">
        <w:t>for</w:t>
      </w:r>
      <w:r w:rsidRPr="005C5E32">
        <w:t xml:space="preserve"> improvement</w:t>
      </w:r>
      <w:r w:rsidR="008F7959" w:rsidRPr="005C5E32">
        <w:t>, t</w:t>
      </w:r>
      <w:r w:rsidRPr="005C5E32">
        <w:t>he technical expert review did not identify any significant issues of non</w:t>
      </w:r>
      <w:r w:rsidRPr="005C5E32">
        <w:noBreakHyphen/>
        <w:t xml:space="preserve">compliance with reporting requirements. </w:t>
      </w:r>
      <w:r w:rsidR="00E71A99" w:rsidRPr="005C5E32">
        <w:t>T</w:t>
      </w:r>
      <w:r w:rsidR="00401363" w:rsidRPr="005C5E32">
        <w:t>he review found</w:t>
      </w:r>
      <w:r w:rsidR="008B5DC6" w:rsidRPr="005C5E32">
        <w:t xml:space="preserve"> </w:t>
      </w:r>
      <w:r w:rsidR="001A33C8" w:rsidRPr="005C5E32">
        <w:t>data available</w:t>
      </w:r>
      <w:r w:rsidR="008F7959" w:rsidRPr="005C5E32">
        <w:t xml:space="preserve"> were</w:t>
      </w:r>
      <w:r w:rsidR="0069028B" w:rsidRPr="005C5E32">
        <w:t> </w:t>
      </w:r>
      <w:r w:rsidR="008F7959" w:rsidRPr="005C5E32">
        <w:t>insufficient</w:t>
      </w:r>
      <w:r w:rsidR="001A33C8" w:rsidRPr="005C5E32">
        <w:t xml:space="preserve"> to </w:t>
      </w:r>
      <w:r w:rsidR="008B5DC6" w:rsidRPr="005C5E32">
        <w:t>assess New Zealand</w:t>
      </w:r>
      <w:r w:rsidR="000369F8" w:rsidRPr="005C5E32">
        <w:t>’</w:t>
      </w:r>
      <w:r w:rsidR="008B5DC6" w:rsidRPr="005C5E32">
        <w:t>s progress towards its target for 2030</w:t>
      </w:r>
      <w:r w:rsidR="001E2ED6" w:rsidRPr="005C5E32">
        <w:t xml:space="preserve"> (</w:t>
      </w:r>
      <w:r w:rsidR="001A33C8" w:rsidRPr="005C5E32">
        <w:t>that is,</w:t>
      </w:r>
      <w:r w:rsidR="001E2ED6" w:rsidRPr="005C5E32">
        <w:t xml:space="preserve"> </w:t>
      </w:r>
      <w:r w:rsidR="00D57F29" w:rsidRPr="005C5E32">
        <w:t>New</w:t>
      </w:r>
      <w:r w:rsidR="0069028B" w:rsidRPr="005C5E32">
        <w:t> </w:t>
      </w:r>
      <w:r w:rsidR="00D57F29" w:rsidRPr="005C5E32">
        <w:t>Zealand</w:t>
      </w:r>
      <w:r w:rsidR="000369F8" w:rsidRPr="005C5E32">
        <w:t>’</w:t>
      </w:r>
      <w:r w:rsidR="00D57F29" w:rsidRPr="005C5E32">
        <w:t>s</w:t>
      </w:r>
      <w:r w:rsidR="001E2ED6" w:rsidRPr="005C5E32">
        <w:t xml:space="preserve"> first </w:t>
      </w:r>
      <w:r w:rsidR="001A33C8" w:rsidRPr="005C5E32">
        <w:t>NDC</w:t>
      </w:r>
      <w:r w:rsidR="001E2ED6" w:rsidRPr="005C5E32">
        <w:t>)</w:t>
      </w:r>
      <w:r w:rsidR="008B5DC6" w:rsidRPr="005C5E32">
        <w:t>, as it is early in the implementation period.</w:t>
      </w:r>
    </w:p>
    <w:p w14:paraId="5DD2FF28" w14:textId="0A790282" w:rsidR="00F52832" w:rsidRPr="005C5E32" w:rsidRDefault="004677E2" w:rsidP="0031043F">
      <w:pPr>
        <w:pStyle w:val="BodyText"/>
      </w:pPr>
      <w:r w:rsidRPr="005C5E32">
        <w:t>Each year, t</w:t>
      </w:r>
      <w:r w:rsidR="0031043F" w:rsidRPr="005C5E32">
        <w:t xml:space="preserve">he Ministry </w:t>
      </w:r>
      <w:r w:rsidRPr="005C5E32">
        <w:t xml:space="preserve">has </w:t>
      </w:r>
      <w:r w:rsidR="0031043F" w:rsidRPr="005C5E32">
        <w:t>publishe</w:t>
      </w:r>
      <w:r w:rsidR="00B52AF5" w:rsidRPr="005C5E32">
        <w:t>d</w:t>
      </w:r>
      <w:r w:rsidR="0031043F" w:rsidRPr="005C5E32">
        <w:t xml:space="preserve"> projections estimating </w:t>
      </w:r>
      <w:r w:rsidR="00687F01" w:rsidRPr="005C5E32">
        <w:t xml:space="preserve">greenhouse gas emissions, which are available on </w:t>
      </w:r>
      <w:r w:rsidR="008F7959" w:rsidRPr="005C5E32">
        <w:t xml:space="preserve">its </w:t>
      </w:r>
      <w:r w:rsidR="00687F01" w:rsidRPr="005C5E32">
        <w:t xml:space="preserve">webpage, </w:t>
      </w:r>
      <w:hyperlink r:id="rId47" w:history="1">
        <w:r w:rsidR="0031043F" w:rsidRPr="005C5E32">
          <w:rPr>
            <w:rStyle w:val="Hyperlink"/>
          </w:rPr>
          <w:t>New Zealand</w:t>
        </w:r>
        <w:r w:rsidR="000369F8" w:rsidRPr="005C5E32">
          <w:rPr>
            <w:rStyle w:val="Hyperlink"/>
          </w:rPr>
          <w:t>’</w:t>
        </w:r>
        <w:r w:rsidR="0031043F" w:rsidRPr="005C5E32">
          <w:rPr>
            <w:rStyle w:val="Hyperlink"/>
          </w:rPr>
          <w:t xml:space="preserve">s </w:t>
        </w:r>
        <w:r w:rsidR="00687F01" w:rsidRPr="005C5E32">
          <w:rPr>
            <w:rStyle w:val="Hyperlink"/>
          </w:rPr>
          <w:t xml:space="preserve">projected greenhouse </w:t>
        </w:r>
        <w:r w:rsidR="0031043F" w:rsidRPr="005C5E32">
          <w:rPr>
            <w:rStyle w:val="Hyperlink"/>
          </w:rPr>
          <w:t>gas emissions to 2050</w:t>
        </w:r>
      </w:hyperlink>
      <w:r w:rsidR="0031043F" w:rsidRPr="005C5E32">
        <w:t xml:space="preserve">. The </w:t>
      </w:r>
      <w:r w:rsidRPr="005C5E32">
        <w:t xml:space="preserve">latest </w:t>
      </w:r>
      <w:r w:rsidR="0031043F" w:rsidRPr="005C5E32">
        <w:t>projection</w:t>
      </w:r>
      <w:r w:rsidR="00687F01" w:rsidRPr="005C5E32">
        <w:t>s</w:t>
      </w:r>
      <w:r w:rsidR="00CB75CB" w:rsidRPr="005C5E32">
        <w:t xml:space="preserve">, </w:t>
      </w:r>
      <w:r w:rsidR="00377A62" w:rsidRPr="005C5E32">
        <w:t>updated</w:t>
      </w:r>
      <w:r w:rsidR="0031043F" w:rsidRPr="005C5E32">
        <w:t xml:space="preserve"> in January 2026</w:t>
      </w:r>
      <w:r w:rsidR="00CB75CB" w:rsidRPr="005C5E32">
        <w:t>,</w:t>
      </w:r>
      <w:r w:rsidR="009A0298" w:rsidRPr="005C5E32" w:rsidDel="00CB75CB">
        <w:t xml:space="preserve"> </w:t>
      </w:r>
      <w:r w:rsidR="009A0298" w:rsidRPr="005C5E32">
        <w:t xml:space="preserve">track both international and domestic </w:t>
      </w:r>
      <w:r w:rsidR="00E72028" w:rsidRPr="005C5E32">
        <w:t xml:space="preserve">emissions reduction </w:t>
      </w:r>
      <w:r w:rsidR="009A0298" w:rsidRPr="005C5E32">
        <w:t>targets</w:t>
      </w:r>
      <w:r w:rsidR="008F7959" w:rsidRPr="005C5E32">
        <w:t>; for details, see</w:t>
      </w:r>
      <w:r w:rsidR="00276948" w:rsidRPr="005C5E32">
        <w:t xml:space="preserve"> the Ministry’s webpage, </w:t>
      </w:r>
      <w:hyperlink r:id="rId48" w:history="1">
        <w:r w:rsidR="00276948" w:rsidRPr="005C5E32">
          <w:rPr>
            <w:rStyle w:val="Hyperlink"/>
          </w:rPr>
          <w:t>Emissions budgets and the emissions reduction plan</w:t>
        </w:r>
      </w:hyperlink>
      <w:r w:rsidR="00E72028" w:rsidRPr="005C5E32">
        <w:t>.</w:t>
      </w:r>
      <w:r w:rsidR="009A0298" w:rsidRPr="005C5E32">
        <w:t xml:space="preserve"> </w:t>
      </w:r>
    </w:p>
    <w:p w14:paraId="48475DB9" w14:textId="2017231A" w:rsidR="0012676C" w:rsidRPr="005C5E32" w:rsidRDefault="0012676C" w:rsidP="001D3BF0">
      <w:pPr>
        <w:pStyle w:val="BodyText"/>
      </w:pPr>
      <w:r w:rsidRPr="005C5E32">
        <w:t xml:space="preserve">Quantifying </w:t>
      </w:r>
      <w:r w:rsidR="00FA3E3D" w:rsidRPr="005C5E32">
        <w:t>greenhouse gas</w:t>
      </w:r>
      <w:r w:rsidRPr="005C5E32">
        <w:t xml:space="preserve"> emissions is</w:t>
      </w:r>
      <w:r w:rsidRPr="005C5E32" w:rsidDel="005E6274">
        <w:t xml:space="preserve"> </w:t>
      </w:r>
      <w:r w:rsidRPr="005C5E32">
        <w:t xml:space="preserve">inherently uncertain. </w:t>
      </w:r>
      <w:r w:rsidR="008F7959" w:rsidRPr="005C5E32">
        <w:t>However, t</w:t>
      </w:r>
      <w:r w:rsidRPr="005C5E32">
        <w:t xml:space="preserve">he scientific knowledge and methodologies used and processes for calculating or estimating quantities of </w:t>
      </w:r>
      <w:r w:rsidR="00FA3E3D" w:rsidRPr="005C5E32">
        <w:t>greenhouse gas</w:t>
      </w:r>
      <w:r w:rsidRPr="005C5E32">
        <w:t xml:space="preserve"> emissions sources and sinks are continually improving. When the methodology or underlying data change, the whole inventory time series from the base year to the latest year is recalculated. </w:t>
      </w:r>
      <w:r w:rsidR="0000678D" w:rsidRPr="005C5E32">
        <w:t>The c</w:t>
      </w:r>
      <w:r w:rsidR="00AE50AF" w:rsidRPr="005C5E32">
        <w:t xml:space="preserve">hanges often </w:t>
      </w:r>
      <w:r w:rsidR="00E0303D" w:rsidRPr="005C5E32">
        <w:t>occur because of</w:t>
      </w:r>
      <w:r w:rsidR="00AE50AF" w:rsidRPr="005C5E32">
        <w:t xml:space="preserve"> improvements in activity data, emissions factors, and methodologies, or</w:t>
      </w:r>
      <w:r w:rsidR="0000678D" w:rsidRPr="005C5E32">
        <w:t xml:space="preserve"> </w:t>
      </w:r>
      <w:r w:rsidR="00E0303D" w:rsidRPr="005C5E32">
        <w:t>because</w:t>
      </w:r>
      <w:r w:rsidR="00AE50AF" w:rsidRPr="005C5E32">
        <w:t xml:space="preserve"> previously unreported emission sources</w:t>
      </w:r>
      <w:r w:rsidR="00E0303D" w:rsidRPr="005C5E32">
        <w:t xml:space="preserve"> are included</w:t>
      </w:r>
      <w:r w:rsidR="00AE50AF" w:rsidRPr="005C5E32">
        <w:t xml:space="preserve">. </w:t>
      </w:r>
      <w:r w:rsidR="00007D6C" w:rsidRPr="005C5E32">
        <w:t>T</w:t>
      </w:r>
      <w:r w:rsidRPr="005C5E32">
        <w:t xml:space="preserve">he </w:t>
      </w:r>
      <w:r w:rsidR="00FA3E3D" w:rsidRPr="005C5E32">
        <w:t>greenhouse gas</w:t>
      </w:r>
      <w:r w:rsidRPr="005C5E32">
        <w:t xml:space="preserve"> emissions estimates are up to date in the latest </w:t>
      </w:r>
      <w:r w:rsidR="00AE50AF" w:rsidRPr="005C5E32">
        <w:t xml:space="preserve">Greenhouse Gas </w:t>
      </w:r>
      <w:r w:rsidRPr="005C5E32">
        <w:t xml:space="preserve">Inventory, and previous inventories are not useful for comparison. </w:t>
      </w:r>
    </w:p>
    <w:p w14:paraId="74E360C3" w14:textId="7E5BA840" w:rsidR="0012676C" w:rsidRPr="005C5E32" w:rsidRDefault="0012676C" w:rsidP="001D3BF0">
      <w:pPr>
        <w:pStyle w:val="BodyText"/>
      </w:pPr>
      <w:r w:rsidRPr="005C5E32">
        <w:t xml:space="preserve">The above limitations also apply to </w:t>
      </w:r>
      <w:r w:rsidR="00AC5A43" w:rsidRPr="005C5E32">
        <w:t xml:space="preserve">projections of </w:t>
      </w:r>
      <w:r w:rsidR="00FA3E3D" w:rsidRPr="005C5E32">
        <w:t>greenhouse gas</w:t>
      </w:r>
      <w:r w:rsidRPr="005C5E32">
        <w:t xml:space="preserve"> emissions, with the added inherent uncertainty involved in forecasting </w:t>
      </w:r>
      <w:r w:rsidR="00FA3E3D" w:rsidRPr="005C5E32">
        <w:t>greenhouse gas</w:t>
      </w:r>
      <w:r w:rsidRPr="005C5E32">
        <w:t xml:space="preserve"> emissions across a diverse economy. </w:t>
      </w:r>
      <w:r w:rsidR="00843B39" w:rsidRPr="005C5E32">
        <w:t xml:space="preserve">It is challenging to account </w:t>
      </w:r>
      <w:r w:rsidRPr="005C5E32">
        <w:t>for the future actions of businesses and households, as</w:t>
      </w:r>
      <w:r w:rsidR="002A2C25" w:rsidRPr="005C5E32">
        <w:t> </w:t>
      </w:r>
      <w:r w:rsidRPr="005C5E32">
        <w:t xml:space="preserve">well as </w:t>
      </w:r>
      <w:r w:rsidR="00AC5A43" w:rsidRPr="005C5E32">
        <w:t xml:space="preserve">for </w:t>
      </w:r>
      <w:r w:rsidRPr="005C5E32">
        <w:t>the</w:t>
      </w:r>
      <w:r w:rsidR="00AC5A43" w:rsidRPr="005C5E32">
        <w:t xml:space="preserve"> future</w:t>
      </w:r>
      <w:r w:rsidRPr="005C5E32">
        <w:t xml:space="preserve"> impacts of policies</w:t>
      </w:r>
      <w:r w:rsidRPr="005C5E32" w:rsidDel="00843B39">
        <w:t xml:space="preserve">, </w:t>
      </w:r>
      <w:r w:rsidR="00843B39" w:rsidRPr="005C5E32">
        <w:t>and the</w:t>
      </w:r>
      <w:r w:rsidRPr="005C5E32">
        <w:t xml:space="preserve"> further the projections extend</w:t>
      </w:r>
      <w:r w:rsidR="00843B39" w:rsidRPr="005C5E32">
        <w:t xml:space="preserve"> </w:t>
      </w:r>
      <w:r w:rsidR="00AC5A43" w:rsidRPr="005C5E32">
        <w:t xml:space="preserve">over </w:t>
      </w:r>
      <w:r w:rsidR="00843B39" w:rsidRPr="005C5E32">
        <w:t>time</w:t>
      </w:r>
      <w:r w:rsidRPr="005C5E32">
        <w:t xml:space="preserve">, the greater the uncertainty becomes. </w:t>
      </w:r>
      <w:r w:rsidR="00C60F1C" w:rsidRPr="005C5E32">
        <w:t>However, modelling continues to improve, and o</w:t>
      </w:r>
      <w:r w:rsidRPr="005C5E32">
        <w:t xml:space="preserve">ur projections </w:t>
      </w:r>
      <w:r w:rsidRPr="005C5E32">
        <w:rPr>
          <w:spacing w:val="-2"/>
        </w:rPr>
        <w:t xml:space="preserve">represent </w:t>
      </w:r>
      <w:r w:rsidRPr="005C5E32" w:rsidDel="009F56D9">
        <w:rPr>
          <w:spacing w:val="-2"/>
        </w:rPr>
        <w:t xml:space="preserve">the </w:t>
      </w:r>
      <w:r w:rsidRPr="005C5E32">
        <w:rPr>
          <w:spacing w:val="-2"/>
        </w:rPr>
        <w:t>best current understanding of New Zealand</w:t>
      </w:r>
      <w:r w:rsidR="000369F8" w:rsidRPr="005C5E32">
        <w:rPr>
          <w:spacing w:val="-2"/>
        </w:rPr>
        <w:t>’</w:t>
      </w:r>
      <w:r w:rsidRPr="005C5E32">
        <w:rPr>
          <w:spacing w:val="-2"/>
        </w:rPr>
        <w:t>s overall future emissions</w:t>
      </w:r>
      <w:r w:rsidRPr="005C5E32">
        <w:t>.</w:t>
      </w:r>
    </w:p>
    <w:p w14:paraId="520421E2" w14:textId="025EFD18" w:rsidR="0012676C" w:rsidRPr="005C5E32" w:rsidRDefault="00AC5A43" w:rsidP="00CE3227">
      <w:pPr>
        <w:pStyle w:val="BodyText"/>
        <w:rPr>
          <w:iCs/>
        </w:rPr>
      </w:pPr>
      <w:r w:rsidRPr="005C5E32">
        <w:rPr>
          <w:iCs/>
        </w:rPr>
        <w:t>For the projections of</w:t>
      </w:r>
      <w:r w:rsidR="0012676C" w:rsidRPr="005C5E32">
        <w:rPr>
          <w:iCs/>
        </w:rPr>
        <w:t xml:space="preserve"> </w:t>
      </w:r>
      <w:r w:rsidR="00FA3E3D" w:rsidRPr="005C5E32">
        <w:rPr>
          <w:iCs/>
        </w:rPr>
        <w:t>greenhouse gas</w:t>
      </w:r>
      <w:r w:rsidR="0012676C" w:rsidRPr="005C5E32">
        <w:rPr>
          <w:iCs/>
        </w:rPr>
        <w:t xml:space="preserve"> emissions</w:t>
      </w:r>
      <w:r w:rsidRPr="005C5E32">
        <w:rPr>
          <w:iCs/>
        </w:rPr>
        <w:t xml:space="preserve"> </w:t>
      </w:r>
      <w:r w:rsidR="0012676C" w:rsidRPr="005C5E32">
        <w:rPr>
          <w:iCs/>
        </w:rPr>
        <w:t xml:space="preserve">used to assess </w:t>
      </w:r>
      <w:r w:rsidRPr="005C5E32">
        <w:rPr>
          <w:iCs/>
        </w:rPr>
        <w:t xml:space="preserve">future </w:t>
      </w:r>
      <w:r w:rsidR="0012676C" w:rsidRPr="005C5E32">
        <w:rPr>
          <w:iCs/>
        </w:rPr>
        <w:t>progress towards New</w:t>
      </w:r>
      <w:r w:rsidR="0069028B" w:rsidRPr="005C5E32">
        <w:rPr>
          <w:iCs/>
        </w:rPr>
        <w:t> </w:t>
      </w:r>
      <w:r w:rsidR="0012676C" w:rsidRPr="005C5E32">
        <w:rPr>
          <w:iCs/>
        </w:rPr>
        <w:t>Zealand</w:t>
      </w:r>
      <w:r w:rsidR="000369F8" w:rsidRPr="005C5E32">
        <w:rPr>
          <w:iCs/>
        </w:rPr>
        <w:t>’</w:t>
      </w:r>
      <w:r w:rsidR="0012676C" w:rsidRPr="005C5E32">
        <w:rPr>
          <w:iCs/>
        </w:rPr>
        <w:t>s 2050 climate change targets</w:t>
      </w:r>
      <w:r w:rsidRPr="005C5E32">
        <w:rPr>
          <w:iCs/>
        </w:rPr>
        <w:t>, some key underlying assumptions are</w:t>
      </w:r>
      <w:r w:rsidR="0012676C" w:rsidRPr="005C5E32">
        <w:rPr>
          <w:iCs/>
        </w:rPr>
        <w:t>:</w:t>
      </w:r>
    </w:p>
    <w:p w14:paraId="0394BD7D" w14:textId="55E62943" w:rsidR="0012676C" w:rsidRPr="005C5E32" w:rsidRDefault="0012676C" w:rsidP="007C2E0E">
      <w:pPr>
        <w:pStyle w:val="Bullet"/>
      </w:pPr>
      <w:r w:rsidRPr="005C5E32">
        <w:t>economic and population growth</w:t>
      </w:r>
    </w:p>
    <w:p w14:paraId="7C36047A" w14:textId="055BF499" w:rsidR="0012676C" w:rsidRPr="005C5E32" w:rsidRDefault="0012676C" w:rsidP="007C2E0E">
      <w:pPr>
        <w:pStyle w:val="Bullet"/>
      </w:pPr>
      <w:r w:rsidRPr="005C5E32">
        <w:t xml:space="preserve">the price of emissions in </w:t>
      </w:r>
      <w:r w:rsidR="009F56D9" w:rsidRPr="005C5E32">
        <w:t xml:space="preserve">the </w:t>
      </w:r>
      <w:r w:rsidRPr="005C5E32">
        <w:t>NZ</w:t>
      </w:r>
      <w:r w:rsidRPr="005C5E32" w:rsidDel="009F56D9">
        <w:t xml:space="preserve"> </w:t>
      </w:r>
      <w:r w:rsidRPr="005C5E32">
        <w:t>ETS</w:t>
      </w:r>
    </w:p>
    <w:p w14:paraId="3F56B2A2" w14:textId="662A763F" w:rsidR="0012676C" w:rsidRPr="005C5E32" w:rsidRDefault="0012676C" w:rsidP="007C2E0E">
      <w:pPr>
        <w:pStyle w:val="Bullet"/>
      </w:pPr>
      <w:r w:rsidRPr="005C5E32">
        <w:t>technological advancement</w:t>
      </w:r>
    </w:p>
    <w:p w14:paraId="7C0FC37E" w14:textId="00216021" w:rsidR="0012676C" w:rsidRPr="005C5E32" w:rsidRDefault="00AC5A43" w:rsidP="007C2E0E">
      <w:pPr>
        <w:pStyle w:val="Bullet"/>
      </w:pPr>
      <w:r w:rsidRPr="005C5E32">
        <w:t>the extent to which</w:t>
      </w:r>
      <w:r w:rsidR="0012676C" w:rsidRPr="005C5E32">
        <w:t xml:space="preserve"> the weather </w:t>
      </w:r>
      <w:r w:rsidRPr="005C5E32">
        <w:t>will support</w:t>
      </w:r>
      <w:r w:rsidR="0012676C" w:rsidRPr="005C5E32">
        <w:t xml:space="preserve"> generating hydroelectricity</w:t>
      </w:r>
      <w:r w:rsidR="00253DD0" w:rsidRPr="005C5E32">
        <w:t>.</w:t>
      </w:r>
    </w:p>
    <w:p w14:paraId="03CBC664" w14:textId="1BE4CDFF" w:rsidR="0012676C" w:rsidRPr="005C5E32" w:rsidRDefault="0012676C" w:rsidP="002807E9">
      <w:pPr>
        <w:pStyle w:val="BodyText"/>
        <w:rPr>
          <w:iCs/>
        </w:rPr>
      </w:pPr>
      <w:r w:rsidRPr="005C5E32">
        <w:rPr>
          <w:iCs/>
        </w:rPr>
        <w:t>For further detail</w:t>
      </w:r>
      <w:r w:rsidRPr="005C5E32">
        <w:t xml:space="preserve"> on</w:t>
      </w:r>
      <w:r w:rsidR="00AC5A43" w:rsidRPr="005C5E32">
        <w:rPr>
          <w:iCs/>
        </w:rPr>
        <w:t xml:space="preserve"> uncertainties related to</w:t>
      </w:r>
      <w:r w:rsidRPr="005C5E32" w:rsidDel="005E22D4">
        <w:t xml:space="preserve"> </w:t>
      </w:r>
      <w:r w:rsidR="00FA3E3D" w:rsidRPr="005C5E32">
        <w:t>greenhouse gas</w:t>
      </w:r>
      <w:r w:rsidRPr="005C5E32">
        <w:t xml:space="preserve"> emissions projections</w:t>
      </w:r>
      <w:r w:rsidRPr="005C5E32">
        <w:rPr>
          <w:iCs/>
        </w:rPr>
        <w:t xml:space="preserve">, see </w:t>
      </w:r>
      <w:hyperlink r:id="rId49" w:history="1">
        <w:r w:rsidRPr="005C5E32">
          <w:rPr>
            <w:rStyle w:val="Hyperlink"/>
            <w:bCs/>
            <w:i/>
            <w:iCs/>
          </w:rPr>
          <w:t>Our</w:t>
        </w:r>
        <w:r w:rsidR="0069028B" w:rsidRPr="005C5E32">
          <w:rPr>
            <w:rStyle w:val="Hyperlink"/>
            <w:bCs/>
            <w:i/>
            <w:iCs/>
          </w:rPr>
          <w:t> </w:t>
        </w:r>
        <w:r w:rsidRPr="005C5E32">
          <w:rPr>
            <w:rStyle w:val="Hyperlink"/>
            <w:bCs/>
            <w:i/>
            <w:iCs/>
          </w:rPr>
          <w:t>journey towards net zero: New Zealand</w:t>
        </w:r>
        <w:r w:rsidR="000369F8" w:rsidRPr="005C5E32">
          <w:rPr>
            <w:rStyle w:val="Hyperlink"/>
            <w:bCs/>
            <w:i/>
            <w:iCs/>
          </w:rPr>
          <w:t>’</w:t>
        </w:r>
        <w:r w:rsidRPr="005C5E32">
          <w:rPr>
            <w:rStyle w:val="Hyperlink"/>
            <w:bCs/>
            <w:i/>
            <w:iCs/>
          </w:rPr>
          <w:t>s second emissions reduction plan 2026–30: Technical annex</w:t>
        </w:r>
      </w:hyperlink>
      <w:r w:rsidRPr="005C5E32">
        <w:t>.</w:t>
      </w:r>
    </w:p>
    <w:p w14:paraId="3B86A97E" w14:textId="37878CC5" w:rsidR="0012676C" w:rsidRPr="005C5E32" w:rsidRDefault="0012676C" w:rsidP="007C2E0E">
      <w:pPr>
        <w:pStyle w:val="Heading5"/>
      </w:pPr>
      <w:bookmarkStart w:id="84" w:name="_Monitoring_by_the"/>
      <w:bookmarkEnd w:id="84"/>
      <w:r w:rsidRPr="005C5E32">
        <w:t>Monitoring by the Climate Change Commission</w:t>
      </w:r>
    </w:p>
    <w:p w14:paraId="3647F149" w14:textId="07E26139" w:rsidR="00D54502" w:rsidRPr="005C5E32" w:rsidRDefault="0012676C">
      <w:pPr>
        <w:pStyle w:val="BodyText"/>
      </w:pPr>
      <w:r w:rsidRPr="005C5E32">
        <w:t xml:space="preserve">The Climate Change Commission (the Commission) is an independent Crown entity established by </w:t>
      </w:r>
      <w:r w:rsidRPr="005C5E32" w:rsidDel="00953EC7">
        <w:t xml:space="preserve">the </w:t>
      </w:r>
      <w:r w:rsidR="00953EC7" w:rsidRPr="005C5E32">
        <w:t>CCRA</w:t>
      </w:r>
      <w:r w:rsidR="00A83452" w:rsidRPr="005C5E32">
        <w:t xml:space="preserve">. </w:t>
      </w:r>
      <w:hyperlink r:id="rId50" w:anchor="LMS282048" w:history="1">
        <w:r w:rsidR="001E7E8F" w:rsidRPr="005C5E32">
          <w:rPr>
            <w:rStyle w:val="Hyperlink"/>
          </w:rPr>
          <w:t>Section 5ZK</w:t>
        </w:r>
      </w:hyperlink>
      <w:r w:rsidR="001E7E8F" w:rsidRPr="005C5E32">
        <w:t xml:space="preserve"> of the CCRA provides that one </w:t>
      </w:r>
      <w:r w:rsidR="00CD3DEF" w:rsidRPr="005C5E32">
        <w:t xml:space="preserve">of </w:t>
      </w:r>
      <w:r w:rsidR="00953EC7" w:rsidRPr="005C5E32">
        <w:t>the Commission’s</w:t>
      </w:r>
      <w:r w:rsidR="00CD3DEF" w:rsidRPr="005C5E32">
        <w:t xml:space="preserve"> functions is to </w:t>
      </w:r>
      <w:r w:rsidR="00642006" w:rsidRPr="005C5E32">
        <w:t>produce an</w:t>
      </w:r>
      <w:r w:rsidR="006108BE" w:rsidRPr="005C5E32">
        <w:t xml:space="preserve"> annual </w:t>
      </w:r>
      <w:r w:rsidR="00E14DEE" w:rsidRPr="005C5E32">
        <w:t>emissions reduction monitoring report</w:t>
      </w:r>
      <w:r w:rsidR="00642006" w:rsidRPr="005C5E32">
        <w:t xml:space="preserve"> to </w:t>
      </w:r>
      <w:r w:rsidR="00D54502" w:rsidRPr="005C5E32">
        <w:t>assess</w:t>
      </w:r>
      <w:r w:rsidR="00E14DEE" w:rsidRPr="005C5E32">
        <w:t>:</w:t>
      </w:r>
    </w:p>
    <w:p w14:paraId="220CD1A1" w14:textId="5960851D" w:rsidR="00D54502" w:rsidRPr="005C5E32" w:rsidRDefault="00D54502" w:rsidP="00FB4899">
      <w:pPr>
        <w:pStyle w:val="Bullet"/>
      </w:pPr>
      <w:r w:rsidRPr="005C5E32">
        <w:t>the adequacy of the Government</w:t>
      </w:r>
      <w:r w:rsidR="000369F8" w:rsidRPr="005C5E32">
        <w:t>’</w:t>
      </w:r>
      <w:r w:rsidRPr="005C5E32">
        <w:t>s</w:t>
      </w:r>
      <w:r w:rsidR="0025673C" w:rsidRPr="005C5E32">
        <w:t xml:space="preserve"> </w:t>
      </w:r>
      <w:r w:rsidRPr="005C5E32">
        <w:t>emissions reduction plans and their implementation</w:t>
      </w:r>
    </w:p>
    <w:p w14:paraId="15159DCC" w14:textId="0B2C67F6" w:rsidR="00D54502" w:rsidRPr="005C5E32" w:rsidRDefault="00D54502" w:rsidP="00FB4899">
      <w:pPr>
        <w:pStyle w:val="Bullet"/>
      </w:pPr>
      <w:r w:rsidRPr="005C5E32">
        <w:t xml:space="preserve">how </w:t>
      </w:r>
      <w:r w:rsidR="0025673C" w:rsidRPr="005C5E32">
        <w:t>New Zealand</w:t>
      </w:r>
      <w:r w:rsidRPr="005C5E32">
        <w:t xml:space="preserve"> is tracking against current and future emissions budgets</w:t>
      </w:r>
    </w:p>
    <w:p w14:paraId="42A165FD" w14:textId="516C69F2" w:rsidR="002D7777" w:rsidRPr="005C5E32" w:rsidRDefault="002C12EB" w:rsidP="00787A29">
      <w:pPr>
        <w:pStyle w:val="Bullet"/>
      </w:pPr>
      <w:r w:rsidRPr="005C5E32">
        <w:t>New Zealand</w:t>
      </w:r>
      <w:r w:rsidR="000369F8" w:rsidRPr="005C5E32">
        <w:t>’</w:t>
      </w:r>
      <w:r w:rsidRPr="005C5E32">
        <w:t>s</w:t>
      </w:r>
      <w:r w:rsidR="00D54502" w:rsidRPr="005C5E32">
        <w:t xml:space="preserve"> progress towards </w:t>
      </w:r>
      <w:r w:rsidR="00B47D8D" w:rsidRPr="005C5E32">
        <w:t xml:space="preserve">its </w:t>
      </w:r>
      <w:r w:rsidR="00D54502" w:rsidRPr="005C5E32">
        <w:t>2050 target.</w:t>
      </w:r>
    </w:p>
    <w:p w14:paraId="5D7C4370" w14:textId="17C01554" w:rsidR="0012676C" w:rsidRPr="005C5E32" w:rsidRDefault="002D7777" w:rsidP="00FB4899">
      <w:pPr>
        <w:pStyle w:val="Bullet"/>
        <w:numPr>
          <w:ilvl w:val="0"/>
          <w:numId w:val="0"/>
        </w:numPr>
      </w:pPr>
      <w:r w:rsidRPr="005C5E32">
        <w:lastRenderedPageBreak/>
        <w:t>The Commission</w:t>
      </w:r>
      <w:r w:rsidR="000369F8" w:rsidRPr="005C5E32">
        <w:t>’</w:t>
      </w:r>
      <w:r w:rsidRPr="005C5E32">
        <w:t xml:space="preserve">s assessment is informed by the </w:t>
      </w:r>
      <w:r w:rsidR="000F3FE8" w:rsidRPr="005C5E32">
        <w:t xml:space="preserve">annual update to </w:t>
      </w:r>
      <w:r w:rsidR="00625092" w:rsidRPr="005C5E32">
        <w:t>the</w:t>
      </w:r>
      <w:r w:rsidR="0012676C" w:rsidRPr="005C5E32">
        <w:t xml:space="preserve"> </w:t>
      </w:r>
      <w:r w:rsidR="00B47D8D" w:rsidRPr="005C5E32">
        <w:t xml:space="preserve">Greenhouse Gas </w:t>
      </w:r>
      <w:r w:rsidR="000F3FE8" w:rsidRPr="005C5E32">
        <w:t xml:space="preserve">Inventory and the </w:t>
      </w:r>
      <w:r w:rsidR="00E0303D" w:rsidRPr="005C5E32">
        <w:t xml:space="preserve">Government’s </w:t>
      </w:r>
      <w:r w:rsidR="00343599" w:rsidRPr="005C5E32">
        <w:t>published emissions projections</w:t>
      </w:r>
      <w:r w:rsidR="00E0303D" w:rsidRPr="005C5E32">
        <w:t>. The Commission published</w:t>
      </w:r>
      <w:r w:rsidR="00FF1579" w:rsidRPr="005C5E32">
        <w:t xml:space="preserve"> its latest </w:t>
      </w:r>
      <w:hyperlink r:id="rId51" w:history="1">
        <w:r w:rsidR="00FF1579" w:rsidRPr="005C5E32">
          <w:rPr>
            <w:rStyle w:val="Hyperlink"/>
            <w:i/>
          </w:rPr>
          <w:t>Monitoring report: Emissions reduction</w:t>
        </w:r>
      </w:hyperlink>
      <w:r w:rsidR="00FF1579" w:rsidRPr="005C5E32">
        <w:t xml:space="preserve"> in July 2026</w:t>
      </w:r>
      <w:r w:rsidR="002A5EC0" w:rsidRPr="005C5E32">
        <w:t>.</w:t>
      </w:r>
    </w:p>
    <w:p w14:paraId="25B0C094" w14:textId="77777777" w:rsidR="0012676C" w:rsidRPr="005C5E32" w:rsidRDefault="0012676C" w:rsidP="001049B1">
      <w:pPr>
        <w:pStyle w:val="Heading4"/>
      </w:pPr>
      <w:r w:rsidRPr="005C5E32">
        <w:t>Note 2: Waste disposal measures</w:t>
      </w:r>
    </w:p>
    <w:p w14:paraId="08D8AECF" w14:textId="3BD1B86E" w:rsidR="0012676C" w:rsidRPr="005C5E32" w:rsidRDefault="0012676C" w:rsidP="008F48B6">
      <w:pPr>
        <w:pStyle w:val="BodyText"/>
      </w:pPr>
      <w:r w:rsidRPr="005C5E32">
        <w:t xml:space="preserve">The following points relate to the performance measure under </w:t>
      </w:r>
      <w:hyperlink w:anchor="_Strategic_priority_3:_1" w:history="1">
        <w:r w:rsidRPr="005C5E32">
          <w:rPr>
            <w:rStyle w:val="Hyperlink"/>
          </w:rPr>
          <w:t>strategic priority 3</w:t>
        </w:r>
      </w:hyperlink>
      <w:r w:rsidRPr="005C5E32">
        <w:t xml:space="preserve"> that seeks to demonstrate progress</w:t>
      </w:r>
      <w:r w:rsidRPr="005C5E32" w:rsidDel="00CC79DF">
        <w:t xml:space="preserve"> </w:t>
      </w:r>
      <w:r w:rsidRPr="005C5E32">
        <w:t>in supporting the transition to a competitive low-emission</w:t>
      </w:r>
      <w:r w:rsidR="00812C02" w:rsidRPr="005C5E32">
        <w:t>s</w:t>
      </w:r>
      <w:r w:rsidRPr="005C5E32">
        <w:t>, resource-efficient economy.</w:t>
      </w:r>
    </w:p>
    <w:p w14:paraId="337E2863" w14:textId="77777777" w:rsidR="00CC79DF" w:rsidRPr="005C5E32" w:rsidRDefault="0012676C" w:rsidP="00C943BD">
      <w:pPr>
        <w:pStyle w:val="Heading5"/>
      </w:pPr>
      <w:r w:rsidRPr="005C5E32">
        <w:t>Waste Disposal Levy expansion</w:t>
      </w:r>
    </w:p>
    <w:p w14:paraId="55B7819B" w14:textId="03C5448D" w:rsidR="00E0303D" w:rsidRPr="005C5E32" w:rsidRDefault="0012676C" w:rsidP="00DF4A87">
      <w:pPr>
        <w:pStyle w:val="BodyText"/>
      </w:pPr>
      <w:r w:rsidRPr="005C5E32">
        <w:t>The Ministry note</w:t>
      </w:r>
      <w:r w:rsidR="00C24A50" w:rsidRPr="005C5E32">
        <w:t>d</w:t>
      </w:r>
      <w:r w:rsidRPr="005C5E32">
        <w:t xml:space="preserve"> that</w:t>
      </w:r>
      <w:r w:rsidRPr="005C5E32" w:rsidDel="0098297C">
        <w:t xml:space="preserve"> </w:t>
      </w:r>
      <w:r w:rsidRPr="005C5E32">
        <w:t>the Waste Disposal Levy expanded to</w:t>
      </w:r>
      <w:r w:rsidR="00E0303D" w:rsidRPr="005C5E32">
        <w:t xml:space="preserve"> include</w:t>
      </w:r>
      <w:r w:rsidRPr="005C5E32">
        <w:t xml:space="preserve"> additional classes of landfill over recent years, meaning </w:t>
      </w:r>
      <w:r w:rsidR="001808AF" w:rsidRPr="005C5E32">
        <w:t>many more</w:t>
      </w:r>
      <w:r w:rsidRPr="005C5E32">
        <w:t xml:space="preserve"> landfills have been required to report waste volumes since 2023. The baseline tonnage total reported from all classes of landfill has therefore grown</w:t>
      </w:r>
      <w:r w:rsidR="00707716" w:rsidRPr="005C5E32">
        <w:t>,</w:t>
      </w:r>
      <w:r w:rsidRPr="005C5E32">
        <w:t xml:space="preserve"> as additional classes started reporting. </w:t>
      </w:r>
    </w:p>
    <w:p w14:paraId="7BB6E1C9" w14:textId="47F8C92A" w:rsidR="0012676C" w:rsidRPr="005C5E32" w:rsidRDefault="0012676C" w:rsidP="00DF4A87">
      <w:pPr>
        <w:pStyle w:val="BodyText"/>
      </w:pPr>
      <w:r w:rsidRPr="005C5E32">
        <w:t xml:space="preserve">To enable accurate comparison between financial years, </w:t>
      </w:r>
      <w:r w:rsidR="00E0303D" w:rsidRPr="005C5E32">
        <w:t>this report</w:t>
      </w:r>
      <w:r w:rsidRPr="005C5E32">
        <w:t xml:space="preserve"> includ</w:t>
      </w:r>
      <w:r w:rsidR="00E0303D" w:rsidRPr="005C5E32">
        <w:t>es</w:t>
      </w:r>
      <w:r w:rsidRPr="005C5E32">
        <w:t xml:space="preserve"> data collected from Class 1 and 2 landfills only</w:t>
      </w:r>
      <w:r w:rsidR="00E0303D" w:rsidRPr="005C5E32">
        <w:t>. However</w:t>
      </w:r>
      <w:r w:rsidRPr="005C5E32">
        <w:t xml:space="preserve">, this </w:t>
      </w:r>
      <w:r w:rsidR="00E0303D" w:rsidRPr="005C5E32">
        <w:t xml:space="preserve">approach </w:t>
      </w:r>
      <w:r w:rsidRPr="005C5E32">
        <w:t xml:space="preserve">may be reviewed in future years, as the reported history grows. </w:t>
      </w:r>
    </w:p>
    <w:p w14:paraId="37909FD1" w14:textId="77777777" w:rsidR="00CC79DF" w:rsidRPr="005C5E32" w:rsidRDefault="0012676C" w:rsidP="00C943BD">
      <w:pPr>
        <w:pStyle w:val="Heading5"/>
      </w:pPr>
      <w:r w:rsidRPr="005C5E32">
        <w:t>Data constraints</w:t>
      </w:r>
    </w:p>
    <w:p w14:paraId="3CB00526" w14:textId="4CB19F85" w:rsidR="00E97ED4" w:rsidRPr="005C5E32" w:rsidRDefault="00D36502" w:rsidP="00DF4A87">
      <w:pPr>
        <w:pStyle w:val="BodyText"/>
      </w:pPr>
      <w:r w:rsidRPr="005C5E32">
        <w:t>Some</w:t>
      </w:r>
      <w:r w:rsidR="0012676C" w:rsidRPr="005C5E32">
        <w:t xml:space="preserve"> gross tonnage data </w:t>
      </w:r>
      <w:r w:rsidRPr="005C5E32">
        <w:t xml:space="preserve">may be </w:t>
      </w:r>
      <w:r w:rsidR="0012676C" w:rsidRPr="005C5E32">
        <w:t>inaccurate where landfill sites do not use a weighbridge</w:t>
      </w:r>
      <w:r w:rsidR="003248F4" w:rsidRPr="005C5E32">
        <w:rPr>
          <w:rStyle w:val="FootnoteReference"/>
        </w:rPr>
        <w:footnoteReference w:id="11"/>
      </w:r>
      <w:r w:rsidR="0012676C" w:rsidRPr="005C5E32">
        <w:t xml:space="preserve"> to</w:t>
      </w:r>
      <w:r w:rsidR="00C71FE0" w:rsidRPr="005C5E32">
        <w:t> </w:t>
      </w:r>
      <w:r w:rsidR="0012676C" w:rsidRPr="005C5E32">
        <w:t>calculate tonnage. We consider</w:t>
      </w:r>
      <w:r w:rsidR="00E0303D" w:rsidRPr="005C5E32">
        <w:t>ed</w:t>
      </w:r>
      <w:r w:rsidR="0012676C" w:rsidRPr="005C5E32">
        <w:t xml:space="preserve"> the risk of material error resulting from these inaccuracies </w:t>
      </w:r>
      <w:r w:rsidRPr="005C5E32">
        <w:t>to be</w:t>
      </w:r>
      <w:r w:rsidR="0012676C" w:rsidRPr="005C5E32">
        <w:t xml:space="preserve"> low</w:t>
      </w:r>
      <w:r w:rsidR="008C0A4A" w:rsidRPr="005C5E32">
        <w:t>, as m</w:t>
      </w:r>
      <w:r w:rsidR="0012676C" w:rsidRPr="005C5E32">
        <w:t>ost</w:t>
      </w:r>
      <w:r w:rsidR="0012676C" w:rsidRPr="005C5E32" w:rsidDel="008C0A4A">
        <w:t xml:space="preserve"> </w:t>
      </w:r>
      <w:r w:rsidR="0012676C" w:rsidRPr="005C5E32">
        <w:t xml:space="preserve">large landfill sites use a weighbridge. </w:t>
      </w:r>
    </w:p>
    <w:p w14:paraId="3200CAC4" w14:textId="1F0BBA4A" w:rsidR="0012676C" w:rsidRPr="005C5E32" w:rsidRDefault="0012676C" w:rsidP="00DF4A87">
      <w:pPr>
        <w:pStyle w:val="BodyText"/>
      </w:pPr>
      <w:r w:rsidRPr="005C5E32">
        <w:t>Operators have up to two years to submit amendments to the Online Waste Levy System (OWLS) for their waste returns, which can also cause minor fluctuations in historical tonnage</w:t>
      </w:r>
      <w:r w:rsidR="00C71FE0" w:rsidRPr="005C5E32">
        <w:t> </w:t>
      </w:r>
      <w:r w:rsidRPr="005C5E32">
        <w:t xml:space="preserve">data. </w:t>
      </w:r>
    </w:p>
    <w:p w14:paraId="636F86A9" w14:textId="0D06FF8D" w:rsidR="0012676C" w:rsidRPr="005C5E32" w:rsidRDefault="00830B69" w:rsidP="008F6E84">
      <w:pPr>
        <w:pStyle w:val="BodyText"/>
        <w:keepLines/>
      </w:pPr>
      <w:r w:rsidRPr="005C5E32">
        <w:t>To</w:t>
      </w:r>
      <w:r w:rsidR="0012676C" w:rsidRPr="005C5E32">
        <w:t xml:space="preserve"> ensure disposal facility operators </w:t>
      </w:r>
      <w:r w:rsidR="00C24A50" w:rsidRPr="005C5E32">
        <w:t xml:space="preserve">were </w:t>
      </w:r>
      <w:r w:rsidR="0012676C" w:rsidRPr="005C5E32">
        <w:t>filing returns in OWLS</w:t>
      </w:r>
      <w:r w:rsidR="00C24A50" w:rsidRPr="005C5E32">
        <w:t xml:space="preserve"> accurately</w:t>
      </w:r>
      <w:r w:rsidR="00EA6487" w:rsidRPr="005C5E32">
        <w:t>, the Ministry</w:t>
      </w:r>
      <w:r w:rsidR="00C24A50" w:rsidRPr="005C5E32">
        <w:t>’s Compliance, Monitoring and Enforcement team within Waste Operations</w:t>
      </w:r>
      <w:r w:rsidR="00EA6487" w:rsidRPr="005C5E32">
        <w:t xml:space="preserve"> </w:t>
      </w:r>
      <w:r w:rsidR="00C24A50" w:rsidRPr="005C5E32">
        <w:t>undertook</w:t>
      </w:r>
      <w:r w:rsidR="00EA6487" w:rsidRPr="005C5E32">
        <w:t xml:space="preserve"> a compliance programme</w:t>
      </w:r>
      <w:r w:rsidR="0012676C" w:rsidRPr="005C5E32">
        <w:t>. Compliance audits and enforcement cover</w:t>
      </w:r>
      <w:r w:rsidR="0020028C" w:rsidRPr="005C5E32">
        <w:t>ed</w:t>
      </w:r>
      <w:r w:rsidR="0012676C" w:rsidRPr="005C5E32">
        <w:t xml:space="preserve"> the entire process at</w:t>
      </w:r>
      <w:r w:rsidR="00C71FE0" w:rsidRPr="005C5E32">
        <w:t> </w:t>
      </w:r>
      <w:r w:rsidR="0012676C" w:rsidRPr="005C5E32">
        <w:t xml:space="preserve">each </w:t>
      </w:r>
      <w:r w:rsidRPr="005C5E32">
        <w:t xml:space="preserve">disposal facility – </w:t>
      </w:r>
      <w:r w:rsidR="0012676C" w:rsidRPr="005C5E32">
        <w:t>from the weighing stations through to the calculation and filing of</w:t>
      </w:r>
      <w:r w:rsidR="00C71FE0" w:rsidRPr="005C5E32">
        <w:t> </w:t>
      </w:r>
      <w:r w:rsidR="0012676C" w:rsidRPr="005C5E32">
        <w:t>returns.</w:t>
      </w:r>
    </w:p>
    <w:p w14:paraId="6B23DB96" w14:textId="69743097" w:rsidR="00216DA2" w:rsidRPr="005C5E32" w:rsidRDefault="0012676C" w:rsidP="005161CD">
      <w:pPr>
        <w:pStyle w:val="Heading5"/>
      </w:pPr>
      <w:r w:rsidRPr="005C5E32">
        <w:t>Waste disposed of at landfills subject to a waste disposal levy</w:t>
      </w:r>
    </w:p>
    <w:p w14:paraId="488DE9D8" w14:textId="597ED913" w:rsidR="0012676C" w:rsidRPr="005C5E32" w:rsidRDefault="0012676C" w:rsidP="002807E9">
      <w:pPr>
        <w:pStyle w:val="BodyText"/>
      </w:pPr>
      <w:r w:rsidRPr="005C5E32">
        <w:t>The data used to generate statistics for this measure</w:t>
      </w:r>
      <w:r w:rsidR="00D74B14">
        <w:t xml:space="preserve"> (</w:t>
      </w:r>
      <w:r w:rsidR="00D74B14" w:rsidRPr="005C5E32">
        <w:rPr>
          <w:color w:val="32809C"/>
          <w:szCs w:val="18"/>
        </w:rPr>
        <w:fldChar w:fldCharType="begin"/>
      </w:r>
      <w:r w:rsidR="00D74B14" w:rsidRPr="005C5E32">
        <w:rPr>
          <w:color w:val="32809C"/>
          <w:szCs w:val="18"/>
        </w:rPr>
        <w:instrText xml:space="preserve"> REF _Ref238701866 \h \*Lower  \* MERGEFORMAT </w:instrText>
      </w:r>
      <w:r w:rsidR="00D74B14" w:rsidRPr="005C5E32">
        <w:rPr>
          <w:color w:val="32809C"/>
          <w:szCs w:val="18"/>
        </w:rPr>
      </w:r>
      <w:r w:rsidR="00D74B14" w:rsidRPr="005C5E32">
        <w:rPr>
          <w:color w:val="32809C"/>
          <w:szCs w:val="18"/>
        </w:rPr>
        <w:fldChar w:fldCharType="separate"/>
      </w:r>
      <w:r w:rsidR="00D8311D" w:rsidRPr="00D8311D">
        <w:rPr>
          <w:color w:val="32809C"/>
          <w:szCs w:val="18"/>
        </w:rPr>
        <w:t>figure 2</w:t>
      </w:r>
      <w:r w:rsidR="00D74B14" w:rsidRPr="005C5E32">
        <w:rPr>
          <w:color w:val="32809C"/>
          <w:szCs w:val="18"/>
        </w:rPr>
        <w:fldChar w:fldCharType="end"/>
      </w:r>
      <w:r w:rsidR="00D74B14" w:rsidRPr="005C5E32">
        <w:t>)</w:t>
      </w:r>
      <w:r w:rsidR="00D74B14">
        <w:t xml:space="preserve"> </w:t>
      </w:r>
      <w:r w:rsidRPr="005C5E32">
        <w:t>reflect the period to 30</w:t>
      </w:r>
      <w:r w:rsidR="002A2C25" w:rsidRPr="005C5E32">
        <w:t> </w:t>
      </w:r>
      <w:r w:rsidRPr="005C5E32">
        <w:t>June 2026, and</w:t>
      </w:r>
      <w:r w:rsidR="00B84741" w:rsidRPr="005C5E32">
        <w:t xml:space="preserve"> are</w:t>
      </w:r>
      <w:r w:rsidRPr="005C5E32">
        <w:t xml:space="preserve"> current</w:t>
      </w:r>
      <w:r w:rsidR="00FD1472" w:rsidRPr="005C5E32">
        <w:t xml:space="preserve"> as</w:t>
      </w:r>
      <w:r w:rsidRPr="005C5E32">
        <w:t xml:space="preserve"> </w:t>
      </w:r>
      <w:r w:rsidR="00B622E1" w:rsidRPr="005C5E32">
        <w:t xml:space="preserve">at </w:t>
      </w:r>
      <w:r w:rsidRPr="005C5E32">
        <w:t xml:space="preserve">23 July 2026. The data may be subject to future </w:t>
      </w:r>
      <w:r w:rsidR="0069721C" w:rsidRPr="005C5E32">
        <w:t>revision</w:t>
      </w:r>
      <w:r w:rsidR="0017381A" w:rsidRPr="005C5E32">
        <w:t xml:space="preserve"> </w:t>
      </w:r>
      <w:r w:rsidRPr="005C5E32">
        <w:t xml:space="preserve">for the reasons outlined below. A version of the data used has been saved for record-keeping </w:t>
      </w:r>
      <w:r w:rsidR="0017381A" w:rsidRPr="005C5E32">
        <w:t>and reporting</w:t>
      </w:r>
      <w:r w:rsidR="007C07D6" w:rsidRPr="005C5E32">
        <w:t xml:space="preserve"> purposes.</w:t>
      </w:r>
    </w:p>
    <w:p w14:paraId="5125B39C" w14:textId="29CDD3F8" w:rsidR="00101091" w:rsidRPr="005C5E32" w:rsidRDefault="0020028C" w:rsidP="00101091">
      <w:pPr>
        <w:pStyle w:val="BodyText"/>
        <w:rPr>
          <w:spacing w:val="-2"/>
        </w:rPr>
      </w:pPr>
      <w:r w:rsidRPr="005C5E32">
        <w:rPr>
          <w:spacing w:val="-2"/>
        </w:rPr>
        <w:t>Some h</w:t>
      </w:r>
      <w:r w:rsidR="0012676C" w:rsidRPr="005C5E32">
        <w:rPr>
          <w:spacing w:val="-2"/>
        </w:rPr>
        <w:t>istoric</w:t>
      </w:r>
      <w:r w:rsidRPr="005C5E32">
        <w:rPr>
          <w:spacing w:val="-2"/>
        </w:rPr>
        <w:t>al</w:t>
      </w:r>
      <w:r w:rsidR="0012676C" w:rsidRPr="005C5E32">
        <w:rPr>
          <w:spacing w:val="-2"/>
        </w:rPr>
        <w:t xml:space="preserve"> waste</w:t>
      </w:r>
      <w:r w:rsidR="007C07D6" w:rsidRPr="005C5E32">
        <w:rPr>
          <w:spacing w:val="-2"/>
        </w:rPr>
        <w:t>-</w:t>
      </w:r>
      <w:r w:rsidR="0012676C" w:rsidRPr="005C5E32">
        <w:rPr>
          <w:spacing w:val="-2"/>
        </w:rPr>
        <w:t>per</w:t>
      </w:r>
      <w:r w:rsidR="007C07D6" w:rsidRPr="005C5E32">
        <w:rPr>
          <w:spacing w:val="-2"/>
        </w:rPr>
        <w:t>-</w:t>
      </w:r>
      <w:r w:rsidR="0012676C" w:rsidRPr="005C5E32">
        <w:rPr>
          <w:spacing w:val="-2"/>
        </w:rPr>
        <w:t xml:space="preserve">capita values may </w:t>
      </w:r>
      <w:r w:rsidR="005A46D1" w:rsidRPr="005C5E32">
        <w:rPr>
          <w:spacing w:val="-2"/>
        </w:rPr>
        <w:t>be revised in the future</w:t>
      </w:r>
      <w:r w:rsidR="0012676C" w:rsidRPr="005C5E32">
        <w:rPr>
          <w:spacing w:val="-2"/>
        </w:rPr>
        <w:t xml:space="preserve">. </w:t>
      </w:r>
      <w:r w:rsidR="005F4D87" w:rsidRPr="005C5E32">
        <w:rPr>
          <w:spacing w:val="-2"/>
        </w:rPr>
        <w:t xml:space="preserve">As waste-per-capita </w:t>
      </w:r>
      <w:r w:rsidR="00CC0626" w:rsidRPr="005C5E32">
        <w:rPr>
          <w:spacing w:val="-2"/>
        </w:rPr>
        <w:t>values</w:t>
      </w:r>
      <w:r w:rsidR="002A2C25" w:rsidRPr="005C5E32">
        <w:rPr>
          <w:spacing w:val="-2"/>
        </w:rPr>
        <w:t> </w:t>
      </w:r>
      <w:r w:rsidR="00CC0626" w:rsidRPr="005C5E32">
        <w:rPr>
          <w:spacing w:val="-2"/>
        </w:rPr>
        <w:t xml:space="preserve">were </w:t>
      </w:r>
      <w:r w:rsidR="005F4D87" w:rsidRPr="005C5E32">
        <w:rPr>
          <w:spacing w:val="-2"/>
        </w:rPr>
        <w:t>calculated</w:t>
      </w:r>
      <w:r w:rsidR="0012676C" w:rsidRPr="005C5E32">
        <w:rPr>
          <w:spacing w:val="-2"/>
        </w:rPr>
        <w:t xml:space="preserve"> before Stats NZ resident population estimates for the financial year</w:t>
      </w:r>
      <w:r w:rsidR="00FB174B" w:rsidRPr="005C5E32">
        <w:rPr>
          <w:spacing w:val="-2"/>
        </w:rPr>
        <w:t xml:space="preserve"> were</w:t>
      </w:r>
      <w:r w:rsidR="002A2C25" w:rsidRPr="005C5E32">
        <w:rPr>
          <w:spacing w:val="-2"/>
        </w:rPr>
        <w:t> </w:t>
      </w:r>
      <w:r w:rsidR="00FB174B" w:rsidRPr="005C5E32">
        <w:rPr>
          <w:spacing w:val="-2"/>
        </w:rPr>
        <w:t>avai</w:t>
      </w:r>
      <w:r w:rsidR="005669A4" w:rsidRPr="005C5E32">
        <w:rPr>
          <w:spacing w:val="-2"/>
        </w:rPr>
        <w:t>lable</w:t>
      </w:r>
      <w:r w:rsidR="0012676C" w:rsidRPr="005C5E32">
        <w:rPr>
          <w:spacing w:val="-2"/>
        </w:rPr>
        <w:t xml:space="preserve">, </w:t>
      </w:r>
      <w:r w:rsidR="000B3A51" w:rsidRPr="005C5E32">
        <w:rPr>
          <w:spacing w:val="-2"/>
        </w:rPr>
        <w:t xml:space="preserve">the population for the final quarter of the most recent year was estimated. </w:t>
      </w:r>
      <w:r w:rsidR="00101091" w:rsidRPr="005C5E32">
        <w:rPr>
          <w:spacing w:val="-2"/>
        </w:rPr>
        <w:t>Statistical values may subsequently be recalculated if Stats NZ publishes updated resident population estimates.</w:t>
      </w:r>
    </w:p>
    <w:p w14:paraId="0750E541" w14:textId="452E9BB6" w:rsidR="0012676C" w:rsidRPr="005C5E32" w:rsidRDefault="0012676C" w:rsidP="005D07F6">
      <w:pPr>
        <w:pStyle w:val="BodyText"/>
      </w:pPr>
      <w:r w:rsidRPr="005C5E32">
        <w:rPr>
          <w:spacing w:val="-2"/>
        </w:rPr>
        <w:lastRenderedPageBreak/>
        <w:t xml:space="preserve">Stats NZ </w:t>
      </w:r>
      <w:r w:rsidR="00B3545C" w:rsidRPr="005C5E32">
        <w:rPr>
          <w:spacing w:val="-2"/>
        </w:rPr>
        <w:t xml:space="preserve">may also revise </w:t>
      </w:r>
      <w:r w:rsidRPr="005C5E32">
        <w:rPr>
          <w:spacing w:val="-2"/>
        </w:rPr>
        <w:t>resident population estimates for historic</w:t>
      </w:r>
      <w:r w:rsidR="0020028C" w:rsidRPr="005C5E32">
        <w:rPr>
          <w:spacing w:val="-2"/>
        </w:rPr>
        <w:t>al</w:t>
      </w:r>
      <w:r w:rsidRPr="005C5E32">
        <w:rPr>
          <w:spacing w:val="-2"/>
        </w:rPr>
        <w:t xml:space="preserve"> quarters</w:t>
      </w:r>
      <w:r w:rsidR="004E21F8" w:rsidRPr="005C5E32">
        <w:rPr>
          <w:spacing w:val="-2"/>
        </w:rPr>
        <w:t>.</w:t>
      </w:r>
      <w:r w:rsidR="00D64965" w:rsidRPr="005C5E32">
        <w:rPr>
          <w:spacing w:val="-2"/>
        </w:rPr>
        <w:t xml:space="preserve"> </w:t>
      </w:r>
      <w:r w:rsidR="004E21F8" w:rsidRPr="005C5E32">
        <w:rPr>
          <w:spacing w:val="-2"/>
        </w:rPr>
        <w:t>D</w:t>
      </w:r>
      <w:r w:rsidR="00A45C7A" w:rsidRPr="005C5E32">
        <w:rPr>
          <w:spacing w:val="-2"/>
        </w:rPr>
        <w:t>ue to</w:t>
      </w:r>
      <w:r w:rsidRPr="005C5E32">
        <w:rPr>
          <w:spacing w:val="-2"/>
        </w:rPr>
        <w:t xml:space="preserve"> </w:t>
      </w:r>
      <w:r w:rsidR="00A45C7A" w:rsidRPr="005C5E32">
        <w:rPr>
          <w:spacing w:val="-2"/>
        </w:rPr>
        <w:t>revised</w:t>
      </w:r>
      <w:r w:rsidRPr="005C5E32" w:rsidDel="00A45C7A">
        <w:t xml:space="preserve"> </w:t>
      </w:r>
      <w:r w:rsidRPr="005C5E32">
        <w:t>historic</w:t>
      </w:r>
      <w:r w:rsidR="0020028C" w:rsidRPr="005C5E32">
        <w:t>al</w:t>
      </w:r>
      <w:r w:rsidRPr="005C5E32">
        <w:t xml:space="preserve"> population estimates for waste tonnage per person</w:t>
      </w:r>
      <w:r w:rsidR="00A45C7A" w:rsidRPr="005C5E32">
        <w:t>,</w:t>
      </w:r>
      <w:r w:rsidR="004E21F8" w:rsidRPr="005C5E32">
        <w:t xml:space="preserve"> </w:t>
      </w:r>
      <w:r w:rsidR="0020028C" w:rsidRPr="005C5E32">
        <w:t xml:space="preserve">in </w:t>
      </w:r>
      <w:r w:rsidR="004E21F8" w:rsidRPr="005C5E32">
        <w:t xml:space="preserve">this year’s annual report </w:t>
      </w:r>
      <w:r w:rsidR="0020028C" w:rsidRPr="005C5E32">
        <w:t>we</w:t>
      </w:r>
      <w:r w:rsidR="00C71FE0" w:rsidRPr="005C5E32">
        <w:t> </w:t>
      </w:r>
      <w:r w:rsidR="0020028C" w:rsidRPr="005C5E32">
        <w:t xml:space="preserve">have </w:t>
      </w:r>
      <w:r w:rsidR="004E21F8" w:rsidRPr="005C5E32">
        <w:t>updated</w:t>
      </w:r>
      <w:r w:rsidRPr="005C5E32">
        <w:t xml:space="preserve"> statistics </w:t>
      </w:r>
      <w:r w:rsidR="006760EF" w:rsidRPr="005C5E32">
        <w:t xml:space="preserve">provided </w:t>
      </w:r>
      <w:r w:rsidR="00594427" w:rsidRPr="005C5E32">
        <w:t xml:space="preserve">in </w:t>
      </w:r>
      <w:r w:rsidR="004E21F8" w:rsidRPr="005C5E32">
        <w:t>the 2024/25 annual report</w:t>
      </w:r>
      <w:r w:rsidRPr="005C5E32">
        <w:t xml:space="preserve">. The previously reported 2024/25 result, </w:t>
      </w:r>
      <w:r w:rsidR="00293E8B" w:rsidRPr="005C5E32">
        <w:t xml:space="preserve">which </w:t>
      </w:r>
      <w:r w:rsidRPr="005C5E32">
        <w:t>decrease</w:t>
      </w:r>
      <w:r w:rsidR="00293E8B" w:rsidRPr="005C5E32">
        <w:t>d by</w:t>
      </w:r>
      <w:r w:rsidRPr="005C5E32">
        <w:t xml:space="preserve"> 5.</w:t>
      </w:r>
      <w:r w:rsidR="00CE75BE" w:rsidRPr="005C5E32">
        <w:t>1</w:t>
      </w:r>
      <w:r w:rsidR="0020028C" w:rsidRPr="005C5E32">
        <w:t xml:space="preserve"> percent</w:t>
      </w:r>
      <w:r w:rsidR="00293E8B" w:rsidRPr="005C5E32">
        <w:t xml:space="preserve"> from 2023/24</w:t>
      </w:r>
      <w:r w:rsidRPr="005C5E32">
        <w:t>, is now revised to a decrease of</w:t>
      </w:r>
      <w:r w:rsidR="002A2C25" w:rsidRPr="005C5E32">
        <w:t> </w:t>
      </w:r>
      <w:r w:rsidRPr="005C5E32">
        <w:t>4.6</w:t>
      </w:r>
      <w:r w:rsidR="0020028C" w:rsidRPr="005C5E32">
        <w:t xml:space="preserve"> percent</w:t>
      </w:r>
      <w:r w:rsidRPr="005C5E32">
        <w:t xml:space="preserve">. The difference between </w:t>
      </w:r>
      <w:r w:rsidR="006F2F10" w:rsidRPr="005C5E32">
        <w:t xml:space="preserve">the </w:t>
      </w:r>
      <w:r w:rsidRPr="005C5E32">
        <w:t xml:space="preserve">estimated population used to calculate the statistics for 2024/25 and 2025/26 is </w:t>
      </w:r>
      <w:r w:rsidR="0020028C" w:rsidRPr="005C5E32">
        <w:t>–</w:t>
      </w:r>
      <w:r w:rsidRPr="005C5E32">
        <w:t>2</w:t>
      </w:r>
      <w:r w:rsidR="006D0540" w:rsidRPr="005C5E32">
        <w:t>,</w:t>
      </w:r>
      <w:r w:rsidRPr="005C5E32">
        <w:t>774</w:t>
      </w:r>
      <w:r w:rsidR="00735B8D">
        <w:t xml:space="preserve"> (table 1)</w:t>
      </w:r>
      <w:r w:rsidR="00013BD2" w:rsidRPr="005C5E32">
        <w:t>.</w:t>
      </w:r>
      <w:r w:rsidR="00D64965" w:rsidRPr="005C5E32">
        <w:t xml:space="preserve"> </w:t>
      </w:r>
      <w:r w:rsidRPr="005C5E32">
        <w:t xml:space="preserve">Further, </w:t>
      </w:r>
      <w:r w:rsidR="0020028C" w:rsidRPr="005C5E32">
        <w:t xml:space="preserve">waste facility operators may revise </w:t>
      </w:r>
      <w:r w:rsidRPr="005C5E32">
        <w:t>historic</w:t>
      </w:r>
      <w:r w:rsidR="0020028C" w:rsidRPr="005C5E32">
        <w:t>al</w:t>
      </w:r>
      <w:r w:rsidRPr="005C5E32">
        <w:t xml:space="preserve"> waste tonnage values afte</w:t>
      </w:r>
      <w:r w:rsidR="00234ADF" w:rsidRPr="005C5E32">
        <w:t>r</w:t>
      </w:r>
      <w:r w:rsidR="0020028C" w:rsidRPr="005C5E32">
        <w:t xml:space="preserve"> thei</w:t>
      </w:r>
      <w:r w:rsidRPr="005C5E32">
        <w:t xml:space="preserve">r initial submission, such as when </w:t>
      </w:r>
      <w:r w:rsidR="00234ADF" w:rsidRPr="005C5E32">
        <w:t xml:space="preserve">their </w:t>
      </w:r>
      <w:r w:rsidRPr="005C5E32">
        <w:t>applications for levy exemption are granted</w:t>
      </w:r>
      <w:r w:rsidR="00234ADF" w:rsidRPr="005C5E32">
        <w:t xml:space="preserve"> after that submission</w:t>
      </w:r>
      <w:r w:rsidRPr="005C5E32">
        <w:t xml:space="preserve">. </w:t>
      </w:r>
    </w:p>
    <w:p w14:paraId="4577A3AA" w14:textId="2B70F3C9" w:rsidR="0012676C" w:rsidRPr="005C5E32" w:rsidRDefault="0012676C" w:rsidP="001424CD">
      <w:pPr>
        <w:pStyle w:val="Tableheading"/>
      </w:pPr>
      <w:bookmarkStart w:id="85" w:name="_Ref237422517"/>
      <w:r w:rsidRPr="005C5E32">
        <w:t xml:space="preserve">Table </w:t>
      </w:r>
      <w:fldSimple w:instr=" SEQ Table \* ARABIC ">
        <w:r w:rsidR="00D8311D">
          <w:rPr>
            <w:noProof/>
          </w:rPr>
          <w:t>1</w:t>
        </w:r>
      </w:fldSimple>
      <w:bookmarkEnd w:id="85"/>
      <w:r w:rsidRPr="005C5E32">
        <w:t>:</w:t>
      </w:r>
      <w:r w:rsidRPr="005C5E32">
        <w:tab/>
        <w:t xml:space="preserve">Stats NZ resident population estimates used for </w:t>
      </w:r>
      <w:r w:rsidR="00FF231E" w:rsidRPr="005C5E32">
        <w:rPr>
          <w:szCs w:val="18"/>
        </w:rPr>
        <w:t>w</w:t>
      </w:r>
      <w:r w:rsidRPr="005C5E32">
        <w:rPr>
          <w:szCs w:val="18"/>
        </w:rPr>
        <w:t>aste tonnage per person</w:t>
      </w:r>
      <w:r w:rsidR="00FF231E" w:rsidRPr="005C5E32">
        <w:t xml:space="preserve">, </w:t>
      </w:r>
      <w:r w:rsidR="00234ADF" w:rsidRPr="005C5E32">
        <w:t>comparisons</w:t>
      </w:r>
      <w:r w:rsidR="002A2C25" w:rsidRPr="005C5E32">
        <w:t> </w:t>
      </w:r>
      <w:r w:rsidR="00234ADF" w:rsidRPr="005C5E32">
        <w:t xml:space="preserve">of </w:t>
      </w:r>
      <w:r w:rsidRPr="005C5E32">
        <w:t>202</w:t>
      </w:r>
      <w:r w:rsidR="00DC7EFC" w:rsidRPr="005C5E32">
        <w:t>4</w:t>
      </w:r>
      <w:r w:rsidRPr="005C5E32">
        <w:t>/2</w:t>
      </w:r>
      <w:r w:rsidR="00DC7EFC" w:rsidRPr="005C5E32">
        <w:t>5</w:t>
      </w:r>
      <w:r w:rsidRPr="005C5E32">
        <w:t xml:space="preserve"> and 202</w:t>
      </w:r>
      <w:r w:rsidR="00DC7EFC" w:rsidRPr="005C5E32">
        <w:t>5</w:t>
      </w:r>
      <w:r w:rsidRPr="005C5E32">
        <w:t>/2</w:t>
      </w:r>
      <w:r w:rsidR="00DC7EFC" w:rsidRPr="005C5E32">
        <w:t>6</w:t>
      </w:r>
      <w:r w:rsidR="00FF231E" w:rsidRPr="005C5E32">
        <w:t xml:space="preserve"> annual report</w:t>
      </w:r>
      <w:r w:rsidR="00234ADF" w:rsidRPr="005C5E32">
        <w:t>s</w:t>
      </w:r>
      <w:r w:rsidR="00FF231E" w:rsidRPr="005C5E32">
        <w:t xml:space="preserve"> </w:t>
      </w:r>
    </w:p>
    <w:tbl>
      <w:tblPr>
        <w:tblStyle w:val="TableGridLight"/>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CellMar>
          <w:left w:w="85" w:type="dxa"/>
          <w:right w:w="85" w:type="dxa"/>
        </w:tblCellMar>
        <w:tblLook w:val="04A0" w:firstRow="1" w:lastRow="0" w:firstColumn="1" w:lastColumn="0" w:noHBand="0" w:noVBand="1"/>
      </w:tblPr>
      <w:tblGrid>
        <w:gridCol w:w="1415"/>
        <w:gridCol w:w="2696"/>
        <w:gridCol w:w="2693"/>
        <w:gridCol w:w="1701"/>
      </w:tblGrid>
      <w:tr w:rsidR="0012676C" w:rsidRPr="005C5E32" w14:paraId="7B2B6554" w14:textId="77777777" w:rsidTr="00C71FE0">
        <w:tc>
          <w:tcPr>
            <w:tcW w:w="1415" w:type="dxa"/>
            <w:shd w:val="clear" w:color="auto" w:fill="1B556B" w:themeFill="text2"/>
            <w:vAlign w:val="bottom"/>
          </w:tcPr>
          <w:p w14:paraId="19CE7B50" w14:textId="77777777" w:rsidR="0012676C" w:rsidRPr="005C5E32" w:rsidRDefault="0012676C" w:rsidP="00096116">
            <w:pPr>
              <w:pStyle w:val="TableTextbold"/>
              <w:keepNext/>
              <w:spacing w:before="40" w:after="40"/>
              <w:rPr>
                <w:color w:val="FFFFFF" w:themeColor="background1"/>
                <w:szCs w:val="18"/>
              </w:rPr>
            </w:pPr>
            <w:r w:rsidRPr="005C5E32">
              <w:rPr>
                <w:color w:val="FFFFFF" w:themeColor="background1"/>
                <w:szCs w:val="18"/>
              </w:rPr>
              <w:t>Financial year</w:t>
            </w:r>
          </w:p>
        </w:tc>
        <w:tc>
          <w:tcPr>
            <w:tcW w:w="2696" w:type="dxa"/>
            <w:shd w:val="clear" w:color="auto" w:fill="1B556B" w:themeFill="text2"/>
            <w:vAlign w:val="bottom"/>
          </w:tcPr>
          <w:p w14:paraId="215D7BA3" w14:textId="30F6424D" w:rsidR="0012676C" w:rsidRPr="005C5E32" w:rsidRDefault="0012676C" w:rsidP="00C71FE0">
            <w:pPr>
              <w:pStyle w:val="TableTextbold"/>
              <w:keepNext/>
              <w:spacing w:before="40" w:after="40"/>
              <w:jc w:val="right"/>
              <w:rPr>
                <w:color w:val="FFFFFF" w:themeColor="background1"/>
                <w:szCs w:val="18"/>
              </w:rPr>
            </w:pPr>
            <w:r w:rsidRPr="005C5E32">
              <w:rPr>
                <w:color w:val="FFFFFF" w:themeColor="background1"/>
                <w:szCs w:val="18"/>
              </w:rPr>
              <w:t xml:space="preserve">Population estimates: </w:t>
            </w:r>
            <w:r w:rsidR="00C71FE0" w:rsidRPr="005C5E32">
              <w:rPr>
                <w:color w:val="FFFFFF" w:themeColor="background1"/>
                <w:szCs w:val="18"/>
              </w:rPr>
              <w:br/>
            </w:r>
            <w:r w:rsidRPr="005C5E32">
              <w:rPr>
                <w:i/>
                <w:color w:val="FFFFFF" w:themeColor="background1"/>
                <w:szCs w:val="18"/>
              </w:rPr>
              <w:t xml:space="preserve">Annual Report </w:t>
            </w:r>
            <w:r w:rsidR="00796085" w:rsidRPr="005C5E32">
              <w:rPr>
                <w:i/>
                <w:color w:val="FFFFFF" w:themeColor="background1"/>
                <w:szCs w:val="18"/>
              </w:rPr>
              <w:t>20</w:t>
            </w:r>
            <w:r w:rsidRPr="005C5E32">
              <w:rPr>
                <w:i/>
                <w:color w:val="FFFFFF" w:themeColor="background1"/>
                <w:szCs w:val="18"/>
              </w:rPr>
              <w:t>24/25</w:t>
            </w:r>
          </w:p>
        </w:tc>
        <w:tc>
          <w:tcPr>
            <w:tcW w:w="2693" w:type="dxa"/>
            <w:shd w:val="clear" w:color="auto" w:fill="1B556B" w:themeFill="text2"/>
          </w:tcPr>
          <w:p w14:paraId="1A5CF24F" w14:textId="6DE77AA6" w:rsidR="0012676C" w:rsidRPr="005C5E32" w:rsidRDefault="0012676C" w:rsidP="00C71FE0">
            <w:pPr>
              <w:pStyle w:val="TableTextbold"/>
              <w:keepNext/>
              <w:spacing w:before="40" w:after="40"/>
              <w:jc w:val="right"/>
              <w:rPr>
                <w:color w:val="FFFFFF" w:themeColor="background1"/>
                <w:szCs w:val="18"/>
              </w:rPr>
            </w:pPr>
            <w:r w:rsidRPr="005C5E32">
              <w:rPr>
                <w:color w:val="FFFFFF" w:themeColor="background1"/>
                <w:szCs w:val="18"/>
              </w:rPr>
              <w:t>Population estimates:</w:t>
            </w:r>
            <w:r w:rsidRPr="005C5E32">
              <w:rPr>
                <w:color w:val="FFFFFF" w:themeColor="background1"/>
                <w:szCs w:val="18"/>
              </w:rPr>
              <w:br/>
            </w:r>
            <w:r w:rsidRPr="005C5E32">
              <w:rPr>
                <w:i/>
                <w:color w:val="FFFFFF" w:themeColor="background1"/>
                <w:szCs w:val="18"/>
              </w:rPr>
              <w:t xml:space="preserve">Annual Report </w:t>
            </w:r>
            <w:r w:rsidR="00796085" w:rsidRPr="005C5E32">
              <w:rPr>
                <w:i/>
                <w:color w:val="FFFFFF" w:themeColor="background1"/>
                <w:szCs w:val="18"/>
              </w:rPr>
              <w:t>20</w:t>
            </w:r>
            <w:r w:rsidRPr="005C5E32">
              <w:rPr>
                <w:i/>
                <w:color w:val="FFFFFF" w:themeColor="background1"/>
                <w:szCs w:val="18"/>
              </w:rPr>
              <w:t>25/26</w:t>
            </w:r>
          </w:p>
        </w:tc>
        <w:tc>
          <w:tcPr>
            <w:tcW w:w="1701" w:type="dxa"/>
            <w:shd w:val="clear" w:color="auto" w:fill="1B556B" w:themeFill="text2"/>
            <w:vAlign w:val="bottom"/>
          </w:tcPr>
          <w:p w14:paraId="7AC88F39" w14:textId="77777777" w:rsidR="0012676C" w:rsidRPr="005C5E32" w:rsidRDefault="0012676C" w:rsidP="00C71FE0">
            <w:pPr>
              <w:pStyle w:val="TableTextbold"/>
              <w:keepNext/>
              <w:spacing w:before="40" w:after="40"/>
              <w:jc w:val="right"/>
              <w:rPr>
                <w:color w:val="FFFFFF" w:themeColor="background1"/>
                <w:szCs w:val="18"/>
              </w:rPr>
            </w:pPr>
            <w:r w:rsidRPr="005C5E32">
              <w:rPr>
                <w:color w:val="FFFFFF" w:themeColor="background1"/>
                <w:szCs w:val="18"/>
              </w:rPr>
              <w:t>Difference</w:t>
            </w:r>
          </w:p>
        </w:tc>
      </w:tr>
      <w:tr w:rsidR="0012676C" w:rsidRPr="005C5E32" w14:paraId="595C0FF8" w14:textId="77777777" w:rsidTr="00C71FE0">
        <w:tc>
          <w:tcPr>
            <w:tcW w:w="1415" w:type="dxa"/>
          </w:tcPr>
          <w:p w14:paraId="4ADB4FCF" w14:textId="77777777" w:rsidR="0012676C" w:rsidRPr="005C5E32" w:rsidRDefault="0012676C" w:rsidP="00096116">
            <w:pPr>
              <w:pStyle w:val="TableText"/>
            </w:pPr>
            <w:r w:rsidRPr="005C5E32">
              <w:t>2023/24</w:t>
            </w:r>
          </w:p>
        </w:tc>
        <w:tc>
          <w:tcPr>
            <w:tcW w:w="2696" w:type="dxa"/>
            <w:vAlign w:val="center"/>
          </w:tcPr>
          <w:p w14:paraId="5A91A19F" w14:textId="77777777" w:rsidR="0012676C" w:rsidRPr="005C5E32" w:rsidRDefault="0012676C" w:rsidP="00D622C8">
            <w:pPr>
              <w:pStyle w:val="TableText"/>
              <w:jc w:val="right"/>
            </w:pPr>
            <w:r w:rsidRPr="005C5E32">
              <w:t>5,248,916 </w:t>
            </w:r>
          </w:p>
        </w:tc>
        <w:tc>
          <w:tcPr>
            <w:tcW w:w="2693" w:type="dxa"/>
            <w:vAlign w:val="center"/>
          </w:tcPr>
          <w:p w14:paraId="1FF24068" w14:textId="7F62895F" w:rsidR="0012676C" w:rsidRPr="005C5E32" w:rsidRDefault="0012676C" w:rsidP="00D622C8">
            <w:pPr>
              <w:pStyle w:val="TableText"/>
              <w:jc w:val="right"/>
            </w:pPr>
            <w:r w:rsidRPr="005C5E32">
              <w:t>5</w:t>
            </w:r>
            <w:r w:rsidR="00796085" w:rsidRPr="005C5E32">
              <w:t>,</w:t>
            </w:r>
            <w:r w:rsidRPr="005C5E32">
              <w:t>248</w:t>
            </w:r>
            <w:r w:rsidR="00796085" w:rsidRPr="005C5E32">
              <w:t>,</w:t>
            </w:r>
            <w:r w:rsidRPr="005C5E32">
              <w:t>858</w:t>
            </w:r>
          </w:p>
        </w:tc>
        <w:tc>
          <w:tcPr>
            <w:tcW w:w="1701" w:type="dxa"/>
            <w:vAlign w:val="center"/>
          </w:tcPr>
          <w:p w14:paraId="2B9DA1FC" w14:textId="3A579825" w:rsidR="0012676C" w:rsidRPr="005C5E32" w:rsidRDefault="00CE77DC" w:rsidP="00D622C8">
            <w:pPr>
              <w:pStyle w:val="TableText"/>
              <w:jc w:val="right"/>
            </w:pPr>
            <w:r>
              <w:t xml:space="preserve">- </w:t>
            </w:r>
            <w:r w:rsidR="0012676C" w:rsidRPr="005C5E32">
              <w:t>58</w:t>
            </w:r>
          </w:p>
        </w:tc>
      </w:tr>
      <w:tr w:rsidR="00DC7EFC" w:rsidRPr="005C5E32" w14:paraId="006CB673" w14:textId="77777777" w:rsidTr="00C71FE0">
        <w:tc>
          <w:tcPr>
            <w:tcW w:w="1415" w:type="dxa"/>
          </w:tcPr>
          <w:p w14:paraId="3BDD8B9D" w14:textId="77777777" w:rsidR="00DC7EFC" w:rsidRPr="005C5E32" w:rsidRDefault="00DC7EFC" w:rsidP="00096116">
            <w:pPr>
              <w:pStyle w:val="TableText"/>
            </w:pPr>
            <w:r w:rsidRPr="005C5E32">
              <w:t>2024/25</w:t>
            </w:r>
          </w:p>
        </w:tc>
        <w:tc>
          <w:tcPr>
            <w:tcW w:w="2696" w:type="dxa"/>
            <w:vAlign w:val="center"/>
          </w:tcPr>
          <w:p w14:paraId="3D41DCCD" w14:textId="77777777" w:rsidR="00DC7EFC" w:rsidRPr="005C5E32" w:rsidRDefault="00DC7EFC" w:rsidP="00D622C8">
            <w:pPr>
              <w:pStyle w:val="TableText"/>
              <w:jc w:val="right"/>
            </w:pPr>
            <w:r w:rsidRPr="005C5E32">
              <w:t>5,308,106 </w:t>
            </w:r>
          </w:p>
        </w:tc>
        <w:tc>
          <w:tcPr>
            <w:tcW w:w="2693" w:type="dxa"/>
            <w:vAlign w:val="center"/>
          </w:tcPr>
          <w:p w14:paraId="22C08B5A" w14:textId="3164251C" w:rsidR="00DC7EFC" w:rsidRPr="005C5E32" w:rsidRDefault="00DC7EFC" w:rsidP="00D622C8">
            <w:pPr>
              <w:pStyle w:val="TableText"/>
              <w:jc w:val="right"/>
            </w:pPr>
            <w:r w:rsidRPr="005C5E32">
              <w:t>5</w:t>
            </w:r>
            <w:r w:rsidR="00796085" w:rsidRPr="005C5E32">
              <w:t>,</w:t>
            </w:r>
            <w:r w:rsidRPr="005C5E32">
              <w:t>305</w:t>
            </w:r>
            <w:r w:rsidR="00796085" w:rsidRPr="005C5E32">
              <w:t>,</w:t>
            </w:r>
            <w:r w:rsidRPr="005C5E32">
              <w:t>332</w:t>
            </w:r>
          </w:p>
        </w:tc>
        <w:tc>
          <w:tcPr>
            <w:tcW w:w="1701" w:type="dxa"/>
            <w:vAlign w:val="center"/>
          </w:tcPr>
          <w:p w14:paraId="4FAEBE3B" w14:textId="2374B491" w:rsidR="00DC7EFC" w:rsidRPr="005C5E32" w:rsidRDefault="00CE77DC" w:rsidP="00D622C8">
            <w:pPr>
              <w:pStyle w:val="TableText"/>
              <w:jc w:val="right"/>
            </w:pPr>
            <w:r>
              <w:t xml:space="preserve">- </w:t>
            </w:r>
            <w:r w:rsidR="00DC7EFC" w:rsidRPr="005C5E32">
              <w:t>2</w:t>
            </w:r>
            <w:r w:rsidR="00796085" w:rsidRPr="005C5E32">
              <w:t>,</w:t>
            </w:r>
            <w:r w:rsidR="00DC7EFC" w:rsidRPr="005C5E32">
              <w:t>774</w:t>
            </w:r>
          </w:p>
        </w:tc>
      </w:tr>
      <w:tr w:rsidR="0012676C" w:rsidRPr="005C5E32" w14:paraId="51F8DD91" w14:textId="77777777" w:rsidTr="00C71FE0">
        <w:tc>
          <w:tcPr>
            <w:tcW w:w="1415" w:type="dxa"/>
          </w:tcPr>
          <w:p w14:paraId="65A0005D" w14:textId="77777777" w:rsidR="0012676C" w:rsidRPr="005C5E32" w:rsidRDefault="0012676C" w:rsidP="00096116">
            <w:pPr>
              <w:pStyle w:val="TableText"/>
            </w:pPr>
            <w:r w:rsidRPr="005C5E32">
              <w:t>2025/26</w:t>
            </w:r>
          </w:p>
        </w:tc>
        <w:tc>
          <w:tcPr>
            <w:tcW w:w="2696" w:type="dxa"/>
            <w:vAlign w:val="center"/>
          </w:tcPr>
          <w:p w14:paraId="463ADE88" w14:textId="77777777" w:rsidR="0012676C" w:rsidRPr="005C5E32" w:rsidRDefault="0012676C" w:rsidP="00D622C8">
            <w:pPr>
              <w:pStyle w:val="TableText"/>
              <w:jc w:val="right"/>
            </w:pPr>
          </w:p>
        </w:tc>
        <w:tc>
          <w:tcPr>
            <w:tcW w:w="2693" w:type="dxa"/>
            <w:vAlign w:val="center"/>
          </w:tcPr>
          <w:p w14:paraId="5B77D82D" w14:textId="27C7395D" w:rsidR="0012676C" w:rsidRPr="005C5E32" w:rsidRDefault="0012676C" w:rsidP="00D622C8">
            <w:pPr>
              <w:pStyle w:val="TableText"/>
              <w:jc w:val="right"/>
            </w:pPr>
            <w:r w:rsidRPr="005C5E32">
              <w:t>5</w:t>
            </w:r>
            <w:r w:rsidR="00796085" w:rsidRPr="005C5E32">
              <w:t>,</w:t>
            </w:r>
            <w:r w:rsidRPr="005C5E32">
              <w:t>348</w:t>
            </w:r>
            <w:r w:rsidR="00796085" w:rsidRPr="005C5E32">
              <w:t>,</w:t>
            </w:r>
            <w:r w:rsidRPr="005C5E32">
              <w:t>822</w:t>
            </w:r>
          </w:p>
        </w:tc>
        <w:tc>
          <w:tcPr>
            <w:tcW w:w="1701" w:type="dxa"/>
            <w:vAlign w:val="center"/>
          </w:tcPr>
          <w:p w14:paraId="1FAD2F36" w14:textId="77777777" w:rsidR="0012676C" w:rsidRPr="005C5E32" w:rsidRDefault="0012676C" w:rsidP="00D622C8">
            <w:pPr>
              <w:pStyle w:val="TableText"/>
              <w:jc w:val="right"/>
            </w:pPr>
          </w:p>
        </w:tc>
      </w:tr>
    </w:tbl>
    <w:p w14:paraId="5358F14C" w14:textId="77777777" w:rsidR="0012676C" w:rsidRPr="005C5E32" w:rsidRDefault="0012676C" w:rsidP="002807E9">
      <w:pPr>
        <w:pStyle w:val="BodyText"/>
      </w:pPr>
    </w:p>
    <w:p w14:paraId="162DC07C" w14:textId="1D7FF1DF" w:rsidR="0012676C" w:rsidRPr="005C5E32" w:rsidRDefault="0012676C" w:rsidP="008F726A">
      <w:pPr>
        <w:pStyle w:val="Heading2"/>
        <w:spacing w:before="0"/>
      </w:pPr>
      <w:r w:rsidRPr="005C5E32">
        <w:br w:type="page"/>
      </w:r>
      <w:bookmarkStart w:id="86" w:name="_Progress_against_Strategic"/>
      <w:bookmarkStart w:id="87" w:name="_Toc240445563"/>
      <w:bookmarkEnd w:id="86"/>
      <w:r w:rsidRPr="005C5E32">
        <w:lastRenderedPageBreak/>
        <w:t>How we operate</w:t>
      </w:r>
      <w:bookmarkEnd w:id="87"/>
    </w:p>
    <w:p w14:paraId="743E20A6" w14:textId="569EE26D" w:rsidR="0012676C" w:rsidRPr="005C5E32" w:rsidRDefault="0012676C" w:rsidP="003B4A7F">
      <w:pPr>
        <w:pStyle w:val="BodyText"/>
      </w:pPr>
      <w:r w:rsidRPr="005C5E32">
        <w:t>To deliver on the Ministry</w:t>
      </w:r>
      <w:r w:rsidR="000369F8" w:rsidRPr="005C5E32">
        <w:t>’</w:t>
      </w:r>
      <w:r w:rsidRPr="005C5E32">
        <w:t xml:space="preserve">s strategic outcomes, we </w:t>
      </w:r>
      <w:r w:rsidR="00234ADF" w:rsidRPr="005C5E32">
        <w:t>had to be</w:t>
      </w:r>
      <w:r w:rsidRPr="005C5E32">
        <w:t xml:space="preserve"> deliberate about which activities, services and key work programmes </w:t>
      </w:r>
      <w:r w:rsidR="00234ADF" w:rsidRPr="005C5E32">
        <w:t xml:space="preserve">we </w:t>
      </w:r>
      <w:r w:rsidRPr="005C5E32">
        <w:t>focus</w:t>
      </w:r>
      <w:r w:rsidR="00234ADF" w:rsidRPr="005C5E32">
        <w:t>ed</w:t>
      </w:r>
      <w:r w:rsidRPr="005C5E32">
        <w:t xml:space="preserve"> on. The following sections give an assessment </w:t>
      </w:r>
      <w:r w:rsidRPr="005C5E32">
        <w:rPr>
          <w:spacing w:val="-2"/>
        </w:rPr>
        <w:t>of our performance from</w:t>
      </w:r>
      <w:r w:rsidR="00234ADF" w:rsidRPr="005C5E32">
        <w:rPr>
          <w:spacing w:val="-2"/>
        </w:rPr>
        <w:t xml:space="preserve"> the perspective</w:t>
      </w:r>
      <w:r w:rsidR="006760EF" w:rsidRPr="005C5E32">
        <w:rPr>
          <w:spacing w:val="-2"/>
        </w:rPr>
        <w:t xml:space="preserve"> of</w:t>
      </w:r>
      <w:r w:rsidRPr="005C5E32">
        <w:rPr>
          <w:spacing w:val="-2"/>
        </w:rPr>
        <w:t xml:space="preserve"> outputs and funding, and explain how we deliver</w:t>
      </w:r>
      <w:r w:rsidR="00234ADF" w:rsidRPr="005C5E32">
        <w:rPr>
          <w:spacing w:val="-2"/>
        </w:rPr>
        <w:t>ed</w:t>
      </w:r>
      <w:r w:rsidRPr="005C5E32">
        <w:t xml:space="preserve"> impact. We have set out our activities and performance against the Government</w:t>
      </w:r>
      <w:r w:rsidR="000369F8" w:rsidRPr="005C5E32">
        <w:t>’</w:t>
      </w:r>
      <w:r w:rsidRPr="005C5E32">
        <w:t>s priorities and targets and against the appropriations outlined in Vote Environment.</w:t>
      </w:r>
    </w:p>
    <w:p w14:paraId="0E7764B6" w14:textId="2ADB8C57" w:rsidR="0012676C" w:rsidRPr="005C5E32" w:rsidRDefault="0012676C" w:rsidP="003B4A7F">
      <w:pPr>
        <w:pStyle w:val="Heading2"/>
      </w:pPr>
      <w:bookmarkStart w:id="88" w:name="_Toc207017389"/>
      <w:bookmarkStart w:id="89" w:name="_Toc210136376"/>
      <w:bookmarkStart w:id="90" w:name="_Toc240445564"/>
      <w:r w:rsidRPr="005C5E32">
        <w:t>Implementing the Government</w:t>
      </w:r>
      <w:r w:rsidR="000369F8" w:rsidRPr="005C5E32">
        <w:t>’</w:t>
      </w:r>
      <w:r w:rsidRPr="005C5E32">
        <w:t>s priorities</w:t>
      </w:r>
      <w:bookmarkEnd w:id="88"/>
      <w:bookmarkEnd w:id="89"/>
      <w:bookmarkEnd w:id="90"/>
      <w:r w:rsidRPr="005C5E32">
        <w:t xml:space="preserve"> </w:t>
      </w:r>
    </w:p>
    <w:p w14:paraId="155F5CE2" w14:textId="77777777" w:rsidR="0012676C" w:rsidRPr="005C5E32" w:rsidRDefault="0012676C" w:rsidP="0020353B">
      <w:pPr>
        <w:pStyle w:val="Heading3"/>
        <w:spacing w:before="120"/>
      </w:pPr>
      <w:r w:rsidRPr="005C5E32">
        <w:t>Baseline savings</w:t>
      </w:r>
    </w:p>
    <w:p w14:paraId="067AF783" w14:textId="4C580AA0" w:rsidR="0012676C" w:rsidRPr="005C5E32" w:rsidRDefault="0012676C" w:rsidP="003B4A7F">
      <w:pPr>
        <w:pStyle w:val="BodyText"/>
      </w:pPr>
      <w:r w:rsidRPr="005C5E32">
        <w:t xml:space="preserve">All departments are required to set out the amount </w:t>
      </w:r>
      <w:r w:rsidR="001333B4" w:rsidRPr="005C5E32">
        <w:t xml:space="preserve">they have </w:t>
      </w:r>
      <w:r w:rsidRPr="005C5E32">
        <w:t>saved in Budget 2025 and how</w:t>
      </w:r>
      <w:r w:rsidR="00372C59" w:rsidRPr="005C5E32">
        <w:t> </w:t>
      </w:r>
      <w:r w:rsidRPr="005C5E32">
        <w:t>they achieved these savings, including contractor and consultant savings.</w:t>
      </w:r>
    </w:p>
    <w:p w14:paraId="367612EA" w14:textId="61DEC748" w:rsidR="0012676C" w:rsidRPr="005C5E32" w:rsidRDefault="0012676C" w:rsidP="003B4A7F">
      <w:pPr>
        <w:pStyle w:val="BodyText"/>
      </w:pPr>
      <w:r w:rsidRPr="005C5E32">
        <w:t xml:space="preserve">The Ministry </w:t>
      </w:r>
      <w:r w:rsidR="001333B4" w:rsidRPr="005C5E32">
        <w:t xml:space="preserve">reduced its </w:t>
      </w:r>
      <w:r w:rsidR="0045048E" w:rsidRPr="005C5E32">
        <w:t>departmental and non-departmental baseline</w:t>
      </w:r>
      <w:r w:rsidR="001333B4" w:rsidRPr="005C5E32">
        <w:t>s</w:t>
      </w:r>
      <w:r w:rsidR="0045048E" w:rsidRPr="005C5E32">
        <w:t xml:space="preserve"> by a net $16.826</w:t>
      </w:r>
      <w:r w:rsidR="00552CAB" w:rsidRPr="005C5E32">
        <w:t> </w:t>
      </w:r>
      <w:r w:rsidR="0045048E" w:rsidRPr="005C5E32">
        <w:t>million in 2025/26 because of Budget 2025 initiatives. We achieved the savings across</w:t>
      </w:r>
      <w:r w:rsidR="00552CAB" w:rsidRPr="005C5E32">
        <w:t> </w:t>
      </w:r>
      <w:r w:rsidR="0045048E" w:rsidRPr="005C5E32">
        <w:t>grants and funds, and changes to the allocation of Waste Disposal Levy revenue to fund</w:t>
      </w:r>
      <w:r w:rsidR="00552CAB" w:rsidRPr="005C5E32">
        <w:t> </w:t>
      </w:r>
      <w:r w:rsidR="0045048E" w:rsidRPr="005C5E32">
        <w:t xml:space="preserve">a broader range of activities across government that reduce environmental harm or increase environmental benefits </w:t>
      </w:r>
      <w:r w:rsidR="001333B4" w:rsidRPr="005C5E32">
        <w:t xml:space="preserve">that </w:t>
      </w:r>
      <w:r w:rsidR="0045048E" w:rsidRPr="005C5E32">
        <w:t xml:space="preserve">were previously funded by general Crown revenue. </w:t>
      </w:r>
      <w:r w:rsidR="001333B4" w:rsidRPr="005C5E32">
        <w:t>We</w:t>
      </w:r>
      <w:r w:rsidR="00552CAB" w:rsidRPr="005C5E32">
        <w:t> </w:t>
      </w:r>
      <w:r w:rsidR="0045048E" w:rsidRPr="005C5E32">
        <w:t xml:space="preserve">partially offset </w:t>
      </w:r>
      <w:r w:rsidR="001333B4" w:rsidRPr="005C5E32">
        <w:t xml:space="preserve">savings </w:t>
      </w:r>
      <w:r w:rsidR="0045048E" w:rsidRPr="005C5E32">
        <w:t>by a new spending initiative providing new funding to support Phase 3 of the Resource Management Act</w:t>
      </w:r>
      <w:r w:rsidR="00E51994" w:rsidRPr="005C5E32">
        <w:t xml:space="preserve"> 1991</w:t>
      </w:r>
      <w:r w:rsidR="0045048E" w:rsidRPr="005C5E32">
        <w:t xml:space="preserve"> </w:t>
      </w:r>
      <w:r w:rsidR="005B23D4" w:rsidRPr="005C5E32">
        <w:t>r</w:t>
      </w:r>
      <w:r w:rsidR="0045048E" w:rsidRPr="005C5E32">
        <w:t>eforms.</w:t>
      </w:r>
    </w:p>
    <w:p w14:paraId="6AC068EE" w14:textId="142B9CA2" w:rsidR="0012676C" w:rsidRPr="005C5E32" w:rsidRDefault="0012676C" w:rsidP="00D04007">
      <w:pPr>
        <w:pStyle w:val="BodyText"/>
      </w:pPr>
      <w:r w:rsidRPr="005C5E32">
        <w:t xml:space="preserve">For departmental expenditure, </w:t>
      </w:r>
      <w:r w:rsidR="00625677" w:rsidRPr="005C5E32">
        <w:t xml:space="preserve">we made </w:t>
      </w:r>
      <w:r w:rsidRPr="005C5E32">
        <w:t>the following baseline savings for 2025/26:</w:t>
      </w:r>
    </w:p>
    <w:p w14:paraId="72866F10" w14:textId="441B7387" w:rsidR="0012676C" w:rsidRPr="005C5E32" w:rsidRDefault="00011AF6" w:rsidP="003B4A7F">
      <w:pPr>
        <w:pStyle w:val="Bullet"/>
      </w:pPr>
      <w:r w:rsidRPr="005C5E32">
        <w:t>nil</w:t>
      </w:r>
      <w:r w:rsidR="00625677" w:rsidRPr="005C5E32">
        <w:t>.</w:t>
      </w:r>
    </w:p>
    <w:p w14:paraId="2A5FBBA4" w14:textId="0F326F0C" w:rsidR="0012676C" w:rsidRPr="005C5E32" w:rsidRDefault="0012676C" w:rsidP="003B4A7F">
      <w:pPr>
        <w:pStyle w:val="BodyText"/>
      </w:pPr>
      <w:r w:rsidRPr="005C5E32">
        <w:t>For non-departmental expenditure,</w:t>
      </w:r>
      <w:r w:rsidR="00625677" w:rsidRPr="005C5E32">
        <w:t xml:space="preserve"> we made</w:t>
      </w:r>
      <w:r w:rsidRPr="005C5E32">
        <w:t xml:space="preserve"> the following baseline savings </w:t>
      </w:r>
      <w:r w:rsidR="007D7A9E" w:rsidRPr="005C5E32">
        <w:t>for 2025/26</w:t>
      </w:r>
      <w:r w:rsidRPr="005C5E32">
        <w:t>:</w:t>
      </w:r>
    </w:p>
    <w:p w14:paraId="59DCE3AF" w14:textId="77777777" w:rsidR="002B694C" w:rsidRPr="005C5E32" w:rsidRDefault="002B694C" w:rsidP="002B694C">
      <w:pPr>
        <w:pStyle w:val="Bullet"/>
      </w:pPr>
      <w:r w:rsidRPr="005C5E32">
        <w:t>Environment Funds – Reprioritising, Savings and Streamlining $1.471 million</w:t>
      </w:r>
    </w:p>
    <w:p w14:paraId="35AE3BC0" w14:textId="50021EB3" w:rsidR="0012676C" w:rsidRPr="005C5E32" w:rsidRDefault="002B694C" w:rsidP="002B694C">
      <w:pPr>
        <w:pStyle w:val="Bullet"/>
      </w:pPr>
      <w:r w:rsidRPr="005C5E32">
        <w:t>Climate Resilience for Māori – Downscaling of Fund $5.000 million</w:t>
      </w:r>
      <w:r w:rsidR="00625677" w:rsidRPr="005C5E32">
        <w:t>.</w:t>
      </w:r>
    </w:p>
    <w:p w14:paraId="7836FEED" w14:textId="187A7DAD" w:rsidR="0012676C" w:rsidRPr="005C5E32" w:rsidRDefault="0012676C" w:rsidP="000147E2">
      <w:pPr>
        <w:pStyle w:val="BodyText"/>
      </w:pPr>
      <w:r w:rsidRPr="005C5E32">
        <w:t>Additional savings and new spending initiatives in Budget 2025</w:t>
      </w:r>
      <w:r w:rsidR="00625677" w:rsidRPr="005C5E32">
        <w:t xml:space="preserve"> were</w:t>
      </w:r>
      <w:r w:rsidRPr="005C5E32">
        <w:t>:</w:t>
      </w:r>
    </w:p>
    <w:p w14:paraId="4FBD6CC5" w14:textId="77777777" w:rsidR="00281787" w:rsidRPr="005C5E32" w:rsidRDefault="00281787" w:rsidP="00281787">
      <w:pPr>
        <w:pStyle w:val="Bullet"/>
        <w:rPr>
          <w:rFonts w:eastAsiaTheme="minorHAnsi"/>
        </w:rPr>
      </w:pPr>
      <w:r w:rsidRPr="005C5E32">
        <w:rPr>
          <w:rFonts w:eastAsiaTheme="minorHAnsi"/>
        </w:rPr>
        <w:t>Waste Disposal Levy – Further Reallocation of Funding (Targeted Savings) $49.252 million</w:t>
      </w:r>
    </w:p>
    <w:p w14:paraId="70DEC38E" w14:textId="0DC36297" w:rsidR="0012676C" w:rsidRPr="005C5E32" w:rsidRDefault="00281787" w:rsidP="00281787">
      <w:pPr>
        <w:pStyle w:val="Bullet"/>
        <w:rPr>
          <w:rFonts w:eastAsiaTheme="minorHAnsi"/>
        </w:rPr>
      </w:pPr>
      <w:r w:rsidRPr="005C5E32">
        <w:rPr>
          <w:rFonts w:eastAsiaTheme="minorHAnsi"/>
        </w:rPr>
        <w:t>Resource Management Act Reform Implementation – Phase 3 (new spending initiative) $38.897 million</w:t>
      </w:r>
      <w:r w:rsidR="00625677" w:rsidRPr="005C5E32">
        <w:rPr>
          <w:rFonts w:eastAsiaTheme="minorHAnsi"/>
        </w:rPr>
        <w:t>.</w:t>
      </w:r>
      <w:r w:rsidR="00EB0FD9" w:rsidRPr="005C5E32">
        <w:rPr>
          <w:rFonts w:eastAsiaTheme="minorHAnsi"/>
        </w:rPr>
        <w:t xml:space="preserve"> </w:t>
      </w:r>
    </w:p>
    <w:p w14:paraId="2D01095C" w14:textId="6D43EE66" w:rsidR="0012676C" w:rsidRPr="005C5E32" w:rsidRDefault="00BE59F5" w:rsidP="003B4A7F">
      <w:pPr>
        <w:pStyle w:val="Heading4"/>
      </w:pPr>
      <w:r w:rsidRPr="005C5E32">
        <w:t>E</w:t>
      </w:r>
      <w:r w:rsidR="0012676C" w:rsidRPr="005C5E32">
        <w:t>xpenditure on contractors and consultants</w:t>
      </w:r>
    </w:p>
    <w:p w14:paraId="0CA969E3" w14:textId="7F946CFE" w:rsidR="007B6977" w:rsidRPr="005C5E32" w:rsidRDefault="00625677" w:rsidP="007B6977">
      <w:pPr>
        <w:pStyle w:val="BodyText"/>
      </w:pPr>
      <w:r w:rsidRPr="005C5E32">
        <w:t>Our expenditure</w:t>
      </w:r>
      <w:r w:rsidR="007B6977" w:rsidRPr="005C5E32">
        <w:t xml:space="preserve"> </w:t>
      </w:r>
      <w:r w:rsidRPr="005C5E32">
        <w:t xml:space="preserve">on contractors and consultants </w:t>
      </w:r>
      <w:r w:rsidR="007B6977" w:rsidRPr="005C5E32">
        <w:t>increase</w:t>
      </w:r>
      <w:r w:rsidRPr="005C5E32">
        <w:t>d by</w:t>
      </w:r>
      <w:r w:rsidR="007B6977" w:rsidRPr="005C5E32">
        <w:t xml:space="preserve"> $11.676 million (spend $21.929</w:t>
      </w:r>
      <w:r w:rsidR="00E15039" w:rsidRPr="005C5E32">
        <w:t> </w:t>
      </w:r>
      <w:r w:rsidR="007B6977" w:rsidRPr="005C5E32">
        <w:t>million) in 2025/26, which represents 10.14</w:t>
      </w:r>
      <w:r w:rsidR="00EB0FD9" w:rsidRPr="005C5E32">
        <w:t xml:space="preserve"> percent </w:t>
      </w:r>
      <w:r w:rsidR="007B6977" w:rsidRPr="005C5E32">
        <w:t>of total departmental workforce expenditure in 2025/26. This compares with expenditure of $23.073 million</w:t>
      </w:r>
      <w:r w:rsidRPr="005C5E32">
        <w:t>, or 18</w:t>
      </w:r>
      <w:r w:rsidR="00EB0FD9" w:rsidRPr="005C5E32">
        <w:t xml:space="preserve"> percent</w:t>
      </w:r>
      <w:r w:rsidRPr="005C5E32">
        <w:t xml:space="preserve"> of total departmental workforce expenditure, in 2023/24</w:t>
      </w:r>
      <w:r w:rsidR="007B6977" w:rsidRPr="005C5E32">
        <w:t xml:space="preserve"> and $10.253</w:t>
      </w:r>
      <w:r w:rsidR="003C38E1" w:rsidRPr="005C5E32">
        <w:t xml:space="preserve"> </w:t>
      </w:r>
      <w:r w:rsidR="007B6977" w:rsidRPr="005C5E32">
        <w:t>million</w:t>
      </w:r>
      <w:r w:rsidRPr="005C5E32">
        <w:t>, or 8</w:t>
      </w:r>
      <w:r w:rsidR="00EB0FD9" w:rsidRPr="005C5E32">
        <w:t xml:space="preserve"> percent</w:t>
      </w:r>
      <w:r w:rsidRPr="005C5E32">
        <w:t xml:space="preserve"> of total departmental workforce expenditure,</w:t>
      </w:r>
      <w:r w:rsidR="007B6977" w:rsidRPr="005C5E32">
        <w:t xml:space="preserve"> </w:t>
      </w:r>
      <w:r w:rsidRPr="005C5E32">
        <w:t>in</w:t>
      </w:r>
      <w:r w:rsidR="007B6977" w:rsidRPr="005C5E32">
        <w:t xml:space="preserve"> 2024/</w:t>
      </w:r>
      <w:r w:rsidRPr="005C5E32">
        <w:t>25</w:t>
      </w:r>
      <w:r w:rsidR="007B6977" w:rsidRPr="005C5E32">
        <w:t>.</w:t>
      </w:r>
    </w:p>
    <w:p w14:paraId="377F6E9E" w14:textId="77777777" w:rsidR="0012676C" w:rsidRPr="005C5E32" w:rsidRDefault="0012676C" w:rsidP="00CE7BD9">
      <w:pPr>
        <w:pStyle w:val="Heading3"/>
        <w:spacing w:before="240"/>
      </w:pPr>
      <w:bookmarkStart w:id="91" w:name="_Government_targets_1"/>
      <w:bookmarkEnd w:id="91"/>
      <w:r w:rsidRPr="005C5E32">
        <w:t>Government targets</w:t>
      </w:r>
    </w:p>
    <w:p w14:paraId="73493F35" w14:textId="105B6275" w:rsidR="00B06901" w:rsidRPr="005C5E32" w:rsidRDefault="00DD6ED4" w:rsidP="00D73999">
      <w:pPr>
        <w:pStyle w:val="BodyText"/>
      </w:pPr>
      <w:r w:rsidRPr="005C5E32">
        <w:t>Cabinet approved n</w:t>
      </w:r>
      <w:r w:rsidR="0012676C" w:rsidRPr="005C5E32">
        <w:t>ine Government targets</w:t>
      </w:r>
      <w:r w:rsidR="00D73999" w:rsidRPr="005C5E32">
        <w:t xml:space="preserve">, covering health, education, law and order, work, housing and the environment. </w:t>
      </w:r>
    </w:p>
    <w:p w14:paraId="1B7D6C49" w14:textId="3A2D34A4" w:rsidR="0012676C" w:rsidRPr="005C5E32" w:rsidRDefault="0012676C" w:rsidP="00B06901">
      <w:pPr>
        <w:pStyle w:val="Heading5"/>
      </w:pPr>
      <w:r w:rsidRPr="005C5E32">
        <w:lastRenderedPageBreak/>
        <w:t>Target 9: Reduced net greenhouse gas emissions</w:t>
      </w:r>
    </w:p>
    <w:p w14:paraId="35AFE624" w14:textId="084DB615" w:rsidR="0012676C" w:rsidRPr="005C5E32" w:rsidRDefault="0012676C" w:rsidP="003B4A7F">
      <w:pPr>
        <w:pStyle w:val="BodyText"/>
        <w:rPr>
          <w:spacing w:val="-2"/>
        </w:rPr>
      </w:pPr>
      <w:r w:rsidRPr="005C5E32">
        <w:rPr>
          <w:spacing w:val="-2"/>
        </w:rPr>
        <w:t>The Climate Change Chief Executives Board</w:t>
      </w:r>
      <w:r w:rsidR="00390719" w:rsidRPr="005C5E32">
        <w:rPr>
          <w:spacing w:val="-2"/>
        </w:rPr>
        <w:t xml:space="preserve"> (the Board)</w:t>
      </w:r>
      <w:r w:rsidRPr="005C5E32">
        <w:rPr>
          <w:spacing w:val="-2"/>
        </w:rPr>
        <w:t xml:space="preserve"> is responsible for Target 9, which reads:</w:t>
      </w:r>
      <w:r w:rsidRPr="005C5E32">
        <w:rPr>
          <w:rStyle w:val="FootnoteReference"/>
          <w:spacing w:val="-2"/>
        </w:rPr>
        <w:footnoteReference w:id="12"/>
      </w:r>
      <w:r w:rsidRPr="005C5E32">
        <w:rPr>
          <w:spacing w:val="-2"/>
        </w:rPr>
        <w:t xml:space="preserve"> </w:t>
      </w:r>
    </w:p>
    <w:p w14:paraId="381CC0B4" w14:textId="10977186" w:rsidR="0012676C" w:rsidRPr="005C5E32" w:rsidRDefault="0012676C" w:rsidP="00E15039">
      <w:pPr>
        <w:pStyle w:val="Quote"/>
      </w:pPr>
      <w:r w:rsidRPr="005C5E32">
        <w:t>On track to meet New Zealand</w:t>
      </w:r>
      <w:r w:rsidR="000369F8" w:rsidRPr="005C5E32">
        <w:t>’</w:t>
      </w:r>
      <w:r w:rsidRPr="005C5E32">
        <w:t>s 2050 net zero climate change targets with total net emissions of no more than 290 megatonnes from 2022 to 2025 and 305 megatonnes from 2026 to 2030.</w:t>
      </w:r>
    </w:p>
    <w:p w14:paraId="42199A20" w14:textId="24A6A143" w:rsidR="0012676C" w:rsidRPr="005C5E32" w:rsidRDefault="0012676C" w:rsidP="009F4B28">
      <w:pPr>
        <w:pStyle w:val="BodyText"/>
        <w:spacing w:after="100"/>
      </w:pPr>
      <w:r w:rsidRPr="005C5E32">
        <w:t>The Board</w:t>
      </w:r>
      <w:r w:rsidR="000369F8" w:rsidRPr="005C5E32">
        <w:t>’</w:t>
      </w:r>
      <w:r w:rsidRPr="005C5E32">
        <w:t>s involvement reflects the cross-sectoral nature of New Zealand</w:t>
      </w:r>
      <w:r w:rsidR="000369F8" w:rsidRPr="005C5E32">
        <w:t>’</w:t>
      </w:r>
      <w:r w:rsidRPr="005C5E32">
        <w:t xml:space="preserve">s </w:t>
      </w:r>
      <w:r w:rsidR="00FA3E3D" w:rsidRPr="005C5E32">
        <w:t>greenhouse gas</w:t>
      </w:r>
      <w:r w:rsidRPr="005C5E32">
        <w:t xml:space="preserve"> emissions profile</w:t>
      </w:r>
      <w:r w:rsidR="00390719" w:rsidRPr="005C5E32">
        <w:t>,</w:t>
      </w:r>
      <w:r w:rsidRPr="005C5E32">
        <w:t xml:space="preserve"> </w:t>
      </w:r>
      <w:r w:rsidR="00390719" w:rsidRPr="005C5E32">
        <w:t xml:space="preserve">as well as </w:t>
      </w:r>
      <w:r w:rsidRPr="005C5E32">
        <w:t>the need for cross-agency oversight and engagement to achieve the target. It also reflects the</w:t>
      </w:r>
      <w:r w:rsidRPr="005C5E32" w:rsidDel="00FC12C0">
        <w:t xml:space="preserve"> </w:t>
      </w:r>
      <w:r w:rsidRPr="005C5E32">
        <w:t>role of the Board as the governance body responsible for monitoring progress on climate change. New Zealand</w:t>
      </w:r>
      <w:r w:rsidR="000369F8" w:rsidRPr="005C5E32">
        <w:t>’</w:t>
      </w:r>
      <w:r w:rsidRPr="005C5E32">
        <w:t xml:space="preserve">s performance rating for Target 9 is informed by an assessment of official projections. Other leading indicators are also monitored for early insights on factors that may impact the annually produced official projections. </w:t>
      </w:r>
    </w:p>
    <w:p w14:paraId="6B3A8435" w14:textId="04089551" w:rsidR="0012676C" w:rsidRPr="005C5E32" w:rsidRDefault="0012676C">
      <w:pPr>
        <w:pStyle w:val="BodyText"/>
        <w:spacing w:after="100"/>
      </w:pPr>
      <w:r w:rsidRPr="005C5E32">
        <w:t xml:space="preserve">The performance ratings for the component of Target 9 relating to the </w:t>
      </w:r>
      <w:r w:rsidRPr="005C5E32" w:rsidDel="00606D24">
        <w:t>first emissions budget</w:t>
      </w:r>
      <w:r w:rsidRPr="005C5E32">
        <w:t xml:space="preserve"> (2022</w:t>
      </w:r>
      <w:r w:rsidR="0023354A" w:rsidRPr="005C5E32">
        <w:t>–</w:t>
      </w:r>
      <w:r w:rsidRPr="005C5E32">
        <w:t>25) and second emissions budget (2026</w:t>
      </w:r>
      <w:r w:rsidR="0023354A" w:rsidRPr="005C5E32">
        <w:t>–</w:t>
      </w:r>
      <w:r w:rsidRPr="005C5E32">
        <w:t xml:space="preserve">30) have remained </w:t>
      </w:r>
      <w:r w:rsidR="000369F8" w:rsidRPr="005C5E32">
        <w:t>‘</w:t>
      </w:r>
      <w:r w:rsidRPr="005C5E32">
        <w:t>on track</w:t>
      </w:r>
      <w:r w:rsidR="000369F8" w:rsidRPr="005C5E32">
        <w:t>’</w:t>
      </w:r>
      <w:r w:rsidRPr="005C5E32">
        <w:t xml:space="preserve"> throughout 2025/26.</w:t>
      </w:r>
      <w:r w:rsidR="0023354A" w:rsidRPr="005C5E32">
        <w:t xml:space="preserve"> </w:t>
      </w:r>
      <w:r w:rsidRPr="005C5E32">
        <w:t>Inventory data up to the end of 2024 w</w:t>
      </w:r>
      <w:r w:rsidR="0023354A" w:rsidRPr="005C5E32">
        <w:t>ere</w:t>
      </w:r>
      <w:r w:rsidRPr="005C5E32">
        <w:t xml:space="preserve"> released on 16 April 2026, meaning historical </w:t>
      </w:r>
      <w:r w:rsidR="00FA3E3D" w:rsidRPr="005C5E32">
        <w:t>greenhouse gas</w:t>
      </w:r>
      <w:r w:rsidRPr="005C5E32">
        <w:t xml:space="preserve"> emissions are now available for three of the four years in the</w:t>
      </w:r>
      <w:r w:rsidR="005C1328" w:rsidRPr="005C5E32">
        <w:t xml:space="preserve"> first emissions budget</w:t>
      </w:r>
      <w:r w:rsidRPr="005C5E32" w:rsidDel="005C1328">
        <w:t xml:space="preserve"> </w:t>
      </w:r>
      <w:r w:rsidRPr="005C5E32">
        <w:t>period. Inventory data show that net emissions decreased 1.7</w:t>
      </w:r>
      <w:r w:rsidR="00DD6ED4" w:rsidRPr="005C5E32">
        <w:t xml:space="preserve"> percent</w:t>
      </w:r>
      <w:r w:rsidRPr="005C5E32">
        <w:t xml:space="preserve"> between 2023 and 2024, though gross emissions remained flat, declining only 0.1</w:t>
      </w:r>
      <w:r w:rsidR="00DD6ED4" w:rsidRPr="005C5E32">
        <w:t xml:space="preserve"> percent</w:t>
      </w:r>
      <w:r w:rsidRPr="005C5E32">
        <w:t>. This</w:t>
      </w:r>
      <w:r w:rsidR="00E15039" w:rsidRPr="005C5E32">
        <w:t> </w:t>
      </w:r>
      <w:r w:rsidRPr="005C5E32">
        <w:t xml:space="preserve">indicates </w:t>
      </w:r>
      <w:r w:rsidR="00FA3E3D" w:rsidRPr="005C5E32">
        <w:t>greenhouse gas</w:t>
      </w:r>
      <w:r w:rsidRPr="005C5E32">
        <w:t xml:space="preserve"> emissions are tracking slightly below anticipated levels for </w:t>
      </w:r>
      <w:r w:rsidR="005C1328" w:rsidRPr="005C5E32">
        <w:t>the first emissions budget</w:t>
      </w:r>
      <w:r w:rsidRPr="005C5E32">
        <w:t>.</w:t>
      </w:r>
      <w:r w:rsidRPr="005C5E32" w:rsidDel="00B32497">
        <w:t xml:space="preserve"> </w:t>
      </w:r>
    </w:p>
    <w:p w14:paraId="3EEEC324" w14:textId="7B0BAE77" w:rsidR="0012676C" w:rsidRPr="005C5E32" w:rsidRDefault="003476BE" w:rsidP="009F4B28">
      <w:pPr>
        <w:pStyle w:val="BodyText"/>
        <w:spacing w:after="100"/>
      </w:pPr>
      <w:r w:rsidRPr="005C5E32">
        <w:t>F</w:t>
      </w:r>
      <w:r w:rsidR="0012676C" w:rsidRPr="005C5E32">
        <w:t>or additional performance information, see</w:t>
      </w:r>
      <w:r w:rsidRPr="005C5E32">
        <w:t xml:space="preserve"> the section on</w:t>
      </w:r>
      <w:r w:rsidR="0012676C" w:rsidRPr="005C5E32">
        <w:t xml:space="preserve"> </w:t>
      </w:r>
      <w:hyperlink w:anchor="_Strategic_priority_3:_1" w:history="1">
        <w:r w:rsidR="0012676C" w:rsidRPr="005C5E32">
          <w:rPr>
            <w:rStyle w:val="Hyperlink"/>
          </w:rPr>
          <w:t>strategic priority 3</w:t>
        </w:r>
      </w:hyperlink>
      <w:r w:rsidR="0012676C" w:rsidRPr="005C5E32">
        <w:t>.</w:t>
      </w:r>
      <w:r w:rsidRPr="005C5E32">
        <w:t xml:space="preserve"> </w:t>
      </w:r>
      <w:r w:rsidRPr="005C5E32">
        <w:rPr>
          <w:rFonts w:asciiTheme="minorHAnsi" w:hAnsiTheme="minorHAnsi" w:cstheme="minorHAnsi"/>
          <w:szCs w:val="18"/>
        </w:rPr>
        <w:t xml:space="preserve">For </w:t>
      </w:r>
      <w:r w:rsidR="002E31D0" w:rsidRPr="005C5E32">
        <w:rPr>
          <w:rFonts w:asciiTheme="minorHAnsi" w:hAnsiTheme="minorHAnsi" w:cstheme="minorHAnsi"/>
          <w:szCs w:val="18"/>
        </w:rPr>
        <w:t>further</w:t>
      </w:r>
      <w:r w:rsidRPr="005C5E32">
        <w:rPr>
          <w:rFonts w:asciiTheme="minorHAnsi" w:hAnsiTheme="minorHAnsi" w:cstheme="minorHAnsi"/>
          <w:szCs w:val="18"/>
        </w:rPr>
        <w:t xml:space="preserve"> information, </w:t>
      </w:r>
      <w:r w:rsidR="002E31D0" w:rsidRPr="005C5E32">
        <w:rPr>
          <w:rFonts w:asciiTheme="minorHAnsi" w:hAnsiTheme="minorHAnsi" w:cstheme="minorHAnsi"/>
          <w:szCs w:val="18"/>
        </w:rPr>
        <w:t>including on quarterly report</w:t>
      </w:r>
      <w:r w:rsidR="00EB188A" w:rsidRPr="005C5E32">
        <w:rPr>
          <w:rFonts w:asciiTheme="minorHAnsi" w:hAnsiTheme="minorHAnsi" w:cstheme="minorHAnsi"/>
          <w:szCs w:val="18"/>
        </w:rPr>
        <w:t>ing</w:t>
      </w:r>
      <w:r w:rsidR="002E31D0" w:rsidRPr="005C5E32">
        <w:rPr>
          <w:rFonts w:asciiTheme="minorHAnsi" w:hAnsiTheme="minorHAnsi" w:cstheme="minorHAnsi"/>
          <w:szCs w:val="18"/>
        </w:rPr>
        <w:t xml:space="preserve">, </w:t>
      </w:r>
      <w:r w:rsidRPr="005C5E32">
        <w:rPr>
          <w:rFonts w:asciiTheme="minorHAnsi" w:hAnsiTheme="minorHAnsi" w:cstheme="minorHAnsi"/>
          <w:szCs w:val="18"/>
        </w:rPr>
        <w:t xml:space="preserve">see the Ministry’s </w:t>
      </w:r>
      <w:hyperlink r:id="rId52" w:history="1">
        <w:r w:rsidRPr="005C5E32">
          <w:rPr>
            <w:rStyle w:val="Hyperlink"/>
            <w:szCs w:val="18"/>
          </w:rPr>
          <w:t>Government Target 9 quarterly reporting</w:t>
        </w:r>
      </w:hyperlink>
      <w:r w:rsidRPr="005C5E32">
        <w:rPr>
          <w:rFonts w:asciiTheme="minorHAnsi" w:hAnsiTheme="minorHAnsi" w:cstheme="minorHAnsi"/>
          <w:szCs w:val="18"/>
        </w:rPr>
        <w:t xml:space="preserve"> webpage or the </w:t>
      </w:r>
      <w:r w:rsidR="00AD0E1B" w:rsidRPr="005C5E32">
        <w:rPr>
          <w:rFonts w:asciiTheme="minorHAnsi" w:hAnsiTheme="minorHAnsi" w:cstheme="minorHAnsi"/>
          <w:szCs w:val="18"/>
        </w:rPr>
        <w:t>DPMC’s</w:t>
      </w:r>
      <w:r w:rsidRPr="005C5E32">
        <w:rPr>
          <w:rFonts w:asciiTheme="minorHAnsi" w:hAnsiTheme="minorHAnsi" w:cstheme="minorHAnsi"/>
          <w:szCs w:val="18"/>
        </w:rPr>
        <w:t xml:space="preserve"> </w:t>
      </w:r>
      <w:hyperlink r:id="rId53" w:history="1">
        <w:r w:rsidRPr="005C5E32">
          <w:rPr>
            <w:rStyle w:val="Hyperlink"/>
            <w:rFonts w:asciiTheme="minorHAnsi" w:hAnsiTheme="minorHAnsi" w:cstheme="minorHAnsi"/>
            <w:szCs w:val="18"/>
          </w:rPr>
          <w:t>Government Targets Quarterly Reports</w:t>
        </w:r>
      </w:hyperlink>
      <w:r w:rsidRPr="005C5E32">
        <w:t xml:space="preserve"> webpage</w:t>
      </w:r>
      <w:r w:rsidR="002E31D0" w:rsidRPr="005C5E32">
        <w:t>.</w:t>
      </w:r>
    </w:p>
    <w:p w14:paraId="502284AF" w14:textId="77777777" w:rsidR="0012676C" w:rsidRPr="005C5E32" w:rsidRDefault="0012676C">
      <w:pPr>
        <w:pStyle w:val="Heading3"/>
      </w:pPr>
      <w:r w:rsidRPr="005C5E32">
        <w:t>Other significant Budget decisions</w:t>
      </w:r>
    </w:p>
    <w:p w14:paraId="57490BE8" w14:textId="030F95EB" w:rsidR="0012676C" w:rsidRPr="005C5E32" w:rsidRDefault="0012676C" w:rsidP="003B4A7F">
      <w:pPr>
        <w:pStyle w:val="BodyText"/>
      </w:pPr>
      <w:r w:rsidRPr="005C5E32">
        <w:t xml:space="preserve">The following Budget decisions are considered to be </w:t>
      </w:r>
      <w:r w:rsidR="000369F8" w:rsidRPr="005C5E32">
        <w:t>‘</w:t>
      </w:r>
      <w:r w:rsidRPr="005C5E32">
        <w:t>significant</w:t>
      </w:r>
      <w:r w:rsidR="000369F8" w:rsidRPr="005C5E32">
        <w:t>’</w:t>
      </w:r>
      <w:r w:rsidRPr="005C5E32">
        <w:t xml:space="preserve"> because they are important to the delivery of the Government</w:t>
      </w:r>
      <w:r w:rsidR="000369F8" w:rsidRPr="005C5E32">
        <w:t>’</w:t>
      </w:r>
      <w:r w:rsidRPr="005C5E32">
        <w:t>s priorities</w:t>
      </w:r>
      <w:r w:rsidRPr="005C5E32" w:rsidDel="00FB5A05">
        <w:t xml:space="preserve">, </w:t>
      </w:r>
      <w:r w:rsidRPr="005C5E32">
        <w:t xml:space="preserve">to Parliament and </w:t>
      </w:r>
      <w:r w:rsidR="00FB5A05" w:rsidRPr="005C5E32">
        <w:t xml:space="preserve">to </w:t>
      </w:r>
      <w:r w:rsidRPr="005C5E32">
        <w:t>the public, and</w:t>
      </w:r>
      <w:r w:rsidR="00FB5A05" w:rsidRPr="005C5E32">
        <w:t xml:space="preserve"> because they</w:t>
      </w:r>
      <w:r w:rsidRPr="005C5E32">
        <w:t xml:space="preserve"> have</w:t>
      </w:r>
      <w:r w:rsidR="00771231" w:rsidRPr="005C5E32">
        <w:t xml:space="preserve"> had</w:t>
      </w:r>
      <w:r w:rsidRPr="005C5E32">
        <w:t xml:space="preserve"> a material impact on </w:t>
      </w:r>
      <w:r w:rsidR="00E62356" w:rsidRPr="005C5E32">
        <w:t xml:space="preserve">Ministry </w:t>
      </w:r>
      <w:r w:rsidRPr="005C5E32">
        <w:t>decisions.</w:t>
      </w:r>
    </w:p>
    <w:p w14:paraId="285AB76C" w14:textId="1224DE38" w:rsidR="0012676C" w:rsidRPr="005C5E32" w:rsidRDefault="00735B8D" w:rsidP="004741A0">
      <w:pPr>
        <w:pStyle w:val="BodyText"/>
      </w:pPr>
      <w:r w:rsidRPr="00735B8D">
        <w:rPr>
          <w:rStyle w:val="Hyperlink"/>
          <w:color w:val="auto"/>
        </w:rPr>
        <w:t xml:space="preserve">Table 2 </w:t>
      </w:r>
      <w:r w:rsidR="0012676C" w:rsidRPr="005C5E32">
        <w:rPr>
          <w:rStyle w:val="BodyTextChar"/>
        </w:rPr>
        <w:t xml:space="preserve">provides an overview of significant Budget decisions and guides readers to </w:t>
      </w:r>
      <w:r w:rsidR="00771231" w:rsidRPr="005C5E32">
        <w:rPr>
          <w:rStyle w:val="BodyTextChar"/>
        </w:rPr>
        <w:t xml:space="preserve">related </w:t>
      </w:r>
      <w:r w:rsidR="0012676C" w:rsidRPr="005C5E32">
        <w:rPr>
          <w:rStyle w:val="BodyTextChar"/>
        </w:rPr>
        <w:t xml:space="preserve">performance details elsewhere in this report. </w:t>
      </w:r>
      <w:r w:rsidR="00771231" w:rsidRPr="005C5E32">
        <w:rPr>
          <w:rStyle w:val="BodyTextChar"/>
        </w:rPr>
        <w:t>For descriptions of i</w:t>
      </w:r>
      <w:r w:rsidR="0012676C" w:rsidRPr="005C5E32">
        <w:rPr>
          <w:rStyle w:val="BodyTextChar"/>
        </w:rPr>
        <w:t>nitiatives from Budgets 2024 and 2025</w:t>
      </w:r>
      <w:r w:rsidR="00771231" w:rsidRPr="005C5E32">
        <w:rPr>
          <w:rStyle w:val="BodyTextChar"/>
        </w:rPr>
        <w:t>,</w:t>
      </w:r>
      <w:r w:rsidR="00C63AE6" w:rsidRPr="005C5E32">
        <w:rPr>
          <w:rStyle w:val="BodyTextChar"/>
        </w:rPr>
        <w:t xml:space="preserve"> </w:t>
      </w:r>
      <w:r w:rsidR="00771231" w:rsidRPr="005C5E32">
        <w:rPr>
          <w:rStyle w:val="BodyTextChar"/>
        </w:rPr>
        <w:t>see</w:t>
      </w:r>
      <w:r w:rsidR="0012676C" w:rsidRPr="005C5E32">
        <w:rPr>
          <w:rStyle w:val="BodyTextChar"/>
        </w:rPr>
        <w:t xml:space="preserve"> the Vote Environment document for </w:t>
      </w:r>
      <w:r w:rsidR="00C63AE6" w:rsidRPr="005C5E32">
        <w:rPr>
          <w:rStyle w:val="BodyTextChar"/>
        </w:rPr>
        <w:t xml:space="preserve">each of </w:t>
      </w:r>
      <w:r w:rsidR="0012676C" w:rsidRPr="005C5E32">
        <w:rPr>
          <w:rStyle w:val="BodyTextChar"/>
        </w:rPr>
        <w:t>those years.</w:t>
      </w:r>
      <w:r w:rsidR="004A5CAE" w:rsidRPr="005C5E32">
        <w:t xml:space="preserve"> </w:t>
      </w:r>
    </w:p>
    <w:p w14:paraId="53B826F9" w14:textId="393BE7C4" w:rsidR="00031199" w:rsidRPr="005C5E32" w:rsidRDefault="00031199" w:rsidP="008076D1">
      <w:pPr>
        <w:pStyle w:val="Tableheading"/>
      </w:pPr>
      <w:bookmarkStart w:id="92" w:name="_Ref237431750"/>
      <w:r w:rsidRPr="005C5E32">
        <w:t xml:space="preserve">Table </w:t>
      </w:r>
      <w:fldSimple w:instr=" SEQ Table \* ARABIC ">
        <w:r w:rsidR="00D8311D">
          <w:rPr>
            <w:noProof/>
          </w:rPr>
          <w:t>2</w:t>
        </w:r>
      </w:fldSimple>
      <w:bookmarkEnd w:id="92"/>
      <w:r w:rsidRPr="005C5E32">
        <w:t>: Overview of significant Budget decisions</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ayout w:type="fixed"/>
        <w:tblCellMar>
          <w:left w:w="85" w:type="dxa"/>
          <w:right w:w="85" w:type="dxa"/>
        </w:tblCellMar>
        <w:tblLook w:val="04A0" w:firstRow="1" w:lastRow="0" w:firstColumn="1" w:lastColumn="0" w:noHBand="0" w:noVBand="1"/>
      </w:tblPr>
      <w:tblGrid>
        <w:gridCol w:w="4395"/>
        <w:gridCol w:w="4110"/>
      </w:tblGrid>
      <w:tr w:rsidR="0012676C" w:rsidRPr="005C5E32" w14:paraId="64E17C60" w14:textId="77777777" w:rsidTr="00E15039">
        <w:trPr>
          <w:tblHeader/>
        </w:trPr>
        <w:tc>
          <w:tcPr>
            <w:tcW w:w="4395" w:type="dxa"/>
            <w:shd w:val="clear" w:color="auto" w:fill="1B556B" w:themeFill="text2"/>
            <w:vAlign w:val="bottom"/>
          </w:tcPr>
          <w:p w14:paraId="3B3B728A" w14:textId="77777777" w:rsidR="0012676C" w:rsidRPr="005C5E32" w:rsidRDefault="0012676C" w:rsidP="003D0CC1">
            <w:pPr>
              <w:pStyle w:val="TableTextbold"/>
              <w:keepNext/>
              <w:rPr>
                <w:color w:val="FFFFFF" w:themeColor="background1"/>
                <w:szCs w:val="18"/>
              </w:rPr>
            </w:pPr>
            <w:bookmarkStart w:id="93" w:name="_Toc136349047"/>
            <w:r w:rsidRPr="005C5E32">
              <w:rPr>
                <w:color w:val="FFFFFF" w:themeColor="background1"/>
                <w:szCs w:val="18"/>
              </w:rPr>
              <w:t xml:space="preserve">Summary of initiative </w:t>
            </w:r>
          </w:p>
        </w:tc>
        <w:tc>
          <w:tcPr>
            <w:tcW w:w="4110" w:type="dxa"/>
            <w:shd w:val="clear" w:color="auto" w:fill="1B556B" w:themeFill="text2"/>
            <w:vAlign w:val="bottom"/>
          </w:tcPr>
          <w:p w14:paraId="72A5FCD5" w14:textId="77777777" w:rsidR="0012676C" w:rsidRPr="005C5E32" w:rsidRDefault="0012676C" w:rsidP="003D0CC1">
            <w:pPr>
              <w:pStyle w:val="TableTextbold"/>
              <w:keepNext/>
              <w:rPr>
                <w:color w:val="FFFFFF" w:themeColor="background1"/>
                <w:szCs w:val="18"/>
              </w:rPr>
            </w:pPr>
            <w:r w:rsidRPr="005C5E32">
              <w:rPr>
                <w:color w:val="FFFFFF" w:themeColor="background1"/>
                <w:szCs w:val="18"/>
              </w:rPr>
              <w:t xml:space="preserve">Status </w:t>
            </w:r>
          </w:p>
        </w:tc>
      </w:tr>
      <w:tr w:rsidR="0012676C" w:rsidRPr="005C5E32" w14:paraId="14260A2A" w14:textId="77777777" w:rsidTr="00E15039">
        <w:tc>
          <w:tcPr>
            <w:tcW w:w="4395" w:type="dxa"/>
          </w:tcPr>
          <w:p w14:paraId="396D5899" w14:textId="7CD6D575" w:rsidR="0012676C" w:rsidRPr="005C5E32" w:rsidRDefault="0012676C" w:rsidP="003D0CC1">
            <w:pPr>
              <w:pStyle w:val="TableText"/>
              <w:rPr>
                <w:szCs w:val="18"/>
              </w:rPr>
            </w:pPr>
            <w:r w:rsidRPr="005C5E32">
              <w:rPr>
                <w:b/>
                <w:bCs/>
                <w:szCs w:val="18"/>
              </w:rPr>
              <w:t xml:space="preserve">2025/26: </w:t>
            </w:r>
            <w:hyperlink r:id="rId54" w:anchor="page=46" w:history="1">
              <w:r w:rsidRPr="005C5E32">
                <w:rPr>
                  <w:rStyle w:val="Hyperlink"/>
                  <w:rFonts w:asciiTheme="minorHAnsi" w:hAnsiTheme="minorHAnsi" w:cstheme="minorHAnsi"/>
                  <w:szCs w:val="18"/>
                </w:rPr>
                <w:t>Resource Management Act Reform Implementation –</w:t>
              </w:r>
              <w:bookmarkStart w:id="94" w:name="_Hlt237873997"/>
              <w:bookmarkStart w:id="95" w:name="_Hlt237873998"/>
              <w:r w:rsidRPr="005C5E32">
                <w:rPr>
                  <w:rStyle w:val="Hyperlink"/>
                  <w:rFonts w:asciiTheme="minorHAnsi" w:hAnsiTheme="minorHAnsi" w:cstheme="minorHAnsi"/>
                  <w:szCs w:val="18"/>
                </w:rPr>
                <w:t xml:space="preserve"> </w:t>
              </w:r>
              <w:bookmarkEnd w:id="94"/>
              <w:bookmarkEnd w:id="95"/>
              <w:r w:rsidRPr="005C5E32">
                <w:rPr>
                  <w:rStyle w:val="Hyperlink"/>
                  <w:rFonts w:asciiTheme="minorHAnsi" w:hAnsiTheme="minorHAnsi" w:cstheme="minorHAnsi"/>
                  <w:szCs w:val="18"/>
                </w:rPr>
                <w:t>Phase 3</w:t>
              </w:r>
            </w:hyperlink>
          </w:p>
          <w:p w14:paraId="32ECCABD" w14:textId="2FD50F7E" w:rsidR="0012676C" w:rsidRPr="005C5E32" w:rsidRDefault="0012676C" w:rsidP="003D0CC1">
            <w:pPr>
              <w:pStyle w:val="TableText"/>
              <w:rPr>
                <w:rFonts w:asciiTheme="minorHAnsi" w:hAnsiTheme="minorHAnsi" w:cstheme="minorHAnsi"/>
                <w:szCs w:val="18"/>
              </w:rPr>
            </w:pPr>
            <w:r w:rsidRPr="005C5E32">
              <w:rPr>
                <w:rFonts w:asciiTheme="minorHAnsi" w:hAnsiTheme="minorHAnsi" w:cstheme="minorHAnsi"/>
                <w:szCs w:val="18"/>
              </w:rPr>
              <w:t>This initiative provides new funding to implement the first two years of the national direction programme and Phase 3 of the R</w:t>
            </w:r>
            <w:r w:rsidRPr="005C5E32" w:rsidDel="00A04A45">
              <w:rPr>
                <w:rFonts w:asciiTheme="minorHAnsi" w:hAnsiTheme="minorHAnsi" w:cstheme="minorHAnsi"/>
                <w:szCs w:val="18"/>
              </w:rPr>
              <w:t>esource Management Act</w:t>
            </w:r>
            <w:r w:rsidRPr="005C5E32">
              <w:rPr>
                <w:rFonts w:asciiTheme="minorHAnsi" w:hAnsiTheme="minorHAnsi" w:cstheme="minorHAnsi"/>
                <w:szCs w:val="18"/>
              </w:rPr>
              <w:t xml:space="preserve"> </w:t>
            </w:r>
            <w:r w:rsidR="00E51994" w:rsidRPr="005C5E32">
              <w:rPr>
                <w:rFonts w:asciiTheme="minorHAnsi" w:hAnsiTheme="minorHAnsi" w:cstheme="minorHAnsi"/>
                <w:szCs w:val="18"/>
              </w:rPr>
              <w:t xml:space="preserve">1991 </w:t>
            </w:r>
            <w:r w:rsidR="005B23D4" w:rsidRPr="005C5E32">
              <w:rPr>
                <w:rFonts w:asciiTheme="minorHAnsi" w:hAnsiTheme="minorHAnsi" w:cstheme="minorHAnsi"/>
                <w:szCs w:val="18"/>
              </w:rPr>
              <w:t>r</w:t>
            </w:r>
            <w:r w:rsidRPr="005C5E32">
              <w:rPr>
                <w:rFonts w:asciiTheme="minorHAnsi" w:hAnsiTheme="minorHAnsi" w:cstheme="minorHAnsi"/>
                <w:szCs w:val="18"/>
              </w:rPr>
              <w:t>eform</w:t>
            </w:r>
            <w:r w:rsidR="005B23D4" w:rsidRPr="005C5E32">
              <w:rPr>
                <w:rFonts w:asciiTheme="minorHAnsi" w:hAnsiTheme="minorHAnsi" w:cstheme="minorHAnsi"/>
                <w:szCs w:val="18"/>
              </w:rPr>
              <w:t>s</w:t>
            </w:r>
            <w:r w:rsidRPr="005C5E32">
              <w:rPr>
                <w:rFonts w:asciiTheme="minorHAnsi" w:hAnsiTheme="minorHAnsi" w:cstheme="minorHAnsi"/>
                <w:szCs w:val="18"/>
              </w:rPr>
              <w:t>. This initiative also reprioritises surplus funding within Vote Environment to support accelerated delivery of policy and scientific input, standardised zoning, legislative drafting, upholding Treaty and settlement commitments, legal support and a programme business case.</w:t>
            </w:r>
          </w:p>
        </w:tc>
        <w:tc>
          <w:tcPr>
            <w:tcW w:w="4110" w:type="dxa"/>
          </w:tcPr>
          <w:p w14:paraId="412A7061" w14:textId="573EFB97" w:rsidR="0012676C" w:rsidRPr="005C5E32" w:rsidRDefault="00771231" w:rsidP="003D0CC1">
            <w:pPr>
              <w:pStyle w:val="TableText"/>
              <w:rPr>
                <w:rFonts w:asciiTheme="minorHAnsi" w:hAnsiTheme="minorHAnsi" w:cstheme="minorHAnsi"/>
                <w:szCs w:val="18"/>
              </w:rPr>
            </w:pPr>
            <w:r w:rsidRPr="005C5E32">
              <w:rPr>
                <w:rFonts w:asciiTheme="minorHAnsi" w:hAnsiTheme="minorHAnsi" w:cstheme="minorHAnsi"/>
                <w:szCs w:val="18"/>
              </w:rPr>
              <w:t>For summaries on p</w:t>
            </w:r>
            <w:r w:rsidR="00FD59B2" w:rsidRPr="005C5E32">
              <w:rPr>
                <w:rFonts w:asciiTheme="minorHAnsi" w:hAnsiTheme="minorHAnsi" w:cstheme="minorHAnsi"/>
                <w:szCs w:val="18"/>
              </w:rPr>
              <w:t xml:space="preserve">erformance </w:t>
            </w:r>
            <w:r w:rsidR="00573214" w:rsidRPr="005C5E32">
              <w:rPr>
                <w:rFonts w:asciiTheme="minorHAnsi" w:hAnsiTheme="minorHAnsi" w:cstheme="minorHAnsi"/>
                <w:szCs w:val="18"/>
              </w:rPr>
              <w:t>for this initiative</w:t>
            </w:r>
            <w:r w:rsidRPr="005C5E32">
              <w:rPr>
                <w:rFonts w:asciiTheme="minorHAnsi" w:hAnsiTheme="minorHAnsi" w:cstheme="minorHAnsi"/>
                <w:szCs w:val="18"/>
              </w:rPr>
              <w:t>, see</w:t>
            </w:r>
            <w:r w:rsidR="00573214" w:rsidRPr="005C5E32">
              <w:rPr>
                <w:rFonts w:asciiTheme="minorHAnsi" w:hAnsiTheme="minorHAnsi" w:cstheme="minorHAnsi"/>
                <w:szCs w:val="18"/>
              </w:rPr>
              <w:t xml:space="preserve"> </w:t>
            </w:r>
            <w:hyperlink w:anchor="_Strategic_priority_1:" w:history="1">
              <w:r w:rsidRPr="005C5E32">
                <w:rPr>
                  <w:rStyle w:val="Hyperlink"/>
                  <w:rFonts w:asciiTheme="minorHAnsi" w:hAnsiTheme="minorHAnsi" w:cstheme="minorHAnsi"/>
                  <w:szCs w:val="18"/>
                </w:rPr>
                <w:t>s</w:t>
              </w:r>
              <w:r w:rsidR="00573214" w:rsidRPr="005C5E32">
                <w:rPr>
                  <w:rStyle w:val="Hyperlink"/>
                  <w:rFonts w:asciiTheme="minorHAnsi" w:hAnsiTheme="minorHAnsi" w:cstheme="minorHAnsi"/>
                  <w:szCs w:val="18"/>
                </w:rPr>
                <w:t>trategic priority 1</w:t>
              </w:r>
            </w:hyperlink>
            <w:r w:rsidR="00573214" w:rsidRPr="005C5E32">
              <w:rPr>
                <w:rFonts w:asciiTheme="minorHAnsi" w:hAnsiTheme="minorHAnsi" w:cstheme="minorHAnsi"/>
                <w:szCs w:val="18"/>
              </w:rPr>
              <w:t xml:space="preserve"> and</w:t>
            </w:r>
            <w:r w:rsidR="00A826D6" w:rsidRPr="005C5E32">
              <w:rPr>
                <w:rFonts w:asciiTheme="minorHAnsi" w:hAnsiTheme="minorHAnsi" w:cstheme="minorHAnsi"/>
                <w:szCs w:val="18"/>
              </w:rPr>
              <w:t xml:space="preserve"> the year-end </w:t>
            </w:r>
            <w:r w:rsidR="00806AB5" w:rsidRPr="005C5E32">
              <w:rPr>
                <w:rFonts w:asciiTheme="minorHAnsi" w:hAnsiTheme="minorHAnsi" w:cstheme="minorHAnsi"/>
                <w:szCs w:val="18"/>
              </w:rPr>
              <w:t xml:space="preserve">performance information </w:t>
            </w:r>
            <w:r w:rsidR="00C50308" w:rsidRPr="005C5E32">
              <w:rPr>
                <w:rFonts w:asciiTheme="minorHAnsi" w:hAnsiTheme="minorHAnsi" w:cstheme="minorHAnsi"/>
                <w:szCs w:val="18"/>
              </w:rPr>
              <w:t>on appropriations</w:t>
            </w:r>
            <w:r w:rsidR="00324503" w:rsidRPr="005C5E32">
              <w:rPr>
                <w:rFonts w:asciiTheme="minorHAnsi" w:hAnsiTheme="minorHAnsi" w:cstheme="minorHAnsi"/>
                <w:szCs w:val="18"/>
              </w:rPr>
              <w:t xml:space="preserve"> under </w:t>
            </w:r>
            <w:hyperlink w:anchor="_Resource_management" w:history="1">
              <w:r w:rsidR="00324503" w:rsidRPr="005C5E32">
                <w:rPr>
                  <w:rStyle w:val="Hyperlink"/>
                  <w:rFonts w:asciiTheme="minorHAnsi" w:hAnsiTheme="minorHAnsi" w:cstheme="minorHAnsi"/>
                  <w:szCs w:val="18"/>
                </w:rPr>
                <w:t>Resource management</w:t>
              </w:r>
            </w:hyperlink>
            <w:r w:rsidR="00324503" w:rsidRPr="005C5E32">
              <w:rPr>
                <w:rFonts w:asciiTheme="minorHAnsi" w:hAnsiTheme="minorHAnsi" w:cstheme="minorHAnsi"/>
                <w:szCs w:val="18"/>
              </w:rPr>
              <w:t xml:space="preserve">. </w:t>
            </w:r>
          </w:p>
        </w:tc>
      </w:tr>
      <w:tr w:rsidR="0012676C" w:rsidRPr="005C5E32" w14:paraId="5EAD34A7" w14:textId="77777777" w:rsidTr="00E15039">
        <w:tc>
          <w:tcPr>
            <w:tcW w:w="4395" w:type="dxa"/>
          </w:tcPr>
          <w:p w14:paraId="1260A755" w14:textId="5823B6D8" w:rsidR="0012676C" w:rsidRPr="005C5E32" w:rsidRDefault="0012676C" w:rsidP="003D0CC1">
            <w:pPr>
              <w:pStyle w:val="TableText"/>
              <w:rPr>
                <w:b/>
                <w:bCs/>
                <w:szCs w:val="18"/>
              </w:rPr>
            </w:pPr>
            <w:r w:rsidRPr="005C5E32">
              <w:rPr>
                <w:b/>
                <w:bCs/>
                <w:szCs w:val="18"/>
              </w:rPr>
              <w:lastRenderedPageBreak/>
              <w:t xml:space="preserve">2025/26: </w:t>
            </w:r>
            <w:hyperlink r:id="rId55" w:anchor="page=46" w:history="1">
              <w:r w:rsidRPr="005C5E32">
                <w:rPr>
                  <w:rStyle w:val="Hyperlink"/>
                  <w:rFonts w:cstheme="minorBidi"/>
                  <w:szCs w:val="18"/>
                </w:rPr>
                <w:t>Waste Disposal Levy – Further Reallocation of</w:t>
              </w:r>
              <w:r w:rsidR="00372C59" w:rsidRPr="005C5E32">
                <w:rPr>
                  <w:rStyle w:val="Hyperlink"/>
                  <w:rFonts w:cstheme="minorBidi"/>
                  <w:szCs w:val="18"/>
                </w:rPr>
                <w:t> </w:t>
              </w:r>
              <w:r w:rsidRPr="005C5E32">
                <w:rPr>
                  <w:rStyle w:val="Hyperlink"/>
                  <w:rFonts w:cstheme="minorBidi"/>
                  <w:szCs w:val="18"/>
                </w:rPr>
                <w:t>Funding</w:t>
              </w:r>
            </w:hyperlink>
          </w:p>
          <w:p w14:paraId="2A441F40" w14:textId="10B5F2E7" w:rsidR="009B613B" w:rsidRPr="005C5E32" w:rsidRDefault="0012676C" w:rsidP="003D0CC1">
            <w:pPr>
              <w:pStyle w:val="TableText"/>
              <w:rPr>
                <w:rFonts w:asciiTheme="minorHAnsi" w:hAnsiTheme="minorHAnsi" w:cstheme="minorHAnsi"/>
                <w:szCs w:val="18"/>
              </w:rPr>
            </w:pPr>
            <w:r w:rsidRPr="005C5E32">
              <w:rPr>
                <w:rFonts w:asciiTheme="minorHAnsi" w:hAnsiTheme="minorHAnsi" w:cstheme="minorHAnsi"/>
                <w:szCs w:val="18"/>
              </w:rPr>
              <w:t>This savings initiative changes the allocation of Waste Disposal Levy revenue. Revenue from the levy will fund a</w:t>
            </w:r>
            <w:r w:rsidR="00372C59" w:rsidRPr="005C5E32">
              <w:rPr>
                <w:rFonts w:asciiTheme="minorHAnsi" w:hAnsiTheme="minorHAnsi" w:cstheme="minorHAnsi"/>
                <w:szCs w:val="18"/>
              </w:rPr>
              <w:t> </w:t>
            </w:r>
            <w:r w:rsidRPr="005C5E32">
              <w:rPr>
                <w:rFonts w:asciiTheme="minorHAnsi" w:hAnsiTheme="minorHAnsi" w:cstheme="minorHAnsi"/>
                <w:szCs w:val="18"/>
              </w:rPr>
              <w:t xml:space="preserve">broader range of activities across government that reduce environmental harm or increase environmental benefits, which are currently funded by general Crown revenue. </w:t>
            </w:r>
          </w:p>
          <w:p w14:paraId="21001297" w14:textId="3141A149" w:rsidR="0012676C" w:rsidRPr="005C5E32" w:rsidRDefault="0012676C" w:rsidP="003D0CC1">
            <w:pPr>
              <w:pStyle w:val="TableText"/>
              <w:rPr>
                <w:szCs w:val="18"/>
              </w:rPr>
            </w:pPr>
            <w:r w:rsidRPr="005C5E32">
              <w:rPr>
                <w:rFonts w:asciiTheme="minorHAnsi" w:hAnsiTheme="minorHAnsi" w:cstheme="minorHAnsi"/>
                <w:szCs w:val="18"/>
              </w:rPr>
              <w:t xml:space="preserve">Accordingly, the total amount in the </w:t>
            </w:r>
            <w:r w:rsidR="006C4B4F" w:rsidRPr="005C5E32">
              <w:rPr>
                <w:rFonts w:asciiTheme="minorHAnsi" w:hAnsiTheme="minorHAnsi" w:cstheme="minorHAnsi"/>
                <w:szCs w:val="18"/>
              </w:rPr>
              <w:t>Contestable</w:t>
            </w:r>
            <w:r w:rsidRPr="005C5E32">
              <w:rPr>
                <w:rFonts w:asciiTheme="minorHAnsi" w:hAnsiTheme="minorHAnsi" w:cstheme="minorHAnsi"/>
                <w:szCs w:val="18"/>
              </w:rPr>
              <w:t xml:space="preserve"> </w:t>
            </w:r>
            <w:r w:rsidRPr="005C5E32" w:rsidDel="008D2D59">
              <w:rPr>
                <w:rFonts w:asciiTheme="minorHAnsi" w:hAnsiTheme="minorHAnsi" w:cstheme="minorHAnsi"/>
                <w:szCs w:val="18"/>
              </w:rPr>
              <w:t>Waste Minimisation Fund</w:t>
            </w:r>
            <w:r w:rsidRPr="005C5E32">
              <w:rPr>
                <w:rFonts w:asciiTheme="minorHAnsi" w:hAnsiTheme="minorHAnsi" w:cstheme="minorHAnsi"/>
                <w:szCs w:val="18"/>
              </w:rPr>
              <w:t xml:space="preserve"> will reduce </w:t>
            </w:r>
            <w:r w:rsidRPr="005C5E32" w:rsidDel="004B73B5">
              <w:rPr>
                <w:rFonts w:asciiTheme="minorHAnsi" w:hAnsiTheme="minorHAnsi" w:cstheme="minorHAnsi"/>
                <w:szCs w:val="18"/>
              </w:rPr>
              <w:t xml:space="preserve">by </w:t>
            </w:r>
            <w:r w:rsidRPr="005C5E32">
              <w:rPr>
                <w:rFonts w:asciiTheme="minorHAnsi" w:hAnsiTheme="minorHAnsi" w:cstheme="minorHAnsi"/>
                <w:szCs w:val="18"/>
              </w:rPr>
              <w:t>49</w:t>
            </w:r>
            <w:r w:rsidRPr="005C5E32" w:rsidDel="004B73B5">
              <w:rPr>
                <w:rFonts w:asciiTheme="minorHAnsi" w:hAnsiTheme="minorHAnsi" w:cstheme="minorHAnsi"/>
                <w:szCs w:val="18"/>
              </w:rPr>
              <w:t>%</w:t>
            </w:r>
            <w:r w:rsidRPr="005C5E32">
              <w:rPr>
                <w:rFonts w:asciiTheme="minorHAnsi" w:hAnsiTheme="minorHAnsi" w:cstheme="minorHAnsi"/>
                <w:szCs w:val="18"/>
              </w:rPr>
              <w:t>, improving the value of that spending. An average of $30</w:t>
            </w:r>
            <w:r w:rsidRPr="005C5E32" w:rsidDel="004B73B5">
              <w:rPr>
                <w:rFonts w:asciiTheme="minorHAnsi" w:hAnsiTheme="minorHAnsi" w:cstheme="minorHAnsi"/>
                <w:szCs w:val="18"/>
              </w:rPr>
              <w:t>.0</w:t>
            </w:r>
            <w:r w:rsidRPr="005C5E32">
              <w:rPr>
                <w:rFonts w:asciiTheme="minorHAnsi" w:hAnsiTheme="minorHAnsi" w:cstheme="minorHAnsi"/>
                <w:szCs w:val="18"/>
              </w:rPr>
              <w:t xml:space="preserve"> million per </w:t>
            </w:r>
            <w:r w:rsidR="00C63AE6" w:rsidRPr="005C5E32">
              <w:rPr>
                <w:rFonts w:asciiTheme="minorHAnsi" w:hAnsiTheme="minorHAnsi" w:cstheme="minorHAnsi"/>
                <w:szCs w:val="18"/>
              </w:rPr>
              <w:t xml:space="preserve">year </w:t>
            </w:r>
            <w:r w:rsidRPr="005C5E32">
              <w:rPr>
                <w:rFonts w:asciiTheme="minorHAnsi" w:hAnsiTheme="minorHAnsi" w:cstheme="minorHAnsi"/>
                <w:szCs w:val="18"/>
              </w:rPr>
              <w:t xml:space="preserve">remains in the </w:t>
            </w:r>
            <w:r w:rsidRPr="005C5E32" w:rsidDel="008D2D59">
              <w:rPr>
                <w:rFonts w:asciiTheme="minorHAnsi" w:hAnsiTheme="minorHAnsi" w:cstheme="minorHAnsi"/>
                <w:szCs w:val="18"/>
              </w:rPr>
              <w:t>Waste Minimisation Fund</w:t>
            </w:r>
            <w:r w:rsidRPr="005C5E32">
              <w:rPr>
                <w:rFonts w:asciiTheme="minorHAnsi" w:hAnsiTheme="minorHAnsi" w:cstheme="minorHAnsi"/>
                <w:szCs w:val="18"/>
              </w:rPr>
              <w:t xml:space="preserve"> for new initiatives.</w:t>
            </w:r>
          </w:p>
        </w:tc>
        <w:tc>
          <w:tcPr>
            <w:tcW w:w="4110" w:type="dxa"/>
          </w:tcPr>
          <w:p w14:paraId="1C344781" w14:textId="080A8930" w:rsidR="008B299F" w:rsidRPr="005C5E32" w:rsidRDefault="008B299F" w:rsidP="008B299F">
            <w:pPr>
              <w:pStyle w:val="TableText"/>
              <w:rPr>
                <w:rFonts w:asciiTheme="minorHAnsi" w:hAnsiTheme="minorHAnsi" w:cstheme="minorHAnsi"/>
                <w:szCs w:val="18"/>
              </w:rPr>
            </w:pPr>
            <w:r w:rsidRPr="005C5E32">
              <w:rPr>
                <w:rFonts w:asciiTheme="minorHAnsi" w:hAnsiTheme="minorHAnsi" w:cstheme="minorHAnsi"/>
                <w:szCs w:val="18"/>
              </w:rPr>
              <w:t>F</w:t>
            </w:r>
            <w:r w:rsidR="00771231" w:rsidRPr="005C5E32">
              <w:rPr>
                <w:rFonts w:asciiTheme="minorHAnsi" w:hAnsiTheme="minorHAnsi" w:cstheme="minorHAnsi"/>
                <w:szCs w:val="18"/>
              </w:rPr>
              <w:t>or more</w:t>
            </w:r>
            <w:r w:rsidRPr="005C5E32">
              <w:rPr>
                <w:rFonts w:asciiTheme="minorHAnsi" w:hAnsiTheme="minorHAnsi" w:cstheme="minorHAnsi"/>
                <w:szCs w:val="18"/>
              </w:rPr>
              <w:t xml:space="preserve"> information on the reallocation of Waste Disposal Levy </w:t>
            </w:r>
            <w:r w:rsidR="00A6609F" w:rsidRPr="005C5E32">
              <w:rPr>
                <w:rFonts w:asciiTheme="minorHAnsi" w:hAnsiTheme="minorHAnsi" w:cstheme="minorHAnsi"/>
                <w:szCs w:val="18"/>
              </w:rPr>
              <w:t>revenue</w:t>
            </w:r>
            <w:r w:rsidR="00771231" w:rsidRPr="005C5E32">
              <w:rPr>
                <w:rFonts w:asciiTheme="minorHAnsi" w:hAnsiTheme="minorHAnsi" w:cstheme="minorHAnsi"/>
                <w:szCs w:val="18"/>
              </w:rPr>
              <w:t>, see</w:t>
            </w:r>
            <w:hyperlink w:anchor="_12._Memorandum_accounts" w:history="1">
              <w:r w:rsidRPr="005C5E32">
                <w:rPr>
                  <w:rStyle w:val="Hyperlink"/>
                  <w:rFonts w:asciiTheme="minorHAnsi" w:hAnsiTheme="minorHAnsi" w:cstheme="minorHAnsi"/>
                  <w:szCs w:val="18"/>
                </w:rPr>
                <w:t xml:space="preserve"> </w:t>
              </w:r>
              <w:r w:rsidR="00771231" w:rsidRPr="005C5E32">
                <w:rPr>
                  <w:rStyle w:val="Hyperlink"/>
                  <w:rFonts w:asciiTheme="minorHAnsi" w:hAnsiTheme="minorHAnsi" w:cstheme="minorHAnsi"/>
                  <w:szCs w:val="18"/>
                </w:rPr>
                <w:t>n</w:t>
              </w:r>
              <w:r w:rsidRPr="005C5E32">
                <w:rPr>
                  <w:rStyle w:val="Hyperlink"/>
                  <w:rFonts w:asciiTheme="minorHAnsi" w:hAnsiTheme="minorHAnsi" w:cstheme="minorHAnsi"/>
                  <w:szCs w:val="18"/>
                </w:rPr>
                <w:t>ote 12</w:t>
              </w:r>
            </w:hyperlink>
            <w:r w:rsidRPr="005C5E32">
              <w:rPr>
                <w:rFonts w:asciiTheme="minorHAnsi" w:hAnsiTheme="minorHAnsi" w:cstheme="minorHAnsi"/>
                <w:szCs w:val="18"/>
              </w:rPr>
              <w:t xml:space="preserve"> </w:t>
            </w:r>
            <w:r w:rsidR="00771231" w:rsidRPr="005C5E32">
              <w:rPr>
                <w:rFonts w:asciiTheme="minorHAnsi" w:hAnsiTheme="minorHAnsi" w:cstheme="minorHAnsi"/>
                <w:szCs w:val="18"/>
              </w:rPr>
              <w:t xml:space="preserve">in </w:t>
            </w:r>
            <w:r w:rsidRPr="005C5E32">
              <w:rPr>
                <w:rFonts w:asciiTheme="minorHAnsi" w:hAnsiTheme="minorHAnsi" w:cstheme="minorHAnsi"/>
                <w:szCs w:val="18"/>
              </w:rPr>
              <w:t>the Notes to the non-departmental statements and schedules</w:t>
            </w:r>
            <w:r w:rsidR="00743B89" w:rsidRPr="005C5E32">
              <w:rPr>
                <w:rFonts w:asciiTheme="minorHAnsi" w:hAnsiTheme="minorHAnsi" w:cstheme="minorHAnsi"/>
                <w:szCs w:val="18"/>
              </w:rPr>
              <w:t>.</w:t>
            </w:r>
          </w:p>
          <w:p w14:paraId="1CD2D11E" w14:textId="748AD8C4" w:rsidR="00CE481B" w:rsidRPr="005C5E32" w:rsidRDefault="00CE481B" w:rsidP="00A92A12">
            <w:pPr>
              <w:pStyle w:val="TableText"/>
              <w:rPr>
                <w:rFonts w:asciiTheme="minorHAnsi" w:hAnsiTheme="minorHAnsi" w:cstheme="minorHAnsi"/>
                <w:szCs w:val="18"/>
              </w:rPr>
            </w:pPr>
          </w:p>
        </w:tc>
      </w:tr>
    </w:tbl>
    <w:p w14:paraId="35C9D2D2" w14:textId="77777777" w:rsidR="0012676C" w:rsidRPr="005C5E32" w:rsidRDefault="0012676C" w:rsidP="00C3421C">
      <w:pPr>
        <w:pStyle w:val="Heading2"/>
        <w:spacing w:before="400"/>
      </w:pPr>
      <w:bookmarkStart w:id="96" w:name="_Toc207017390"/>
      <w:bookmarkStart w:id="97" w:name="_Toc210136377"/>
      <w:bookmarkStart w:id="98" w:name="_Toc240445565"/>
      <w:bookmarkEnd w:id="93"/>
      <w:r w:rsidRPr="005C5E32">
        <w:t>Assessment of operations</w:t>
      </w:r>
      <w:bookmarkEnd w:id="96"/>
      <w:bookmarkEnd w:id="97"/>
      <w:bookmarkEnd w:id="98"/>
    </w:p>
    <w:p w14:paraId="1AA98833" w14:textId="4CEDA6D8" w:rsidR="0012676C" w:rsidRPr="005C5E32" w:rsidRDefault="0012676C" w:rsidP="003B4A7F">
      <w:pPr>
        <w:pStyle w:val="BodyText"/>
      </w:pPr>
      <w:bookmarkStart w:id="99" w:name="_Our_operating_performance"/>
      <w:bookmarkStart w:id="100" w:name="_Toc173852907"/>
      <w:bookmarkStart w:id="101" w:name="_Toc173931476"/>
      <w:bookmarkStart w:id="102" w:name="_Toc173932210"/>
      <w:bookmarkEnd w:id="99"/>
      <w:r w:rsidRPr="005C5E32">
        <w:t>The Ministry operate</w:t>
      </w:r>
      <w:r w:rsidR="00785F90" w:rsidRPr="005C5E32">
        <w:t>d</w:t>
      </w:r>
      <w:r w:rsidRPr="005C5E32">
        <w:t xml:space="preserve"> under six departmental appropriations. The two primary appropriations under Vote Environment 2025/26 are Improving New Zealand</w:t>
      </w:r>
      <w:r w:rsidR="000369F8" w:rsidRPr="005C5E32">
        <w:t>’</w:t>
      </w:r>
      <w:r w:rsidRPr="005C5E32">
        <w:t>s Environment and Managing Climate Change in New Zealand.</w:t>
      </w:r>
    </w:p>
    <w:p w14:paraId="74DAD20F" w14:textId="51C17D6B" w:rsidR="0012676C" w:rsidRPr="005C5E32" w:rsidRDefault="0012676C" w:rsidP="003B4A7F">
      <w:pPr>
        <w:pStyle w:val="BodyText"/>
      </w:pPr>
      <w:r w:rsidRPr="005C5E32">
        <w:t>The Minister for the Environment is responsible for the Improving New Zealand</w:t>
      </w:r>
      <w:r w:rsidR="000369F8" w:rsidRPr="005C5E32">
        <w:t>’</w:t>
      </w:r>
      <w:r w:rsidRPr="005C5E32">
        <w:t>s Environment appropriation and</w:t>
      </w:r>
      <w:r w:rsidRPr="005C5E32">
        <w:rPr>
          <w:spacing w:val="-2"/>
        </w:rPr>
        <w:t xml:space="preserve"> the Minister of Climate Change is responsible for the Managing Climate Change in New Zealand</w:t>
      </w:r>
      <w:r w:rsidRPr="005C5E32">
        <w:t xml:space="preserve"> appropriation.</w:t>
      </w:r>
    </w:p>
    <w:bookmarkEnd w:id="100"/>
    <w:bookmarkEnd w:id="101"/>
    <w:bookmarkEnd w:id="102"/>
    <w:p w14:paraId="09B978DF" w14:textId="3BCDA804" w:rsidR="0012676C" w:rsidRPr="005C5E32" w:rsidRDefault="00735B8D" w:rsidP="00653C63">
      <w:pPr>
        <w:pStyle w:val="BodyText"/>
        <w:spacing w:after="240"/>
      </w:pPr>
      <w:r>
        <w:t xml:space="preserve">Table 3 </w:t>
      </w:r>
      <w:r w:rsidR="0012676C" w:rsidRPr="005C5E32">
        <w:t>provides a high-level overview of the Ministry</w:t>
      </w:r>
      <w:r w:rsidR="000369F8" w:rsidRPr="005C5E32">
        <w:t>’</w:t>
      </w:r>
      <w:r w:rsidR="0012676C" w:rsidRPr="005C5E32">
        <w:t xml:space="preserve">s appropriation performance in 2025/26. See </w:t>
      </w:r>
      <w:hyperlink w:anchor="_Our_operating_performance_1" w:history="1">
        <w:r w:rsidR="00B34CD3" w:rsidRPr="005C5E32">
          <w:rPr>
            <w:rStyle w:val="Hyperlink"/>
          </w:rPr>
          <w:t>Year-end performance information on appropriations</w:t>
        </w:r>
      </w:hyperlink>
      <w:r w:rsidR="0012676C" w:rsidRPr="005C5E32">
        <w:t xml:space="preserve"> for the detailed financial and non</w:t>
      </w:r>
      <w:r w:rsidR="0012676C" w:rsidRPr="005C5E32">
        <w:noBreakHyphen/>
        <w:t>financial performance for each appropriation.</w:t>
      </w:r>
    </w:p>
    <w:p w14:paraId="58671CA2" w14:textId="393ACE04" w:rsidR="00A2357F" w:rsidRPr="005C5E32" w:rsidRDefault="00A2357F" w:rsidP="008076D1">
      <w:pPr>
        <w:pStyle w:val="Tableheading"/>
      </w:pPr>
      <w:bookmarkStart w:id="103" w:name="_Ref237433969"/>
      <w:r w:rsidRPr="005C5E32">
        <w:t xml:space="preserve">Table </w:t>
      </w:r>
      <w:fldSimple w:instr=" SEQ Table \* ARABIC ">
        <w:r w:rsidR="00D8311D">
          <w:rPr>
            <w:noProof/>
          </w:rPr>
          <w:t>3</w:t>
        </w:r>
      </w:fldSimple>
      <w:bookmarkEnd w:id="103"/>
      <w:r w:rsidRPr="005C5E32">
        <w:t>: Overview of appropriation performance</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CellMar>
          <w:left w:w="85" w:type="dxa"/>
          <w:right w:w="85" w:type="dxa"/>
        </w:tblCellMar>
        <w:tblLook w:val="04A0" w:firstRow="1" w:lastRow="0" w:firstColumn="1" w:lastColumn="0" w:noHBand="0" w:noVBand="1"/>
      </w:tblPr>
      <w:tblGrid>
        <w:gridCol w:w="1985"/>
        <w:gridCol w:w="4891"/>
        <w:gridCol w:w="1629"/>
      </w:tblGrid>
      <w:tr w:rsidR="0012676C" w:rsidRPr="005C5E32" w14:paraId="1E1FBEAA" w14:textId="77777777" w:rsidTr="001A0554">
        <w:trPr>
          <w:tblHeader/>
        </w:trPr>
        <w:tc>
          <w:tcPr>
            <w:tcW w:w="1985" w:type="dxa"/>
            <w:shd w:val="clear" w:color="auto" w:fill="1B556B" w:themeFill="text2"/>
            <w:vAlign w:val="bottom"/>
          </w:tcPr>
          <w:p w14:paraId="2B5EBA63" w14:textId="77777777" w:rsidR="0012676C" w:rsidRPr="005C5E32" w:rsidRDefault="0012676C" w:rsidP="00DE6478">
            <w:pPr>
              <w:pStyle w:val="TableTextbold"/>
              <w:spacing w:before="40" w:after="40"/>
              <w:rPr>
                <w:color w:val="FFFFFF" w:themeColor="background1"/>
              </w:rPr>
            </w:pPr>
            <w:r w:rsidRPr="005C5E32">
              <w:rPr>
                <w:color w:val="FFFFFF" w:themeColor="background1"/>
              </w:rPr>
              <w:t xml:space="preserve">Appropriation </w:t>
            </w:r>
          </w:p>
        </w:tc>
        <w:tc>
          <w:tcPr>
            <w:tcW w:w="4891" w:type="dxa"/>
            <w:shd w:val="clear" w:color="auto" w:fill="1B556B" w:themeFill="text2"/>
            <w:vAlign w:val="bottom"/>
          </w:tcPr>
          <w:p w14:paraId="6C21245B" w14:textId="77777777" w:rsidR="0012676C" w:rsidRPr="005C5E32" w:rsidRDefault="0012676C" w:rsidP="00DE6478">
            <w:pPr>
              <w:pStyle w:val="TableTextbold"/>
              <w:spacing w:before="40" w:after="40"/>
              <w:rPr>
                <w:color w:val="FFFFFF" w:themeColor="background1"/>
              </w:rPr>
            </w:pPr>
            <w:r w:rsidRPr="005C5E32">
              <w:rPr>
                <w:color w:val="FFFFFF" w:themeColor="background1"/>
              </w:rPr>
              <w:t xml:space="preserve">Summary and key points </w:t>
            </w:r>
          </w:p>
        </w:tc>
        <w:tc>
          <w:tcPr>
            <w:tcW w:w="1629" w:type="dxa"/>
            <w:tcBorders>
              <w:bottom w:val="single" w:sz="4" w:space="0" w:color="1B556B" w:themeColor="text2"/>
            </w:tcBorders>
            <w:shd w:val="clear" w:color="auto" w:fill="1B556B" w:themeFill="text2"/>
            <w:vAlign w:val="bottom"/>
          </w:tcPr>
          <w:p w14:paraId="4E7CA055" w14:textId="77777777" w:rsidR="0012676C" w:rsidRPr="005C5E32" w:rsidRDefault="0012676C" w:rsidP="00DE6478">
            <w:pPr>
              <w:pStyle w:val="TableTextbold"/>
              <w:spacing w:before="40" w:after="40"/>
              <w:rPr>
                <w:color w:val="FFFFFF" w:themeColor="background1"/>
              </w:rPr>
            </w:pPr>
            <w:r w:rsidRPr="005C5E32">
              <w:rPr>
                <w:color w:val="FFFFFF" w:themeColor="background1"/>
              </w:rPr>
              <w:t>Performance link in report</w:t>
            </w:r>
          </w:p>
        </w:tc>
      </w:tr>
      <w:tr w:rsidR="0012676C" w:rsidRPr="005C5E32" w14:paraId="2C55B02E" w14:textId="77777777" w:rsidTr="001A0554">
        <w:tc>
          <w:tcPr>
            <w:tcW w:w="1985" w:type="dxa"/>
            <w:shd w:val="clear" w:color="auto" w:fill="FFFFFF" w:themeFill="background1"/>
          </w:tcPr>
          <w:p w14:paraId="42E234CF" w14:textId="77777777" w:rsidR="0012676C" w:rsidRPr="005C5E32" w:rsidRDefault="0012676C" w:rsidP="000418F9">
            <w:pPr>
              <w:pStyle w:val="TableText"/>
              <w:spacing w:before="40" w:after="40" w:line="234" w:lineRule="atLeast"/>
              <w:rPr>
                <w:b/>
                <w:bCs/>
              </w:rPr>
            </w:pPr>
            <w:r w:rsidRPr="005C5E32">
              <w:rPr>
                <w:b/>
                <w:bCs/>
              </w:rPr>
              <w:t>Managing Climate Change in New Zealand</w:t>
            </w:r>
          </w:p>
        </w:tc>
        <w:tc>
          <w:tcPr>
            <w:tcW w:w="4891" w:type="dxa"/>
          </w:tcPr>
          <w:p w14:paraId="607EA87E" w14:textId="77777777" w:rsidR="0012676C" w:rsidRPr="005C5E32" w:rsidRDefault="00A667A1" w:rsidP="000418F9">
            <w:pPr>
              <w:pStyle w:val="TableText"/>
              <w:spacing w:before="40" w:after="40" w:line="234" w:lineRule="atLeast"/>
            </w:pPr>
            <w:r w:rsidRPr="005C5E32">
              <w:t>Five</w:t>
            </w:r>
            <w:r w:rsidR="00650AAE" w:rsidRPr="005C5E32">
              <w:t xml:space="preserve"> out of the </w:t>
            </w:r>
            <w:r w:rsidRPr="005C5E32">
              <w:t>six</w:t>
            </w:r>
            <w:r w:rsidR="00650AAE" w:rsidRPr="005C5E32">
              <w:t xml:space="preserve"> measures were achieved. A priority for MCERT will continue to be strengthening policy advice</w:t>
            </w:r>
            <w:r w:rsidR="00D76B4F" w:rsidRPr="005C5E32">
              <w:t xml:space="preserve"> and monitoring where improvements are required.</w:t>
            </w:r>
            <w:r w:rsidR="00D76B4F" w:rsidRPr="005C5E32" w:rsidDel="00B32497">
              <w:t xml:space="preserve"> </w:t>
            </w:r>
          </w:p>
          <w:p w14:paraId="7B10B3C0" w14:textId="7A3D147F" w:rsidR="0012676C" w:rsidRPr="005C5E32" w:rsidRDefault="00D00DAE" w:rsidP="000418F9">
            <w:pPr>
              <w:pStyle w:val="TableText"/>
              <w:spacing w:before="40" w:after="40" w:line="234" w:lineRule="atLeast"/>
            </w:pPr>
            <w:r w:rsidRPr="005C5E32">
              <w:t xml:space="preserve">These activities support </w:t>
            </w:r>
            <w:hyperlink w:anchor="_Strategic_priority_2:_1" w:history="1">
              <w:r w:rsidR="006E0DFC" w:rsidRPr="005C5E32">
                <w:rPr>
                  <w:rStyle w:val="Hyperlink"/>
                  <w:rFonts w:cstheme="minorBidi"/>
                  <w:szCs w:val="22"/>
                </w:rPr>
                <w:t>strat</w:t>
              </w:r>
              <w:r w:rsidR="006E0DFC" w:rsidRPr="005C5E32">
                <w:rPr>
                  <w:rStyle w:val="Hyperlink"/>
                </w:rPr>
                <w:t>egic</w:t>
              </w:r>
              <w:r w:rsidR="00F74377" w:rsidRPr="005C5E32">
                <w:rPr>
                  <w:rStyle w:val="Hyperlink"/>
                </w:rPr>
                <w:t xml:space="preserve"> priority 2</w:t>
              </w:r>
            </w:hyperlink>
            <w:r w:rsidR="00F74377" w:rsidRPr="005C5E32">
              <w:t xml:space="preserve">, </w:t>
            </w:r>
            <w:hyperlink w:anchor="_Strategic_priority_3:_1" w:history="1">
              <w:r w:rsidR="00F74377" w:rsidRPr="005C5E32">
                <w:rPr>
                  <w:rStyle w:val="Hyperlink"/>
                  <w:rFonts w:cstheme="minorBidi"/>
                  <w:szCs w:val="22"/>
                </w:rPr>
                <w:t>strat</w:t>
              </w:r>
              <w:r w:rsidR="00F74377" w:rsidRPr="005C5E32">
                <w:rPr>
                  <w:rStyle w:val="Hyperlink"/>
                </w:rPr>
                <w:t>egic priority 3</w:t>
              </w:r>
            </w:hyperlink>
            <w:r w:rsidR="00F74377" w:rsidRPr="005C5E32">
              <w:t xml:space="preserve">, </w:t>
            </w:r>
            <w:hyperlink w:anchor="_Strategic_priority_4:" w:history="1">
              <w:r w:rsidR="00F74377" w:rsidRPr="005C5E32">
                <w:rPr>
                  <w:rStyle w:val="Hyperlink"/>
                  <w:rFonts w:cstheme="minorBidi"/>
                  <w:szCs w:val="22"/>
                </w:rPr>
                <w:t>strat</w:t>
              </w:r>
              <w:r w:rsidR="00F74377" w:rsidRPr="005C5E32">
                <w:rPr>
                  <w:rStyle w:val="Hyperlink"/>
                </w:rPr>
                <w:t>egic priority 4</w:t>
              </w:r>
            </w:hyperlink>
            <w:r w:rsidR="00F74377" w:rsidRPr="005C5E32">
              <w:t xml:space="preserve"> and </w:t>
            </w:r>
            <w:hyperlink w:anchor="_Strategic_priority_5:" w:history="1">
              <w:r w:rsidR="00F74377" w:rsidRPr="005C5E32">
                <w:rPr>
                  <w:rStyle w:val="Hyperlink"/>
                  <w:rFonts w:cstheme="minorBidi"/>
                  <w:szCs w:val="22"/>
                </w:rPr>
                <w:t>strat</w:t>
              </w:r>
              <w:r w:rsidR="00F74377" w:rsidRPr="005C5E32">
                <w:rPr>
                  <w:rStyle w:val="Hyperlink"/>
                </w:rPr>
                <w:t>egic priority 5</w:t>
              </w:r>
            </w:hyperlink>
            <w:r w:rsidR="00F74377" w:rsidRPr="005C5E32">
              <w:t>.</w:t>
            </w:r>
          </w:p>
        </w:tc>
        <w:tc>
          <w:tcPr>
            <w:tcW w:w="1629" w:type="dxa"/>
            <w:shd w:val="clear" w:color="auto" w:fill="D2DDE1" w:themeFill="background2"/>
          </w:tcPr>
          <w:p w14:paraId="4ACCC2B0" w14:textId="4784C9D3" w:rsidR="0012676C" w:rsidRPr="005C5E32" w:rsidRDefault="0012676C" w:rsidP="000418F9">
            <w:pPr>
              <w:pStyle w:val="TableText"/>
              <w:spacing w:before="40" w:after="40" w:line="234" w:lineRule="atLeast"/>
            </w:pPr>
            <w:hyperlink w:anchor="_Managing_Climate_Change_1" w:history="1">
              <w:r w:rsidRPr="005C5E32">
                <w:rPr>
                  <w:rStyle w:val="Hyperlink"/>
                  <w:rFonts w:cstheme="minorBidi"/>
                  <w:szCs w:val="22"/>
                </w:rPr>
                <w:t>Managing Climate Change in New Zealand</w:t>
              </w:r>
            </w:hyperlink>
          </w:p>
        </w:tc>
      </w:tr>
      <w:tr w:rsidR="0012676C" w:rsidRPr="005C5E32" w14:paraId="13DBA353" w14:textId="77777777" w:rsidTr="001A0554">
        <w:tc>
          <w:tcPr>
            <w:tcW w:w="1985" w:type="dxa"/>
            <w:shd w:val="clear" w:color="auto" w:fill="FFFFFF" w:themeFill="background1"/>
          </w:tcPr>
          <w:p w14:paraId="6E54B12C" w14:textId="1A2E2BD1" w:rsidR="0012676C" w:rsidRPr="005C5E32" w:rsidRDefault="0012676C" w:rsidP="000418F9">
            <w:pPr>
              <w:pStyle w:val="TableText"/>
              <w:spacing w:before="40" w:after="40" w:line="234" w:lineRule="atLeast"/>
              <w:rPr>
                <w:b/>
                <w:bCs/>
              </w:rPr>
            </w:pPr>
            <w:r w:rsidRPr="005C5E32">
              <w:rPr>
                <w:b/>
                <w:bCs/>
              </w:rPr>
              <w:t>Improving New Zealand</w:t>
            </w:r>
            <w:r w:rsidR="000369F8" w:rsidRPr="005C5E32">
              <w:rPr>
                <w:b/>
                <w:bCs/>
              </w:rPr>
              <w:t>’</w:t>
            </w:r>
            <w:r w:rsidRPr="005C5E32">
              <w:rPr>
                <w:b/>
                <w:bCs/>
              </w:rPr>
              <w:t>s Environment</w:t>
            </w:r>
          </w:p>
        </w:tc>
        <w:tc>
          <w:tcPr>
            <w:tcW w:w="4891" w:type="dxa"/>
          </w:tcPr>
          <w:p w14:paraId="5E84BE93" w14:textId="77777777" w:rsidR="0012676C" w:rsidRPr="005C5E32" w:rsidRDefault="00611716" w:rsidP="000418F9">
            <w:pPr>
              <w:pStyle w:val="TableText"/>
              <w:spacing w:before="40" w:after="40" w:line="234" w:lineRule="atLeast"/>
            </w:pPr>
            <w:r w:rsidRPr="005C5E32">
              <w:t xml:space="preserve">Thirteen </w:t>
            </w:r>
            <w:r w:rsidR="004D2EF6" w:rsidRPr="005C5E32">
              <w:t xml:space="preserve">out of </w:t>
            </w:r>
            <w:r w:rsidR="00DB4D60" w:rsidRPr="005C5E32">
              <w:t xml:space="preserve">fifteen </w:t>
            </w:r>
            <w:r w:rsidR="004D2EF6" w:rsidRPr="005C5E32">
              <w:t xml:space="preserve">measures were achieved. The freshwater farm plan system is under </w:t>
            </w:r>
            <w:r w:rsidR="00096BB2" w:rsidRPr="005C5E32">
              <w:t>review,</w:t>
            </w:r>
            <w:r w:rsidR="004D2EF6" w:rsidRPr="005C5E32">
              <w:t xml:space="preserve"> and </w:t>
            </w:r>
            <w:r w:rsidR="008C0204" w:rsidRPr="005C5E32">
              <w:t xml:space="preserve">measures will be revised alongside implementation of a new system. </w:t>
            </w:r>
          </w:p>
          <w:p w14:paraId="421DC45E" w14:textId="2D66BB25" w:rsidR="0012676C" w:rsidRPr="005C5E32" w:rsidRDefault="00F74377" w:rsidP="000418F9">
            <w:pPr>
              <w:pStyle w:val="TableText"/>
              <w:spacing w:before="40" w:after="40" w:line="234" w:lineRule="atLeast"/>
            </w:pPr>
            <w:r w:rsidRPr="005C5E32">
              <w:t xml:space="preserve">These activities support </w:t>
            </w:r>
            <w:hyperlink w:anchor="_Strategic_priority_1:" w:history="1">
              <w:r w:rsidRPr="005C5E32">
                <w:rPr>
                  <w:rStyle w:val="Hyperlink"/>
                  <w:rFonts w:cstheme="minorBidi"/>
                  <w:szCs w:val="22"/>
                </w:rPr>
                <w:t>strat</w:t>
              </w:r>
              <w:r w:rsidRPr="005C5E32">
                <w:rPr>
                  <w:rStyle w:val="Hyperlink"/>
                </w:rPr>
                <w:t>egic priority 1</w:t>
              </w:r>
            </w:hyperlink>
            <w:r w:rsidR="000C4E91" w:rsidRPr="005C5E32">
              <w:t xml:space="preserve">, </w:t>
            </w:r>
            <w:hyperlink w:anchor="_Strategic_priority_2:_1" w:history="1">
              <w:r w:rsidR="000C4E91" w:rsidRPr="005C5E32">
                <w:rPr>
                  <w:rStyle w:val="Hyperlink"/>
                  <w:rFonts w:cstheme="minorBidi"/>
                  <w:szCs w:val="22"/>
                </w:rPr>
                <w:t xml:space="preserve">strategic </w:t>
              </w:r>
              <w:r w:rsidR="000C4E91" w:rsidRPr="005C5E32">
                <w:rPr>
                  <w:rStyle w:val="Hyperlink"/>
                </w:rPr>
                <w:t>priority 2</w:t>
              </w:r>
            </w:hyperlink>
            <w:r w:rsidRPr="005C5E32">
              <w:t xml:space="preserve"> and </w:t>
            </w:r>
            <w:hyperlink w:anchor="_Strategic_priority_4:" w:history="1">
              <w:r w:rsidRPr="005C5E32">
                <w:rPr>
                  <w:rStyle w:val="Hyperlink"/>
                  <w:rFonts w:cstheme="minorBidi"/>
                  <w:szCs w:val="22"/>
                </w:rPr>
                <w:t>strat</w:t>
              </w:r>
              <w:r w:rsidRPr="005C5E32">
                <w:rPr>
                  <w:rStyle w:val="Hyperlink"/>
                </w:rPr>
                <w:t>egic priority 4</w:t>
              </w:r>
            </w:hyperlink>
            <w:r w:rsidRPr="005C5E32">
              <w:t>.</w:t>
            </w:r>
          </w:p>
        </w:tc>
        <w:tc>
          <w:tcPr>
            <w:tcW w:w="1629" w:type="dxa"/>
            <w:shd w:val="clear" w:color="auto" w:fill="D2DDE1" w:themeFill="background2"/>
          </w:tcPr>
          <w:p w14:paraId="0B032CD5" w14:textId="3CFEE7C5" w:rsidR="0012676C" w:rsidRPr="005C5E32" w:rsidRDefault="0012676C" w:rsidP="000418F9">
            <w:pPr>
              <w:pStyle w:val="TableText"/>
              <w:spacing w:before="40" w:after="40" w:line="234" w:lineRule="atLeast"/>
            </w:pPr>
            <w:hyperlink w:anchor="_Improving_New_Zealand’s" w:history="1">
              <w:r w:rsidRPr="005C5E32">
                <w:rPr>
                  <w:rStyle w:val="Hyperlink"/>
                  <w:rFonts w:cstheme="minorBidi"/>
                  <w:szCs w:val="22"/>
                </w:rPr>
                <w:t>Improving New Zealand</w:t>
              </w:r>
              <w:r w:rsidR="000369F8" w:rsidRPr="005C5E32">
                <w:rPr>
                  <w:rStyle w:val="Hyperlink"/>
                  <w:rFonts w:cstheme="minorBidi"/>
                  <w:szCs w:val="22"/>
                </w:rPr>
                <w:t>’</w:t>
              </w:r>
              <w:r w:rsidRPr="005C5E32">
                <w:rPr>
                  <w:rStyle w:val="Hyperlink"/>
                  <w:rFonts w:cstheme="minorBidi"/>
                  <w:szCs w:val="22"/>
                </w:rPr>
                <w:t>s Environment</w:t>
              </w:r>
            </w:hyperlink>
          </w:p>
        </w:tc>
      </w:tr>
      <w:tr w:rsidR="0012676C" w:rsidRPr="005C5E32" w14:paraId="6FD0A8ED" w14:textId="77777777" w:rsidTr="001A0554">
        <w:tc>
          <w:tcPr>
            <w:tcW w:w="1985" w:type="dxa"/>
            <w:shd w:val="clear" w:color="auto" w:fill="FFFFFF" w:themeFill="background1"/>
          </w:tcPr>
          <w:p w14:paraId="6C15669D" w14:textId="77777777" w:rsidR="0012676C" w:rsidRPr="005C5E32" w:rsidRDefault="0012676C" w:rsidP="000418F9">
            <w:pPr>
              <w:pStyle w:val="TableText"/>
              <w:spacing w:before="40" w:after="40" w:line="234" w:lineRule="atLeast"/>
              <w:rPr>
                <w:b/>
                <w:bCs/>
              </w:rPr>
            </w:pPr>
            <w:r w:rsidRPr="005C5E32">
              <w:rPr>
                <w:b/>
                <w:bCs/>
              </w:rPr>
              <w:t xml:space="preserve">Product Stewardship </w:t>
            </w:r>
          </w:p>
        </w:tc>
        <w:tc>
          <w:tcPr>
            <w:tcW w:w="4891" w:type="dxa"/>
          </w:tcPr>
          <w:p w14:paraId="7205E63C" w14:textId="77777777" w:rsidR="0012676C" w:rsidRPr="005C5E32" w:rsidRDefault="008C0204" w:rsidP="000418F9">
            <w:pPr>
              <w:pStyle w:val="TableText"/>
              <w:spacing w:line="234" w:lineRule="atLeast"/>
            </w:pPr>
            <w:r w:rsidRPr="005C5E32">
              <w:t>All measures were achieved.</w:t>
            </w:r>
            <w:r w:rsidR="00A17D1A" w:rsidRPr="005C5E32">
              <w:t xml:space="preserve"> The scheme continues to exceed its target for tyres collected and is being well managed and meeting agreed milestones. </w:t>
            </w:r>
          </w:p>
          <w:p w14:paraId="0C0E8F79" w14:textId="277984DD" w:rsidR="0012676C" w:rsidRPr="005C5E32" w:rsidRDefault="00F74377" w:rsidP="000418F9">
            <w:pPr>
              <w:pStyle w:val="TableText"/>
              <w:spacing w:line="234" w:lineRule="atLeast"/>
            </w:pPr>
            <w:r w:rsidRPr="005C5E32">
              <w:t xml:space="preserve">This activity supports </w:t>
            </w:r>
            <w:hyperlink w:anchor="_Strategic_priority_3:_1" w:history="1">
              <w:r w:rsidRPr="005C5E32">
                <w:rPr>
                  <w:rStyle w:val="Hyperlink"/>
                  <w:rFonts w:cstheme="minorBidi"/>
                  <w:szCs w:val="22"/>
                </w:rPr>
                <w:t xml:space="preserve">strategic </w:t>
              </w:r>
              <w:r w:rsidR="00290D5C" w:rsidRPr="005C5E32">
                <w:rPr>
                  <w:rStyle w:val="Hyperlink"/>
                </w:rPr>
                <w:t>priority 3</w:t>
              </w:r>
            </w:hyperlink>
            <w:r w:rsidR="00290D5C" w:rsidRPr="005C5E32">
              <w:t xml:space="preserve">. </w:t>
            </w:r>
          </w:p>
        </w:tc>
        <w:tc>
          <w:tcPr>
            <w:tcW w:w="1629" w:type="dxa"/>
            <w:shd w:val="clear" w:color="auto" w:fill="D2DDE1" w:themeFill="background2"/>
          </w:tcPr>
          <w:p w14:paraId="25A2C0F1" w14:textId="77777777" w:rsidR="0012676C" w:rsidRPr="005C5E32" w:rsidRDefault="0012676C" w:rsidP="000418F9">
            <w:pPr>
              <w:pStyle w:val="TableText"/>
              <w:spacing w:before="40" w:after="40" w:line="234" w:lineRule="atLeast"/>
            </w:pPr>
            <w:hyperlink w:anchor="_Reducing_emissions_from" w:history="1">
              <w:r w:rsidRPr="005C5E32">
                <w:rPr>
                  <w:rStyle w:val="Hyperlink"/>
                  <w:rFonts w:cstheme="minorBidi"/>
                  <w:szCs w:val="22"/>
                </w:rPr>
                <w:t>Product Stewardship – multi-category appropriation</w:t>
              </w:r>
            </w:hyperlink>
          </w:p>
        </w:tc>
      </w:tr>
      <w:tr w:rsidR="0012676C" w:rsidRPr="005C5E32" w14:paraId="51074F03" w14:textId="77777777" w:rsidTr="001A0554">
        <w:tc>
          <w:tcPr>
            <w:tcW w:w="1985" w:type="dxa"/>
            <w:shd w:val="clear" w:color="auto" w:fill="FFFFFF" w:themeFill="background1"/>
          </w:tcPr>
          <w:p w14:paraId="32ED81F6" w14:textId="77777777" w:rsidR="0012676C" w:rsidRPr="005C5E32" w:rsidRDefault="0012676C" w:rsidP="000418F9">
            <w:pPr>
              <w:pStyle w:val="TableText"/>
              <w:spacing w:before="40" w:after="40" w:line="234" w:lineRule="atLeast"/>
              <w:rPr>
                <w:b/>
                <w:bCs/>
              </w:rPr>
            </w:pPr>
            <w:r w:rsidRPr="005C5E32">
              <w:rPr>
                <w:b/>
                <w:bCs/>
              </w:rPr>
              <w:t xml:space="preserve">Waste Minimisation </w:t>
            </w:r>
          </w:p>
        </w:tc>
        <w:tc>
          <w:tcPr>
            <w:tcW w:w="4891" w:type="dxa"/>
          </w:tcPr>
          <w:p w14:paraId="6C895D40" w14:textId="77777777" w:rsidR="0012676C" w:rsidRPr="005C5E32" w:rsidRDefault="00CF4E59" w:rsidP="000418F9">
            <w:pPr>
              <w:pStyle w:val="TableText"/>
              <w:spacing w:before="40" w:after="40" w:line="234" w:lineRule="atLeast"/>
              <w:rPr>
                <w:rFonts w:cs="Calibri"/>
              </w:rPr>
            </w:pPr>
            <w:r w:rsidRPr="005C5E32">
              <w:t>Ten</w:t>
            </w:r>
            <w:r w:rsidR="00281A68" w:rsidRPr="005C5E32">
              <w:t xml:space="preserve"> </w:t>
            </w:r>
            <w:r w:rsidR="00A17D1A" w:rsidRPr="005C5E32">
              <w:t xml:space="preserve">out of </w:t>
            </w:r>
            <w:r w:rsidR="00DB4D60" w:rsidRPr="005C5E32">
              <w:t xml:space="preserve">sixteen </w:t>
            </w:r>
            <w:r w:rsidR="00A17D1A" w:rsidRPr="005C5E32">
              <w:t xml:space="preserve">measures were achieved or are on track. </w:t>
            </w:r>
            <w:r w:rsidR="002339E3" w:rsidRPr="005C5E32">
              <w:t>T</w:t>
            </w:r>
            <w:r w:rsidR="002339E3" w:rsidRPr="005C5E32">
              <w:rPr>
                <w:rFonts w:cs="Calibri"/>
              </w:rPr>
              <w:t xml:space="preserve">he </w:t>
            </w:r>
            <w:r w:rsidR="00D05DCE" w:rsidRPr="005C5E32">
              <w:rPr>
                <w:rFonts w:cs="Calibri"/>
              </w:rPr>
              <w:t xml:space="preserve">work described in the </w:t>
            </w:r>
            <w:hyperlink r:id="rId56" w:history="1">
              <w:r w:rsidR="00D05DCE" w:rsidRPr="005C5E32">
                <w:rPr>
                  <w:rStyle w:val="Hyperlink"/>
                  <w:rFonts w:cs="Calibri"/>
                  <w:szCs w:val="22"/>
                </w:rPr>
                <w:t xml:space="preserve">Waste and </w:t>
              </w:r>
              <w:r w:rsidR="00D05DCE" w:rsidRPr="005C5E32">
                <w:rPr>
                  <w:rStyle w:val="Hyperlink"/>
                  <w:rFonts w:cs="Calibri"/>
                </w:rPr>
                <w:t>resource efficiency work programme 2024 to 2026</w:t>
              </w:r>
            </w:hyperlink>
            <w:r w:rsidR="00D05DCE" w:rsidRPr="005C5E32">
              <w:rPr>
                <w:rFonts w:cs="Calibri"/>
              </w:rPr>
              <w:t xml:space="preserve"> is </w:t>
            </w:r>
            <w:r w:rsidR="002339E3" w:rsidRPr="005C5E32">
              <w:rPr>
                <w:rFonts w:cs="Calibri"/>
              </w:rPr>
              <w:t xml:space="preserve">underway, with several initiatives completed or on track as planned, </w:t>
            </w:r>
            <w:r w:rsidR="009C2615" w:rsidRPr="005C5E32">
              <w:rPr>
                <w:rFonts w:cs="Calibri"/>
              </w:rPr>
              <w:t>and some delays</w:t>
            </w:r>
            <w:r w:rsidR="00B1334C" w:rsidRPr="005C5E32">
              <w:rPr>
                <w:rFonts w:cs="Calibri"/>
              </w:rPr>
              <w:t xml:space="preserve"> related to the legislative process</w:t>
            </w:r>
            <w:r w:rsidR="009C2615" w:rsidRPr="005C5E32">
              <w:rPr>
                <w:rFonts w:cs="Calibri"/>
              </w:rPr>
              <w:t>.</w:t>
            </w:r>
            <w:r w:rsidR="003F3F3B" w:rsidRPr="005C5E32">
              <w:rPr>
                <w:rFonts w:cs="Calibri"/>
              </w:rPr>
              <w:t xml:space="preserve"> </w:t>
            </w:r>
            <w:r w:rsidR="006B25B8" w:rsidRPr="005C5E32">
              <w:rPr>
                <w:rFonts w:cs="Calibri"/>
              </w:rPr>
              <w:t>Several measures</w:t>
            </w:r>
            <w:r w:rsidR="003F3F3B" w:rsidRPr="005C5E32">
              <w:rPr>
                <w:rFonts w:cs="Calibri"/>
              </w:rPr>
              <w:t xml:space="preserve"> were not achieved</w:t>
            </w:r>
            <w:r w:rsidR="00D05DCE" w:rsidRPr="005C5E32">
              <w:rPr>
                <w:rFonts w:cs="Calibri"/>
              </w:rPr>
              <w:t>, which</w:t>
            </w:r>
            <w:r w:rsidR="003F3F3B" w:rsidRPr="005C5E32" w:rsidDel="00D05DCE">
              <w:rPr>
                <w:rFonts w:cs="Calibri"/>
              </w:rPr>
              <w:t xml:space="preserve"> </w:t>
            </w:r>
            <w:r w:rsidR="00D05DCE" w:rsidRPr="005C5E32">
              <w:rPr>
                <w:rFonts w:cs="Calibri"/>
              </w:rPr>
              <w:t>is</w:t>
            </w:r>
            <w:r w:rsidR="003F3F3B" w:rsidRPr="005C5E32">
              <w:rPr>
                <w:rFonts w:cs="Calibri"/>
              </w:rPr>
              <w:t xml:space="preserve"> explained in more detail below.</w:t>
            </w:r>
          </w:p>
          <w:p w14:paraId="5C9F8991" w14:textId="7C0CC97B" w:rsidR="0012676C" w:rsidRPr="005C5E32" w:rsidRDefault="00290D5C" w:rsidP="000418F9">
            <w:pPr>
              <w:pStyle w:val="TableText"/>
              <w:spacing w:before="40" w:after="40" w:line="234" w:lineRule="atLeast"/>
            </w:pPr>
            <w:r w:rsidRPr="005C5E32">
              <w:lastRenderedPageBreak/>
              <w:t xml:space="preserve">These activities support </w:t>
            </w:r>
            <w:hyperlink w:anchor="_Strategic_priority_3:_1" w:history="1">
              <w:r w:rsidRPr="005C5E32">
                <w:rPr>
                  <w:rStyle w:val="Hyperlink"/>
                  <w:rFonts w:cstheme="minorBidi"/>
                  <w:szCs w:val="22"/>
                </w:rPr>
                <w:t>strat</w:t>
              </w:r>
              <w:r w:rsidRPr="005C5E32">
                <w:rPr>
                  <w:rStyle w:val="Hyperlink"/>
                </w:rPr>
                <w:t>egic priority 3</w:t>
              </w:r>
            </w:hyperlink>
            <w:r w:rsidRPr="005C5E32">
              <w:t xml:space="preserve">, </w:t>
            </w:r>
            <w:hyperlink w:anchor="_Strategic_priority_4:" w:history="1">
              <w:r w:rsidRPr="005C5E32">
                <w:rPr>
                  <w:rStyle w:val="Hyperlink"/>
                  <w:rFonts w:cstheme="minorBidi"/>
                  <w:szCs w:val="22"/>
                </w:rPr>
                <w:t>strat</w:t>
              </w:r>
              <w:r w:rsidRPr="005C5E32">
                <w:rPr>
                  <w:rStyle w:val="Hyperlink"/>
                </w:rPr>
                <w:t>egic priority 4</w:t>
              </w:r>
            </w:hyperlink>
            <w:r w:rsidRPr="005C5E32">
              <w:t xml:space="preserve"> and </w:t>
            </w:r>
            <w:hyperlink w:anchor="_Strategic_priority_5:" w:history="1">
              <w:r w:rsidRPr="005C5E32">
                <w:rPr>
                  <w:rStyle w:val="Hyperlink"/>
                  <w:rFonts w:cstheme="minorBidi"/>
                  <w:szCs w:val="22"/>
                </w:rPr>
                <w:t>strat</w:t>
              </w:r>
              <w:r w:rsidRPr="005C5E32">
                <w:rPr>
                  <w:rStyle w:val="Hyperlink"/>
                </w:rPr>
                <w:t>egic priority 5</w:t>
              </w:r>
            </w:hyperlink>
            <w:r w:rsidRPr="005C5E32">
              <w:t>.</w:t>
            </w:r>
          </w:p>
        </w:tc>
        <w:tc>
          <w:tcPr>
            <w:tcW w:w="1629" w:type="dxa"/>
            <w:shd w:val="clear" w:color="auto" w:fill="D2DDE1" w:themeFill="background2"/>
          </w:tcPr>
          <w:p w14:paraId="6F6D594A" w14:textId="77777777" w:rsidR="0012676C" w:rsidRPr="005C5E32" w:rsidRDefault="0012676C" w:rsidP="000418F9">
            <w:pPr>
              <w:pStyle w:val="TableText"/>
              <w:spacing w:before="40" w:after="40" w:line="234" w:lineRule="atLeast"/>
            </w:pPr>
            <w:hyperlink w:anchor="_Waste_Minimisation_–" w:history="1">
              <w:r w:rsidRPr="005C5E32">
                <w:rPr>
                  <w:rStyle w:val="Hyperlink"/>
                  <w:rFonts w:cstheme="minorBidi"/>
                  <w:szCs w:val="22"/>
                </w:rPr>
                <w:t>Waste Minimisation – multi-category appropriation</w:t>
              </w:r>
            </w:hyperlink>
          </w:p>
        </w:tc>
      </w:tr>
      <w:tr w:rsidR="0012676C" w:rsidRPr="005C5E32" w14:paraId="59264BB1" w14:textId="77777777" w:rsidTr="001A0554">
        <w:tc>
          <w:tcPr>
            <w:tcW w:w="1985" w:type="dxa"/>
            <w:shd w:val="clear" w:color="auto" w:fill="FFFFFF" w:themeFill="background1"/>
          </w:tcPr>
          <w:p w14:paraId="206F0BEB" w14:textId="77777777" w:rsidR="0012676C" w:rsidRPr="005C5E32" w:rsidRDefault="0012676C" w:rsidP="00DE6478">
            <w:pPr>
              <w:pStyle w:val="TableText"/>
              <w:spacing w:before="40" w:after="40"/>
              <w:rPr>
                <w:b/>
                <w:bCs/>
              </w:rPr>
            </w:pPr>
            <w:r w:rsidRPr="005C5E32">
              <w:rPr>
                <w:b/>
                <w:bCs/>
              </w:rPr>
              <w:t>Departmental Capital Expenditure</w:t>
            </w:r>
          </w:p>
        </w:tc>
        <w:tc>
          <w:tcPr>
            <w:tcW w:w="4891" w:type="dxa"/>
          </w:tcPr>
          <w:p w14:paraId="5F290A70" w14:textId="3B024273" w:rsidR="0012676C" w:rsidRPr="005C5E32" w:rsidRDefault="00D64BF5" w:rsidP="00DB4D60">
            <w:pPr>
              <w:pStyle w:val="TableText"/>
              <w:spacing w:before="40" w:after="40"/>
            </w:pPr>
            <w:r w:rsidRPr="005C5E32">
              <w:t xml:space="preserve">The measure under this appropriation was achieved. </w:t>
            </w:r>
          </w:p>
        </w:tc>
        <w:tc>
          <w:tcPr>
            <w:tcW w:w="1629" w:type="dxa"/>
            <w:shd w:val="clear" w:color="auto" w:fill="D2DDE1" w:themeFill="background2"/>
          </w:tcPr>
          <w:p w14:paraId="4482633F" w14:textId="77777777" w:rsidR="0012676C" w:rsidRPr="005C5E32" w:rsidRDefault="0012676C" w:rsidP="00DE6478">
            <w:pPr>
              <w:pStyle w:val="TableText"/>
              <w:spacing w:before="40" w:after="40"/>
            </w:pPr>
            <w:hyperlink w:anchor="_Departmental_Capital_Expenditure" w:history="1">
              <w:r w:rsidRPr="005C5E32">
                <w:rPr>
                  <w:rStyle w:val="Hyperlink"/>
                  <w:rFonts w:cstheme="minorBidi"/>
                  <w:szCs w:val="22"/>
                </w:rPr>
                <w:t>Departmental Capital Expenditure</w:t>
              </w:r>
            </w:hyperlink>
          </w:p>
        </w:tc>
      </w:tr>
      <w:tr w:rsidR="0012676C" w:rsidRPr="005C5E32" w14:paraId="42D1B1A0" w14:textId="77777777" w:rsidTr="001A0554">
        <w:tc>
          <w:tcPr>
            <w:tcW w:w="1985" w:type="dxa"/>
            <w:shd w:val="clear" w:color="auto" w:fill="FFFFFF" w:themeFill="background1"/>
          </w:tcPr>
          <w:p w14:paraId="2D329D0B" w14:textId="77777777" w:rsidR="0012676C" w:rsidRPr="005C5E32" w:rsidRDefault="0012676C" w:rsidP="00DE6478">
            <w:pPr>
              <w:pStyle w:val="TableText"/>
              <w:spacing w:before="40" w:after="40"/>
              <w:rPr>
                <w:b/>
                <w:bCs/>
              </w:rPr>
            </w:pPr>
            <w:r w:rsidRPr="005C5E32">
              <w:rPr>
                <w:b/>
                <w:bCs/>
              </w:rPr>
              <w:t>Climate Change Chief Executives Board</w:t>
            </w:r>
          </w:p>
        </w:tc>
        <w:tc>
          <w:tcPr>
            <w:tcW w:w="4891" w:type="dxa"/>
          </w:tcPr>
          <w:p w14:paraId="71A07FA8" w14:textId="77777777" w:rsidR="0012676C" w:rsidRPr="005C5E32" w:rsidRDefault="002339E3" w:rsidP="00DB4D60">
            <w:pPr>
              <w:pStyle w:val="TableText"/>
              <w:spacing w:before="40" w:after="40"/>
            </w:pPr>
            <w:r w:rsidRPr="005C5E32">
              <w:t>The m</w:t>
            </w:r>
            <w:r w:rsidR="00A17D1A" w:rsidRPr="005C5E32">
              <w:t xml:space="preserve">easure </w:t>
            </w:r>
            <w:r w:rsidRPr="005C5E32">
              <w:t xml:space="preserve">was </w:t>
            </w:r>
            <w:r w:rsidR="0000657E" w:rsidRPr="005C5E32">
              <w:t>achieved, with progress reporting on the delivery of the Government</w:t>
            </w:r>
            <w:r w:rsidR="000369F8" w:rsidRPr="005C5E32">
              <w:t>’</w:t>
            </w:r>
            <w:r w:rsidR="0000657E" w:rsidRPr="005C5E32">
              <w:t>s climate change goals and targets all delivered on time.</w:t>
            </w:r>
          </w:p>
          <w:p w14:paraId="09BF7D60" w14:textId="113B0E91" w:rsidR="0012676C" w:rsidRPr="005C5E32" w:rsidRDefault="00290D5C" w:rsidP="00DB4D60">
            <w:pPr>
              <w:pStyle w:val="TableText"/>
              <w:spacing w:before="40" w:after="40"/>
            </w:pPr>
            <w:r w:rsidRPr="005C5E32">
              <w:t xml:space="preserve">This activity supports </w:t>
            </w:r>
            <w:hyperlink w:anchor="_Strategic_priority_3:_1" w:history="1">
              <w:r w:rsidRPr="005C5E32">
                <w:rPr>
                  <w:rStyle w:val="Hyperlink"/>
                  <w:rFonts w:cstheme="minorBidi"/>
                  <w:szCs w:val="22"/>
                </w:rPr>
                <w:t xml:space="preserve">strategic </w:t>
              </w:r>
              <w:r w:rsidRPr="005C5E32">
                <w:rPr>
                  <w:rStyle w:val="Hyperlink"/>
                </w:rPr>
                <w:t>priority 3</w:t>
              </w:r>
            </w:hyperlink>
            <w:r w:rsidRPr="005C5E32">
              <w:t>.</w:t>
            </w:r>
          </w:p>
        </w:tc>
        <w:tc>
          <w:tcPr>
            <w:tcW w:w="1629" w:type="dxa"/>
            <w:shd w:val="clear" w:color="auto" w:fill="D2DDE1" w:themeFill="background2"/>
          </w:tcPr>
          <w:p w14:paraId="12397F34" w14:textId="77777777" w:rsidR="0012676C" w:rsidRPr="005C5E32" w:rsidRDefault="0012676C" w:rsidP="00DE6478">
            <w:pPr>
              <w:pStyle w:val="TableText"/>
              <w:spacing w:before="40" w:after="40"/>
            </w:pPr>
            <w:hyperlink w:anchor="_Climate_Change_Chief" w:history="1">
              <w:r w:rsidRPr="005C5E32">
                <w:rPr>
                  <w:rStyle w:val="Hyperlink"/>
                  <w:rFonts w:cstheme="minorBidi"/>
                  <w:szCs w:val="22"/>
                </w:rPr>
                <w:t>Climate Change Chief Executives Board</w:t>
              </w:r>
            </w:hyperlink>
          </w:p>
        </w:tc>
      </w:tr>
    </w:tbl>
    <w:p w14:paraId="1C41B975" w14:textId="0476499E" w:rsidR="00496982" w:rsidRPr="005C5E32" w:rsidRDefault="00496982" w:rsidP="004F0309">
      <w:pPr>
        <w:pStyle w:val="BodyText"/>
      </w:pPr>
      <w:bookmarkStart w:id="104" w:name="_Managing_Climate_Change"/>
      <w:bookmarkStart w:id="105" w:name="_Year-end_performance_information"/>
      <w:bookmarkStart w:id="106" w:name="_3._Our_organisational"/>
      <w:bookmarkEnd w:id="104"/>
      <w:bookmarkEnd w:id="105"/>
      <w:bookmarkEnd w:id="106"/>
    </w:p>
    <w:p w14:paraId="182ABA31" w14:textId="77777777" w:rsidR="00496982" w:rsidRPr="005C5E32" w:rsidRDefault="00496982">
      <w:pPr>
        <w:spacing w:before="0" w:after="200" w:line="276" w:lineRule="auto"/>
        <w:jc w:val="left"/>
      </w:pPr>
      <w:r w:rsidRPr="005C5E32">
        <w:br w:type="page"/>
      </w:r>
    </w:p>
    <w:p w14:paraId="619A8AB1" w14:textId="292A56E5" w:rsidR="001003F8" w:rsidRPr="005C5E32" w:rsidRDefault="001003F8" w:rsidP="00D66190">
      <w:pPr>
        <w:pStyle w:val="Heading2"/>
        <w:spacing w:before="440"/>
      </w:pPr>
      <w:bookmarkStart w:id="107" w:name="_Our_operating_performance_1"/>
      <w:bookmarkStart w:id="108" w:name="_Toc207017391"/>
      <w:bookmarkStart w:id="109" w:name="_Toc210136378"/>
      <w:bookmarkStart w:id="110" w:name="_Ref237442323"/>
      <w:bookmarkStart w:id="111" w:name="_Toc240445566"/>
      <w:bookmarkStart w:id="112" w:name="_Toc173852908"/>
      <w:bookmarkStart w:id="113" w:name="_Toc173931477"/>
      <w:bookmarkStart w:id="114" w:name="_Toc173932211"/>
      <w:bookmarkEnd w:id="107"/>
      <w:r w:rsidRPr="005C5E32">
        <w:lastRenderedPageBreak/>
        <w:t>Year-end performance information on</w:t>
      </w:r>
      <w:r w:rsidR="000418F9" w:rsidRPr="005C5E32">
        <w:t> </w:t>
      </w:r>
      <w:r w:rsidRPr="005C5E32">
        <w:t>appropriations</w:t>
      </w:r>
      <w:bookmarkEnd w:id="108"/>
      <w:bookmarkEnd w:id="109"/>
      <w:bookmarkEnd w:id="110"/>
      <w:bookmarkEnd w:id="111"/>
      <w:r w:rsidR="002168D0" w:rsidRPr="005C5E32">
        <w:t xml:space="preserve"> </w:t>
      </w:r>
    </w:p>
    <w:p w14:paraId="00C79660" w14:textId="77777777" w:rsidR="001003F8" w:rsidRPr="005C5E32" w:rsidRDefault="001003F8" w:rsidP="00D66190">
      <w:pPr>
        <w:pStyle w:val="BodyText"/>
      </w:pPr>
      <w:r w:rsidRPr="005C5E32">
        <w:t>This reporting sets out the detailed financial and non-financial performance for each appropriation.</w:t>
      </w:r>
    </w:p>
    <w:p w14:paraId="03E08DD6" w14:textId="6815A164" w:rsidR="001003F8" w:rsidRPr="005C5E32" w:rsidRDefault="001003F8" w:rsidP="003B4A7F">
      <w:pPr>
        <w:pStyle w:val="BodyText"/>
      </w:pPr>
      <w:r w:rsidRPr="005C5E32">
        <w:t xml:space="preserve">Our performance reporting against the estimates of appropriation complies with </w:t>
      </w:r>
      <w:r w:rsidR="001040B5" w:rsidRPr="005C5E32">
        <w:t xml:space="preserve">generally accepted accounting practice </w:t>
      </w:r>
      <w:r w:rsidR="008A6595" w:rsidRPr="005C5E32">
        <w:t xml:space="preserve">(GAAP) </w:t>
      </w:r>
      <w:r w:rsidRPr="005C5E32">
        <w:t>and </w:t>
      </w:r>
      <w:r w:rsidR="000915C5" w:rsidRPr="005C5E32">
        <w:t xml:space="preserve">the </w:t>
      </w:r>
      <w:hyperlink r:id="rId57" w:history="1">
        <w:r w:rsidR="000915C5" w:rsidRPr="005C5E32">
          <w:rPr>
            <w:rStyle w:val="Hyperlink"/>
            <w:i/>
            <w:iCs/>
            <w:spacing w:val="-2"/>
          </w:rPr>
          <w:t>Service Performance Reporting Standard (PBE</w:t>
        </w:r>
        <w:r w:rsidR="000418F9" w:rsidRPr="005C5E32">
          <w:rPr>
            <w:rStyle w:val="Hyperlink"/>
            <w:i/>
            <w:iCs/>
            <w:spacing w:val="-2"/>
          </w:rPr>
          <w:t> </w:t>
        </w:r>
        <w:r w:rsidR="000915C5" w:rsidRPr="005C5E32">
          <w:rPr>
            <w:rStyle w:val="Hyperlink"/>
            <w:i/>
            <w:iCs/>
            <w:spacing w:val="-2"/>
          </w:rPr>
          <w:t>FRS</w:t>
        </w:r>
        <w:r w:rsidR="000418F9" w:rsidRPr="005C5E32">
          <w:rPr>
            <w:rStyle w:val="Hyperlink"/>
            <w:i/>
            <w:iCs/>
            <w:spacing w:val="-2"/>
          </w:rPr>
          <w:t> </w:t>
        </w:r>
        <w:r w:rsidR="000915C5" w:rsidRPr="005C5E32">
          <w:rPr>
            <w:rStyle w:val="Hyperlink"/>
            <w:i/>
            <w:iCs/>
            <w:spacing w:val="-2"/>
          </w:rPr>
          <w:t>48)</w:t>
        </w:r>
      </w:hyperlink>
      <w:r w:rsidRPr="005C5E32">
        <w:t>.</w:t>
      </w:r>
    </w:p>
    <w:p w14:paraId="58ADFD9E" w14:textId="77777777" w:rsidR="001003F8" w:rsidRPr="005C5E32" w:rsidRDefault="001003F8" w:rsidP="003B4A7F">
      <w:pPr>
        <w:pStyle w:val="Heading3"/>
      </w:pPr>
      <w:bookmarkStart w:id="115" w:name="_Managing_Climate_Change_1"/>
      <w:bookmarkEnd w:id="115"/>
      <w:r w:rsidRPr="005C5E32">
        <w:t>Managing Climate Change in New Zealand</w:t>
      </w:r>
      <w:bookmarkEnd w:id="112"/>
      <w:bookmarkEnd w:id="113"/>
      <w:bookmarkEnd w:id="114"/>
    </w:p>
    <w:p w14:paraId="25E7888D" w14:textId="77777777" w:rsidR="001003F8" w:rsidRPr="005C5E32" w:rsidRDefault="001003F8" w:rsidP="005F10E6">
      <w:pPr>
        <w:pStyle w:val="Heading4"/>
        <w:spacing w:before="180"/>
      </w:pPr>
      <w:r w:rsidRPr="005C5E32">
        <w:t>Departmental output expenses</w:t>
      </w:r>
    </w:p>
    <w:p w14:paraId="3E6E3DE6" w14:textId="488702AF" w:rsidR="001003F8" w:rsidRPr="005C5E32" w:rsidRDefault="001003F8" w:rsidP="005F10E6">
      <w:pPr>
        <w:pStyle w:val="BodyText"/>
        <w:spacing w:after="240"/>
      </w:pPr>
      <w:r w:rsidRPr="005C5E32">
        <w:t>This appropriation is intended to achieve quality policy advice to Ministers and solutions focused on domestic and international climate change issues.</w:t>
      </w:r>
    </w:p>
    <w:tbl>
      <w:tblPr>
        <w:tblStyle w:val="TableGridLight"/>
        <w:tblW w:w="8409"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CellMar>
          <w:left w:w="85" w:type="dxa"/>
          <w:right w:w="85" w:type="dxa"/>
        </w:tblCellMar>
        <w:tblLook w:val="04A0" w:firstRow="1" w:lastRow="0" w:firstColumn="1" w:lastColumn="0" w:noHBand="0" w:noVBand="1"/>
      </w:tblPr>
      <w:tblGrid>
        <w:gridCol w:w="2208"/>
        <w:gridCol w:w="1478"/>
        <w:gridCol w:w="1574"/>
        <w:gridCol w:w="1574"/>
        <w:gridCol w:w="1575"/>
      </w:tblGrid>
      <w:tr w:rsidR="001003F8" w:rsidRPr="005C5E32" w14:paraId="333133DC" w14:textId="77777777" w:rsidTr="00D26E48">
        <w:tc>
          <w:tcPr>
            <w:tcW w:w="2208" w:type="dxa"/>
            <w:shd w:val="clear" w:color="auto" w:fill="1B556B" w:themeFill="text2"/>
            <w:vAlign w:val="bottom"/>
          </w:tcPr>
          <w:p w14:paraId="26496EA2" w14:textId="77777777" w:rsidR="001003F8" w:rsidRPr="005C5E32" w:rsidRDefault="001003F8" w:rsidP="003D0CC1">
            <w:pPr>
              <w:pStyle w:val="TableTextbold"/>
              <w:spacing w:before="40" w:after="40"/>
              <w:jc w:val="right"/>
              <w:rPr>
                <w:color w:val="FFFFFF" w:themeColor="background1"/>
                <w:szCs w:val="18"/>
              </w:rPr>
            </w:pPr>
            <w:bookmarkStart w:id="116" w:name="_Hlk208323854"/>
          </w:p>
        </w:tc>
        <w:tc>
          <w:tcPr>
            <w:tcW w:w="1478" w:type="dxa"/>
            <w:shd w:val="clear" w:color="auto" w:fill="1B556B" w:themeFill="text2"/>
            <w:vAlign w:val="bottom"/>
          </w:tcPr>
          <w:p w14:paraId="6A25FAAA" w14:textId="77777777" w:rsidR="001003F8" w:rsidRPr="005C5E32" w:rsidRDefault="001003F8" w:rsidP="003D0CC1">
            <w:pPr>
              <w:pStyle w:val="TableTextbold"/>
              <w:spacing w:before="40" w:after="40"/>
              <w:jc w:val="right"/>
              <w:rPr>
                <w:color w:val="FFFFFF" w:themeColor="background1"/>
                <w:szCs w:val="18"/>
              </w:rPr>
            </w:pPr>
            <w:r w:rsidRPr="005C5E32">
              <w:rPr>
                <w:color w:val="FFFFFF" w:themeColor="background1"/>
                <w:szCs w:val="18"/>
              </w:rPr>
              <w:t>2024/25</w:t>
            </w:r>
            <w:r w:rsidRPr="005C5E32">
              <w:rPr>
                <w:color w:val="FFFFFF" w:themeColor="background1"/>
                <w:szCs w:val="18"/>
              </w:rPr>
              <w:br/>
              <w:t>Actuals</w:t>
            </w:r>
            <w:r w:rsidRPr="005C5E32">
              <w:rPr>
                <w:color w:val="FFFFFF" w:themeColor="background1"/>
                <w:szCs w:val="18"/>
              </w:rPr>
              <w:br/>
              <w:t>$000</w:t>
            </w:r>
          </w:p>
        </w:tc>
        <w:tc>
          <w:tcPr>
            <w:tcW w:w="1574" w:type="dxa"/>
            <w:shd w:val="clear" w:color="auto" w:fill="1B556B" w:themeFill="text2"/>
            <w:vAlign w:val="bottom"/>
          </w:tcPr>
          <w:p w14:paraId="4E0E4657" w14:textId="77777777" w:rsidR="001003F8" w:rsidRPr="005C5E32" w:rsidRDefault="001003F8" w:rsidP="003D0CC1">
            <w:pPr>
              <w:pStyle w:val="TableTextbold"/>
              <w:spacing w:before="40" w:after="40"/>
              <w:jc w:val="right"/>
              <w:rPr>
                <w:color w:val="FFFFFF" w:themeColor="background1"/>
                <w:szCs w:val="18"/>
              </w:rPr>
            </w:pPr>
            <w:r w:rsidRPr="005C5E32">
              <w:rPr>
                <w:color w:val="FFFFFF" w:themeColor="background1"/>
                <w:szCs w:val="18"/>
              </w:rPr>
              <w:t>2025/26</w:t>
            </w:r>
            <w:r w:rsidRPr="005C5E32">
              <w:rPr>
                <w:color w:val="FFFFFF" w:themeColor="background1"/>
                <w:szCs w:val="18"/>
              </w:rPr>
              <w:br/>
              <w:t>Budget</w:t>
            </w:r>
            <w:r w:rsidRPr="005C5E32">
              <w:rPr>
                <w:color w:val="FFFFFF" w:themeColor="background1"/>
                <w:szCs w:val="18"/>
              </w:rPr>
              <w:br/>
              <w:t>$000</w:t>
            </w:r>
          </w:p>
        </w:tc>
        <w:tc>
          <w:tcPr>
            <w:tcW w:w="1574" w:type="dxa"/>
            <w:shd w:val="clear" w:color="auto" w:fill="1B556B" w:themeFill="text2"/>
            <w:vAlign w:val="bottom"/>
          </w:tcPr>
          <w:p w14:paraId="14AD57BE" w14:textId="77777777" w:rsidR="001003F8" w:rsidRPr="005C5E32" w:rsidRDefault="001003F8" w:rsidP="003D0CC1">
            <w:pPr>
              <w:pStyle w:val="TableTextbold"/>
              <w:spacing w:before="40" w:after="40"/>
              <w:jc w:val="right"/>
              <w:rPr>
                <w:color w:val="FFFFFF" w:themeColor="background1"/>
                <w:szCs w:val="18"/>
              </w:rPr>
            </w:pPr>
            <w:r w:rsidRPr="005C5E32">
              <w:rPr>
                <w:color w:val="FFFFFF" w:themeColor="background1"/>
                <w:szCs w:val="18"/>
              </w:rPr>
              <w:t>2025/26</w:t>
            </w:r>
            <w:r w:rsidRPr="005C5E32">
              <w:rPr>
                <w:color w:val="FFFFFF" w:themeColor="background1"/>
                <w:szCs w:val="18"/>
              </w:rPr>
              <w:br/>
              <w:t>Revised Budget</w:t>
            </w:r>
            <w:r w:rsidRPr="005C5E32">
              <w:rPr>
                <w:color w:val="FFFFFF" w:themeColor="background1"/>
                <w:szCs w:val="18"/>
              </w:rPr>
              <w:br/>
              <w:t>$000</w:t>
            </w:r>
          </w:p>
        </w:tc>
        <w:tc>
          <w:tcPr>
            <w:tcW w:w="1575" w:type="dxa"/>
            <w:tcBorders>
              <w:bottom w:val="single" w:sz="4" w:space="0" w:color="1B556B" w:themeColor="text2"/>
            </w:tcBorders>
            <w:shd w:val="clear" w:color="auto" w:fill="1B556B" w:themeFill="text2"/>
            <w:vAlign w:val="bottom"/>
          </w:tcPr>
          <w:p w14:paraId="590BC939" w14:textId="77777777" w:rsidR="001003F8" w:rsidRPr="005C5E32" w:rsidRDefault="001003F8" w:rsidP="003D0CC1">
            <w:pPr>
              <w:pStyle w:val="TableTextbold"/>
              <w:spacing w:before="40" w:after="40"/>
              <w:jc w:val="right"/>
              <w:rPr>
                <w:color w:val="FFFFFF" w:themeColor="background1"/>
                <w:szCs w:val="18"/>
              </w:rPr>
            </w:pPr>
            <w:r w:rsidRPr="005C5E32">
              <w:rPr>
                <w:color w:val="FFFFFF" w:themeColor="background1"/>
                <w:szCs w:val="18"/>
              </w:rPr>
              <w:t>2025/26</w:t>
            </w:r>
            <w:r w:rsidRPr="005C5E32">
              <w:rPr>
                <w:color w:val="FFFFFF" w:themeColor="background1"/>
                <w:szCs w:val="18"/>
              </w:rPr>
              <w:br/>
              <w:t>Actuals</w:t>
            </w:r>
            <w:r w:rsidRPr="005C5E32">
              <w:rPr>
                <w:color w:val="FFFFFF" w:themeColor="background1"/>
                <w:szCs w:val="18"/>
              </w:rPr>
              <w:br/>
              <w:t>$000</w:t>
            </w:r>
          </w:p>
        </w:tc>
      </w:tr>
      <w:tr w:rsidR="001003F8" w:rsidRPr="005C5E32" w14:paraId="009454F0" w14:textId="77777777" w:rsidTr="00D26E48">
        <w:tc>
          <w:tcPr>
            <w:tcW w:w="2208" w:type="dxa"/>
          </w:tcPr>
          <w:p w14:paraId="019F55C5" w14:textId="77777777" w:rsidR="001003F8" w:rsidRPr="005C5E32" w:rsidRDefault="001003F8" w:rsidP="003550BB">
            <w:pPr>
              <w:pStyle w:val="TableText"/>
              <w:spacing w:before="40" w:after="0"/>
              <w:rPr>
                <w:b/>
                <w:bCs/>
                <w:szCs w:val="18"/>
              </w:rPr>
            </w:pPr>
            <w:r w:rsidRPr="005C5E32">
              <w:rPr>
                <w:b/>
                <w:bCs/>
                <w:szCs w:val="18"/>
              </w:rPr>
              <w:t xml:space="preserve">Revenue </w:t>
            </w:r>
          </w:p>
          <w:p w14:paraId="58AA07AF" w14:textId="77777777" w:rsidR="001003F8" w:rsidRPr="005C5E32" w:rsidRDefault="001003F8" w:rsidP="003550BB">
            <w:pPr>
              <w:pStyle w:val="TableText"/>
              <w:spacing w:before="0" w:after="40"/>
              <w:rPr>
                <w:b/>
                <w:bCs/>
                <w:szCs w:val="18"/>
              </w:rPr>
            </w:pPr>
            <w:r w:rsidRPr="005C5E32">
              <w:rPr>
                <w:szCs w:val="18"/>
              </w:rPr>
              <w:t>Crown</w:t>
            </w:r>
          </w:p>
        </w:tc>
        <w:tc>
          <w:tcPr>
            <w:tcW w:w="1478" w:type="dxa"/>
            <w:vAlign w:val="bottom"/>
          </w:tcPr>
          <w:p w14:paraId="0DF5A95B" w14:textId="77777777" w:rsidR="001003F8" w:rsidRPr="005C5E32" w:rsidRDefault="001003F8" w:rsidP="003550BB">
            <w:pPr>
              <w:pStyle w:val="TableText"/>
              <w:spacing w:before="40" w:after="40"/>
              <w:jc w:val="right"/>
              <w:rPr>
                <w:szCs w:val="18"/>
              </w:rPr>
            </w:pPr>
            <w:r w:rsidRPr="005C5E32">
              <w:t>43,214</w:t>
            </w:r>
          </w:p>
        </w:tc>
        <w:tc>
          <w:tcPr>
            <w:tcW w:w="1574" w:type="dxa"/>
            <w:vAlign w:val="bottom"/>
          </w:tcPr>
          <w:p w14:paraId="246ED2C4" w14:textId="4B2E1970" w:rsidR="001003F8" w:rsidRPr="005C5E32" w:rsidRDefault="0078359C" w:rsidP="003550BB">
            <w:pPr>
              <w:pStyle w:val="TableText"/>
              <w:spacing w:before="40" w:after="40"/>
              <w:jc w:val="right"/>
              <w:rPr>
                <w:szCs w:val="18"/>
              </w:rPr>
            </w:pPr>
            <w:r w:rsidRPr="005C5E32">
              <w:rPr>
                <w:szCs w:val="18"/>
              </w:rPr>
              <w:t>46,251</w:t>
            </w:r>
          </w:p>
        </w:tc>
        <w:tc>
          <w:tcPr>
            <w:tcW w:w="1574" w:type="dxa"/>
            <w:vAlign w:val="bottom"/>
          </w:tcPr>
          <w:p w14:paraId="4A98605A" w14:textId="14E63DED" w:rsidR="001003F8" w:rsidRPr="005C5E32" w:rsidRDefault="00923D22" w:rsidP="003550BB">
            <w:pPr>
              <w:pStyle w:val="TableText"/>
              <w:spacing w:before="40" w:after="40"/>
              <w:jc w:val="right"/>
              <w:rPr>
                <w:szCs w:val="18"/>
              </w:rPr>
            </w:pPr>
            <w:r w:rsidRPr="005C5E32">
              <w:rPr>
                <w:szCs w:val="18"/>
              </w:rPr>
              <w:t>42,751</w:t>
            </w:r>
          </w:p>
        </w:tc>
        <w:tc>
          <w:tcPr>
            <w:tcW w:w="1575" w:type="dxa"/>
            <w:shd w:val="clear" w:color="auto" w:fill="D2DDE1" w:themeFill="background2"/>
            <w:vAlign w:val="bottom"/>
          </w:tcPr>
          <w:p w14:paraId="52B52A8C" w14:textId="1E81329A" w:rsidR="001003F8" w:rsidRPr="005C5E32" w:rsidRDefault="00D57833" w:rsidP="003550BB">
            <w:pPr>
              <w:pStyle w:val="TableText"/>
              <w:spacing w:before="40" w:after="40"/>
              <w:jc w:val="right"/>
              <w:rPr>
                <w:szCs w:val="18"/>
              </w:rPr>
            </w:pPr>
            <w:r w:rsidRPr="005C5E32">
              <w:rPr>
                <w:szCs w:val="18"/>
              </w:rPr>
              <w:t>42,751</w:t>
            </w:r>
          </w:p>
        </w:tc>
      </w:tr>
      <w:tr w:rsidR="001003F8" w:rsidRPr="005C5E32" w14:paraId="755F38F5" w14:textId="77777777" w:rsidTr="00D26E48">
        <w:tc>
          <w:tcPr>
            <w:tcW w:w="2208" w:type="dxa"/>
          </w:tcPr>
          <w:p w14:paraId="558B33D5" w14:textId="77777777" w:rsidR="001003F8" w:rsidRPr="005C5E32" w:rsidRDefault="001003F8" w:rsidP="003550BB">
            <w:pPr>
              <w:pStyle w:val="TableText"/>
              <w:spacing w:before="40" w:after="40"/>
              <w:rPr>
                <w:szCs w:val="18"/>
              </w:rPr>
            </w:pPr>
            <w:r w:rsidRPr="005C5E32">
              <w:rPr>
                <w:szCs w:val="18"/>
              </w:rPr>
              <w:t>Departmental</w:t>
            </w:r>
          </w:p>
        </w:tc>
        <w:tc>
          <w:tcPr>
            <w:tcW w:w="1478" w:type="dxa"/>
          </w:tcPr>
          <w:p w14:paraId="58505882" w14:textId="77777777" w:rsidR="001003F8" w:rsidRPr="005C5E32" w:rsidRDefault="001003F8" w:rsidP="003550BB">
            <w:pPr>
              <w:pStyle w:val="TableText"/>
              <w:spacing w:before="40" w:after="40"/>
              <w:jc w:val="right"/>
              <w:rPr>
                <w:szCs w:val="18"/>
              </w:rPr>
            </w:pPr>
            <w:r w:rsidRPr="005C5E32">
              <w:t>–</w:t>
            </w:r>
          </w:p>
        </w:tc>
        <w:tc>
          <w:tcPr>
            <w:tcW w:w="1574" w:type="dxa"/>
          </w:tcPr>
          <w:p w14:paraId="1D604846" w14:textId="22C459B7" w:rsidR="001003F8" w:rsidRPr="005C5E32" w:rsidRDefault="002E7BD4" w:rsidP="003550BB">
            <w:pPr>
              <w:pStyle w:val="TableText"/>
              <w:spacing w:before="40" w:after="40"/>
              <w:jc w:val="right"/>
              <w:rPr>
                <w:szCs w:val="18"/>
              </w:rPr>
            </w:pPr>
            <w:r w:rsidRPr="005C5E32">
              <w:t>92</w:t>
            </w:r>
          </w:p>
        </w:tc>
        <w:tc>
          <w:tcPr>
            <w:tcW w:w="1574" w:type="dxa"/>
          </w:tcPr>
          <w:p w14:paraId="11C15F21" w14:textId="16778B67" w:rsidR="001003F8" w:rsidRPr="005C5E32" w:rsidRDefault="00C9693E" w:rsidP="003550BB">
            <w:pPr>
              <w:pStyle w:val="TableText"/>
              <w:spacing w:before="40" w:after="40"/>
              <w:jc w:val="right"/>
              <w:rPr>
                <w:szCs w:val="18"/>
              </w:rPr>
            </w:pPr>
            <w:r w:rsidRPr="005C5E32">
              <w:rPr>
                <w:szCs w:val="18"/>
              </w:rPr>
              <w:t>92</w:t>
            </w:r>
          </w:p>
        </w:tc>
        <w:tc>
          <w:tcPr>
            <w:tcW w:w="1575" w:type="dxa"/>
            <w:shd w:val="clear" w:color="auto" w:fill="D2DDE1" w:themeFill="background2"/>
          </w:tcPr>
          <w:p w14:paraId="426B2338" w14:textId="65C7DDCF" w:rsidR="001003F8" w:rsidRPr="005C5E32" w:rsidRDefault="00D57833" w:rsidP="003550BB">
            <w:pPr>
              <w:pStyle w:val="TableText"/>
              <w:spacing w:before="40" w:after="40"/>
              <w:jc w:val="right"/>
              <w:rPr>
                <w:szCs w:val="18"/>
              </w:rPr>
            </w:pPr>
            <w:r w:rsidRPr="005C5E32">
              <w:rPr>
                <w:szCs w:val="18"/>
              </w:rPr>
              <w:t>–</w:t>
            </w:r>
          </w:p>
        </w:tc>
      </w:tr>
      <w:tr w:rsidR="001003F8" w:rsidRPr="005C5E32" w14:paraId="02CDC536" w14:textId="77777777" w:rsidTr="00D26E48">
        <w:tc>
          <w:tcPr>
            <w:tcW w:w="2208" w:type="dxa"/>
          </w:tcPr>
          <w:p w14:paraId="61190FBB" w14:textId="77777777" w:rsidR="001003F8" w:rsidRPr="005C5E32" w:rsidRDefault="001003F8" w:rsidP="003550BB">
            <w:pPr>
              <w:pStyle w:val="TableText"/>
              <w:spacing w:before="40" w:after="40"/>
              <w:rPr>
                <w:szCs w:val="18"/>
              </w:rPr>
            </w:pPr>
            <w:r w:rsidRPr="005C5E32">
              <w:rPr>
                <w:szCs w:val="18"/>
              </w:rPr>
              <w:t>Other</w:t>
            </w:r>
          </w:p>
        </w:tc>
        <w:tc>
          <w:tcPr>
            <w:tcW w:w="1478" w:type="dxa"/>
          </w:tcPr>
          <w:p w14:paraId="197D552C" w14:textId="77777777" w:rsidR="001003F8" w:rsidRPr="005C5E32" w:rsidRDefault="001003F8" w:rsidP="003550BB">
            <w:pPr>
              <w:pStyle w:val="TableText"/>
              <w:spacing w:before="40" w:after="40"/>
              <w:jc w:val="right"/>
              <w:rPr>
                <w:szCs w:val="18"/>
              </w:rPr>
            </w:pPr>
            <w:r w:rsidRPr="005C5E32">
              <w:t>59</w:t>
            </w:r>
          </w:p>
        </w:tc>
        <w:tc>
          <w:tcPr>
            <w:tcW w:w="1574" w:type="dxa"/>
          </w:tcPr>
          <w:p w14:paraId="78394376" w14:textId="396BC770" w:rsidR="001003F8" w:rsidRPr="005C5E32" w:rsidRDefault="002E7BD4" w:rsidP="003550BB">
            <w:pPr>
              <w:pStyle w:val="TableText"/>
              <w:spacing w:before="40" w:after="40"/>
              <w:jc w:val="right"/>
              <w:rPr>
                <w:szCs w:val="18"/>
              </w:rPr>
            </w:pPr>
            <w:r w:rsidRPr="005C5E32">
              <w:t>56</w:t>
            </w:r>
          </w:p>
        </w:tc>
        <w:tc>
          <w:tcPr>
            <w:tcW w:w="1574" w:type="dxa"/>
          </w:tcPr>
          <w:p w14:paraId="47DDF4D6" w14:textId="2390BC32" w:rsidR="001003F8" w:rsidRPr="005C5E32" w:rsidRDefault="00C9693E" w:rsidP="003550BB">
            <w:pPr>
              <w:pStyle w:val="TableText"/>
              <w:spacing w:before="40" w:after="40"/>
              <w:jc w:val="right"/>
              <w:rPr>
                <w:szCs w:val="18"/>
              </w:rPr>
            </w:pPr>
            <w:r w:rsidRPr="005C5E32">
              <w:rPr>
                <w:szCs w:val="18"/>
              </w:rPr>
              <w:t>56</w:t>
            </w:r>
          </w:p>
        </w:tc>
        <w:tc>
          <w:tcPr>
            <w:tcW w:w="1575" w:type="dxa"/>
            <w:shd w:val="clear" w:color="auto" w:fill="D2DDE1" w:themeFill="background2"/>
          </w:tcPr>
          <w:p w14:paraId="29069008" w14:textId="01B9B5FF" w:rsidR="001003F8" w:rsidRPr="005C5E32" w:rsidRDefault="00D57833" w:rsidP="003550BB">
            <w:pPr>
              <w:pStyle w:val="TableText"/>
              <w:spacing w:before="40" w:after="40"/>
              <w:jc w:val="right"/>
              <w:rPr>
                <w:szCs w:val="18"/>
              </w:rPr>
            </w:pPr>
            <w:r w:rsidRPr="005C5E32">
              <w:rPr>
                <w:szCs w:val="18"/>
              </w:rPr>
              <w:t>–</w:t>
            </w:r>
          </w:p>
        </w:tc>
      </w:tr>
      <w:tr w:rsidR="001003F8" w:rsidRPr="005C5E32" w14:paraId="68D7B9CB" w14:textId="77777777" w:rsidTr="00D26E48">
        <w:tc>
          <w:tcPr>
            <w:tcW w:w="2208" w:type="dxa"/>
          </w:tcPr>
          <w:p w14:paraId="2B1352CE" w14:textId="77777777" w:rsidR="001003F8" w:rsidRPr="005C5E32" w:rsidRDefault="001003F8" w:rsidP="003550BB">
            <w:pPr>
              <w:pStyle w:val="TableText"/>
              <w:spacing w:before="40" w:after="40"/>
              <w:rPr>
                <w:b/>
                <w:bCs/>
                <w:szCs w:val="18"/>
              </w:rPr>
            </w:pPr>
            <w:r w:rsidRPr="005C5E32">
              <w:rPr>
                <w:b/>
                <w:bCs/>
                <w:szCs w:val="18"/>
              </w:rPr>
              <w:t>Total revenue</w:t>
            </w:r>
          </w:p>
        </w:tc>
        <w:tc>
          <w:tcPr>
            <w:tcW w:w="1478" w:type="dxa"/>
          </w:tcPr>
          <w:p w14:paraId="1F5C666F" w14:textId="77777777" w:rsidR="001003F8" w:rsidRPr="005C5E32" w:rsidRDefault="001003F8" w:rsidP="003550BB">
            <w:pPr>
              <w:pStyle w:val="TableText"/>
              <w:spacing w:before="40" w:after="40"/>
              <w:jc w:val="right"/>
              <w:rPr>
                <w:b/>
                <w:bCs/>
                <w:szCs w:val="18"/>
              </w:rPr>
            </w:pPr>
            <w:r w:rsidRPr="005C5E32">
              <w:rPr>
                <w:b/>
                <w:bCs/>
              </w:rPr>
              <w:t>43,273</w:t>
            </w:r>
          </w:p>
        </w:tc>
        <w:tc>
          <w:tcPr>
            <w:tcW w:w="1574" w:type="dxa"/>
          </w:tcPr>
          <w:p w14:paraId="36D26047" w14:textId="6D061C21" w:rsidR="001003F8" w:rsidRPr="005C5E32" w:rsidRDefault="005C1832" w:rsidP="003550BB">
            <w:pPr>
              <w:pStyle w:val="TableText"/>
              <w:spacing w:before="40" w:after="40"/>
              <w:jc w:val="right"/>
              <w:rPr>
                <w:b/>
                <w:bCs/>
                <w:szCs w:val="18"/>
              </w:rPr>
            </w:pPr>
            <w:r w:rsidRPr="005C5E32">
              <w:rPr>
                <w:b/>
                <w:bCs/>
                <w:szCs w:val="18"/>
              </w:rPr>
              <w:t>46,</w:t>
            </w:r>
            <w:r w:rsidR="00392964" w:rsidRPr="005C5E32">
              <w:rPr>
                <w:b/>
                <w:bCs/>
                <w:szCs w:val="18"/>
              </w:rPr>
              <w:t>399</w:t>
            </w:r>
          </w:p>
        </w:tc>
        <w:tc>
          <w:tcPr>
            <w:tcW w:w="1574" w:type="dxa"/>
          </w:tcPr>
          <w:p w14:paraId="3FC46739" w14:textId="3A7AA3A6" w:rsidR="001003F8" w:rsidRPr="005C5E32" w:rsidRDefault="009242BE" w:rsidP="003550BB">
            <w:pPr>
              <w:pStyle w:val="TableText"/>
              <w:spacing w:before="40" w:after="40"/>
              <w:jc w:val="right"/>
              <w:rPr>
                <w:b/>
                <w:bCs/>
                <w:szCs w:val="18"/>
              </w:rPr>
            </w:pPr>
            <w:r w:rsidRPr="005C5E32">
              <w:rPr>
                <w:b/>
                <w:bCs/>
                <w:szCs w:val="18"/>
              </w:rPr>
              <w:t>42,899</w:t>
            </w:r>
          </w:p>
        </w:tc>
        <w:tc>
          <w:tcPr>
            <w:tcW w:w="1575" w:type="dxa"/>
            <w:shd w:val="clear" w:color="auto" w:fill="D2DDE1" w:themeFill="background2"/>
          </w:tcPr>
          <w:p w14:paraId="6CB8D0F8" w14:textId="7542D88B" w:rsidR="001003F8" w:rsidRPr="005C5E32" w:rsidRDefault="00D57833" w:rsidP="003550BB">
            <w:pPr>
              <w:pStyle w:val="TableText"/>
              <w:spacing w:before="40" w:after="40"/>
              <w:jc w:val="right"/>
              <w:rPr>
                <w:b/>
                <w:bCs/>
                <w:szCs w:val="18"/>
              </w:rPr>
            </w:pPr>
            <w:r w:rsidRPr="005C5E32">
              <w:rPr>
                <w:b/>
                <w:bCs/>
                <w:szCs w:val="18"/>
              </w:rPr>
              <w:t>42,751</w:t>
            </w:r>
          </w:p>
        </w:tc>
      </w:tr>
      <w:tr w:rsidR="001003F8" w:rsidRPr="005C5E32" w14:paraId="726E824B" w14:textId="77777777" w:rsidTr="00D26E48">
        <w:tc>
          <w:tcPr>
            <w:tcW w:w="2208" w:type="dxa"/>
          </w:tcPr>
          <w:p w14:paraId="36FF7D0F" w14:textId="77777777" w:rsidR="001003F8" w:rsidRPr="005C5E32" w:rsidRDefault="001003F8" w:rsidP="003550BB">
            <w:pPr>
              <w:pStyle w:val="TableText"/>
              <w:spacing w:before="40" w:after="40"/>
              <w:rPr>
                <w:b/>
                <w:bCs/>
                <w:szCs w:val="18"/>
              </w:rPr>
            </w:pPr>
            <w:r w:rsidRPr="005C5E32">
              <w:rPr>
                <w:b/>
                <w:bCs/>
                <w:szCs w:val="18"/>
              </w:rPr>
              <w:t>Total expenses</w:t>
            </w:r>
          </w:p>
        </w:tc>
        <w:tc>
          <w:tcPr>
            <w:tcW w:w="1478" w:type="dxa"/>
          </w:tcPr>
          <w:p w14:paraId="026D79E6" w14:textId="77777777" w:rsidR="001003F8" w:rsidRPr="005C5E32" w:rsidRDefault="001003F8" w:rsidP="003550BB">
            <w:pPr>
              <w:pStyle w:val="TableText"/>
              <w:spacing w:before="40" w:after="40"/>
              <w:jc w:val="right"/>
              <w:rPr>
                <w:b/>
                <w:bCs/>
                <w:szCs w:val="18"/>
              </w:rPr>
            </w:pPr>
            <w:r w:rsidRPr="005C5E32">
              <w:rPr>
                <w:b/>
                <w:bCs/>
              </w:rPr>
              <w:t>40,161</w:t>
            </w:r>
          </w:p>
        </w:tc>
        <w:tc>
          <w:tcPr>
            <w:tcW w:w="1574" w:type="dxa"/>
          </w:tcPr>
          <w:p w14:paraId="3CEA310A" w14:textId="3C586699" w:rsidR="001003F8" w:rsidRPr="005C5E32" w:rsidRDefault="002E15CF" w:rsidP="003550BB">
            <w:pPr>
              <w:pStyle w:val="TableText"/>
              <w:spacing w:before="40" w:after="40"/>
              <w:jc w:val="right"/>
              <w:rPr>
                <w:b/>
                <w:bCs/>
                <w:szCs w:val="18"/>
              </w:rPr>
            </w:pPr>
            <w:r w:rsidRPr="005C5E32">
              <w:rPr>
                <w:b/>
                <w:bCs/>
                <w:szCs w:val="18"/>
              </w:rPr>
              <w:t>46,</w:t>
            </w:r>
            <w:r w:rsidR="00020723" w:rsidRPr="005C5E32">
              <w:rPr>
                <w:b/>
                <w:bCs/>
                <w:szCs w:val="18"/>
              </w:rPr>
              <w:t>399</w:t>
            </w:r>
          </w:p>
        </w:tc>
        <w:tc>
          <w:tcPr>
            <w:tcW w:w="1574" w:type="dxa"/>
          </w:tcPr>
          <w:p w14:paraId="7F682738" w14:textId="61DC7657" w:rsidR="001003F8" w:rsidRPr="005C5E32" w:rsidRDefault="00020723" w:rsidP="003550BB">
            <w:pPr>
              <w:pStyle w:val="TableText"/>
              <w:spacing w:before="40" w:after="40"/>
              <w:jc w:val="right"/>
              <w:rPr>
                <w:b/>
                <w:bCs/>
                <w:szCs w:val="18"/>
              </w:rPr>
            </w:pPr>
            <w:r w:rsidRPr="005C5E32">
              <w:rPr>
                <w:b/>
                <w:bCs/>
                <w:szCs w:val="18"/>
              </w:rPr>
              <w:t>42,899</w:t>
            </w:r>
          </w:p>
        </w:tc>
        <w:tc>
          <w:tcPr>
            <w:tcW w:w="1575" w:type="dxa"/>
            <w:shd w:val="clear" w:color="auto" w:fill="D2DDE1" w:themeFill="background2"/>
          </w:tcPr>
          <w:p w14:paraId="59B59756" w14:textId="574A8FE7" w:rsidR="001003F8" w:rsidRPr="005C5E32" w:rsidRDefault="00020723" w:rsidP="003550BB">
            <w:pPr>
              <w:pStyle w:val="TableText"/>
              <w:spacing w:before="40" w:after="40"/>
              <w:jc w:val="right"/>
              <w:rPr>
                <w:b/>
                <w:bCs/>
                <w:szCs w:val="18"/>
              </w:rPr>
            </w:pPr>
            <w:r w:rsidRPr="005C5E32">
              <w:rPr>
                <w:b/>
                <w:bCs/>
                <w:szCs w:val="18"/>
              </w:rPr>
              <w:t>39,720</w:t>
            </w:r>
          </w:p>
        </w:tc>
      </w:tr>
      <w:tr w:rsidR="001003F8" w:rsidRPr="005C5E32" w14:paraId="3B12C642" w14:textId="77777777" w:rsidTr="00D26E48">
        <w:tc>
          <w:tcPr>
            <w:tcW w:w="2208" w:type="dxa"/>
          </w:tcPr>
          <w:p w14:paraId="14896851" w14:textId="7A11D647" w:rsidR="001003F8" w:rsidRPr="005C5E32" w:rsidRDefault="001003F8" w:rsidP="003550BB">
            <w:pPr>
              <w:pStyle w:val="TableText"/>
              <w:spacing w:before="40" w:after="40"/>
              <w:rPr>
                <w:b/>
                <w:bCs/>
                <w:szCs w:val="18"/>
              </w:rPr>
            </w:pPr>
            <w:r w:rsidRPr="005C5E32">
              <w:rPr>
                <w:b/>
                <w:bCs/>
                <w:szCs w:val="18"/>
              </w:rPr>
              <w:t>Net surplus</w:t>
            </w:r>
            <w:r w:rsidR="00FD0334">
              <w:rPr>
                <w:b/>
                <w:bCs/>
                <w:szCs w:val="18"/>
              </w:rPr>
              <w:t>/</w:t>
            </w:r>
            <w:r w:rsidRPr="005C5E32">
              <w:rPr>
                <w:b/>
                <w:bCs/>
                <w:szCs w:val="18"/>
              </w:rPr>
              <w:t>(deficit)</w:t>
            </w:r>
          </w:p>
        </w:tc>
        <w:tc>
          <w:tcPr>
            <w:tcW w:w="1478" w:type="dxa"/>
          </w:tcPr>
          <w:p w14:paraId="7673A2A5" w14:textId="77777777" w:rsidR="001003F8" w:rsidRPr="005C5E32" w:rsidRDefault="001003F8" w:rsidP="003550BB">
            <w:pPr>
              <w:pStyle w:val="TableText"/>
              <w:spacing w:before="40" w:after="40"/>
              <w:jc w:val="right"/>
              <w:rPr>
                <w:b/>
                <w:bCs/>
                <w:szCs w:val="18"/>
              </w:rPr>
            </w:pPr>
            <w:r w:rsidRPr="005C5E32">
              <w:rPr>
                <w:b/>
                <w:bCs/>
              </w:rPr>
              <w:t>3,112</w:t>
            </w:r>
          </w:p>
        </w:tc>
        <w:tc>
          <w:tcPr>
            <w:tcW w:w="1574" w:type="dxa"/>
          </w:tcPr>
          <w:p w14:paraId="4D338F1F" w14:textId="791D0813" w:rsidR="001003F8" w:rsidRPr="005C5E32" w:rsidRDefault="00392964" w:rsidP="003550BB">
            <w:pPr>
              <w:pStyle w:val="TableText"/>
              <w:spacing w:before="40" w:after="40"/>
              <w:jc w:val="right"/>
              <w:rPr>
                <w:b/>
                <w:bCs/>
                <w:szCs w:val="18"/>
              </w:rPr>
            </w:pPr>
            <w:r w:rsidRPr="005C5E32">
              <w:t>–</w:t>
            </w:r>
          </w:p>
        </w:tc>
        <w:tc>
          <w:tcPr>
            <w:tcW w:w="1574" w:type="dxa"/>
          </w:tcPr>
          <w:p w14:paraId="4E0689C7" w14:textId="20DF0712" w:rsidR="001003F8" w:rsidRPr="005C5E32" w:rsidRDefault="009242BE" w:rsidP="003550BB">
            <w:pPr>
              <w:pStyle w:val="TableText"/>
              <w:spacing w:before="40" w:after="40"/>
              <w:jc w:val="right"/>
              <w:rPr>
                <w:b/>
                <w:bCs/>
                <w:szCs w:val="18"/>
              </w:rPr>
            </w:pPr>
            <w:r w:rsidRPr="005C5E32">
              <w:t>–</w:t>
            </w:r>
          </w:p>
        </w:tc>
        <w:tc>
          <w:tcPr>
            <w:tcW w:w="1575" w:type="dxa"/>
            <w:shd w:val="clear" w:color="auto" w:fill="D2DDE1" w:themeFill="background2"/>
          </w:tcPr>
          <w:p w14:paraId="6BE0783F" w14:textId="7EC7B35F" w:rsidR="001003F8" w:rsidRPr="005C5E32" w:rsidRDefault="00F65CF8" w:rsidP="003550BB">
            <w:pPr>
              <w:pStyle w:val="TableText"/>
              <w:spacing w:before="40" w:after="40"/>
              <w:jc w:val="right"/>
              <w:rPr>
                <w:b/>
                <w:bCs/>
                <w:szCs w:val="18"/>
              </w:rPr>
            </w:pPr>
            <w:r w:rsidRPr="005C5E32">
              <w:rPr>
                <w:b/>
                <w:bCs/>
                <w:szCs w:val="18"/>
              </w:rPr>
              <w:t>3,031</w:t>
            </w:r>
          </w:p>
        </w:tc>
      </w:tr>
    </w:tbl>
    <w:p w14:paraId="4E0AC6A1" w14:textId="009C9A37" w:rsidR="00395EC8" w:rsidRPr="005C5E32" w:rsidRDefault="00395EC8" w:rsidP="00395EC8">
      <w:pPr>
        <w:pStyle w:val="BodyText"/>
        <w:spacing w:before="240"/>
      </w:pPr>
      <w:bookmarkStart w:id="117" w:name="_Advice_and_support"/>
      <w:bookmarkEnd w:id="116"/>
      <w:bookmarkEnd w:id="117"/>
      <w:r w:rsidRPr="005C5E32">
        <w:t>At Mains Estimates, the 2025/26 budget for this output class was $46.399 million. During the year, this appropriation decreased $3.500 million to $42.899 million for 2025/26</w:t>
      </w:r>
      <w:r w:rsidR="00C72328" w:rsidRPr="005C5E32">
        <w:t>,</w:t>
      </w:r>
      <w:r w:rsidRPr="005C5E32">
        <w:t xml:space="preserve"> due to:</w:t>
      </w:r>
    </w:p>
    <w:p w14:paraId="0E72F6B8" w14:textId="54C5EF58" w:rsidR="00395EC8" w:rsidRPr="005C5E32" w:rsidRDefault="00395EC8" w:rsidP="00395EC8">
      <w:pPr>
        <w:pStyle w:val="Bullet"/>
      </w:pPr>
      <w:r w:rsidRPr="005C5E32">
        <w:t>a fiscally neutral transfer of $3.800 million to Departmental Output Expense: Improving New Zealand</w:t>
      </w:r>
      <w:r w:rsidR="000369F8" w:rsidRPr="005C5E32">
        <w:t>’</w:t>
      </w:r>
      <w:r w:rsidRPr="005C5E32">
        <w:t xml:space="preserve">s Environment appropriation to meet increased provision of service costs related to staffing needs for </w:t>
      </w:r>
      <w:r w:rsidR="005B23D4" w:rsidRPr="005C5E32">
        <w:t>r</w:t>
      </w:r>
      <w:r w:rsidRPr="005C5E32">
        <w:t xml:space="preserve">esource </w:t>
      </w:r>
      <w:r w:rsidR="005B23D4" w:rsidRPr="005C5E32">
        <w:t>m</w:t>
      </w:r>
      <w:r w:rsidRPr="005C5E32">
        <w:t xml:space="preserve">anagement reform implementation work. </w:t>
      </w:r>
    </w:p>
    <w:p w14:paraId="6B6F975B" w14:textId="77777777" w:rsidR="00395EC8" w:rsidRPr="005C5E32" w:rsidRDefault="00395EC8" w:rsidP="00395EC8">
      <w:pPr>
        <w:pStyle w:val="Bullet"/>
        <w:numPr>
          <w:ilvl w:val="0"/>
          <w:numId w:val="0"/>
        </w:numPr>
      </w:pPr>
      <w:r w:rsidRPr="005C5E32">
        <w:t>This transfer is partially offset by an expense transfer of $300,000 from 2024/25 to meet the cost of the Waitangi Tribunal hearings.</w:t>
      </w:r>
    </w:p>
    <w:p w14:paraId="4B0817CE" w14:textId="4B397174" w:rsidR="00395EC8" w:rsidRPr="005C5E32" w:rsidRDefault="00395EC8" w:rsidP="008D6063">
      <w:pPr>
        <w:pStyle w:val="BodyText"/>
      </w:pPr>
      <w:r w:rsidRPr="005C5E32">
        <w:rPr>
          <w:spacing w:val="-2"/>
        </w:rPr>
        <w:t>Actual expenditure for 2025/26 was lower than the revised budget. This represents cost</w:t>
      </w:r>
      <w:r w:rsidR="002B4E08" w:rsidRPr="005C5E32">
        <w:rPr>
          <w:spacing w:val="-2"/>
        </w:rPr>
        <w:t> </w:t>
      </w:r>
      <w:r w:rsidRPr="005C5E32">
        <w:rPr>
          <w:spacing w:val="-2"/>
        </w:rPr>
        <w:t>savings</w:t>
      </w:r>
      <w:r w:rsidRPr="005C5E32">
        <w:t xml:space="preserve">. </w:t>
      </w:r>
    </w:p>
    <w:p w14:paraId="7DB9414E" w14:textId="77777777" w:rsidR="001003F8" w:rsidRPr="005C5E32" w:rsidRDefault="001003F8" w:rsidP="00FE1E12">
      <w:pPr>
        <w:pStyle w:val="Heading5"/>
        <w:spacing w:after="180"/>
      </w:pPr>
      <w:bookmarkStart w:id="118" w:name="_Advice_and_support_1"/>
      <w:bookmarkEnd w:id="118"/>
      <w:r w:rsidRPr="005C5E32">
        <w:t>Advice and support</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ayout w:type="fixed"/>
        <w:tblCellMar>
          <w:left w:w="85" w:type="dxa"/>
          <w:right w:w="85" w:type="dxa"/>
        </w:tblCellMar>
        <w:tblLook w:val="04A0" w:firstRow="1" w:lastRow="0" w:firstColumn="1" w:lastColumn="0" w:noHBand="0" w:noVBand="1"/>
      </w:tblPr>
      <w:tblGrid>
        <w:gridCol w:w="2694"/>
        <w:gridCol w:w="1984"/>
        <w:gridCol w:w="1985"/>
        <w:gridCol w:w="1842"/>
      </w:tblGrid>
      <w:tr w:rsidR="001003F8" w:rsidRPr="005C5E32" w14:paraId="0D9C9736" w14:textId="77777777" w:rsidTr="004A2032">
        <w:trPr>
          <w:tblHeader/>
        </w:trPr>
        <w:tc>
          <w:tcPr>
            <w:tcW w:w="2694" w:type="dxa"/>
            <w:tcBorders>
              <w:bottom w:val="single" w:sz="4" w:space="0" w:color="1B556B" w:themeColor="text2"/>
            </w:tcBorders>
            <w:shd w:val="clear" w:color="auto" w:fill="1B556B" w:themeFill="text2"/>
          </w:tcPr>
          <w:p w14:paraId="470B4EE3" w14:textId="77777777" w:rsidR="001003F8" w:rsidRPr="005C5E32" w:rsidRDefault="001003F8" w:rsidP="003D0CC1">
            <w:pPr>
              <w:pStyle w:val="TableTextbold"/>
              <w:spacing w:before="40" w:after="40"/>
              <w:rPr>
                <w:color w:val="FFFFFF" w:themeColor="background1"/>
                <w:szCs w:val="18"/>
              </w:rPr>
            </w:pPr>
            <w:bookmarkStart w:id="119" w:name="_Hlk170197654"/>
            <w:r w:rsidRPr="005C5E32">
              <w:rPr>
                <w:color w:val="FFFFFF" w:themeColor="background1"/>
                <w:szCs w:val="18"/>
              </w:rPr>
              <w:t>Performance measure</w:t>
            </w:r>
          </w:p>
        </w:tc>
        <w:tc>
          <w:tcPr>
            <w:tcW w:w="1984" w:type="dxa"/>
            <w:tcBorders>
              <w:bottom w:val="single" w:sz="4" w:space="0" w:color="1B556B" w:themeColor="text2"/>
            </w:tcBorders>
            <w:shd w:val="clear" w:color="auto" w:fill="1B556B" w:themeFill="text2"/>
          </w:tcPr>
          <w:p w14:paraId="17DE368E" w14:textId="77777777" w:rsidR="001003F8" w:rsidRPr="005C5E32" w:rsidRDefault="001003F8" w:rsidP="003D0CC1">
            <w:pPr>
              <w:pStyle w:val="TableTextbold"/>
              <w:spacing w:before="40" w:after="40"/>
              <w:rPr>
                <w:color w:val="FFFFFF" w:themeColor="background1"/>
                <w:szCs w:val="18"/>
              </w:rPr>
            </w:pPr>
            <w:r w:rsidRPr="005C5E32">
              <w:rPr>
                <w:color w:val="FFFFFF" w:themeColor="background1"/>
                <w:szCs w:val="18"/>
              </w:rPr>
              <w:t>2024/25 performance</w:t>
            </w:r>
          </w:p>
        </w:tc>
        <w:tc>
          <w:tcPr>
            <w:tcW w:w="1985" w:type="dxa"/>
            <w:tcBorders>
              <w:bottom w:val="single" w:sz="4" w:space="0" w:color="1B556B" w:themeColor="text2"/>
            </w:tcBorders>
            <w:shd w:val="clear" w:color="auto" w:fill="1B556B" w:themeFill="text2"/>
          </w:tcPr>
          <w:p w14:paraId="42DFA221" w14:textId="77777777" w:rsidR="001003F8" w:rsidRPr="005C5E32" w:rsidRDefault="001003F8" w:rsidP="003D0CC1">
            <w:pPr>
              <w:pStyle w:val="TableTextbold"/>
              <w:spacing w:before="40" w:after="40"/>
              <w:rPr>
                <w:color w:val="FFFFFF" w:themeColor="background1"/>
                <w:szCs w:val="18"/>
              </w:rPr>
            </w:pPr>
            <w:r w:rsidRPr="005C5E32">
              <w:rPr>
                <w:color w:val="FFFFFF" w:themeColor="background1"/>
                <w:szCs w:val="18"/>
              </w:rPr>
              <w:t>2025/26 target</w:t>
            </w:r>
          </w:p>
        </w:tc>
        <w:tc>
          <w:tcPr>
            <w:tcW w:w="1842" w:type="dxa"/>
            <w:tcBorders>
              <w:bottom w:val="single" w:sz="4" w:space="0" w:color="1B556B" w:themeColor="text2"/>
            </w:tcBorders>
            <w:shd w:val="clear" w:color="auto" w:fill="1B556B" w:themeFill="text2"/>
          </w:tcPr>
          <w:p w14:paraId="185B9CD7" w14:textId="77777777" w:rsidR="001003F8" w:rsidRPr="005C5E32" w:rsidRDefault="001003F8" w:rsidP="003D0CC1">
            <w:pPr>
              <w:pStyle w:val="TableTextbold"/>
              <w:spacing w:before="40" w:after="40"/>
              <w:rPr>
                <w:color w:val="FFFFFF" w:themeColor="background1"/>
                <w:szCs w:val="18"/>
              </w:rPr>
            </w:pPr>
            <w:r w:rsidRPr="005C5E32">
              <w:rPr>
                <w:color w:val="FFFFFF" w:themeColor="background1"/>
                <w:szCs w:val="18"/>
              </w:rPr>
              <w:t>2025/26 performance</w:t>
            </w:r>
          </w:p>
        </w:tc>
      </w:tr>
      <w:tr w:rsidR="001003F8" w:rsidRPr="005C5E32" w14:paraId="42D71509" w14:textId="77777777" w:rsidTr="004A2032">
        <w:tc>
          <w:tcPr>
            <w:tcW w:w="2694" w:type="dxa"/>
            <w:tcBorders>
              <w:top w:val="single" w:sz="4" w:space="0" w:color="1B556B" w:themeColor="text2"/>
              <w:bottom w:val="single" w:sz="4" w:space="0" w:color="1B556B" w:themeColor="text2"/>
            </w:tcBorders>
          </w:tcPr>
          <w:p w14:paraId="4B61A172" w14:textId="1985E87B" w:rsidR="001003F8" w:rsidRPr="005C5E32" w:rsidRDefault="001003F8" w:rsidP="003D0CC1">
            <w:pPr>
              <w:pStyle w:val="TableText"/>
              <w:spacing w:before="40" w:after="40"/>
              <w:rPr>
                <w:szCs w:val="18"/>
              </w:rPr>
            </w:pPr>
            <w:r w:rsidRPr="005C5E32">
              <w:rPr>
                <w:szCs w:val="18"/>
              </w:rPr>
              <w:t>Technical quality of advice papers (assessed by</w:t>
            </w:r>
            <w:r w:rsidR="002F7EC9" w:rsidRPr="005C5E32">
              <w:rPr>
                <w:szCs w:val="18"/>
              </w:rPr>
              <w:t xml:space="preserve"> </w:t>
            </w:r>
            <w:r w:rsidRPr="005C5E32">
              <w:rPr>
                <w:szCs w:val="18"/>
              </w:rPr>
              <w:t>Ministry</w:t>
            </w:r>
            <w:r w:rsidR="000369F8" w:rsidRPr="005C5E32">
              <w:rPr>
                <w:szCs w:val="18"/>
              </w:rPr>
              <w:t>’</w:t>
            </w:r>
            <w:r w:rsidRPr="005C5E32">
              <w:rPr>
                <w:szCs w:val="18"/>
              </w:rPr>
              <w:t>s Quality Advice Assessment Panel)</w:t>
            </w:r>
          </w:p>
          <w:p w14:paraId="7B7B8068" w14:textId="4FBBE40D" w:rsidR="001003F8" w:rsidRPr="005C5E32" w:rsidRDefault="001003F8" w:rsidP="003D0CC1">
            <w:pPr>
              <w:pStyle w:val="Tablegreen"/>
              <w:rPr>
                <w:i/>
              </w:rPr>
            </w:pPr>
            <w:hyperlink w:anchor="_Note_1_–" w:history="1">
              <w:r w:rsidRPr="005C5E32">
                <w:rPr>
                  <w:rStyle w:val="Hyperlink"/>
                  <w:i/>
                </w:rPr>
                <w:t xml:space="preserve">See note </w:t>
              </w:r>
              <w:r w:rsidRPr="005C5E32">
                <w:rPr>
                  <w:rStyle w:val="Hyperlink"/>
                  <w:i/>
                  <w:iCs/>
                </w:rPr>
                <w:t>1</w:t>
              </w:r>
            </w:hyperlink>
          </w:p>
        </w:tc>
        <w:tc>
          <w:tcPr>
            <w:tcW w:w="1984" w:type="dxa"/>
            <w:tcBorders>
              <w:top w:val="single" w:sz="4" w:space="0" w:color="1B556B" w:themeColor="text2"/>
              <w:bottom w:val="single" w:sz="4" w:space="0" w:color="1B556B" w:themeColor="text2"/>
            </w:tcBorders>
          </w:tcPr>
          <w:p w14:paraId="4BFA087F" w14:textId="77777777" w:rsidR="001003F8" w:rsidRPr="005C5E32" w:rsidRDefault="001003F8" w:rsidP="003D0CC1">
            <w:pPr>
              <w:pStyle w:val="TableText"/>
              <w:spacing w:before="40" w:after="40"/>
              <w:rPr>
                <w:szCs w:val="18"/>
              </w:rPr>
            </w:pPr>
            <w:r w:rsidRPr="005C5E32">
              <w:rPr>
                <w:szCs w:val="18"/>
              </w:rPr>
              <w:t>Primary: 50% of papers scored 3.5 or higher</w:t>
            </w:r>
          </w:p>
          <w:p w14:paraId="5224CD92" w14:textId="77777777" w:rsidR="001003F8" w:rsidRPr="005C5E32" w:rsidRDefault="001003F8" w:rsidP="003D0CC1">
            <w:pPr>
              <w:pStyle w:val="TableText"/>
              <w:spacing w:before="40" w:after="40"/>
            </w:pPr>
            <w:r w:rsidRPr="005C5E32">
              <w:t xml:space="preserve">Secondary: 89% of papers scored 3.0 or higher </w:t>
            </w:r>
          </w:p>
        </w:tc>
        <w:tc>
          <w:tcPr>
            <w:tcW w:w="1985" w:type="dxa"/>
            <w:tcBorders>
              <w:top w:val="single" w:sz="4" w:space="0" w:color="1B556B" w:themeColor="text2"/>
              <w:bottom w:val="single" w:sz="4" w:space="0" w:color="1B556B" w:themeColor="text2"/>
            </w:tcBorders>
          </w:tcPr>
          <w:p w14:paraId="68EF4748" w14:textId="77777777" w:rsidR="001003F8" w:rsidRPr="005C5E32" w:rsidRDefault="001003F8" w:rsidP="003D0CC1">
            <w:pPr>
              <w:pStyle w:val="TableText"/>
              <w:spacing w:before="40" w:after="40"/>
              <w:rPr>
                <w:szCs w:val="18"/>
              </w:rPr>
            </w:pPr>
            <w:r w:rsidRPr="005C5E32">
              <w:rPr>
                <w:szCs w:val="18"/>
              </w:rPr>
              <w:t>Primary: 70% of papers score at least 3.5 out of 5.0</w:t>
            </w:r>
          </w:p>
          <w:p w14:paraId="3E8E8EEA" w14:textId="77777777" w:rsidR="001003F8" w:rsidRPr="005C5E32" w:rsidRDefault="001003F8" w:rsidP="003D0CC1">
            <w:pPr>
              <w:pStyle w:val="TableText"/>
              <w:spacing w:before="40" w:after="40"/>
              <w:rPr>
                <w:szCs w:val="18"/>
              </w:rPr>
            </w:pPr>
            <w:r w:rsidRPr="005C5E32">
              <w:rPr>
                <w:szCs w:val="18"/>
              </w:rPr>
              <w:t>Secondary: 80% of papers score at least 3.0 out of 5.0</w:t>
            </w:r>
          </w:p>
        </w:tc>
        <w:tc>
          <w:tcPr>
            <w:tcW w:w="1842" w:type="dxa"/>
            <w:tcBorders>
              <w:top w:val="single" w:sz="4" w:space="0" w:color="1B556B" w:themeColor="text2"/>
              <w:bottom w:val="single" w:sz="4" w:space="0" w:color="1B556B" w:themeColor="text2"/>
            </w:tcBorders>
          </w:tcPr>
          <w:p w14:paraId="7E0D8736" w14:textId="77777777" w:rsidR="001003F8" w:rsidRPr="005C5E32" w:rsidRDefault="001003F8" w:rsidP="003D0CC1">
            <w:pPr>
              <w:pStyle w:val="TableText"/>
              <w:spacing w:before="40" w:after="40"/>
              <w:rPr>
                <w:szCs w:val="18"/>
              </w:rPr>
            </w:pPr>
            <w:r w:rsidRPr="005C5E32">
              <w:rPr>
                <w:szCs w:val="18"/>
              </w:rPr>
              <w:t>Primary: 48% of papers scored 3.5 out of 5.0</w:t>
            </w:r>
          </w:p>
          <w:p w14:paraId="68092B82" w14:textId="77777777" w:rsidR="001003F8" w:rsidRPr="005C5E32" w:rsidRDefault="001003F8" w:rsidP="003D0CC1">
            <w:pPr>
              <w:pStyle w:val="TableText"/>
              <w:spacing w:before="40" w:after="40"/>
              <w:rPr>
                <w:szCs w:val="18"/>
              </w:rPr>
            </w:pPr>
            <w:r w:rsidRPr="005C5E32">
              <w:rPr>
                <w:szCs w:val="18"/>
              </w:rPr>
              <w:t>Secondary: 83% of papers scored 3.0 out of 5.0</w:t>
            </w:r>
          </w:p>
        </w:tc>
      </w:tr>
      <w:tr w:rsidR="001003F8" w:rsidRPr="005C5E32" w14:paraId="343A2127" w14:textId="77777777" w:rsidTr="00FE1E12">
        <w:tc>
          <w:tcPr>
            <w:tcW w:w="8505" w:type="dxa"/>
            <w:gridSpan w:val="4"/>
            <w:tcBorders>
              <w:bottom w:val="single" w:sz="12" w:space="0" w:color="1B556B" w:themeColor="text2"/>
            </w:tcBorders>
            <w:shd w:val="clear" w:color="auto" w:fill="D2DDE1" w:themeFill="background2"/>
          </w:tcPr>
          <w:p w14:paraId="504EC8F2" w14:textId="7FD4ABB1" w:rsidR="001003F8" w:rsidRPr="005C5E32" w:rsidRDefault="001003F8" w:rsidP="00D427C4">
            <w:pPr>
              <w:pStyle w:val="TableText"/>
              <w:keepNext/>
              <w:spacing w:before="40" w:after="40"/>
              <w:rPr>
                <w:szCs w:val="18"/>
              </w:rPr>
            </w:pPr>
            <w:r w:rsidRPr="005C5E32">
              <w:rPr>
                <w:b/>
                <w:bCs/>
                <w:szCs w:val="18"/>
              </w:rPr>
              <w:lastRenderedPageBreak/>
              <w:t xml:space="preserve">2025/26 commentary: </w:t>
            </w:r>
            <w:r w:rsidR="0095622E" w:rsidRPr="005C5E32">
              <w:rPr>
                <w:szCs w:val="18"/>
              </w:rPr>
              <w:t>The Quality</w:t>
            </w:r>
            <w:r w:rsidR="00033C31" w:rsidRPr="005C5E32">
              <w:rPr>
                <w:szCs w:val="18"/>
              </w:rPr>
              <w:t xml:space="preserve"> Advice Assessment Panel reviewed </w:t>
            </w:r>
            <w:r w:rsidR="00C53EFB" w:rsidRPr="005C5E32">
              <w:rPr>
                <w:szCs w:val="18"/>
              </w:rPr>
              <w:t xml:space="preserve">23 </w:t>
            </w:r>
            <w:r w:rsidR="002E6EBE" w:rsidRPr="005C5E32">
              <w:rPr>
                <w:szCs w:val="18"/>
              </w:rPr>
              <w:t>papers under this appropriation during the financial year.</w:t>
            </w:r>
            <w:r w:rsidR="002E6EBE" w:rsidRPr="005C5E32">
              <w:rPr>
                <w:b/>
                <w:bCs/>
                <w:szCs w:val="18"/>
              </w:rPr>
              <w:t xml:space="preserve"> </w:t>
            </w:r>
            <w:r w:rsidRPr="005C5E32">
              <w:rPr>
                <w:szCs w:val="18"/>
              </w:rPr>
              <w:t>The average policy quality score for all climate change papers increased from 3.25 to 3.28, even while decreases against the performance measures were observed. Performance was affected by the volume, pace and complexity of policy advice required during the year, including demands for specialist expertise across an expanded work programme.</w:t>
            </w:r>
          </w:p>
          <w:p w14:paraId="797FBB1C" w14:textId="70EDC5F3" w:rsidR="001003F8" w:rsidRPr="005C5E32" w:rsidRDefault="001003F8" w:rsidP="003D0CC1">
            <w:pPr>
              <w:pStyle w:val="TableText"/>
              <w:spacing w:before="40" w:after="40"/>
              <w:rPr>
                <w:szCs w:val="18"/>
              </w:rPr>
            </w:pPr>
            <w:r w:rsidRPr="005C5E32">
              <w:rPr>
                <w:szCs w:val="18"/>
              </w:rPr>
              <w:t xml:space="preserve">The Ministry established a quality </w:t>
            </w:r>
            <w:r w:rsidR="00C2224A" w:rsidRPr="005C5E32">
              <w:rPr>
                <w:szCs w:val="18"/>
              </w:rPr>
              <w:t xml:space="preserve">of </w:t>
            </w:r>
            <w:r w:rsidRPr="005C5E32">
              <w:rPr>
                <w:szCs w:val="18"/>
              </w:rPr>
              <w:t>advice programme to improve the consistency, quality and impact of policy advice. This included refreshed guidance and templates, clearer leadership expectations and targeted capability development. A focus on improving the consistency, quality and impact of all policy advice will remain a priority for 2026/27 and beyond.</w:t>
            </w:r>
          </w:p>
        </w:tc>
      </w:tr>
      <w:bookmarkEnd w:id="119"/>
      <w:tr w:rsidR="001003F8" w:rsidRPr="005C5E32" w14:paraId="1DBC922A" w14:textId="77777777" w:rsidTr="004A2032">
        <w:tc>
          <w:tcPr>
            <w:tcW w:w="2694" w:type="dxa"/>
            <w:tcBorders>
              <w:top w:val="single" w:sz="12" w:space="0" w:color="1B556B" w:themeColor="text2"/>
              <w:bottom w:val="single" w:sz="4" w:space="0" w:color="1B556B" w:themeColor="text2"/>
            </w:tcBorders>
          </w:tcPr>
          <w:p w14:paraId="351691F0" w14:textId="77777777" w:rsidR="001003F8" w:rsidRPr="005C5E32" w:rsidRDefault="001003F8" w:rsidP="003D0CC1">
            <w:pPr>
              <w:pStyle w:val="TableText"/>
              <w:spacing w:before="40" w:after="40"/>
              <w:rPr>
                <w:szCs w:val="18"/>
              </w:rPr>
            </w:pPr>
            <w:r w:rsidRPr="005C5E32">
              <w:rPr>
                <w:szCs w:val="18"/>
              </w:rPr>
              <w:t>All Emission Trading Unit auctions are held in accordance with published calendar</w:t>
            </w:r>
          </w:p>
        </w:tc>
        <w:tc>
          <w:tcPr>
            <w:tcW w:w="1984" w:type="dxa"/>
            <w:tcBorders>
              <w:top w:val="single" w:sz="12" w:space="0" w:color="1B556B" w:themeColor="text2"/>
              <w:bottom w:val="single" w:sz="4" w:space="0" w:color="1B556B" w:themeColor="text2"/>
            </w:tcBorders>
          </w:tcPr>
          <w:p w14:paraId="3DE96394" w14:textId="77777777" w:rsidR="001003F8" w:rsidRPr="005C5E32" w:rsidRDefault="001003F8" w:rsidP="003D0CC1">
            <w:pPr>
              <w:pStyle w:val="TableText"/>
              <w:spacing w:before="40" w:after="40"/>
              <w:rPr>
                <w:szCs w:val="18"/>
              </w:rPr>
            </w:pPr>
            <w:r w:rsidRPr="005C5E32">
              <w:rPr>
                <w:szCs w:val="18"/>
              </w:rPr>
              <w:t>100%</w:t>
            </w:r>
          </w:p>
        </w:tc>
        <w:tc>
          <w:tcPr>
            <w:tcW w:w="1985" w:type="dxa"/>
            <w:tcBorders>
              <w:top w:val="single" w:sz="12" w:space="0" w:color="1B556B" w:themeColor="text2"/>
              <w:bottom w:val="single" w:sz="4" w:space="0" w:color="1B556B" w:themeColor="text2"/>
            </w:tcBorders>
          </w:tcPr>
          <w:p w14:paraId="3D9DF1DE" w14:textId="77777777" w:rsidR="001003F8" w:rsidRPr="005C5E32" w:rsidRDefault="001003F8" w:rsidP="003D0CC1">
            <w:pPr>
              <w:pStyle w:val="TableText"/>
              <w:spacing w:before="40" w:after="40"/>
              <w:rPr>
                <w:szCs w:val="18"/>
              </w:rPr>
            </w:pPr>
            <w:r w:rsidRPr="005C5E32">
              <w:rPr>
                <w:szCs w:val="18"/>
              </w:rPr>
              <w:t>100%</w:t>
            </w:r>
          </w:p>
        </w:tc>
        <w:tc>
          <w:tcPr>
            <w:tcW w:w="1842" w:type="dxa"/>
            <w:tcBorders>
              <w:top w:val="single" w:sz="12" w:space="0" w:color="1B556B" w:themeColor="text2"/>
              <w:bottom w:val="single" w:sz="4" w:space="0" w:color="1B556B" w:themeColor="text2"/>
            </w:tcBorders>
          </w:tcPr>
          <w:p w14:paraId="6F54A7F7" w14:textId="77777777" w:rsidR="001003F8" w:rsidRPr="005C5E32" w:rsidRDefault="001003F8" w:rsidP="003D0CC1">
            <w:pPr>
              <w:pStyle w:val="TableText"/>
              <w:spacing w:before="40" w:after="40"/>
              <w:rPr>
                <w:szCs w:val="18"/>
              </w:rPr>
            </w:pPr>
            <w:r w:rsidRPr="005C5E32">
              <w:rPr>
                <w:szCs w:val="18"/>
              </w:rPr>
              <w:t>100%</w:t>
            </w:r>
          </w:p>
        </w:tc>
      </w:tr>
      <w:tr w:rsidR="001003F8" w:rsidRPr="005C5E32" w14:paraId="32527A4C" w14:textId="77777777" w:rsidTr="00FE1E12">
        <w:tc>
          <w:tcPr>
            <w:tcW w:w="8505" w:type="dxa"/>
            <w:gridSpan w:val="4"/>
            <w:tcBorders>
              <w:bottom w:val="single" w:sz="12" w:space="0" w:color="1B556B" w:themeColor="text2"/>
            </w:tcBorders>
            <w:shd w:val="clear" w:color="auto" w:fill="D2DDE1" w:themeFill="background2"/>
          </w:tcPr>
          <w:p w14:paraId="66400A3B" w14:textId="77777777" w:rsidR="001003F8" w:rsidRPr="005C5E32" w:rsidRDefault="001003F8" w:rsidP="003D0CC1">
            <w:pPr>
              <w:pStyle w:val="TableText"/>
              <w:spacing w:before="40" w:after="40"/>
              <w:rPr>
                <w:szCs w:val="18"/>
              </w:rPr>
            </w:pPr>
            <w:r w:rsidRPr="005C5E32">
              <w:rPr>
                <w:b/>
                <w:bCs/>
                <w:szCs w:val="18"/>
              </w:rPr>
              <w:t>2025/26 commentary:</w:t>
            </w:r>
            <w:r w:rsidRPr="005C5E32">
              <w:rPr>
                <w:szCs w:val="18"/>
              </w:rPr>
              <w:t xml:space="preserve"> All Emission Trading Unit (known as the New Zealand Unit, NZU) auctions were held in accordance with the published calendar. </w:t>
            </w:r>
          </w:p>
          <w:p w14:paraId="41D56362" w14:textId="4364D34F" w:rsidR="001003F8" w:rsidRPr="005C5E32" w:rsidRDefault="001003F8" w:rsidP="003D0CC1">
            <w:pPr>
              <w:pStyle w:val="TableText"/>
              <w:spacing w:before="40" w:after="40"/>
              <w:rPr>
                <w:szCs w:val="18"/>
              </w:rPr>
            </w:pPr>
            <w:r w:rsidRPr="005C5E32">
              <w:rPr>
                <w:szCs w:val="18"/>
              </w:rPr>
              <w:t xml:space="preserve">The </w:t>
            </w:r>
            <w:hyperlink r:id="rId58" w:history="1">
              <w:r w:rsidRPr="005C5E32">
                <w:rPr>
                  <w:rStyle w:val="Hyperlink"/>
                  <w:rFonts w:cstheme="minorBidi"/>
                  <w:szCs w:val="18"/>
                </w:rPr>
                <w:t xml:space="preserve">NZ ETS </w:t>
              </w:r>
              <w:r w:rsidRPr="005C5E32">
                <w:rPr>
                  <w:rStyle w:val="Hyperlink"/>
                  <w:szCs w:val="18"/>
                </w:rPr>
                <w:t>auction</w:t>
              </w:r>
              <w:r w:rsidR="004028D9" w:rsidRPr="005C5E32">
                <w:rPr>
                  <w:rStyle w:val="Hyperlink"/>
                  <w:szCs w:val="18"/>
                </w:rPr>
                <w:t>s</w:t>
              </w:r>
              <w:r w:rsidRPr="005C5E32">
                <w:rPr>
                  <w:rStyle w:val="Hyperlink"/>
                  <w:szCs w:val="18"/>
                </w:rPr>
                <w:t xml:space="preserve"> website</w:t>
              </w:r>
            </w:hyperlink>
            <w:r w:rsidRPr="005C5E32">
              <w:rPr>
                <w:szCs w:val="18"/>
              </w:rPr>
              <w:t xml:space="preserve"> provides key information </w:t>
            </w:r>
            <w:r w:rsidR="00A3536A" w:rsidRPr="005C5E32">
              <w:rPr>
                <w:szCs w:val="18"/>
              </w:rPr>
              <w:t>on</w:t>
            </w:r>
            <w:r w:rsidRPr="005C5E32">
              <w:rPr>
                <w:szCs w:val="18"/>
              </w:rPr>
              <w:t xml:space="preserve"> upcoming auctions and</w:t>
            </w:r>
            <w:r w:rsidRPr="005C5E32">
              <w:rPr>
                <w:rFonts w:ascii="Segoe UI" w:eastAsia="Times New Roman" w:hAnsi="Segoe UI" w:cs="Segoe UI"/>
                <w:sz w:val="21"/>
                <w:szCs w:val="21"/>
              </w:rPr>
              <w:t xml:space="preserve"> </w:t>
            </w:r>
            <w:r w:rsidR="00015FBE" w:rsidRPr="005C5E32">
              <w:rPr>
                <w:szCs w:val="18"/>
              </w:rPr>
              <w:t>the results of previous auctions.</w:t>
            </w:r>
          </w:p>
        </w:tc>
      </w:tr>
      <w:tr w:rsidR="001003F8" w:rsidRPr="005C5E32" w14:paraId="57222B08" w14:textId="77777777" w:rsidTr="004A2032">
        <w:tc>
          <w:tcPr>
            <w:tcW w:w="2694" w:type="dxa"/>
            <w:tcBorders>
              <w:top w:val="single" w:sz="12" w:space="0" w:color="1B556B" w:themeColor="text2"/>
              <w:bottom w:val="single" w:sz="4" w:space="0" w:color="1B556B" w:themeColor="text2"/>
            </w:tcBorders>
          </w:tcPr>
          <w:p w14:paraId="212A8B54" w14:textId="77777777" w:rsidR="001003F8" w:rsidRPr="005C5E32" w:rsidRDefault="001003F8">
            <w:pPr>
              <w:pStyle w:val="TableText"/>
              <w:spacing w:before="40" w:after="40"/>
            </w:pPr>
            <w:r w:rsidRPr="005C5E32">
              <w:t>Administer the funding for the ongoing costs of collecting the Synthetic Greenhouse Gas Levy by New Zealand Transport Agency and New Zealand Customs Service in accordance with respective Memoranda of Understanding</w:t>
            </w:r>
          </w:p>
        </w:tc>
        <w:tc>
          <w:tcPr>
            <w:tcW w:w="1984" w:type="dxa"/>
            <w:tcBorders>
              <w:top w:val="single" w:sz="12" w:space="0" w:color="1B556B" w:themeColor="text2"/>
              <w:bottom w:val="single" w:sz="4" w:space="0" w:color="1B556B" w:themeColor="text2"/>
            </w:tcBorders>
          </w:tcPr>
          <w:p w14:paraId="782FE78F" w14:textId="77777777" w:rsidR="001003F8" w:rsidRPr="005C5E32" w:rsidRDefault="001003F8" w:rsidP="005821B8">
            <w:pPr>
              <w:pStyle w:val="TableText"/>
              <w:spacing w:before="40" w:after="40"/>
              <w:rPr>
                <w:szCs w:val="18"/>
              </w:rPr>
            </w:pPr>
            <w:r w:rsidRPr="005C5E32">
              <w:rPr>
                <w:szCs w:val="18"/>
              </w:rPr>
              <w:t>Achieved</w:t>
            </w:r>
          </w:p>
        </w:tc>
        <w:tc>
          <w:tcPr>
            <w:tcW w:w="1985" w:type="dxa"/>
            <w:tcBorders>
              <w:top w:val="single" w:sz="12" w:space="0" w:color="1B556B" w:themeColor="text2"/>
              <w:bottom w:val="single" w:sz="4" w:space="0" w:color="1B556B" w:themeColor="text2"/>
            </w:tcBorders>
          </w:tcPr>
          <w:p w14:paraId="60D3552E" w14:textId="77777777" w:rsidR="001003F8" w:rsidRPr="005C5E32" w:rsidRDefault="001003F8" w:rsidP="005821B8">
            <w:pPr>
              <w:pStyle w:val="TableText"/>
              <w:spacing w:before="40" w:after="40"/>
              <w:rPr>
                <w:szCs w:val="18"/>
              </w:rPr>
            </w:pPr>
            <w:r w:rsidRPr="005C5E32">
              <w:rPr>
                <w:szCs w:val="18"/>
              </w:rPr>
              <w:t>Achieved</w:t>
            </w:r>
          </w:p>
        </w:tc>
        <w:tc>
          <w:tcPr>
            <w:tcW w:w="1842" w:type="dxa"/>
            <w:tcBorders>
              <w:top w:val="single" w:sz="12" w:space="0" w:color="1B556B" w:themeColor="text2"/>
              <w:bottom w:val="single" w:sz="4" w:space="0" w:color="1B556B" w:themeColor="text2"/>
            </w:tcBorders>
          </w:tcPr>
          <w:p w14:paraId="2677A5D9" w14:textId="77777777" w:rsidR="001003F8" w:rsidRPr="005C5E32" w:rsidRDefault="001003F8" w:rsidP="005821B8">
            <w:pPr>
              <w:pStyle w:val="TableText"/>
              <w:spacing w:before="40" w:after="40"/>
              <w:rPr>
                <w:szCs w:val="18"/>
              </w:rPr>
            </w:pPr>
            <w:r w:rsidRPr="005C5E32">
              <w:rPr>
                <w:szCs w:val="18"/>
              </w:rPr>
              <w:t>Achieved</w:t>
            </w:r>
          </w:p>
        </w:tc>
      </w:tr>
      <w:tr w:rsidR="001003F8" w:rsidRPr="005C5E32" w14:paraId="4615F6CF" w14:textId="77777777" w:rsidTr="00FE1E12">
        <w:tc>
          <w:tcPr>
            <w:tcW w:w="8505" w:type="dxa"/>
            <w:gridSpan w:val="4"/>
            <w:tcBorders>
              <w:bottom w:val="single" w:sz="12" w:space="0" w:color="1B556B" w:themeColor="text2"/>
            </w:tcBorders>
            <w:shd w:val="clear" w:color="auto" w:fill="D2DDE1" w:themeFill="background2"/>
          </w:tcPr>
          <w:p w14:paraId="54D9AA65" w14:textId="62873EF9" w:rsidR="001003F8" w:rsidRPr="005C5E32" w:rsidRDefault="001003F8" w:rsidP="003D0CC1">
            <w:pPr>
              <w:pStyle w:val="TableText"/>
              <w:spacing w:before="40" w:after="40"/>
              <w:rPr>
                <w:szCs w:val="18"/>
              </w:rPr>
            </w:pPr>
            <w:r w:rsidRPr="005C5E32">
              <w:rPr>
                <w:b/>
                <w:bCs/>
                <w:szCs w:val="18"/>
              </w:rPr>
              <w:t>2025/26 commentary:</w:t>
            </w:r>
            <w:r w:rsidRPr="005C5E32">
              <w:rPr>
                <w:szCs w:val="18"/>
              </w:rPr>
              <w:t xml:space="preserve"> The Ministry continue</w:t>
            </w:r>
            <w:r w:rsidR="00786B30" w:rsidRPr="005C5E32">
              <w:rPr>
                <w:szCs w:val="18"/>
              </w:rPr>
              <w:t>d</w:t>
            </w:r>
            <w:r w:rsidRPr="005C5E32">
              <w:rPr>
                <w:szCs w:val="18"/>
              </w:rPr>
              <w:t xml:space="preserve"> to administer this funding in accordance with the Memoranda of Understanding with these agencies.</w:t>
            </w:r>
          </w:p>
          <w:p w14:paraId="3D6AD263" w14:textId="3FCE3A3C" w:rsidR="001003F8" w:rsidRPr="005C5E32" w:rsidRDefault="001003F8" w:rsidP="003D0CC1">
            <w:pPr>
              <w:pStyle w:val="TableText"/>
              <w:spacing w:before="40" w:after="40"/>
              <w:rPr>
                <w:szCs w:val="18"/>
              </w:rPr>
            </w:pPr>
            <w:r w:rsidRPr="005C5E32">
              <w:rPr>
                <w:lang w:eastAsia="en-US"/>
              </w:rPr>
              <w:t xml:space="preserve">The purpose of the </w:t>
            </w:r>
            <w:r w:rsidR="00786B30" w:rsidRPr="005C5E32">
              <w:rPr>
                <w:lang w:eastAsia="en-US"/>
              </w:rPr>
              <w:t>m</w:t>
            </w:r>
            <w:r w:rsidRPr="005C5E32">
              <w:rPr>
                <w:lang w:eastAsia="en-US"/>
              </w:rPr>
              <w:t>emoranda is to ensure that</w:t>
            </w:r>
            <w:r w:rsidR="00F06709" w:rsidRPr="005C5E32">
              <w:rPr>
                <w:lang w:eastAsia="en-US"/>
              </w:rPr>
              <w:t xml:space="preserve"> the agencies responsible for</w:t>
            </w:r>
            <w:r w:rsidR="00293E92" w:rsidRPr="005C5E32">
              <w:rPr>
                <w:lang w:eastAsia="en-US"/>
              </w:rPr>
              <w:t xml:space="preserve"> the</w:t>
            </w:r>
            <w:r w:rsidR="00F06709" w:rsidRPr="005C5E32">
              <w:rPr>
                <w:lang w:eastAsia="en-US"/>
              </w:rPr>
              <w:t xml:space="preserve"> administration of </w:t>
            </w:r>
            <w:r w:rsidRPr="005C5E32">
              <w:rPr>
                <w:lang w:eastAsia="en-US"/>
              </w:rPr>
              <w:t>the Synthetic Greenhouse Gas (Goods) Levy and the Synthetic Greenhouse Gas (Vehicles) Levy collect and administer</w:t>
            </w:r>
            <w:r w:rsidR="00F06709" w:rsidRPr="005C5E32">
              <w:rPr>
                <w:lang w:eastAsia="en-US"/>
              </w:rPr>
              <w:t xml:space="preserve"> them</w:t>
            </w:r>
            <w:r w:rsidRPr="005C5E32">
              <w:rPr>
                <w:lang w:eastAsia="en-US"/>
              </w:rPr>
              <w:t xml:space="preserve"> in a coordinated, effective and efficient manner.</w:t>
            </w:r>
          </w:p>
        </w:tc>
      </w:tr>
    </w:tbl>
    <w:p w14:paraId="53AA2AAE" w14:textId="77777777" w:rsidR="001003F8" w:rsidRPr="005C5E32" w:rsidRDefault="001003F8" w:rsidP="002F3884">
      <w:pPr>
        <w:pStyle w:val="Heading5"/>
        <w:spacing w:before="360" w:after="180"/>
      </w:pPr>
      <w:r w:rsidRPr="005C5E32">
        <w:t>Land Use and Carbon Analysis System (LUCAS)</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CellMar>
          <w:left w:w="85" w:type="dxa"/>
          <w:right w:w="85" w:type="dxa"/>
        </w:tblCellMar>
        <w:tblLook w:val="04A0" w:firstRow="1" w:lastRow="0" w:firstColumn="1" w:lastColumn="0" w:noHBand="0" w:noVBand="1"/>
      </w:tblPr>
      <w:tblGrid>
        <w:gridCol w:w="2694"/>
        <w:gridCol w:w="1984"/>
        <w:gridCol w:w="1985"/>
        <w:gridCol w:w="1842"/>
      </w:tblGrid>
      <w:tr w:rsidR="001003F8" w:rsidRPr="005C5E32" w14:paraId="13B7C730" w14:textId="77777777" w:rsidTr="004A2032">
        <w:trPr>
          <w:tblHeader/>
        </w:trPr>
        <w:tc>
          <w:tcPr>
            <w:tcW w:w="2694" w:type="dxa"/>
            <w:shd w:val="clear" w:color="auto" w:fill="1B556B" w:themeFill="text2"/>
          </w:tcPr>
          <w:p w14:paraId="423439FD" w14:textId="77777777" w:rsidR="001003F8" w:rsidRPr="005C5E32" w:rsidRDefault="001003F8" w:rsidP="003D0CC1">
            <w:pPr>
              <w:pStyle w:val="TableTextbold"/>
              <w:spacing w:before="40" w:after="40"/>
              <w:rPr>
                <w:color w:val="FFFFFF" w:themeColor="background1"/>
              </w:rPr>
            </w:pPr>
            <w:r w:rsidRPr="005C5E32">
              <w:rPr>
                <w:color w:val="FFFFFF" w:themeColor="background1"/>
              </w:rPr>
              <w:t>Performance measure</w:t>
            </w:r>
          </w:p>
        </w:tc>
        <w:tc>
          <w:tcPr>
            <w:tcW w:w="1984" w:type="dxa"/>
            <w:shd w:val="clear" w:color="auto" w:fill="1B556B" w:themeFill="text2"/>
          </w:tcPr>
          <w:p w14:paraId="68A18483" w14:textId="77777777" w:rsidR="001003F8" w:rsidRPr="005C5E32" w:rsidRDefault="001003F8" w:rsidP="003D0CC1">
            <w:pPr>
              <w:pStyle w:val="TableTextbold"/>
              <w:spacing w:before="40" w:after="40"/>
              <w:rPr>
                <w:color w:val="FFFFFF" w:themeColor="background1"/>
              </w:rPr>
            </w:pPr>
            <w:r w:rsidRPr="005C5E32">
              <w:rPr>
                <w:color w:val="FFFFFF" w:themeColor="background1"/>
              </w:rPr>
              <w:t>2024/25 performance</w:t>
            </w:r>
          </w:p>
        </w:tc>
        <w:tc>
          <w:tcPr>
            <w:tcW w:w="1985" w:type="dxa"/>
            <w:shd w:val="clear" w:color="auto" w:fill="1B556B" w:themeFill="text2"/>
          </w:tcPr>
          <w:p w14:paraId="17657B1F"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target</w:t>
            </w:r>
          </w:p>
        </w:tc>
        <w:tc>
          <w:tcPr>
            <w:tcW w:w="1842" w:type="dxa"/>
            <w:shd w:val="clear" w:color="auto" w:fill="1B556B" w:themeFill="text2"/>
          </w:tcPr>
          <w:p w14:paraId="2B310C76"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performance</w:t>
            </w:r>
          </w:p>
        </w:tc>
      </w:tr>
      <w:tr w:rsidR="001003F8" w:rsidRPr="005C5E32" w14:paraId="2532A36F" w14:textId="77777777" w:rsidTr="004A2032">
        <w:tc>
          <w:tcPr>
            <w:tcW w:w="2694" w:type="dxa"/>
            <w:tcBorders>
              <w:bottom w:val="single" w:sz="4" w:space="0" w:color="1B556B" w:themeColor="text2"/>
            </w:tcBorders>
          </w:tcPr>
          <w:p w14:paraId="0C613862" w14:textId="6E6CC231" w:rsidR="001003F8" w:rsidRPr="005C5E32" w:rsidRDefault="001003F8" w:rsidP="003D0CC1">
            <w:pPr>
              <w:pStyle w:val="TableText"/>
              <w:spacing w:before="40" w:after="40"/>
            </w:pPr>
            <w:r w:rsidRPr="005C5E32">
              <w:t>Percentage of business hours (excluding agreed maintenance outages) web services of national imagery datasets and land</w:t>
            </w:r>
            <w:r w:rsidRPr="005C5E32" w:rsidDel="00F715C0">
              <w:t xml:space="preserve"> </w:t>
            </w:r>
            <w:r w:rsidRPr="005C5E32">
              <w:t xml:space="preserve">use mapping published by the Ministry </w:t>
            </w:r>
            <w:r w:rsidRPr="005C5E32" w:rsidDel="00793BB3">
              <w:t xml:space="preserve">for the Environment </w:t>
            </w:r>
            <w:r w:rsidRPr="005C5E32">
              <w:t>are available to key stakeholders</w:t>
            </w:r>
          </w:p>
        </w:tc>
        <w:tc>
          <w:tcPr>
            <w:tcW w:w="1984" w:type="dxa"/>
            <w:tcBorders>
              <w:bottom w:val="single" w:sz="4" w:space="0" w:color="1B556B" w:themeColor="text2"/>
            </w:tcBorders>
          </w:tcPr>
          <w:p w14:paraId="08BCC712" w14:textId="77777777" w:rsidR="001003F8" w:rsidRPr="005C5E32" w:rsidRDefault="001003F8" w:rsidP="003D0CC1">
            <w:pPr>
              <w:pStyle w:val="TableText"/>
              <w:spacing w:before="40" w:after="40"/>
            </w:pPr>
            <w:r w:rsidRPr="005C5E32">
              <w:t>100%</w:t>
            </w:r>
          </w:p>
        </w:tc>
        <w:tc>
          <w:tcPr>
            <w:tcW w:w="1985" w:type="dxa"/>
            <w:tcBorders>
              <w:bottom w:val="single" w:sz="4" w:space="0" w:color="1B556B" w:themeColor="text2"/>
            </w:tcBorders>
          </w:tcPr>
          <w:p w14:paraId="4D2DAB3F" w14:textId="77777777" w:rsidR="001003F8" w:rsidRPr="005C5E32" w:rsidRDefault="001003F8" w:rsidP="003D0CC1">
            <w:pPr>
              <w:pStyle w:val="TableText"/>
              <w:spacing w:before="40" w:after="40"/>
            </w:pPr>
            <w:r w:rsidRPr="005C5E32">
              <w:t>98%</w:t>
            </w:r>
          </w:p>
        </w:tc>
        <w:tc>
          <w:tcPr>
            <w:tcW w:w="1842" w:type="dxa"/>
            <w:tcBorders>
              <w:bottom w:val="single" w:sz="4" w:space="0" w:color="1B556B" w:themeColor="text2"/>
            </w:tcBorders>
          </w:tcPr>
          <w:p w14:paraId="6C0F6215" w14:textId="77777777" w:rsidR="001003F8" w:rsidRPr="005C5E32" w:rsidRDefault="001003F8" w:rsidP="003D0CC1">
            <w:pPr>
              <w:pStyle w:val="TableText"/>
              <w:spacing w:before="40" w:after="40"/>
            </w:pPr>
            <w:r w:rsidRPr="005C5E32">
              <w:t>100%</w:t>
            </w:r>
          </w:p>
        </w:tc>
      </w:tr>
      <w:tr w:rsidR="001003F8" w:rsidRPr="005C5E32" w14:paraId="08F9A78E" w14:textId="77777777" w:rsidTr="00BA3A76">
        <w:tc>
          <w:tcPr>
            <w:tcW w:w="8505" w:type="dxa"/>
            <w:gridSpan w:val="4"/>
            <w:tcBorders>
              <w:bottom w:val="single" w:sz="12" w:space="0" w:color="1B556B" w:themeColor="text2"/>
            </w:tcBorders>
            <w:shd w:val="clear" w:color="auto" w:fill="D2DDE1" w:themeFill="background2"/>
          </w:tcPr>
          <w:p w14:paraId="22B4B111" w14:textId="7DDB13FB" w:rsidR="001003F8" w:rsidRPr="005C5E32" w:rsidRDefault="001003F8" w:rsidP="003D0CC1">
            <w:pPr>
              <w:pStyle w:val="TableText"/>
              <w:spacing w:before="40" w:after="40"/>
            </w:pPr>
            <w:r w:rsidRPr="005C5E32">
              <w:rPr>
                <w:b/>
                <w:bCs/>
              </w:rPr>
              <w:t>2025/26 commentary:</w:t>
            </w:r>
            <w:r w:rsidRPr="005C5E32">
              <w:t xml:space="preserve"> There were no system outages or hours during which datasets and maps were unavailable in 2025/26. Achievement against this measure </w:t>
            </w:r>
            <w:r w:rsidR="004B73DD" w:rsidRPr="005C5E32">
              <w:t xml:space="preserve">was </w:t>
            </w:r>
            <w:r w:rsidRPr="005C5E32">
              <w:t>determined from system availability monitoring undertaken by the Ministry</w:t>
            </w:r>
            <w:r w:rsidR="000369F8" w:rsidRPr="005C5E32">
              <w:t>’</w:t>
            </w:r>
            <w:r w:rsidRPr="005C5E32">
              <w:t>s service provider and reported to the Ministry through monthly performance reports.</w:t>
            </w:r>
          </w:p>
        </w:tc>
      </w:tr>
    </w:tbl>
    <w:p w14:paraId="6C9DA5E9" w14:textId="77777777" w:rsidR="001003F8" w:rsidRPr="005C5E32" w:rsidRDefault="001003F8" w:rsidP="00BA3A76">
      <w:pPr>
        <w:pStyle w:val="Heading5"/>
        <w:spacing w:after="180"/>
      </w:pPr>
      <w:r w:rsidRPr="005C5E32">
        <w:lastRenderedPageBreak/>
        <w:t>Environmental monitoring and reporting</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CellMar>
          <w:left w:w="85" w:type="dxa"/>
          <w:right w:w="85" w:type="dxa"/>
        </w:tblCellMar>
        <w:tblLook w:val="04A0" w:firstRow="1" w:lastRow="0" w:firstColumn="1" w:lastColumn="0" w:noHBand="0" w:noVBand="1"/>
      </w:tblPr>
      <w:tblGrid>
        <w:gridCol w:w="2835"/>
        <w:gridCol w:w="1985"/>
        <w:gridCol w:w="1843"/>
        <w:gridCol w:w="1842"/>
      </w:tblGrid>
      <w:tr w:rsidR="001003F8" w:rsidRPr="005C5E32" w14:paraId="7D9C55E4" w14:textId="77777777" w:rsidTr="004A2032">
        <w:trPr>
          <w:tblHeader/>
        </w:trPr>
        <w:tc>
          <w:tcPr>
            <w:tcW w:w="2835" w:type="dxa"/>
            <w:shd w:val="clear" w:color="auto" w:fill="1B556B" w:themeFill="text2"/>
          </w:tcPr>
          <w:p w14:paraId="76F2C5BD" w14:textId="77777777" w:rsidR="001003F8" w:rsidRPr="005C5E32" w:rsidRDefault="001003F8" w:rsidP="003D0CC1">
            <w:pPr>
              <w:pStyle w:val="TableTextbold"/>
              <w:spacing w:before="40" w:after="40"/>
              <w:rPr>
                <w:color w:val="FFFFFF" w:themeColor="background1"/>
              </w:rPr>
            </w:pPr>
            <w:r w:rsidRPr="005C5E32">
              <w:rPr>
                <w:color w:val="FFFFFF" w:themeColor="background1"/>
              </w:rPr>
              <w:t>Performance measure</w:t>
            </w:r>
          </w:p>
        </w:tc>
        <w:tc>
          <w:tcPr>
            <w:tcW w:w="1985" w:type="dxa"/>
            <w:shd w:val="clear" w:color="auto" w:fill="1B556B" w:themeFill="text2"/>
          </w:tcPr>
          <w:p w14:paraId="5A98EBA7" w14:textId="77777777" w:rsidR="001003F8" w:rsidRPr="005C5E32" w:rsidRDefault="001003F8" w:rsidP="003D0CC1">
            <w:pPr>
              <w:pStyle w:val="TableTextbold"/>
              <w:spacing w:before="40" w:after="40"/>
              <w:rPr>
                <w:color w:val="FFFFFF" w:themeColor="background1"/>
              </w:rPr>
            </w:pPr>
            <w:r w:rsidRPr="005C5E32">
              <w:rPr>
                <w:color w:val="FFFFFF" w:themeColor="background1"/>
              </w:rPr>
              <w:t>2024/25 performance</w:t>
            </w:r>
          </w:p>
        </w:tc>
        <w:tc>
          <w:tcPr>
            <w:tcW w:w="1843" w:type="dxa"/>
            <w:shd w:val="clear" w:color="auto" w:fill="1B556B" w:themeFill="text2"/>
          </w:tcPr>
          <w:p w14:paraId="37955995"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target</w:t>
            </w:r>
          </w:p>
        </w:tc>
        <w:tc>
          <w:tcPr>
            <w:tcW w:w="1842" w:type="dxa"/>
            <w:shd w:val="clear" w:color="auto" w:fill="1B556B" w:themeFill="text2"/>
          </w:tcPr>
          <w:p w14:paraId="779A82E4"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performance</w:t>
            </w:r>
          </w:p>
        </w:tc>
      </w:tr>
      <w:tr w:rsidR="001003F8" w:rsidRPr="005C5E32" w14:paraId="0C4D03B9" w14:textId="77777777" w:rsidTr="004A2032">
        <w:tc>
          <w:tcPr>
            <w:tcW w:w="2835" w:type="dxa"/>
            <w:tcBorders>
              <w:top w:val="single" w:sz="12" w:space="0" w:color="1B556B" w:themeColor="text2"/>
              <w:bottom w:val="single" w:sz="4" w:space="0" w:color="1B556B" w:themeColor="text2"/>
            </w:tcBorders>
          </w:tcPr>
          <w:p w14:paraId="71980FC6" w14:textId="11CE78F1" w:rsidR="001003F8" w:rsidRPr="005C5E32" w:rsidRDefault="001003F8">
            <w:pPr>
              <w:pStyle w:val="TableText"/>
              <w:keepNext/>
              <w:spacing w:before="40" w:after="40"/>
            </w:pPr>
            <w:r w:rsidRPr="005C5E32">
              <w:t xml:space="preserve">All reports required under the </w:t>
            </w:r>
            <w:r w:rsidRPr="005C5E32" w:rsidDel="00793BB3">
              <w:t xml:space="preserve">Climate Change Response Act </w:t>
            </w:r>
            <w:r w:rsidRPr="005C5E32" w:rsidDel="00793BB3">
              <w:rPr>
                <w:spacing w:val="-2"/>
              </w:rPr>
              <w:t>2002</w:t>
            </w:r>
            <w:r w:rsidRPr="005C5E32">
              <w:rPr>
                <w:spacing w:val="-2"/>
              </w:rPr>
              <w:t xml:space="preserve"> and international reporting</w:t>
            </w:r>
            <w:r w:rsidRPr="005C5E32">
              <w:t xml:space="preserve"> on greenhouse gas emissions and progress towards the targets are delivered on time</w:t>
            </w:r>
          </w:p>
        </w:tc>
        <w:tc>
          <w:tcPr>
            <w:tcW w:w="1985" w:type="dxa"/>
            <w:tcBorders>
              <w:top w:val="single" w:sz="12" w:space="0" w:color="1B556B" w:themeColor="text2"/>
              <w:bottom w:val="single" w:sz="4" w:space="0" w:color="1B556B" w:themeColor="text2"/>
            </w:tcBorders>
          </w:tcPr>
          <w:p w14:paraId="71A21A2F" w14:textId="77777777" w:rsidR="001003F8" w:rsidRPr="005C5E32" w:rsidRDefault="001003F8" w:rsidP="003D0CC1">
            <w:pPr>
              <w:pStyle w:val="TableText"/>
              <w:keepNext/>
              <w:spacing w:before="40" w:after="40"/>
            </w:pPr>
            <w:r w:rsidRPr="005C5E32">
              <w:t>Achieved</w:t>
            </w:r>
          </w:p>
        </w:tc>
        <w:tc>
          <w:tcPr>
            <w:tcW w:w="1843" w:type="dxa"/>
            <w:tcBorders>
              <w:top w:val="single" w:sz="12" w:space="0" w:color="1B556B" w:themeColor="text2"/>
              <w:bottom w:val="single" w:sz="4" w:space="0" w:color="1B556B" w:themeColor="text2"/>
            </w:tcBorders>
          </w:tcPr>
          <w:p w14:paraId="72D375A2" w14:textId="77777777" w:rsidR="001003F8" w:rsidRPr="005C5E32" w:rsidRDefault="001003F8" w:rsidP="003D0CC1">
            <w:pPr>
              <w:pStyle w:val="TableText"/>
              <w:keepNext/>
              <w:spacing w:before="40" w:after="40"/>
            </w:pPr>
            <w:r w:rsidRPr="005C5E32">
              <w:t>Achieved</w:t>
            </w:r>
          </w:p>
        </w:tc>
        <w:tc>
          <w:tcPr>
            <w:tcW w:w="1842" w:type="dxa"/>
            <w:tcBorders>
              <w:top w:val="single" w:sz="12" w:space="0" w:color="1B556B" w:themeColor="text2"/>
              <w:bottom w:val="single" w:sz="4" w:space="0" w:color="1B556B" w:themeColor="text2"/>
            </w:tcBorders>
          </w:tcPr>
          <w:p w14:paraId="3554ABBB" w14:textId="77777777" w:rsidR="001003F8" w:rsidRPr="005C5E32" w:rsidRDefault="001003F8" w:rsidP="003D0CC1">
            <w:pPr>
              <w:pStyle w:val="TableText"/>
              <w:keepNext/>
              <w:spacing w:before="40" w:after="40"/>
            </w:pPr>
            <w:r w:rsidRPr="005C5E32">
              <w:t>Achieved</w:t>
            </w:r>
          </w:p>
        </w:tc>
      </w:tr>
      <w:tr w:rsidR="001003F8" w:rsidRPr="005C5E32" w14:paraId="68664658" w14:textId="77777777" w:rsidTr="00BA3A76">
        <w:tc>
          <w:tcPr>
            <w:tcW w:w="8505" w:type="dxa"/>
            <w:gridSpan w:val="4"/>
            <w:tcBorders>
              <w:bottom w:val="single" w:sz="12" w:space="0" w:color="1B556B" w:themeColor="text2"/>
            </w:tcBorders>
            <w:shd w:val="clear" w:color="auto" w:fill="D2DDE1" w:themeFill="background2"/>
          </w:tcPr>
          <w:p w14:paraId="01947B12" w14:textId="502F9E9D" w:rsidR="001003F8" w:rsidRPr="005C5E32" w:rsidRDefault="001003F8" w:rsidP="003D0CC1">
            <w:pPr>
              <w:pStyle w:val="TableText"/>
              <w:spacing w:before="40" w:after="40"/>
            </w:pPr>
            <w:r w:rsidRPr="005C5E32">
              <w:rPr>
                <w:b/>
                <w:bCs/>
              </w:rPr>
              <w:t>2025/26 commentary:</w:t>
            </w:r>
            <w:r w:rsidRPr="005C5E32">
              <w:t xml:space="preserve"> New Zealand is required to produce, publish and submit New Zealand</w:t>
            </w:r>
            <w:r w:rsidR="000369F8" w:rsidRPr="005C5E32">
              <w:t>’</w:t>
            </w:r>
            <w:r w:rsidRPr="005C5E32">
              <w:t>s Greenhouse Gas Inventory under the United Nations Framework Convention on Climate Change</w:t>
            </w:r>
            <w:r w:rsidRPr="005C5E32" w:rsidDel="00933322">
              <w:t xml:space="preserve"> </w:t>
            </w:r>
            <w:r w:rsidRPr="005C5E32">
              <w:t>by mid-April each year. Two reports were published as part of New Zealand</w:t>
            </w:r>
            <w:r w:rsidR="000369F8" w:rsidRPr="005C5E32">
              <w:t>’</w:t>
            </w:r>
            <w:r w:rsidRPr="005C5E32">
              <w:t>s obligations under the Climate Change Response Act 2002:</w:t>
            </w:r>
          </w:p>
          <w:p w14:paraId="3842111F" w14:textId="5ACB66C6" w:rsidR="001003F8" w:rsidRPr="005C5E32" w:rsidRDefault="001003F8">
            <w:pPr>
              <w:pStyle w:val="TableText"/>
              <w:numPr>
                <w:ilvl w:val="0"/>
                <w:numId w:val="21"/>
              </w:numPr>
              <w:spacing w:before="0" w:after="40"/>
              <w:ind w:left="284" w:hanging="284"/>
            </w:pPr>
            <w:hyperlink r:id="rId59" w:history="1">
              <w:r w:rsidRPr="005C5E32">
                <w:rPr>
                  <w:rStyle w:val="Hyperlink"/>
                  <w:rFonts w:cstheme="minorBidi"/>
                  <w:i/>
                  <w:szCs w:val="22"/>
                </w:rPr>
                <w:t>New Zealand</w:t>
              </w:r>
              <w:r w:rsidR="000369F8" w:rsidRPr="005C5E32">
                <w:rPr>
                  <w:rStyle w:val="Hyperlink"/>
                  <w:rFonts w:cstheme="minorBidi"/>
                  <w:i/>
                  <w:szCs w:val="22"/>
                </w:rPr>
                <w:t>’</w:t>
              </w:r>
              <w:r w:rsidRPr="005C5E32">
                <w:rPr>
                  <w:rStyle w:val="Hyperlink"/>
                  <w:rFonts w:cstheme="minorBidi"/>
                  <w:i/>
                  <w:szCs w:val="22"/>
                </w:rPr>
                <w:t>s Greenhouse Gas Inventory</w:t>
              </w:r>
              <w:r w:rsidRPr="005C5E32">
                <w:rPr>
                  <w:rStyle w:val="Hyperlink"/>
                </w:rPr>
                <w:t xml:space="preserve"> for 2026</w:t>
              </w:r>
            </w:hyperlink>
            <w:r w:rsidRPr="005C5E32">
              <w:t xml:space="preserve"> (April 2026)</w:t>
            </w:r>
          </w:p>
          <w:p w14:paraId="599792DA" w14:textId="704CCE32" w:rsidR="001003F8" w:rsidRPr="005C5E32" w:rsidRDefault="001003F8">
            <w:pPr>
              <w:pStyle w:val="TableText"/>
              <w:numPr>
                <w:ilvl w:val="0"/>
                <w:numId w:val="21"/>
              </w:numPr>
              <w:spacing w:before="0" w:after="40"/>
              <w:ind w:left="284" w:hanging="284"/>
            </w:pPr>
            <w:hyperlink r:id="rId60" w:history="1">
              <w:r w:rsidRPr="005C5E32">
                <w:rPr>
                  <w:rStyle w:val="Hyperlink"/>
                  <w:rFonts w:cstheme="minorBidi"/>
                  <w:i/>
                  <w:iCs/>
                  <w:szCs w:val="22"/>
                </w:rPr>
                <w:t xml:space="preserve">Government </w:t>
              </w:r>
              <w:r w:rsidR="004B73DD" w:rsidRPr="005C5E32">
                <w:rPr>
                  <w:rStyle w:val="Hyperlink"/>
                  <w:rFonts w:cstheme="minorBidi"/>
                  <w:i/>
                  <w:iCs/>
                  <w:szCs w:val="22"/>
                </w:rPr>
                <w:t>R</w:t>
              </w:r>
              <w:bookmarkStart w:id="120" w:name="_Hlt235531063"/>
              <w:bookmarkStart w:id="121" w:name="_Hlt235531064"/>
              <w:r w:rsidRPr="005C5E32">
                <w:rPr>
                  <w:rStyle w:val="Hyperlink"/>
                  <w:rFonts w:cstheme="minorBidi"/>
                  <w:i/>
                  <w:iCs/>
                  <w:szCs w:val="22"/>
                </w:rPr>
                <w:t>e</w:t>
              </w:r>
              <w:bookmarkEnd w:id="120"/>
              <w:bookmarkEnd w:id="121"/>
              <w:r w:rsidRPr="005C5E32">
                <w:rPr>
                  <w:rStyle w:val="Hyperlink"/>
                  <w:rFonts w:cstheme="minorBidi"/>
                  <w:i/>
                  <w:iCs/>
                  <w:szCs w:val="22"/>
                </w:rPr>
                <w:t xml:space="preserve">sponse to the Climate Change Commission </w:t>
              </w:r>
              <w:r w:rsidR="004B73DD" w:rsidRPr="005C5E32">
                <w:rPr>
                  <w:rStyle w:val="Hyperlink"/>
                  <w:rFonts w:cstheme="minorBidi"/>
                  <w:i/>
                  <w:iCs/>
                  <w:szCs w:val="22"/>
                </w:rPr>
                <w:t>R</w:t>
              </w:r>
              <w:r w:rsidRPr="005C5E32">
                <w:rPr>
                  <w:rStyle w:val="Hyperlink"/>
                  <w:rFonts w:cstheme="minorBidi"/>
                  <w:i/>
                  <w:iCs/>
                  <w:szCs w:val="22"/>
                </w:rPr>
                <w:t>eport – Monitoring report: Emissions reduction 202</w:t>
              </w:r>
              <w:r w:rsidRPr="005C5E32">
                <w:rPr>
                  <w:rStyle w:val="Hyperlink"/>
                </w:rPr>
                <w:t>5</w:t>
              </w:r>
            </w:hyperlink>
            <w:r w:rsidRPr="005C5E32">
              <w:t xml:space="preserve"> (October 2025)</w:t>
            </w:r>
            <w:r w:rsidR="004B73DD" w:rsidRPr="005C5E32">
              <w:t xml:space="preserve">. </w:t>
            </w:r>
          </w:p>
          <w:p w14:paraId="44AFF937" w14:textId="76CAA5AD" w:rsidR="002245CC" w:rsidRPr="005C5E32" w:rsidRDefault="001003F8">
            <w:pPr>
              <w:pStyle w:val="TableText"/>
            </w:pPr>
            <w:r w:rsidRPr="005C5E32">
              <w:t xml:space="preserve">Under the Paris Agreement, greenhouse gas inventories are subject to a </w:t>
            </w:r>
            <w:r w:rsidR="00FC1C3D" w:rsidRPr="005C5E32">
              <w:t>United Nations</w:t>
            </w:r>
            <w:r w:rsidR="00D3200C" w:rsidRPr="005C5E32">
              <w:t>–facilitated</w:t>
            </w:r>
            <w:r w:rsidR="00FC1C3D" w:rsidRPr="005C5E32">
              <w:t xml:space="preserve"> biennial technical expert review</w:t>
            </w:r>
            <w:r w:rsidRPr="005C5E32">
              <w:t xml:space="preserve">, </w:t>
            </w:r>
            <w:r w:rsidR="00736474" w:rsidRPr="005C5E32">
              <w:t xml:space="preserve">which </w:t>
            </w:r>
            <w:r w:rsidRPr="005C5E32">
              <w:t>assess</w:t>
            </w:r>
            <w:r w:rsidR="00736474" w:rsidRPr="005C5E32">
              <w:t>es their</w:t>
            </w:r>
            <w:r w:rsidRPr="005C5E32">
              <w:t xml:space="preserve"> alignment with international reporting requirements. This is a full,</w:t>
            </w:r>
            <w:r w:rsidR="00D427C4" w:rsidRPr="005C5E32">
              <w:t> </w:t>
            </w:r>
            <w:r w:rsidRPr="005C5E32">
              <w:t>in-depth review. The</w:t>
            </w:r>
            <w:r w:rsidR="00D64965" w:rsidRPr="005C5E32">
              <w:t xml:space="preserve"> </w:t>
            </w:r>
            <w:hyperlink r:id="rId61" w:history="1">
              <w:r w:rsidR="006C5742" w:rsidRPr="005C5E32">
                <w:rPr>
                  <w:rStyle w:val="Hyperlink"/>
                  <w:i/>
                </w:rPr>
                <w:t>Report on the technical expert review of the first biennial transparency report of New</w:t>
              </w:r>
              <w:r w:rsidR="00D427C4" w:rsidRPr="005C5E32">
                <w:rPr>
                  <w:rStyle w:val="Hyperlink"/>
                  <w:i/>
                </w:rPr>
                <w:t> </w:t>
              </w:r>
              <w:r w:rsidR="006C5742" w:rsidRPr="005C5E32">
                <w:rPr>
                  <w:rStyle w:val="Hyperlink"/>
                  <w:i/>
                </w:rPr>
                <w:t>Zealand</w:t>
              </w:r>
            </w:hyperlink>
            <w:r w:rsidRPr="005C5E32">
              <w:t>,</w:t>
            </w:r>
            <w:r w:rsidRPr="005C5E32" w:rsidDel="006C5742">
              <w:t xml:space="preserve"> </w:t>
            </w:r>
            <w:r w:rsidRPr="005C5E32">
              <w:t>published in February 2026, covered</w:t>
            </w:r>
            <w:r w:rsidR="002245CC" w:rsidRPr="005C5E32">
              <w:t>:</w:t>
            </w:r>
          </w:p>
          <w:p w14:paraId="2B8776BA" w14:textId="3E0E6597" w:rsidR="002245CC" w:rsidRPr="005C5E32" w:rsidRDefault="00736474" w:rsidP="002245CC">
            <w:pPr>
              <w:pStyle w:val="TableBullet"/>
            </w:pPr>
            <w:r w:rsidRPr="005C5E32">
              <w:t xml:space="preserve">the level of </w:t>
            </w:r>
            <w:r w:rsidR="001003F8" w:rsidRPr="005C5E32">
              <w:t>consistency of New Zealand</w:t>
            </w:r>
            <w:r w:rsidR="000369F8" w:rsidRPr="005C5E32">
              <w:t>’</w:t>
            </w:r>
            <w:r w:rsidR="001003F8" w:rsidRPr="005C5E32">
              <w:t>s climate reporting with reporting requirements</w:t>
            </w:r>
          </w:p>
          <w:p w14:paraId="702C57BD" w14:textId="44201833" w:rsidR="002245CC" w:rsidRPr="005C5E32" w:rsidRDefault="001003F8" w:rsidP="002245CC">
            <w:pPr>
              <w:pStyle w:val="TableBullet"/>
            </w:pPr>
            <w:r w:rsidRPr="005C5E32">
              <w:t xml:space="preserve">the implementation and achievement of </w:t>
            </w:r>
            <w:r w:rsidR="002245CC" w:rsidRPr="005C5E32">
              <w:t xml:space="preserve">New Zealand’s NDC </w:t>
            </w:r>
            <w:r w:rsidRPr="005C5E32">
              <w:t xml:space="preserve">to the Paris Agreement </w:t>
            </w:r>
          </w:p>
          <w:p w14:paraId="20DD157D" w14:textId="30FBCDCC" w:rsidR="002245CC" w:rsidRPr="005C5E32" w:rsidRDefault="001003F8" w:rsidP="002245CC">
            <w:pPr>
              <w:pStyle w:val="TableBullet"/>
            </w:pPr>
            <w:r w:rsidRPr="005C5E32">
              <w:t xml:space="preserve">the support New Zealand has provided to developing countries during the reporting period. </w:t>
            </w:r>
          </w:p>
          <w:p w14:paraId="26E98A2A" w14:textId="3A16F870" w:rsidR="001003F8" w:rsidRPr="005C5E32" w:rsidRDefault="001003F8" w:rsidP="002245CC">
            <w:pPr>
              <w:pStyle w:val="TableText"/>
            </w:pPr>
            <w:r w:rsidRPr="005C5E32">
              <w:t xml:space="preserve">The </w:t>
            </w:r>
            <w:r w:rsidR="00736474" w:rsidRPr="005C5E32">
              <w:t xml:space="preserve">report </w:t>
            </w:r>
            <w:r w:rsidRPr="005C5E32">
              <w:t xml:space="preserve">identifies areas </w:t>
            </w:r>
            <w:r w:rsidR="00736474" w:rsidRPr="005C5E32">
              <w:t xml:space="preserve">for </w:t>
            </w:r>
            <w:r w:rsidRPr="005C5E32">
              <w:t>improvement. The technical expert review did not identify any significant issues of</w:t>
            </w:r>
            <w:r w:rsidR="00D427C4" w:rsidRPr="005C5E32">
              <w:t> </w:t>
            </w:r>
            <w:r w:rsidRPr="005C5E32">
              <w:t>non</w:t>
            </w:r>
            <w:r w:rsidRPr="005C5E32">
              <w:noBreakHyphen/>
              <w:t>compliance with reporting requirements.</w:t>
            </w:r>
            <w:r w:rsidR="00D64965" w:rsidRPr="005C5E32">
              <w:t xml:space="preserve"> </w:t>
            </w:r>
          </w:p>
        </w:tc>
      </w:tr>
    </w:tbl>
    <w:p w14:paraId="36A59D0C" w14:textId="77777777" w:rsidR="001003F8" w:rsidRPr="005C5E32" w:rsidRDefault="001003F8" w:rsidP="00866E8E">
      <w:pPr>
        <w:pStyle w:val="Heading5"/>
        <w:spacing w:after="180"/>
      </w:pPr>
      <w:bookmarkStart w:id="122" w:name="_Climate_Adaptation_Act"/>
      <w:bookmarkStart w:id="123" w:name="_Māori_Climate_Action"/>
      <w:bookmarkStart w:id="124" w:name="_Toc173852909"/>
      <w:bookmarkStart w:id="125" w:name="_Toc173931478"/>
      <w:bookmarkStart w:id="126" w:name="_Toc173932212"/>
      <w:bookmarkEnd w:id="122"/>
      <w:bookmarkEnd w:id="123"/>
      <w:r w:rsidRPr="005C5E32">
        <w:t>Māori climate action</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CellMar>
          <w:left w:w="85" w:type="dxa"/>
          <w:right w:w="85" w:type="dxa"/>
        </w:tblCellMar>
        <w:tblLook w:val="04A0" w:firstRow="1" w:lastRow="0" w:firstColumn="1" w:lastColumn="0" w:noHBand="0" w:noVBand="1"/>
      </w:tblPr>
      <w:tblGrid>
        <w:gridCol w:w="2835"/>
        <w:gridCol w:w="1985"/>
        <w:gridCol w:w="1843"/>
        <w:gridCol w:w="1842"/>
      </w:tblGrid>
      <w:tr w:rsidR="001003F8" w:rsidRPr="005C5E32" w14:paraId="04C4A804" w14:textId="77777777" w:rsidTr="004A2032">
        <w:trPr>
          <w:tblHeader/>
        </w:trPr>
        <w:tc>
          <w:tcPr>
            <w:tcW w:w="2835" w:type="dxa"/>
            <w:shd w:val="clear" w:color="auto" w:fill="1B556B" w:themeFill="text2"/>
          </w:tcPr>
          <w:p w14:paraId="0A86B19A" w14:textId="77777777" w:rsidR="001003F8" w:rsidRPr="005C5E32" w:rsidRDefault="001003F8" w:rsidP="00907BAE">
            <w:pPr>
              <w:pStyle w:val="TableTextbold"/>
              <w:keepNext/>
              <w:spacing w:before="40" w:after="40"/>
              <w:rPr>
                <w:color w:val="FFFFFF" w:themeColor="background1"/>
              </w:rPr>
            </w:pPr>
            <w:r w:rsidRPr="005C5E32">
              <w:rPr>
                <w:color w:val="FFFFFF" w:themeColor="background1"/>
              </w:rPr>
              <w:t>Performance measure</w:t>
            </w:r>
          </w:p>
        </w:tc>
        <w:tc>
          <w:tcPr>
            <w:tcW w:w="1985" w:type="dxa"/>
            <w:shd w:val="clear" w:color="auto" w:fill="1B556B" w:themeFill="text2"/>
          </w:tcPr>
          <w:p w14:paraId="6C58050F" w14:textId="77777777" w:rsidR="001003F8" w:rsidRPr="005C5E32" w:rsidRDefault="001003F8" w:rsidP="00907BAE">
            <w:pPr>
              <w:pStyle w:val="TableTextbold"/>
              <w:keepNext/>
              <w:spacing w:before="40" w:after="40"/>
              <w:rPr>
                <w:color w:val="FFFFFF" w:themeColor="background1"/>
              </w:rPr>
            </w:pPr>
            <w:r w:rsidRPr="005C5E32">
              <w:rPr>
                <w:color w:val="FFFFFF" w:themeColor="background1"/>
              </w:rPr>
              <w:t>2024/25 performance</w:t>
            </w:r>
          </w:p>
        </w:tc>
        <w:tc>
          <w:tcPr>
            <w:tcW w:w="1843" w:type="dxa"/>
            <w:shd w:val="clear" w:color="auto" w:fill="1B556B" w:themeFill="text2"/>
          </w:tcPr>
          <w:p w14:paraId="07C6FF6C" w14:textId="77777777" w:rsidR="001003F8" w:rsidRPr="005C5E32" w:rsidRDefault="001003F8" w:rsidP="00907BAE">
            <w:pPr>
              <w:pStyle w:val="TableTextbold"/>
              <w:keepNext/>
              <w:spacing w:before="40" w:after="40"/>
              <w:rPr>
                <w:color w:val="FFFFFF" w:themeColor="background1"/>
              </w:rPr>
            </w:pPr>
            <w:r w:rsidRPr="005C5E32">
              <w:rPr>
                <w:color w:val="FFFFFF" w:themeColor="background1"/>
              </w:rPr>
              <w:t>2025/26 target</w:t>
            </w:r>
          </w:p>
        </w:tc>
        <w:tc>
          <w:tcPr>
            <w:tcW w:w="1842" w:type="dxa"/>
            <w:shd w:val="clear" w:color="auto" w:fill="1B556B" w:themeFill="text2"/>
          </w:tcPr>
          <w:p w14:paraId="78418628" w14:textId="77777777" w:rsidR="001003F8" w:rsidRPr="005C5E32" w:rsidRDefault="001003F8" w:rsidP="00907BAE">
            <w:pPr>
              <w:pStyle w:val="TableTextbold"/>
              <w:keepNext/>
              <w:spacing w:before="40" w:after="40"/>
              <w:rPr>
                <w:color w:val="FFFFFF" w:themeColor="background1"/>
              </w:rPr>
            </w:pPr>
            <w:r w:rsidRPr="005C5E32">
              <w:rPr>
                <w:color w:val="FFFFFF" w:themeColor="background1"/>
              </w:rPr>
              <w:t>2025/26 performance</w:t>
            </w:r>
          </w:p>
        </w:tc>
      </w:tr>
      <w:tr w:rsidR="001003F8" w:rsidRPr="005C5E32" w14:paraId="32F15CE0" w14:textId="77777777" w:rsidTr="004A2032">
        <w:tc>
          <w:tcPr>
            <w:tcW w:w="2835" w:type="dxa"/>
          </w:tcPr>
          <w:p w14:paraId="076E621F" w14:textId="77777777" w:rsidR="001003F8" w:rsidRPr="005C5E32" w:rsidRDefault="001003F8">
            <w:pPr>
              <w:pStyle w:val="TableText"/>
              <w:keepNext/>
              <w:spacing w:before="40" w:after="40"/>
            </w:pPr>
            <w:r w:rsidRPr="005C5E32">
              <w:t>Collaborate with pan-Māori groups to ensure delivery of climate and planning system work programmes as per contracted milestones</w:t>
            </w:r>
            <w:r w:rsidRPr="005C5E32" w:rsidDel="001F242D">
              <w:t xml:space="preserve"> </w:t>
            </w:r>
          </w:p>
          <w:p w14:paraId="30B6E95F" w14:textId="2A7D5FF8" w:rsidR="001003F8" w:rsidRPr="005C5E32" w:rsidRDefault="00E334E6">
            <w:pPr>
              <w:pStyle w:val="Tablegreen"/>
              <w:rPr>
                <w:i/>
                <w:iCs/>
              </w:rPr>
            </w:pPr>
            <w:hyperlink w:anchor="_Note_2_–" w:history="1">
              <w:r w:rsidRPr="00E334E6">
                <w:rPr>
                  <w:rStyle w:val="Hyperlink"/>
                  <w:i/>
                </w:rPr>
                <w:t>See</w:t>
              </w:r>
              <w:r w:rsidRPr="00E334E6">
                <w:rPr>
                  <w:rStyle w:val="Hyperlink"/>
                  <w:i/>
                  <w:iCs/>
                </w:rPr>
                <w:t xml:space="preserve"> </w:t>
              </w:r>
              <w:r w:rsidRPr="00E334E6">
                <w:rPr>
                  <w:rStyle w:val="Hyperlink"/>
                  <w:i/>
                </w:rPr>
                <w:t>note 2</w:t>
              </w:r>
            </w:hyperlink>
          </w:p>
        </w:tc>
        <w:tc>
          <w:tcPr>
            <w:tcW w:w="1985" w:type="dxa"/>
          </w:tcPr>
          <w:p w14:paraId="7423BE7F" w14:textId="77777777" w:rsidR="001003F8" w:rsidRPr="005C5E32" w:rsidRDefault="001003F8" w:rsidP="00907BAE">
            <w:pPr>
              <w:pStyle w:val="TableText"/>
              <w:keepNext/>
              <w:spacing w:before="40" w:after="40"/>
            </w:pPr>
            <w:r w:rsidRPr="005C5E32">
              <w:t>New measure</w:t>
            </w:r>
          </w:p>
        </w:tc>
        <w:tc>
          <w:tcPr>
            <w:tcW w:w="1843" w:type="dxa"/>
          </w:tcPr>
          <w:p w14:paraId="1A4FF7F0" w14:textId="77777777" w:rsidR="001003F8" w:rsidRPr="005C5E32" w:rsidRDefault="001003F8" w:rsidP="00907BAE">
            <w:pPr>
              <w:pStyle w:val="TableText"/>
              <w:keepNext/>
              <w:spacing w:before="40" w:after="40"/>
            </w:pPr>
            <w:r w:rsidRPr="005C5E32">
              <w:t>Achieved</w:t>
            </w:r>
          </w:p>
        </w:tc>
        <w:tc>
          <w:tcPr>
            <w:tcW w:w="1842" w:type="dxa"/>
          </w:tcPr>
          <w:p w14:paraId="08E777F3" w14:textId="77777777" w:rsidR="001003F8" w:rsidRPr="005C5E32" w:rsidRDefault="001003F8" w:rsidP="00907BAE">
            <w:pPr>
              <w:pStyle w:val="TableText"/>
              <w:keepNext/>
              <w:spacing w:before="40" w:after="40"/>
            </w:pPr>
            <w:r w:rsidRPr="005C5E32">
              <w:t>Achieved</w:t>
            </w:r>
          </w:p>
        </w:tc>
      </w:tr>
      <w:tr w:rsidR="001003F8" w:rsidRPr="005C5E32" w14:paraId="31F97966" w14:textId="77777777" w:rsidTr="00AC616D">
        <w:tc>
          <w:tcPr>
            <w:tcW w:w="8505" w:type="dxa"/>
            <w:gridSpan w:val="4"/>
            <w:shd w:val="clear" w:color="auto" w:fill="D2DDE1" w:themeFill="background2"/>
          </w:tcPr>
          <w:p w14:paraId="5A770763" w14:textId="78B36B17" w:rsidR="001003F8" w:rsidRPr="005C5E32" w:rsidRDefault="001003F8" w:rsidP="003D0CC1">
            <w:pPr>
              <w:pStyle w:val="TableText"/>
              <w:spacing w:before="40" w:after="40"/>
              <w:rPr>
                <w:rFonts w:asciiTheme="minorHAnsi" w:hAnsiTheme="minorHAnsi" w:cstheme="minorBidi"/>
              </w:rPr>
            </w:pPr>
            <w:r w:rsidRPr="005C5E32">
              <w:rPr>
                <w:b/>
                <w:bCs/>
              </w:rPr>
              <w:t>2025/26 commentary:</w:t>
            </w:r>
            <w:r w:rsidRPr="005C5E32">
              <w:t xml:space="preserve"> </w:t>
            </w:r>
            <w:r w:rsidR="00AE6D06" w:rsidRPr="005C5E32">
              <w:rPr>
                <w:rFonts w:asciiTheme="minorHAnsi" w:hAnsiTheme="minorHAnsi" w:cstheme="minorBidi"/>
              </w:rPr>
              <w:t xml:space="preserve">The Ministry </w:t>
            </w:r>
            <w:r w:rsidRPr="005C5E32">
              <w:rPr>
                <w:rFonts w:asciiTheme="minorHAnsi" w:hAnsiTheme="minorHAnsi" w:cstheme="minorBidi"/>
              </w:rPr>
              <w:t>developed climate joint work programmes with Pou Take Āhuarangi and Te</w:t>
            </w:r>
            <w:r w:rsidR="004E246F" w:rsidRPr="005C5E32">
              <w:rPr>
                <w:rFonts w:asciiTheme="minorHAnsi" w:hAnsiTheme="minorHAnsi" w:cstheme="minorBidi"/>
              </w:rPr>
              <w:t> </w:t>
            </w:r>
            <w:r w:rsidRPr="005C5E32">
              <w:rPr>
                <w:rFonts w:asciiTheme="minorHAnsi" w:hAnsiTheme="minorHAnsi" w:cstheme="minorBidi"/>
              </w:rPr>
              <w:t>Tai Kaha Māori Collective</w:t>
            </w:r>
            <w:r w:rsidR="00D75531" w:rsidRPr="005C5E32">
              <w:rPr>
                <w:rFonts w:asciiTheme="minorHAnsi" w:hAnsiTheme="minorHAnsi" w:cstheme="minorBidi"/>
              </w:rPr>
              <w:t>,</w:t>
            </w:r>
            <w:r w:rsidRPr="005C5E32">
              <w:rPr>
                <w:rFonts w:asciiTheme="minorHAnsi" w:hAnsiTheme="minorHAnsi" w:cstheme="minorBidi"/>
              </w:rPr>
              <w:t xml:space="preserve"> which were successfully implemented. The joint work programmes included climate adaptation and </w:t>
            </w:r>
            <w:r w:rsidR="00D75531" w:rsidRPr="005C5E32">
              <w:rPr>
                <w:rFonts w:asciiTheme="minorHAnsi" w:hAnsiTheme="minorHAnsi" w:cstheme="minorBidi"/>
              </w:rPr>
              <w:t xml:space="preserve">deliverables focused on </w:t>
            </w:r>
            <w:r w:rsidRPr="005C5E32">
              <w:rPr>
                <w:rFonts w:asciiTheme="minorHAnsi" w:hAnsiTheme="minorHAnsi" w:cstheme="minorBidi"/>
              </w:rPr>
              <w:t>emissions reduction.</w:t>
            </w:r>
          </w:p>
          <w:p w14:paraId="7084CEAB" w14:textId="428D9242" w:rsidR="00F617E6" w:rsidRPr="005C5E32" w:rsidRDefault="00F617E6" w:rsidP="003D0CC1">
            <w:pPr>
              <w:pStyle w:val="TableText"/>
              <w:spacing w:before="40" w:after="40"/>
              <w:rPr>
                <w:rFonts w:asciiTheme="minorHAnsi" w:hAnsiTheme="minorHAnsi" w:cstheme="minorBidi"/>
              </w:rPr>
            </w:pPr>
            <w:r w:rsidRPr="005C5E32">
              <w:rPr>
                <w:rFonts w:asciiTheme="minorHAnsi" w:hAnsiTheme="minorHAnsi"/>
              </w:rPr>
              <w:t>The measure was updated this year to broaden its scope. The Ministry collaborated with a wider range of Māori groups to support delivery of climate and planning system work programmes. As a result, the new measure is not directly comparable with previous years, as it captures a broader range of participants and programme delivery varies from year to year.</w:t>
            </w:r>
          </w:p>
        </w:tc>
      </w:tr>
    </w:tbl>
    <w:p w14:paraId="4AB2FA86" w14:textId="0558AA1A" w:rsidR="001003F8" w:rsidRPr="005C5E32" w:rsidRDefault="001003F8" w:rsidP="00907BAE">
      <w:pPr>
        <w:pStyle w:val="Heading3"/>
        <w:spacing w:before="480"/>
      </w:pPr>
      <w:bookmarkStart w:id="127" w:name="_Improving_New_Zealand’s"/>
      <w:bookmarkEnd w:id="127"/>
      <w:r w:rsidRPr="005C5E32">
        <w:lastRenderedPageBreak/>
        <w:t>Improving New Zealand</w:t>
      </w:r>
      <w:r w:rsidR="000369F8" w:rsidRPr="005C5E32">
        <w:t>’</w:t>
      </w:r>
      <w:r w:rsidRPr="005C5E32">
        <w:t>s Environment</w:t>
      </w:r>
      <w:bookmarkEnd w:id="124"/>
      <w:bookmarkEnd w:id="125"/>
      <w:bookmarkEnd w:id="126"/>
    </w:p>
    <w:p w14:paraId="4F41B08F" w14:textId="77777777" w:rsidR="001003F8" w:rsidRPr="005C5E32" w:rsidRDefault="001003F8" w:rsidP="00092A8C">
      <w:pPr>
        <w:pStyle w:val="Heading4"/>
        <w:spacing w:before="120"/>
      </w:pPr>
      <w:r w:rsidRPr="005C5E32">
        <w:t>Departmental output expenses</w:t>
      </w:r>
    </w:p>
    <w:p w14:paraId="261F3B89" w14:textId="795BCCD7" w:rsidR="001003F8" w:rsidRPr="005C5E32" w:rsidRDefault="001003F8" w:rsidP="00D427C4">
      <w:pPr>
        <w:pStyle w:val="BodyText"/>
        <w:keepNext/>
        <w:spacing w:after="180"/>
      </w:pPr>
      <w:r w:rsidRPr="005C5E32">
        <w:t>This appropriation is intended to achieve quality advice and solutions, with a focus on improving environmental management frameworks.</w:t>
      </w:r>
    </w:p>
    <w:tbl>
      <w:tblPr>
        <w:tblW w:w="8505" w:type="dxa"/>
        <w:tblBorders>
          <w:top w:val="single" w:sz="4" w:space="0" w:color="1B556B" w:themeColor="text2"/>
          <w:bottom w:val="single" w:sz="4" w:space="0" w:color="1B556B" w:themeColor="text2"/>
          <w:insideH w:val="single" w:sz="4" w:space="0" w:color="1B556B" w:themeColor="text2"/>
          <w:insideV w:val="single" w:sz="4" w:space="0" w:color="1B556B" w:themeColor="text2"/>
        </w:tblBorders>
        <w:tblLayout w:type="fixed"/>
        <w:tblCellMar>
          <w:left w:w="85" w:type="dxa"/>
          <w:right w:w="85" w:type="dxa"/>
        </w:tblCellMar>
        <w:tblLook w:val="01E0" w:firstRow="1" w:lastRow="1" w:firstColumn="1" w:lastColumn="1" w:noHBand="0" w:noVBand="0"/>
      </w:tblPr>
      <w:tblGrid>
        <w:gridCol w:w="2410"/>
        <w:gridCol w:w="1523"/>
        <w:gridCol w:w="1524"/>
        <w:gridCol w:w="1524"/>
        <w:gridCol w:w="1524"/>
      </w:tblGrid>
      <w:tr w:rsidR="001003F8" w:rsidRPr="005C5E32" w14:paraId="0B5F7D9E" w14:textId="77777777" w:rsidTr="00121D51">
        <w:tc>
          <w:tcPr>
            <w:tcW w:w="2410" w:type="dxa"/>
            <w:shd w:val="clear" w:color="auto" w:fill="1B556B" w:themeFill="text2"/>
            <w:vAlign w:val="bottom"/>
          </w:tcPr>
          <w:p w14:paraId="173BCB97" w14:textId="77777777" w:rsidR="001003F8" w:rsidRPr="005C5E32" w:rsidRDefault="001003F8" w:rsidP="00D427C4">
            <w:pPr>
              <w:pStyle w:val="TableTextbold"/>
              <w:keepNext/>
              <w:spacing w:before="40" w:after="40"/>
              <w:jc w:val="right"/>
              <w:rPr>
                <w:color w:val="FFFFFF" w:themeColor="background1"/>
                <w:szCs w:val="18"/>
              </w:rPr>
            </w:pPr>
          </w:p>
        </w:tc>
        <w:tc>
          <w:tcPr>
            <w:tcW w:w="1523" w:type="dxa"/>
            <w:shd w:val="clear" w:color="auto" w:fill="1B556B" w:themeFill="text2"/>
            <w:vAlign w:val="bottom"/>
          </w:tcPr>
          <w:p w14:paraId="6BFE2B02" w14:textId="77777777" w:rsidR="001003F8" w:rsidRPr="005C5E32" w:rsidRDefault="001003F8" w:rsidP="00D427C4">
            <w:pPr>
              <w:pStyle w:val="TableTextbold"/>
              <w:keepNext/>
              <w:spacing w:before="40" w:after="40"/>
              <w:jc w:val="right"/>
              <w:rPr>
                <w:bCs/>
                <w:color w:val="FFFFFF" w:themeColor="background1"/>
                <w:szCs w:val="18"/>
              </w:rPr>
            </w:pPr>
            <w:r w:rsidRPr="005C5E32">
              <w:rPr>
                <w:bCs/>
                <w:color w:val="FFFFFF" w:themeColor="background1"/>
                <w:spacing w:val="-2"/>
                <w:szCs w:val="18"/>
              </w:rPr>
              <w:t>2024/25</w:t>
            </w:r>
            <w:r w:rsidRPr="005C5E32">
              <w:rPr>
                <w:bCs/>
                <w:color w:val="FFFFFF" w:themeColor="background1"/>
                <w:spacing w:val="-2"/>
                <w:szCs w:val="18"/>
              </w:rPr>
              <w:br/>
              <w:t>Actual</w:t>
            </w:r>
            <w:r w:rsidRPr="005C5E32">
              <w:rPr>
                <w:bCs/>
                <w:color w:val="FFFFFF" w:themeColor="background1"/>
                <w:spacing w:val="-2"/>
                <w:szCs w:val="18"/>
              </w:rPr>
              <w:br/>
            </w:r>
            <w:r w:rsidRPr="005C5E32">
              <w:rPr>
                <w:bCs/>
                <w:color w:val="FFFFFF" w:themeColor="background1"/>
                <w:spacing w:val="-4"/>
                <w:szCs w:val="18"/>
              </w:rPr>
              <w:t>$000</w:t>
            </w:r>
          </w:p>
        </w:tc>
        <w:tc>
          <w:tcPr>
            <w:tcW w:w="1524" w:type="dxa"/>
            <w:shd w:val="clear" w:color="auto" w:fill="1B556B" w:themeFill="text2"/>
            <w:vAlign w:val="bottom"/>
          </w:tcPr>
          <w:p w14:paraId="10C4CCB0" w14:textId="77777777" w:rsidR="001003F8" w:rsidRPr="005C5E32" w:rsidRDefault="001003F8" w:rsidP="00D427C4">
            <w:pPr>
              <w:pStyle w:val="TableTextbold"/>
              <w:keepNext/>
              <w:spacing w:before="40" w:after="40"/>
              <w:jc w:val="right"/>
              <w:rPr>
                <w:bCs/>
                <w:color w:val="FFFFFF" w:themeColor="background1"/>
                <w:szCs w:val="18"/>
              </w:rPr>
            </w:pPr>
            <w:r w:rsidRPr="005C5E32">
              <w:rPr>
                <w:bCs/>
                <w:color w:val="FFFFFF" w:themeColor="background1"/>
                <w:spacing w:val="-2"/>
                <w:szCs w:val="18"/>
              </w:rPr>
              <w:t>2025/26</w:t>
            </w:r>
            <w:r w:rsidRPr="005C5E32">
              <w:rPr>
                <w:bCs/>
                <w:color w:val="FFFFFF" w:themeColor="background1"/>
                <w:spacing w:val="-2"/>
                <w:szCs w:val="18"/>
              </w:rPr>
              <w:br/>
              <w:t>Budget</w:t>
            </w:r>
            <w:r w:rsidRPr="005C5E32">
              <w:rPr>
                <w:bCs/>
                <w:color w:val="FFFFFF" w:themeColor="background1"/>
                <w:spacing w:val="-2"/>
                <w:szCs w:val="18"/>
              </w:rPr>
              <w:br/>
            </w:r>
            <w:r w:rsidRPr="005C5E32">
              <w:rPr>
                <w:bCs/>
                <w:color w:val="FFFFFF" w:themeColor="background1"/>
                <w:spacing w:val="-4"/>
                <w:szCs w:val="18"/>
              </w:rPr>
              <w:t>$000</w:t>
            </w:r>
          </w:p>
        </w:tc>
        <w:tc>
          <w:tcPr>
            <w:tcW w:w="1524" w:type="dxa"/>
            <w:shd w:val="clear" w:color="auto" w:fill="1B556B" w:themeFill="text2"/>
            <w:vAlign w:val="bottom"/>
          </w:tcPr>
          <w:p w14:paraId="68ED3136" w14:textId="77777777" w:rsidR="001003F8" w:rsidRPr="005C5E32" w:rsidRDefault="001003F8" w:rsidP="00D427C4">
            <w:pPr>
              <w:pStyle w:val="TableTextbold"/>
              <w:keepNext/>
              <w:spacing w:before="40" w:after="40"/>
              <w:jc w:val="right"/>
              <w:rPr>
                <w:bCs/>
                <w:color w:val="FFFFFF" w:themeColor="background1"/>
                <w:szCs w:val="18"/>
              </w:rPr>
            </w:pPr>
            <w:r w:rsidRPr="005C5E32">
              <w:rPr>
                <w:bCs/>
                <w:color w:val="FFFFFF" w:themeColor="background1"/>
                <w:spacing w:val="-2"/>
                <w:szCs w:val="18"/>
              </w:rPr>
              <w:t>2025/26</w:t>
            </w:r>
            <w:r w:rsidRPr="005C5E32">
              <w:rPr>
                <w:bCs/>
                <w:color w:val="FFFFFF" w:themeColor="background1"/>
                <w:spacing w:val="-2"/>
                <w:szCs w:val="18"/>
              </w:rPr>
              <w:br/>
              <w:t>Revised</w:t>
            </w:r>
            <w:r w:rsidRPr="005C5E32">
              <w:rPr>
                <w:bCs/>
                <w:color w:val="FFFFFF" w:themeColor="background1"/>
                <w:spacing w:val="3"/>
                <w:szCs w:val="18"/>
              </w:rPr>
              <w:t xml:space="preserve"> </w:t>
            </w:r>
            <w:r w:rsidRPr="005C5E32">
              <w:rPr>
                <w:bCs/>
                <w:color w:val="FFFFFF" w:themeColor="background1"/>
                <w:spacing w:val="-2"/>
                <w:szCs w:val="18"/>
              </w:rPr>
              <w:t>Budget</w:t>
            </w:r>
            <w:r w:rsidRPr="005C5E32">
              <w:rPr>
                <w:bCs/>
                <w:color w:val="FFFFFF" w:themeColor="background1"/>
                <w:spacing w:val="-2"/>
                <w:szCs w:val="18"/>
              </w:rPr>
              <w:br/>
            </w:r>
            <w:r w:rsidRPr="005C5E32">
              <w:rPr>
                <w:bCs/>
                <w:color w:val="FFFFFF" w:themeColor="background1"/>
                <w:spacing w:val="-4"/>
                <w:szCs w:val="18"/>
              </w:rPr>
              <w:t>$000</w:t>
            </w:r>
          </w:p>
        </w:tc>
        <w:tc>
          <w:tcPr>
            <w:tcW w:w="1524" w:type="dxa"/>
            <w:tcBorders>
              <w:bottom w:val="single" w:sz="4" w:space="0" w:color="1B556B" w:themeColor="text2"/>
            </w:tcBorders>
            <w:shd w:val="clear" w:color="auto" w:fill="1B556B" w:themeFill="text2"/>
            <w:vAlign w:val="bottom"/>
          </w:tcPr>
          <w:p w14:paraId="6E85C413" w14:textId="77777777" w:rsidR="001003F8" w:rsidRPr="005C5E32" w:rsidRDefault="001003F8" w:rsidP="00D427C4">
            <w:pPr>
              <w:pStyle w:val="TableTextbold"/>
              <w:keepNext/>
              <w:spacing w:before="40" w:after="40"/>
              <w:jc w:val="right"/>
              <w:rPr>
                <w:bCs/>
                <w:color w:val="FFFFFF" w:themeColor="background1"/>
                <w:szCs w:val="18"/>
              </w:rPr>
            </w:pPr>
            <w:r w:rsidRPr="005C5E32">
              <w:rPr>
                <w:bCs/>
                <w:color w:val="FFFFFF" w:themeColor="background1"/>
                <w:spacing w:val="-2"/>
                <w:szCs w:val="18"/>
              </w:rPr>
              <w:t>2025/26</w:t>
            </w:r>
            <w:r w:rsidRPr="005C5E32">
              <w:rPr>
                <w:bCs/>
                <w:color w:val="FFFFFF" w:themeColor="background1"/>
                <w:spacing w:val="-2"/>
                <w:szCs w:val="18"/>
              </w:rPr>
              <w:br/>
              <w:t>Actual</w:t>
            </w:r>
            <w:r w:rsidRPr="005C5E32">
              <w:rPr>
                <w:bCs/>
                <w:color w:val="FFFFFF" w:themeColor="background1"/>
                <w:spacing w:val="-2"/>
                <w:szCs w:val="18"/>
              </w:rPr>
              <w:br/>
            </w:r>
            <w:r w:rsidRPr="005C5E32">
              <w:rPr>
                <w:bCs/>
                <w:color w:val="FFFFFF" w:themeColor="background1"/>
                <w:spacing w:val="-4"/>
                <w:szCs w:val="18"/>
              </w:rPr>
              <w:t>$000</w:t>
            </w:r>
          </w:p>
        </w:tc>
      </w:tr>
      <w:tr w:rsidR="001003F8" w:rsidRPr="005C5E32" w14:paraId="722A50F4" w14:textId="77777777" w:rsidTr="00121D51">
        <w:tc>
          <w:tcPr>
            <w:tcW w:w="2410" w:type="dxa"/>
          </w:tcPr>
          <w:p w14:paraId="6962BAF6" w14:textId="77777777" w:rsidR="001003F8" w:rsidRPr="005C5E32" w:rsidRDefault="001003F8" w:rsidP="00D427C4">
            <w:pPr>
              <w:pStyle w:val="TableTextbold"/>
              <w:keepNext/>
              <w:spacing w:before="40" w:after="0"/>
              <w:rPr>
                <w:szCs w:val="18"/>
              </w:rPr>
            </w:pPr>
            <w:r w:rsidRPr="005C5E32">
              <w:rPr>
                <w:szCs w:val="18"/>
              </w:rPr>
              <w:t>Revenue</w:t>
            </w:r>
          </w:p>
          <w:p w14:paraId="0BAB61C9" w14:textId="77777777" w:rsidR="001003F8" w:rsidRPr="005C5E32" w:rsidRDefault="001003F8" w:rsidP="00D427C4">
            <w:pPr>
              <w:pStyle w:val="TableText"/>
              <w:keepNext/>
              <w:spacing w:before="0" w:after="40"/>
              <w:rPr>
                <w:szCs w:val="18"/>
              </w:rPr>
            </w:pPr>
            <w:r w:rsidRPr="005C5E32">
              <w:rPr>
                <w:szCs w:val="18"/>
              </w:rPr>
              <w:t>Crown</w:t>
            </w:r>
          </w:p>
        </w:tc>
        <w:tc>
          <w:tcPr>
            <w:tcW w:w="1523" w:type="dxa"/>
            <w:vAlign w:val="bottom"/>
          </w:tcPr>
          <w:p w14:paraId="48D31D82" w14:textId="77777777" w:rsidR="001003F8" w:rsidRPr="005C5E32" w:rsidRDefault="001003F8" w:rsidP="00D427C4">
            <w:pPr>
              <w:pStyle w:val="TableText"/>
              <w:keepNext/>
              <w:spacing w:before="40" w:after="40"/>
              <w:jc w:val="right"/>
              <w:rPr>
                <w:szCs w:val="18"/>
              </w:rPr>
            </w:pPr>
            <w:r w:rsidRPr="005C5E32">
              <w:t>111,470</w:t>
            </w:r>
          </w:p>
        </w:tc>
        <w:tc>
          <w:tcPr>
            <w:tcW w:w="1524" w:type="dxa"/>
            <w:vAlign w:val="bottom"/>
          </w:tcPr>
          <w:p w14:paraId="661FD49F" w14:textId="3BDEAE22" w:rsidR="001003F8" w:rsidRPr="005C5E32" w:rsidRDefault="00BA4ED8" w:rsidP="00D427C4">
            <w:pPr>
              <w:pStyle w:val="TableText"/>
              <w:keepNext/>
              <w:spacing w:before="40" w:after="40"/>
              <w:jc w:val="right"/>
              <w:rPr>
                <w:szCs w:val="18"/>
              </w:rPr>
            </w:pPr>
            <w:r w:rsidRPr="005C5E32">
              <w:rPr>
                <w:szCs w:val="18"/>
              </w:rPr>
              <w:t>127,</w:t>
            </w:r>
            <w:r w:rsidR="00606DF4" w:rsidRPr="005C5E32">
              <w:rPr>
                <w:szCs w:val="18"/>
              </w:rPr>
              <w:t>617</w:t>
            </w:r>
          </w:p>
        </w:tc>
        <w:tc>
          <w:tcPr>
            <w:tcW w:w="1524" w:type="dxa"/>
            <w:vAlign w:val="bottom"/>
          </w:tcPr>
          <w:p w14:paraId="6E2CD424" w14:textId="2735692C" w:rsidR="001003F8" w:rsidRPr="005C5E32" w:rsidRDefault="00060F4C" w:rsidP="00D427C4">
            <w:pPr>
              <w:pStyle w:val="TableText"/>
              <w:keepNext/>
              <w:spacing w:before="40" w:after="40"/>
              <w:jc w:val="right"/>
              <w:rPr>
                <w:szCs w:val="18"/>
              </w:rPr>
            </w:pPr>
            <w:r w:rsidRPr="005C5E32">
              <w:rPr>
                <w:szCs w:val="18"/>
              </w:rPr>
              <w:t>136</w:t>
            </w:r>
            <w:r w:rsidR="001071A4" w:rsidRPr="005C5E32">
              <w:rPr>
                <w:szCs w:val="18"/>
              </w:rPr>
              <w:t>,613</w:t>
            </w:r>
          </w:p>
        </w:tc>
        <w:tc>
          <w:tcPr>
            <w:tcW w:w="1524" w:type="dxa"/>
            <w:shd w:val="clear" w:color="auto" w:fill="D2DDE1" w:themeFill="background2"/>
            <w:vAlign w:val="bottom"/>
          </w:tcPr>
          <w:p w14:paraId="48D356FF" w14:textId="4B7A246E" w:rsidR="001003F8" w:rsidRPr="005C5E32" w:rsidRDefault="00D52BE8" w:rsidP="00D427C4">
            <w:pPr>
              <w:pStyle w:val="TableText"/>
              <w:keepNext/>
              <w:spacing w:before="40" w:after="40"/>
              <w:jc w:val="right"/>
              <w:rPr>
                <w:szCs w:val="18"/>
              </w:rPr>
            </w:pPr>
            <w:r w:rsidRPr="005C5E32">
              <w:rPr>
                <w:szCs w:val="18"/>
              </w:rPr>
              <w:t>136</w:t>
            </w:r>
            <w:r w:rsidR="00D36262" w:rsidRPr="005C5E32">
              <w:rPr>
                <w:szCs w:val="18"/>
              </w:rPr>
              <w:t>,613</w:t>
            </w:r>
          </w:p>
        </w:tc>
      </w:tr>
      <w:tr w:rsidR="001003F8" w:rsidRPr="005C5E32" w14:paraId="716141D8" w14:textId="77777777" w:rsidTr="00121D51">
        <w:tc>
          <w:tcPr>
            <w:tcW w:w="2410" w:type="dxa"/>
          </w:tcPr>
          <w:p w14:paraId="5C708292" w14:textId="77777777" w:rsidR="001003F8" w:rsidRPr="005C5E32" w:rsidRDefault="001003F8" w:rsidP="00B86EB3">
            <w:pPr>
              <w:pStyle w:val="TableText"/>
              <w:spacing w:before="40" w:after="40"/>
              <w:rPr>
                <w:szCs w:val="18"/>
              </w:rPr>
            </w:pPr>
            <w:r w:rsidRPr="005C5E32">
              <w:rPr>
                <w:szCs w:val="18"/>
              </w:rPr>
              <w:t>Departmental</w:t>
            </w:r>
          </w:p>
        </w:tc>
        <w:tc>
          <w:tcPr>
            <w:tcW w:w="1523" w:type="dxa"/>
            <w:vAlign w:val="bottom"/>
          </w:tcPr>
          <w:p w14:paraId="634E0476" w14:textId="77777777" w:rsidR="001003F8" w:rsidRPr="005C5E32" w:rsidRDefault="001003F8" w:rsidP="00B86EB3">
            <w:pPr>
              <w:pStyle w:val="TableText"/>
              <w:spacing w:before="40" w:after="40"/>
              <w:jc w:val="right"/>
              <w:rPr>
                <w:szCs w:val="18"/>
              </w:rPr>
            </w:pPr>
            <w:r w:rsidRPr="005C5E32">
              <w:t>–</w:t>
            </w:r>
          </w:p>
        </w:tc>
        <w:tc>
          <w:tcPr>
            <w:tcW w:w="1524" w:type="dxa"/>
            <w:vAlign w:val="bottom"/>
          </w:tcPr>
          <w:p w14:paraId="430E1283" w14:textId="2A12CCC2" w:rsidR="001003F8" w:rsidRPr="005C5E32" w:rsidRDefault="00606DF4" w:rsidP="00B86EB3">
            <w:pPr>
              <w:pStyle w:val="TableText"/>
              <w:spacing w:before="40" w:after="40"/>
              <w:jc w:val="right"/>
              <w:rPr>
                <w:szCs w:val="18"/>
              </w:rPr>
            </w:pPr>
            <w:r w:rsidRPr="005C5E32">
              <w:rPr>
                <w:szCs w:val="18"/>
              </w:rPr>
              <w:t>476</w:t>
            </w:r>
          </w:p>
        </w:tc>
        <w:tc>
          <w:tcPr>
            <w:tcW w:w="1524" w:type="dxa"/>
            <w:vAlign w:val="bottom"/>
          </w:tcPr>
          <w:p w14:paraId="0DE8F7CC" w14:textId="7DAEF975" w:rsidR="001003F8" w:rsidRPr="005C5E32" w:rsidRDefault="003124D7" w:rsidP="00B86EB3">
            <w:pPr>
              <w:pStyle w:val="TableText"/>
              <w:spacing w:before="40" w:after="40"/>
              <w:jc w:val="right"/>
              <w:rPr>
                <w:szCs w:val="18"/>
              </w:rPr>
            </w:pPr>
            <w:r w:rsidRPr="005C5E32">
              <w:rPr>
                <w:szCs w:val="18"/>
              </w:rPr>
              <w:t>476</w:t>
            </w:r>
          </w:p>
        </w:tc>
        <w:tc>
          <w:tcPr>
            <w:tcW w:w="1524" w:type="dxa"/>
            <w:shd w:val="clear" w:color="auto" w:fill="D2DDE1" w:themeFill="background2"/>
            <w:vAlign w:val="bottom"/>
          </w:tcPr>
          <w:p w14:paraId="3D76F62C" w14:textId="6FB89B83" w:rsidR="001003F8" w:rsidRPr="005C5E32" w:rsidRDefault="002B46EC" w:rsidP="00B86EB3">
            <w:pPr>
              <w:pStyle w:val="TableText"/>
              <w:spacing w:before="40" w:after="40"/>
              <w:jc w:val="right"/>
              <w:rPr>
                <w:szCs w:val="18"/>
              </w:rPr>
            </w:pPr>
            <w:r w:rsidRPr="005C5E32">
              <w:t>–</w:t>
            </w:r>
          </w:p>
        </w:tc>
      </w:tr>
      <w:tr w:rsidR="001003F8" w:rsidRPr="005C5E32" w14:paraId="0692EABF" w14:textId="77777777" w:rsidTr="00121D51">
        <w:tc>
          <w:tcPr>
            <w:tcW w:w="2410" w:type="dxa"/>
          </w:tcPr>
          <w:p w14:paraId="3B27E259" w14:textId="77777777" w:rsidR="001003F8" w:rsidRPr="005C5E32" w:rsidRDefault="001003F8" w:rsidP="00B86EB3">
            <w:pPr>
              <w:pStyle w:val="TableText"/>
              <w:spacing w:before="40" w:after="40"/>
              <w:rPr>
                <w:szCs w:val="18"/>
              </w:rPr>
            </w:pPr>
            <w:r w:rsidRPr="005C5E32">
              <w:rPr>
                <w:szCs w:val="18"/>
              </w:rPr>
              <w:t>Other</w:t>
            </w:r>
          </w:p>
        </w:tc>
        <w:tc>
          <w:tcPr>
            <w:tcW w:w="1523" w:type="dxa"/>
            <w:vAlign w:val="bottom"/>
          </w:tcPr>
          <w:p w14:paraId="042332F2" w14:textId="77777777" w:rsidR="001003F8" w:rsidRPr="005C5E32" w:rsidRDefault="001003F8" w:rsidP="00B86EB3">
            <w:pPr>
              <w:pStyle w:val="TableText"/>
              <w:spacing w:before="40" w:after="40"/>
              <w:jc w:val="right"/>
              <w:rPr>
                <w:szCs w:val="18"/>
              </w:rPr>
            </w:pPr>
            <w:r w:rsidRPr="005C5E32">
              <w:t>178</w:t>
            </w:r>
          </w:p>
        </w:tc>
        <w:tc>
          <w:tcPr>
            <w:tcW w:w="1524" w:type="dxa"/>
            <w:vAlign w:val="bottom"/>
          </w:tcPr>
          <w:p w14:paraId="556633BF" w14:textId="5DA18889" w:rsidR="001003F8" w:rsidRPr="005C5E32" w:rsidRDefault="0019537E" w:rsidP="00B86EB3">
            <w:pPr>
              <w:pStyle w:val="TableText"/>
              <w:spacing w:before="40" w:after="40"/>
              <w:jc w:val="right"/>
              <w:rPr>
                <w:szCs w:val="18"/>
              </w:rPr>
            </w:pPr>
            <w:r w:rsidRPr="005C5E32">
              <w:rPr>
                <w:szCs w:val="18"/>
              </w:rPr>
              <w:t>331</w:t>
            </w:r>
          </w:p>
        </w:tc>
        <w:tc>
          <w:tcPr>
            <w:tcW w:w="1524" w:type="dxa"/>
            <w:vAlign w:val="bottom"/>
          </w:tcPr>
          <w:p w14:paraId="4CDC0B51" w14:textId="2175EEB1" w:rsidR="001003F8" w:rsidRPr="005C5E32" w:rsidRDefault="003124D7" w:rsidP="00B86EB3">
            <w:pPr>
              <w:pStyle w:val="TableText"/>
              <w:spacing w:before="40" w:after="40"/>
              <w:jc w:val="right"/>
              <w:rPr>
                <w:szCs w:val="18"/>
              </w:rPr>
            </w:pPr>
            <w:r w:rsidRPr="005C5E32">
              <w:rPr>
                <w:szCs w:val="18"/>
              </w:rPr>
              <w:t>331</w:t>
            </w:r>
          </w:p>
        </w:tc>
        <w:tc>
          <w:tcPr>
            <w:tcW w:w="1524" w:type="dxa"/>
            <w:shd w:val="clear" w:color="auto" w:fill="D2DDE1" w:themeFill="background2"/>
            <w:vAlign w:val="bottom"/>
          </w:tcPr>
          <w:p w14:paraId="30AAEF9A" w14:textId="4E11E52C" w:rsidR="001003F8" w:rsidRPr="005C5E32" w:rsidRDefault="00CF2E56" w:rsidP="00B86EB3">
            <w:pPr>
              <w:pStyle w:val="TableText"/>
              <w:spacing w:before="40" w:after="40"/>
              <w:jc w:val="right"/>
              <w:rPr>
                <w:szCs w:val="18"/>
              </w:rPr>
            </w:pPr>
            <w:r w:rsidRPr="005C5E32">
              <w:rPr>
                <w:szCs w:val="18"/>
              </w:rPr>
              <w:t>1,301</w:t>
            </w:r>
          </w:p>
        </w:tc>
      </w:tr>
      <w:tr w:rsidR="001003F8" w:rsidRPr="005C5E32" w14:paraId="7935E588" w14:textId="77777777" w:rsidTr="00121D51">
        <w:tc>
          <w:tcPr>
            <w:tcW w:w="2410" w:type="dxa"/>
          </w:tcPr>
          <w:p w14:paraId="4D4456A9" w14:textId="77777777" w:rsidR="001003F8" w:rsidRPr="005C5E32" w:rsidRDefault="001003F8" w:rsidP="00B86EB3">
            <w:pPr>
              <w:pStyle w:val="TableTextbold"/>
              <w:spacing w:before="40" w:after="40"/>
              <w:rPr>
                <w:szCs w:val="18"/>
              </w:rPr>
            </w:pPr>
            <w:r w:rsidRPr="005C5E32">
              <w:rPr>
                <w:spacing w:val="-4"/>
                <w:szCs w:val="18"/>
              </w:rPr>
              <w:t xml:space="preserve">Total </w:t>
            </w:r>
            <w:r w:rsidRPr="005C5E32">
              <w:rPr>
                <w:szCs w:val="18"/>
              </w:rPr>
              <w:t>revenue</w:t>
            </w:r>
          </w:p>
        </w:tc>
        <w:tc>
          <w:tcPr>
            <w:tcW w:w="1523" w:type="dxa"/>
            <w:vAlign w:val="bottom"/>
          </w:tcPr>
          <w:p w14:paraId="51BD70DA" w14:textId="77777777" w:rsidR="001003F8" w:rsidRPr="005C5E32" w:rsidRDefault="001003F8" w:rsidP="00B86EB3">
            <w:pPr>
              <w:pStyle w:val="TableTextbold"/>
              <w:spacing w:before="40" w:after="40"/>
              <w:jc w:val="right"/>
              <w:rPr>
                <w:szCs w:val="18"/>
              </w:rPr>
            </w:pPr>
            <w:r w:rsidRPr="005C5E32">
              <w:t>111,648</w:t>
            </w:r>
          </w:p>
        </w:tc>
        <w:tc>
          <w:tcPr>
            <w:tcW w:w="1524" w:type="dxa"/>
            <w:vAlign w:val="bottom"/>
          </w:tcPr>
          <w:p w14:paraId="6B9F44C4" w14:textId="7566BFF5" w:rsidR="001003F8" w:rsidRPr="005C5E32" w:rsidRDefault="00227B7D" w:rsidP="00B86EB3">
            <w:pPr>
              <w:pStyle w:val="TableTextbold"/>
              <w:spacing w:before="40" w:after="40"/>
              <w:jc w:val="right"/>
              <w:rPr>
                <w:szCs w:val="18"/>
              </w:rPr>
            </w:pPr>
            <w:r w:rsidRPr="005C5E32">
              <w:rPr>
                <w:szCs w:val="18"/>
              </w:rPr>
              <w:t>128,</w:t>
            </w:r>
            <w:r w:rsidR="009B5B02" w:rsidRPr="005C5E32">
              <w:rPr>
                <w:szCs w:val="18"/>
              </w:rPr>
              <w:t>424</w:t>
            </w:r>
          </w:p>
        </w:tc>
        <w:tc>
          <w:tcPr>
            <w:tcW w:w="1524" w:type="dxa"/>
            <w:vAlign w:val="bottom"/>
          </w:tcPr>
          <w:p w14:paraId="581E10C8" w14:textId="6ACDB76B" w:rsidR="001003F8" w:rsidRPr="005C5E32" w:rsidRDefault="004B6EB6" w:rsidP="00B86EB3">
            <w:pPr>
              <w:pStyle w:val="TableTextbold"/>
              <w:spacing w:before="40" w:after="40"/>
              <w:jc w:val="right"/>
              <w:rPr>
                <w:szCs w:val="18"/>
              </w:rPr>
            </w:pPr>
            <w:r w:rsidRPr="005C5E32">
              <w:rPr>
                <w:szCs w:val="18"/>
              </w:rPr>
              <w:t>137,420</w:t>
            </w:r>
          </w:p>
        </w:tc>
        <w:tc>
          <w:tcPr>
            <w:tcW w:w="1524" w:type="dxa"/>
            <w:shd w:val="clear" w:color="auto" w:fill="D2DDE1" w:themeFill="background2"/>
            <w:vAlign w:val="bottom"/>
          </w:tcPr>
          <w:p w14:paraId="1476B2FC" w14:textId="65589271" w:rsidR="001003F8" w:rsidRPr="005C5E32" w:rsidRDefault="00E97303" w:rsidP="00B86EB3">
            <w:pPr>
              <w:pStyle w:val="TableTextbold"/>
              <w:spacing w:before="40" w:after="40"/>
              <w:jc w:val="right"/>
              <w:rPr>
                <w:szCs w:val="18"/>
              </w:rPr>
            </w:pPr>
            <w:r w:rsidRPr="005C5E32">
              <w:rPr>
                <w:szCs w:val="18"/>
              </w:rPr>
              <w:t>137,914</w:t>
            </w:r>
          </w:p>
        </w:tc>
      </w:tr>
      <w:tr w:rsidR="001003F8" w:rsidRPr="005C5E32" w14:paraId="0F1FCD48" w14:textId="77777777" w:rsidTr="00121D51">
        <w:tc>
          <w:tcPr>
            <w:tcW w:w="2410" w:type="dxa"/>
            <w:tcBorders>
              <w:bottom w:val="single" w:sz="4" w:space="0" w:color="1B556B" w:themeColor="text2"/>
            </w:tcBorders>
          </w:tcPr>
          <w:p w14:paraId="23B38CB1" w14:textId="77777777" w:rsidR="001003F8" w:rsidRPr="005C5E32" w:rsidRDefault="001003F8" w:rsidP="00B86EB3">
            <w:pPr>
              <w:pStyle w:val="TableTextbold"/>
              <w:spacing w:before="40" w:after="40"/>
              <w:rPr>
                <w:szCs w:val="18"/>
              </w:rPr>
            </w:pPr>
            <w:r w:rsidRPr="005C5E32">
              <w:rPr>
                <w:spacing w:val="-4"/>
                <w:szCs w:val="18"/>
              </w:rPr>
              <w:t xml:space="preserve">Total </w:t>
            </w:r>
            <w:r w:rsidRPr="005C5E32">
              <w:rPr>
                <w:szCs w:val="18"/>
              </w:rPr>
              <w:t>expenses</w:t>
            </w:r>
          </w:p>
        </w:tc>
        <w:tc>
          <w:tcPr>
            <w:tcW w:w="1523" w:type="dxa"/>
            <w:tcBorders>
              <w:bottom w:val="single" w:sz="4" w:space="0" w:color="1B556B" w:themeColor="text2"/>
            </w:tcBorders>
            <w:vAlign w:val="bottom"/>
          </w:tcPr>
          <w:p w14:paraId="3A292690" w14:textId="77777777" w:rsidR="001003F8" w:rsidRPr="005C5E32" w:rsidRDefault="001003F8" w:rsidP="00B86EB3">
            <w:pPr>
              <w:pStyle w:val="TableTextbold"/>
              <w:spacing w:before="40" w:after="40"/>
              <w:jc w:val="right"/>
              <w:rPr>
                <w:szCs w:val="18"/>
              </w:rPr>
            </w:pPr>
            <w:r w:rsidRPr="005C5E32">
              <w:t>106,516</w:t>
            </w:r>
          </w:p>
        </w:tc>
        <w:tc>
          <w:tcPr>
            <w:tcW w:w="1524" w:type="dxa"/>
            <w:tcBorders>
              <w:bottom w:val="single" w:sz="4" w:space="0" w:color="1B556B" w:themeColor="text2"/>
            </w:tcBorders>
            <w:vAlign w:val="bottom"/>
          </w:tcPr>
          <w:p w14:paraId="57B927FF" w14:textId="600AD293" w:rsidR="001003F8" w:rsidRPr="005C5E32" w:rsidRDefault="000D06ED" w:rsidP="00B86EB3">
            <w:pPr>
              <w:pStyle w:val="TableTextbold"/>
              <w:spacing w:before="40" w:after="40"/>
              <w:jc w:val="right"/>
              <w:rPr>
                <w:szCs w:val="18"/>
              </w:rPr>
            </w:pPr>
            <w:r w:rsidRPr="005C5E32">
              <w:rPr>
                <w:szCs w:val="18"/>
              </w:rPr>
              <w:t>128,424</w:t>
            </w:r>
          </w:p>
        </w:tc>
        <w:tc>
          <w:tcPr>
            <w:tcW w:w="1524" w:type="dxa"/>
            <w:tcBorders>
              <w:bottom w:val="single" w:sz="4" w:space="0" w:color="1B556B" w:themeColor="text2"/>
            </w:tcBorders>
            <w:vAlign w:val="bottom"/>
          </w:tcPr>
          <w:p w14:paraId="754038A0" w14:textId="1EFB6DF5" w:rsidR="001003F8" w:rsidRPr="005C5E32" w:rsidRDefault="00C52655" w:rsidP="00B86EB3">
            <w:pPr>
              <w:pStyle w:val="TableTextbold"/>
              <w:spacing w:before="40" w:after="40"/>
              <w:jc w:val="right"/>
              <w:rPr>
                <w:szCs w:val="18"/>
              </w:rPr>
            </w:pPr>
            <w:r w:rsidRPr="005C5E32">
              <w:rPr>
                <w:szCs w:val="18"/>
              </w:rPr>
              <w:t>137,420</w:t>
            </w:r>
          </w:p>
        </w:tc>
        <w:tc>
          <w:tcPr>
            <w:tcW w:w="1524" w:type="dxa"/>
            <w:tcBorders>
              <w:bottom w:val="single" w:sz="4" w:space="0" w:color="1B556B" w:themeColor="text2"/>
            </w:tcBorders>
            <w:shd w:val="clear" w:color="auto" w:fill="D2DDE1" w:themeFill="background2"/>
            <w:vAlign w:val="bottom"/>
          </w:tcPr>
          <w:p w14:paraId="3BC94DE8" w14:textId="2DE00F84" w:rsidR="001003F8" w:rsidRPr="005C5E32" w:rsidRDefault="007A4C8C" w:rsidP="00B86EB3">
            <w:pPr>
              <w:pStyle w:val="TableTextbold"/>
              <w:spacing w:before="40" w:after="40"/>
              <w:jc w:val="right"/>
              <w:rPr>
                <w:szCs w:val="18"/>
              </w:rPr>
            </w:pPr>
            <w:r w:rsidRPr="005C5E32">
              <w:rPr>
                <w:szCs w:val="18"/>
              </w:rPr>
              <w:t>125,376</w:t>
            </w:r>
          </w:p>
        </w:tc>
      </w:tr>
      <w:tr w:rsidR="001003F8" w:rsidRPr="005C5E32" w14:paraId="21442784" w14:textId="77777777" w:rsidTr="00121D51">
        <w:tc>
          <w:tcPr>
            <w:tcW w:w="2410" w:type="dxa"/>
          </w:tcPr>
          <w:p w14:paraId="5212FB47" w14:textId="210BB50E" w:rsidR="001003F8" w:rsidRPr="005C5E32" w:rsidRDefault="001003F8" w:rsidP="00B86EB3">
            <w:pPr>
              <w:pStyle w:val="TableTextbold"/>
              <w:spacing w:before="40" w:after="40"/>
              <w:rPr>
                <w:szCs w:val="18"/>
              </w:rPr>
            </w:pPr>
            <w:r w:rsidRPr="005C5E32">
              <w:rPr>
                <w:szCs w:val="18"/>
              </w:rPr>
              <w:t>Net</w:t>
            </w:r>
            <w:r w:rsidRPr="005C5E32">
              <w:rPr>
                <w:spacing w:val="-6"/>
                <w:szCs w:val="18"/>
              </w:rPr>
              <w:t xml:space="preserve"> </w:t>
            </w:r>
            <w:r w:rsidRPr="005C5E32">
              <w:rPr>
                <w:szCs w:val="18"/>
              </w:rPr>
              <w:t>surplus</w:t>
            </w:r>
            <w:r w:rsidR="00FD0334">
              <w:rPr>
                <w:spacing w:val="-6"/>
                <w:szCs w:val="18"/>
              </w:rPr>
              <w:t>/</w:t>
            </w:r>
            <w:r w:rsidRPr="005C5E32">
              <w:rPr>
                <w:szCs w:val="18"/>
              </w:rPr>
              <w:t>(deficit)</w:t>
            </w:r>
          </w:p>
        </w:tc>
        <w:tc>
          <w:tcPr>
            <w:tcW w:w="1523" w:type="dxa"/>
            <w:vAlign w:val="bottom"/>
          </w:tcPr>
          <w:p w14:paraId="3D3EAE81" w14:textId="77777777" w:rsidR="001003F8" w:rsidRPr="005C5E32" w:rsidRDefault="001003F8" w:rsidP="00B86EB3">
            <w:pPr>
              <w:pStyle w:val="TableTextbold"/>
              <w:spacing w:before="40" w:after="40"/>
              <w:jc w:val="right"/>
              <w:rPr>
                <w:szCs w:val="18"/>
              </w:rPr>
            </w:pPr>
            <w:r w:rsidRPr="005C5E32">
              <w:t>5,132</w:t>
            </w:r>
          </w:p>
        </w:tc>
        <w:tc>
          <w:tcPr>
            <w:tcW w:w="1524" w:type="dxa"/>
            <w:vAlign w:val="bottom"/>
          </w:tcPr>
          <w:p w14:paraId="28B9714B" w14:textId="08CFBBE3" w:rsidR="001003F8" w:rsidRPr="005C5E32" w:rsidRDefault="009B5B02" w:rsidP="00B86EB3">
            <w:pPr>
              <w:pStyle w:val="TableTextbold"/>
              <w:spacing w:before="40" w:after="40"/>
              <w:jc w:val="right"/>
              <w:rPr>
                <w:szCs w:val="18"/>
              </w:rPr>
            </w:pPr>
            <w:r w:rsidRPr="005C5E32">
              <w:t>–</w:t>
            </w:r>
          </w:p>
        </w:tc>
        <w:tc>
          <w:tcPr>
            <w:tcW w:w="1524" w:type="dxa"/>
            <w:vAlign w:val="bottom"/>
          </w:tcPr>
          <w:p w14:paraId="6D3C0955" w14:textId="247FF150" w:rsidR="001003F8" w:rsidRPr="005C5E32" w:rsidRDefault="004E6E81" w:rsidP="00B86EB3">
            <w:pPr>
              <w:pStyle w:val="TableTextbold"/>
              <w:spacing w:before="40" w:after="40"/>
              <w:jc w:val="right"/>
              <w:rPr>
                <w:szCs w:val="18"/>
              </w:rPr>
            </w:pPr>
            <w:r w:rsidRPr="005C5E32">
              <w:t>–</w:t>
            </w:r>
          </w:p>
        </w:tc>
        <w:tc>
          <w:tcPr>
            <w:tcW w:w="1524" w:type="dxa"/>
            <w:shd w:val="clear" w:color="auto" w:fill="D2DDE1" w:themeFill="background2"/>
            <w:vAlign w:val="bottom"/>
          </w:tcPr>
          <w:p w14:paraId="333EFFD6" w14:textId="2340B109" w:rsidR="001003F8" w:rsidRPr="005C5E32" w:rsidRDefault="00744B7E" w:rsidP="00B86EB3">
            <w:pPr>
              <w:pStyle w:val="TableTextbold"/>
              <w:spacing w:before="40" w:after="40"/>
              <w:jc w:val="right"/>
              <w:rPr>
                <w:szCs w:val="18"/>
              </w:rPr>
            </w:pPr>
            <w:r w:rsidRPr="005C5E32">
              <w:rPr>
                <w:szCs w:val="18"/>
              </w:rPr>
              <w:t>12,538</w:t>
            </w:r>
          </w:p>
        </w:tc>
      </w:tr>
    </w:tbl>
    <w:p w14:paraId="3181705B" w14:textId="0D031323" w:rsidR="00284349" w:rsidRPr="005C5E32" w:rsidRDefault="00284349" w:rsidP="00D427C4">
      <w:pPr>
        <w:pStyle w:val="BodyText"/>
        <w:spacing w:before="240"/>
      </w:pPr>
      <w:bookmarkStart w:id="128" w:name="_Hlk205804592"/>
      <w:r w:rsidRPr="005C5E32">
        <w:t xml:space="preserve">At Mains Estimates, the 2025/26 budget for this output class was $128.424 million. During the year, this appropriation increased $8.996 </w:t>
      </w:r>
      <w:r w:rsidR="00DE218C" w:rsidRPr="005C5E32">
        <w:t xml:space="preserve">million </w:t>
      </w:r>
      <w:r w:rsidRPr="005C5E32">
        <w:t>to $137.420 million for 2025/26</w:t>
      </w:r>
      <w:r w:rsidR="0047793D" w:rsidRPr="005C5E32">
        <w:t>,</w:t>
      </w:r>
      <w:r w:rsidRPr="005C5E32">
        <w:t xml:space="preserve"> due to:</w:t>
      </w:r>
    </w:p>
    <w:bookmarkEnd w:id="128"/>
    <w:p w14:paraId="0E6625F9" w14:textId="4D4E3159" w:rsidR="008D6063" w:rsidRPr="005C5E32" w:rsidRDefault="00284349" w:rsidP="008D6063">
      <w:pPr>
        <w:pStyle w:val="Bullet"/>
      </w:pPr>
      <w:r w:rsidRPr="005C5E32">
        <w:t xml:space="preserve">an expense transfer of $4.696 million from 2024/25 to support development of a suite of </w:t>
      </w:r>
      <w:r w:rsidR="0047793D" w:rsidRPr="005C5E32">
        <w:t>n</w:t>
      </w:r>
      <w:r w:rsidRPr="005C5E32">
        <w:t xml:space="preserve">ational </w:t>
      </w:r>
      <w:r w:rsidR="0047793D" w:rsidRPr="005C5E32">
        <w:t>d</w:t>
      </w:r>
      <w:r w:rsidRPr="005C5E32">
        <w:t xml:space="preserve">irection instruments, </w:t>
      </w:r>
      <w:r w:rsidR="0047793D" w:rsidRPr="005C5E32">
        <w:t>f</w:t>
      </w:r>
      <w:r w:rsidRPr="005C5E32">
        <w:t xml:space="preserve">reshwater </w:t>
      </w:r>
      <w:r w:rsidR="0047793D" w:rsidRPr="005C5E32">
        <w:t>f</w:t>
      </w:r>
      <w:r w:rsidRPr="005C5E32">
        <w:t xml:space="preserve">arm </w:t>
      </w:r>
      <w:r w:rsidR="0047793D" w:rsidRPr="005C5E32">
        <w:t>p</w:t>
      </w:r>
      <w:r w:rsidRPr="005C5E32">
        <w:t xml:space="preserve">lans and Crown </w:t>
      </w:r>
      <w:r w:rsidR="00A7463C" w:rsidRPr="005C5E32">
        <w:t>r</w:t>
      </w:r>
      <w:r w:rsidRPr="005C5E32">
        <w:t xml:space="preserve">esponse to </w:t>
      </w:r>
      <w:r w:rsidR="00A7463C" w:rsidRPr="005C5E32">
        <w:t>w</w:t>
      </w:r>
      <w:r w:rsidRPr="005C5E32">
        <w:t xml:space="preserve">ater </w:t>
      </w:r>
      <w:r w:rsidR="00A7463C" w:rsidRPr="005C5E32">
        <w:t>r</w:t>
      </w:r>
      <w:r w:rsidRPr="005C5E32">
        <w:t xml:space="preserve">ights </w:t>
      </w:r>
      <w:r w:rsidR="00A7463C" w:rsidRPr="005C5E32">
        <w:t>l</w:t>
      </w:r>
      <w:r w:rsidRPr="005C5E32">
        <w:t>itigation</w:t>
      </w:r>
      <w:r w:rsidR="00A7463C" w:rsidRPr="005C5E32">
        <w:t xml:space="preserve"> – f</w:t>
      </w:r>
      <w:r w:rsidRPr="005C5E32">
        <w:t>reshwater</w:t>
      </w:r>
      <w:r w:rsidR="00A7463C" w:rsidRPr="005C5E32">
        <w:t>-</w:t>
      </w:r>
      <w:r w:rsidRPr="005C5E32">
        <w:t>related reforms</w:t>
      </w:r>
    </w:p>
    <w:p w14:paraId="5D2EABC4" w14:textId="3D0F0ED8" w:rsidR="00284349" w:rsidRPr="005C5E32" w:rsidRDefault="00284349" w:rsidP="008D6063">
      <w:pPr>
        <w:pStyle w:val="Bullet"/>
      </w:pPr>
      <w:r w:rsidRPr="005C5E32">
        <w:t>a fiscally neutral transfer of $4.300 million from other Departmental Climate Change</w:t>
      </w:r>
      <w:r w:rsidR="00A7463C" w:rsidRPr="005C5E32">
        <w:t>–</w:t>
      </w:r>
      <w:r w:rsidRPr="005C5E32">
        <w:t>related appropriation</w:t>
      </w:r>
      <w:r w:rsidR="00A7463C" w:rsidRPr="005C5E32">
        <w:t>s</w:t>
      </w:r>
      <w:r w:rsidRPr="005C5E32">
        <w:t xml:space="preserve"> to meet increased provision of service costs related to staffing needs for</w:t>
      </w:r>
      <w:r w:rsidR="007E6CDA" w:rsidRPr="005C5E32">
        <w:t xml:space="preserve"> work to</w:t>
      </w:r>
      <w:r w:rsidRPr="005C5E32">
        <w:t xml:space="preserve"> </w:t>
      </w:r>
      <w:r w:rsidR="00F523E4" w:rsidRPr="005C5E32">
        <w:t>implement</w:t>
      </w:r>
      <w:r w:rsidR="005B23D4" w:rsidRPr="005C5E32">
        <w:t xml:space="preserve"> the</w:t>
      </w:r>
      <w:r w:rsidR="00F523E4" w:rsidRPr="005C5E32">
        <w:t xml:space="preserve"> </w:t>
      </w:r>
      <w:r w:rsidR="00A7463C" w:rsidRPr="005C5E32">
        <w:t>r</w:t>
      </w:r>
      <w:r w:rsidRPr="005C5E32">
        <w:t xml:space="preserve">esource </w:t>
      </w:r>
      <w:r w:rsidR="00A7463C" w:rsidRPr="005C5E32">
        <w:t>m</w:t>
      </w:r>
      <w:r w:rsidRPr="005C5E32">
        <w:t>anagement reform</w:t>
      </w:r>
      <w:r w:rsidR="005B23D4" w:rsidRPr="005C5E32">
        <w:t>s</w:t>
      </w:r>
      <w:r w:rsidRPr="005C5E32">
        <w:t>.</w:t>
      </w:r>
    </w:p>
    <w:p w14:paraId="1F6BC188" w14:textId="1F038699" w:rsidR="0033599B" w:rsidRPr="005C5E32" w:rsidRDefault="00284349" w:rsidP="006F32C7">
      <w:pPr>
        <w:pStyle w:val="BodyText"/>
      </w:pPr>
      <w:bookmarkStart w:id="129" w:name="_Hlk205802981"/>
      <w:r w:rsidRPr="005C5E32">
        <w:t>Actual expenditure for 2025/26 was lower than the revised budget due to delays in various programmes</w:t>
      </w:r>
      <w:r w:rsidR="00545C45" w:rsidRPr="005C5E32">
        <w:t>,</w:t>
      </w:r>
      <w:r w:rsidRPr="005C5E32">
        <w:t xml:space="preserve"> including the work related to </w:t>
      </w:r>
      <w:r w:rsidR="00A7463C" w:rsidRPr="005C5E32">
        <w:t>r</w:t>
      </w:r>
      <w:r w:rsidRPr="005C5E32">
        <w:t xml:space="preserve">esource </w:t>
      </w:r>
      <w:r w:rsidR="00A7463C" w:rsidRPr="005C5E32">
        <w:t>m</w:t>
      </w:r>
      <w:r w:rsidRPr="005C5E32">
        <w:t xml:space="preserve">anagement in particular, digital capabilities required for the new </w:t>
      </w:r>
      <w:r w:rsidR="00A7463C" w:rsidRPr="005C5E32">
        <w:t>p</w:t>
      </w:r>
      <w:r w:rsidRPr="005C5E32">
        <w:t xml:space="preserve">lanning </w:t>
      </w:r>
      <w:r w:rsidR="00A7463C" w:rsidRPr="005C5E32">
        <w:t>s</w:t>
      </w:r>
      <w:r w:rsidRPr="005C5E32">
        <w:t xml:space="preserve">ystem and the </w:t>
      </w:r>
      <w:r w:rsidR="00A7463C" w:rsidRPr="005C5E32">
        <w:t>f</w:t>
      </w:r>
      <w:r w:rsidRPr="005C5E32">
        <w:t xml:space="preserve">reshwater </w:t>
      </w:r>
      <w:r w:rsidR="00A7463C" w:rsidRPr="005C5E32">
        <w:t>f</w:t>
      </w:r>
      <w:r w:rsidRPr="005C5E32">
        <w:t xml:space="preserve">arm </w:t>
      </w:r>
      <w:r w:rsidR="00A7463C" w:rsidRPr="005C5E32">
        <w:t>p</w:t>
      </w:r>
      <w:r w:rsidRPr="005C5E32">
        <w:t xml:space="preserve">lans. The Ministry has sought in-principle expense transfers to 2026/27 for costs related to </w:t>
      </w:r>
      <w:r w:rsidR="00A7463C" w:rsidRPr="005C5E32">
        <w:t>p</w:t>
      </w:r>
      <w:r w:rsidRPr="005C5E32">
        <w:t xml:space="preserve">lanning </w:t>
      </w:r>
      <w:r w:rsidR="00A7463C" w:rsidRPr="005C5E32">
        <w:t>s</w:t>
      </w:r>
      <w:r w:rsidRPr="005C5E32">
        <w:t xml:space="preserve">ystem </w:t>
      </w:r>
      <w:r w:rsidR="00A7463C" w:rsidRPr="005C5E32">
        <w:t>d</w:t>
      </w:r>
      <w:r w:rsidRPr="005C5E32">
        <w:t xml:space="preserve">elivery and the </w:t>
      </w:r>
      <w:r w:rsidR="00A7463C" w:rsidRPr="005C5E32">
        <w:t>f</w:t>
      </w:r>
      <w:r w:rsidRPr="005C5E32">
        <w:t xml:space="preserve">reshwater </w:t>
      </w:r>
      <w:r w:rsidR="00A7463C" w:rsidRPr="005C5E32">
        <w:t>f</w:t>
      </w:r>
      <w:r w:rsidRPr="005C5E32">
        <w:t xml:space="preserve">arm </w:t>
      </w:r>
      <w:r w:rsidR="00A7463C" w:rsidRPr="005C5E32">
        <w:t>p</w:t>
      </w:r>
      <w:r w:rsidRPr="005C5E32">
        <w:t>lans.</w:t>
      </w:r>
      <w:bookmarkEnd w:id="129"/>
    </w:p>
    <w:p w14:paraId="4EACB1D1" w14:textId="2F3F033B" w:rsidR="001003F8" w:rsidRPr="005C5E32" w:rsidRDefault="001003F8" w:rsidP="00907BAE">
      <w:pPr>
        <w:pStyle w:val="Heading5"/>
        <w:spacing w:after="180"/>
      </w:pPr>
      <w:r w:rsidRPr="005C5E32">
        <w:t>Advice and support</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2411"/>
        <w:gridCol w:w="1983"/>
        <w:gridCol w:w="1983"/>
        <w:gridCol w:w="2128"/>
      </w:tblGrid>
      <w:tr w:rsidR="001003F8" w:rsidRPr="005C5E32" w14:paraId="06E68AA0" w14:textId="77777777" w:rsidTr="007D0234">
        <w:trPr>
          <w:tblHeader/>
        </w:trPr>
        <w:tc>
          <w:tcPr>
            <w:tcW w:w="1417" w:type="pct"/>
            <w:shd w:val="clear" w:color="auto" w:fill="1B556B" w:themeFill="text2"/>
          </w:tcPr>
          <w:p w14:paraId="522E87F9" w14:textId="77777777" w:rsidR="001003F8" w:rsidRPr="005C5E32" w:rsidRDefault="001003F8" w:rsidP="003D0CC1">
            <w:pPr>
              <w:pStyle w:val="TableTextbold"/>
              <w:rPr>
                <w:color w:val="FFFFFF" w:themeColor="background1"/>
                <w:szCs w:val="18"/>
              </w:rPr>
            </w:pPr>
            <w:r w:rsidRPr="005C5E32">
              <w:rPr>
                <w:color w:val="FFFFFF" w:themeColor="background1"/>
                <w:szCs w:val="18"/>
              </w:rPr>
              <w:t>Performance measure</w:t>
            </w:r>
          </w:p>
        </w:tc>
        <w:tc>
          <w:tcPr>
            <w:tcW w:w="1166" w:type="pct"/>
            <w:shd w:val="clear" w:color="auto" w:fill="1B556B" w:themeFill="text2"/>
          </w:tcPr>
          <w:p w14:paraId="5E234E9F" w14:textId="77777777" w:rsidR="001003F8" w:rsidRPr="005C5E32" w:rsidRDefault="001003F8" w:rsidP="003D0CC1">
            <w:pPr>
              <w:pStyle w:val="TableTextbold"/>
              <w:rPr>
                <w:color w:val="FFFFFF" w:themeColor="background1"/>
                <w:szCs w:val="18"/>
              </w:rPr>
            </w:pPr>
            <w:r w:rsidRPr="005C5E32">
              <w:rPr>
                <w:color w:val="FFFFFF" w:themeColor="background1"/>
                <w:szCs w:val="18"/>
              </w:rPr>
              <w:t>2024/25 performance</w:t>
            </w:r>
          </w:p>
        </w:tc>
        <w:tc>
          <w:tcPr>
            <w:tcW w:w="1166" w:type="pct"/>
            <w:shd w:val="clear" w:color="auto" w:fill="1B556B" w:themeFill="text2"/>
          </w:tcPr>
          <w:p w14:paraId="0B8C0A93" w14:textId="77777777" w:rsidR="001003F8" w:rsidRPr="005C5E32" w:rsidRDefault="001003F8" w:rsidP="003D0CC1">
            <w:pPr>
              <w:pStyle w:val="TableTextbold"/>
              <w:rPr>
                <w:color w:val="FFFFFF" w:themeColor="background1"/>
                <w:szCs w:val="18"/>
              </w:rPr>
            </w:pPr>
            <w:r w:rsidRPr="005C5E32">
              <w:rPr>
                <w:color w:val="FFFFFF" w:themeColor="background1"/>
                <w:szCs w:val="18"/>
              </w:rPr>
              <w:t>2025/26 target</w:t>
            </w:r>
          </w:p>
        </w:tc>
        <w:tc>
          <w:tcPr>
            <w:tcW w:w="1251" w:type="pct"/>
            <w:shd w:val="clear" w:color="auto" w:fill="1B556B" w:themeFill="text2"/>
          </w:tcPr>
          <w:p w14:paraId="167E5098" w14:textId="77777777" w:rsidR="001003F8" w:rsidRPr="005C5E32" w:rsidRDefault="001003F8" w:rsidP="003D0CC1">
            <w:pPr>
              <w:pStyle w:val="TableTextbold"/>
              <w:rPr>
                <w:color w:val="FFFFFF" w:themeColor="background1"/>
                <w:szCs w:val="18"/>
              </w:rPr>
            </w:pPr>
            <w:r w:rsidRPr="005C5E32">
              <w:rPr>
                <w:color w:val="FFFFFF" w:themeColor="background1"/>
                <w:szCs w:val="18"/>
              </w:rPr>
              <w:t>2025/26 performance</w:t>
            </w:r>
          </w:p>
        </w:tc>
      </w:tr>
      <w:tr w:rsidR="001003F8" w:rsidRPr="005C5E32" w14:paraId="30BA4B06" w14:textId="77777777" w:rsidTr="007D0234">
        <w:tc>
          <w:tcPr>
            <w:tcW w:w="1417" w:type="pct"/>
            <w:tcBorders>
              <w:bottom w:val="single" w:sz="4" w:space="0" w:color="1B556B" w:themeColor="text2"/>
            </w:tcBorders>
          </w:tcPr>
          <w:p w14:paraId="5560C077" w14:textId="490566CE" w:rsidR="001003F8" w:rsidRPr="005C5E32" w:rsidDel="0050409A" w:rsidRDefault="001003F8" w:rsidP="00F945F8">
            <w:pPr>
              <w:pStyle w:val="TableText"/>
              <w:spacing w:after="40"/>
              <w:rPr>
                <w:szCs w:val="18"/>
              </w:rPr>
            </w:pPr>
            <w:r w:rsidRPr="005C5E32" w:rsidDel="0050409A">
              <w:rPr>
                <w:szCs w:val="18"/>
              </w:rPr>
              <w:t xml:space="preserve">Percentage of all </w:t>
            </w:r>
            <w:r w:rsidRPr="005C5E32">
              <w:rPr>
                <w:szCs w:val="18"/>
              </w:rPr>
              <w:t>R</w:t>
            </w:r>
            <w:r w:rsidRPr="005C5E32" w:rsidDel="0050409A">
              <w:rPr>
                <w:szCs w:val="18"/>
              </w:rPr>
              <w:t xml:space="preserve">egulatory </w:t>
            </w:r>
            <w:r w:rsidRPr="005C5E32">
              <w:rPr>
                <w:szCs w:val="18"/>
              </w:rPr>
              <w:t>I</w:t>
            </w:r>
            <w:r w:rsidRPr="005C5E32" w:rsidDel="0050409A">
              <w:rPr>
                <w:szCs w:val="18"/>
              </w:rPr>
              <w:t xml:space="preserve">mpact </w:t>
            </w:r>
            <w:r w:rsidRPr="005C5E32">
              <w:rPr>
                <w:szCs w:val="18"/>
              </w:rPr>
              <w:t>S</w:t>
            </w:r>
            <w:r w:rsidRPr="005C5E32" w:rsidDel="0050409A">
              <w:rPr>
                <w:szCs w:val="18"/>
              </w:rPr>
              <w:t>tatements that partially or fully meet quality assurance criteria</w:t>
            </w:r>
          </w:p>
          <w:p w14:paraId="7BC472BD" w14:textId="256F9294" w:rsidR="001003F8" w:rsidRPr="005C5E32" w:rsidRDefault="001003F8" w:rsidP="00F945F8">
            <w:pPr>
              <w:pStyle w:val="Tablegreen"/>
              <w:rPr>
                <w:i/>
              </w:rPr>
            </w:pPr>
            <w:hyperlink w:anchor="_Note_3_–" w:history="1">
              <w:r w:rsidRPr="005C5E32">
                <w:rPr>
                  <w:rStyle w:val="Hyperlink"/>
                  <w:i/>
                </w:rPr>
                <w:t>See note 3</w:t>
              </w:r>
            </w:hyperlink>
          </w:p>
        </w:tc>
        <w:tc>
          <w:tcPr>
            <w:tcW w:w="1166" w:type="pct"/>
            <w:tcBorders>
              <w:bottom w:val="single" w:sz="4" w:space="0" w:color="1B556B" w:themeColor="text2"/>
            </w:tcBorders>
          </w:tcPr>
          <w:p w14:paraId="3A72B0E0" w14:textId="77777777" w:rsidR="001003F8" w:rsidRPr="005C5E32" w:rsidRDefault="001003F8" w:rsidP="003D0CC1">
            <w:pPr>
              <w:pStyle w:val="TableText"/>
              <w:rPr>
                <w:szCs w:val="18"/>
              </w:rPr>
            </w:pPr>
            <w:r w:rsidRPr="005C5E32">
              <w:rPr>
                <w:szCs w:val="18"/>
              </w:rPr>
              <w:t>Primary: 93% partially or fully met the criteria</w:t>
            </w:r>
          </w:p>
          <w:p w14:paraId="5CF850B9" w14:textId="77777777" w:rsidR="001003F8" w:rsidRPr="005C5E32" w:rsidRDefault="001003F8" w:rsidP="003D0CC1">
            <w:pPr>
              <w:pStyle w:val="TableText"/>
            </w:pPr>
            <w:r w:rsidRPr="005C5E32">
              <w:t>Secondary: 39% fully met the criteria</w:t>
            </w:r>
          </w:p>
        </w:tc>
        <w:tc>
          <w:tcPr>
            <w:tcW w:w="1166" w:type="pct"/>
            <w:tcBorders>
              <w:bottom w:val="single" w:sz="4" w:space="0" w:color="1B556B" w:themeColor="text2"/>
            </w:tcBorders>
          </w:tcPr>
          <w:p w14:paraId="3D3DB0C2" w14:textId="702849C5" w:rsidR="001003F8" w:rsidRPr="005C5E32" w:rsidRDefault="001003F8" w:rsidP="003D0CC1">
            <w:pPr>
              <w:pStyle w:val="TableText"/>
              <w:rPr>
                <w:szCs w:val="18"/>
              </w:rPr>
            </w:pPr>
            <w:r w:rsidRPr="005C5E32">
              <w:rPr>
                <w:szCs w:val="18"/>
              </w:rPr>
              <w:t>Primary: At least 90% partially or fully achieve the criteria</w:t>
            </w:r>
          </w:p>
          <w:p w14:paraId="02B2DD5E" w14:textId="39E1DAC2" w:rsidR="001003F8" w:rsidRPr="005C5E32" w:rsidRDefault="001003F8" w:rsidP="003D0CC1">
            <w:pPr>
              <w:pStyle w:val="TableText"/>
              <w:rPr>
                <w:szCs w:val="18"/>
              </w:rPr>
            </w:pPr>
            <w:r w:rsidRPr="005C5E32">
              <w:rPr>
                <w:szCs w:val="18"/>
              </w:rPr>
              <w:t>Secondary: At least 70% fully achieve the criteria</w:t>
            </w:r>
          </w:p>
        </w:tc>
        <w:tc>
          <w:tcPr>
            <w:tcW w:w="1251" w:type="pct"/>
            <w:tcBorders>
              <w:bottom w:val="single" w:sz="4" w:space="0" w:color="1B556B" w:themeColor="text2"/>
            </w:tcBorders>
          </w:tcPr>
          <w:p w14:paraId="22E31F4A" w14:textId="0D3E3D7E" w:rsidR="001003F8" w:rsidRPr="005C5E32" w:rsidRDefault="001003F8" w:rsidP="003D0CC1">
            <w:pPr>
              <w:pStyle w:val="TableText"/>
              <w:rPr>
                <w:szCs w:val="18"/>
              </w:rPr>
            </w:pPr>
            <w:r w:rsidRPr="005C5E32">
              <w:rPr>
                <w:szCs w:val="18"/>
              </w:rPr>
              <w:t xml:space="preserve">Primary: </w:t>
            </w:r>
            <w:r w:rsidR="00A768D1" w:rsidRPr="005C5E32">
              <w:rPr>
                <w:szCs w:val="18"/>
              </w:rPr>
              <w:t>97% partially or fully met the criteria</w:t>
            </w:r>
          </w:p>
          <w:p w14:paraId="7E341FF1" w14:textId="7E3104AE" w:rsidR="001003F8" w:rsidRPr="005C5E32" w:rsidRDefault="001003F8" w:rsidP="003D0CC1">
            <w:pPr>
              <w:pStyle w:val="TableText"/>
              <w:rPr>
                <w:szCs w:val="18"/>
              </w:rPr>
            </w:pPr>
            <w:r w:rsidRPr="005C5E32">
              <w:rPr>
                <w:szCs w:val="18"/>
              </w:rPr>
              <w:t xml:space="preserve">Secondary: </w:t>
            </w:r>
            <w:r w:rsidR="001A1D97" w:rsidRPr="005C5E32">
              <w:rPr>
                <w:szCs w:val="18"/>
              </w:rPr>
              <w:t>45% fully met the criteria</w:t>
            </w:r>
          </w:p>
        </w:tc>
      </w:tr>
      <w:tr w:rsidR="001003F8" w:rsidRPr="005C5E32" w14:paraId="624E7675" w14:textId="77777777" w:rsidTr="003D0CC1">
        <w:tc>
          <w:tcPr>
            <w:tcW w:w="5000" w:type="pct"/>
            <w:gridSpan w:val="4"/>
            <w:tcBorders>
              <w:bottom w:val="single" w:sz="12" w:space="0" w:color="1B556B" w:themeColor="text2"/>
            </w:tcBorders>
            <w:shd w:val="clear" w:color="auto" w:fill="D2DDE1" w:themeFill="background2"/>
          </w:tcPr>
          <w:p w14:paraId="5D7C3863" w14:textId="5D244868" w:rsidR="00DE3AEF" w:rsidRPr="005C5E32" w:rsidRDefault="001003F8" w:rsidP="00DE3AEF">
            <w:pPr>
              <w:pStyle w:val="TableText"/>
              <w:rPr>
                <w:szCs w:val="18"/>
              </w:rPr>
            </w:pPr>
            <w:r w:rsidRPr="005C5E32">
              <w:rPr>
                <w:b/>
                <w:bCs/>
                <w:szCs w:val="18"/>
              </w:rPr>
              <w:t>2025</w:t>
            </w:r>
            <w:r w:rsidRPr="005C5E32">
              <w:rPr>
                <w:b/>
                <w:szCs w:val="18"/>
              </w:rPr>
              <w:t>/26 commentary:</w:t>
            </w:r>
            <w:r w:rsidRPr="005C5E32">
              <w:rPr>
                <w:szCs w:val="18"/>
              </w:rPr>
              <w:t xml:space="preserve"> </w:t>
            </w:r>
            <w:r w:rsidR="00DE3AEF" w:rsidRPr="005C5E32">
              <w:rPr>
                <w:szCs w:val="18"/>
              </w:rPr>
              <w:t>Over 2025/26</w:t>
            </w:r>
            <w:r w:rsidR="006568ED" w:rsidRPr="005C5E32">
              <w:rPr>
                <w:szCs w:val="18"/>
              </w:rPr>
              <w:t>,</w:t>
            </w:r>
            <w:r w:rsidR="00DE3AEF" w:rsidRPr="005C5E32">
              <w:rPr>
                <w:szCs w:val="18"/>
              </w:rPr>
              <w:t xml:space="preserve"> the Ministry led 33 regulatory impact statements, </w:t>
            </w:r>
            <w:r w:rsidR="00155116" w:rsidRPr="005C5E32">
              <w:rPr>
                <w:szCs w:val="18"/>
              </w:rPr>
              <w:t xml:space="preserve">of which </w:t>
            </w:r>
            <w:r w:rsidR="00DE3AEF" w:rsidRPr="005C5E32">
              <w:rPr>
                <w:szCs w:val="18"/>
              </w:rPr>
              <w:t xml:space="preserve">14 fully </w:t>
            </w:r>
            <w:r w:rsidR="00155116" w:rsidRPr="005C5E32">
              <w:rPr>
                <w:szCs w:val="18"/>
              </w:rPr>
              <w:t xml:space="preserve">met </w:t>
            </w:r>
            <w:r w:rsidR="00DE3AEF" w:rsidRPr="005C5E32">
              <w:rPr>
                <w:szCs w:val="18"/>
              </w:rPr>
              <w:t>and</w:t>
            </w:r>
            <w:r w:rsidR="00D427C4" w:rsidRPr="005C5E32">
              <w:rPr>
                <w:szCs w:val="18"/>
              </w:rPr>
              <w:t> </w:t>
            </w:r>
            <w:r w:rsidR="00DE3AEF" w:rsidRPr="005C5E32">
              <w:rPr>
                <w:szCs w:val="18"/>
              </w:rPr>
              <w:t xml:space="preserve">16 partially </w:t>
            </w:r>
            <w:r w:rsidR="00155116" w:rsidRPr="005C5E32">
              <w:rPr>
                <w:szCs w:val="18"/>
              </w:rPr>
              <w:t xml:space="preserve">met </w:t>
            </w:r>
            <w:r w:rsidR="00DE3AEF" w:rsidRPr="005C5E32">
              <w:rPr>
                <w:szCs w:val="18"/>
              </w:rPr>
              <w:t xml:space="preserve">the assessment criteria. Two were granted exemptions, and one did not meet quality assurance criteria. Urgent timeframes made it difficult to meet the secondary measure. Resourcing to support improvements in the 2025/26 year was limited due to other priorities and the changing context for </w:t>
            </w:r>
            <w:r w:rsidR="006568ED" w:rsidRPr="005C5E32">
              <w:rPr>
                <w:szCs w:val="18"/>
              </w:rPr>
              <w:t>r</w:t>
            </w:r>
            <w:r w:rsidR="00DE3AEF" w:rsidRPr="005C5E32">
              <w:rPr>
                <w:szCs w:val="18"/>
              </w:rPr>
              <w:t xml:space="preserve">egulatory </w:t>
            </w:r>
            <w:r w:rsidR="006568ED" w:rsidRPr="005C5E32">
              <w:rPr>
                <w:szCs w:val="18"/>
              </w:rPr>
              <w:t>i</w:t>
            </w:r>
            <w:r w:rsidR="00DE3AEF" w:rsidRPr="005C5E32">
              <w:rPr>
                <w:szCs w:val="18"/>
              </w:rPr>
              <w:t xml:space="preserve">mpact </w:t>
            </w:r>
            <w:r w:rsidR="006568ED" w:rsidRPr="005C5E32">
              <w:rPr>
                <w:szCs w:val="18"/>
              </w:rPr>
              <w:t>a</w:t>
            </w:r>
            <w:r w:rsidR="00DE3AEF" w:rsidRPr="005C5E32">
              <w:rPr>
                <w:szCs w:val="18"/>
              </w:rPr>
              <w:t>nalysis with the passing of the Regulatory Standards Act 2025.</w:t>
            </w:r>
          </w:p>
          <w:p w14:paraId="3AD6ECFD" w14:textId="1B703C8B" w:rsidR="001003F8" w:rsidRPr="005C5E32" w:rsidRDefault="00DE3AEF" w:rsidP="003D0CC1">
            <w:pPr>
              <w:pStyle w:val="TableText"/>
              <w:rPr>
                <w:szCs w:val="18"/>
              </w:rPr>
            </w:pPr>
            <w:r w:rsidRPr="005C5E32">
              <w:rPr>
                <w:szCs w:val="18"/>
              </w:rPr>
              <w:t xml:space="preserve">Work to improve performance will be a focus </w:t>
            </w:r>
            <w:r w:rsidR="00D57F7D" w:rsidRPr="005C5E32">
              <w:rPr>
                <w:szCs w:val="18"/>
              </w:rPr>
              <w:t xml:space="preserve">for </w:t>
            </w:r>
            <w:r w:rsidR="006568ED" w:rsidRPr="005C5E32">
              <w:rPr>
                <w:szCs w:val="18"/>
              </w:rPr>
              <w:t>MCERT</w:t>
            </w:r>
            <w:r w:rsidRPr="005C5E32">
              <w:rPr>
                <w:szCs w:val="18"/>
              </w:rPr>
              <w:t xml:space="preserve"> </w:t>
            </w:r>
            <w:r w:rsidR="00D57F7D" w:rsidRPr="005C5E32">
              <w:rPr>
                <w:szCs w:val="18"/>
              </w:rPr>
              <w:t xml:space="preserve">in </w:t>
            </w:r>
            <w:r w:rsidRPr="005C5E32">
              <w:rPr>
                <w:szCs w:val="18"/>
              </w:rPr>
              <w:t>2026/27 and beyond.</w:t>
            </w:r>
          </w:p>
        </w:tc>
      </w:tr>
      <w:tr w:rsidR="001003F8" w:rsidRPr="005C5E32" w14:paraId="225FCFE5" w14:textId="77777777" w:rsidTr="007D0234">
        <w:tc>
          <w:tcPr>
            <w:tcW w:w="1417" w:type="pct"/>
            <w:tcBorders>
              <w:top w:val="single" w:sz="12" w:space="0" w:color="1B556B" w:themeColor="text2"/>
              <w:bottom w:val="single" w:sz="4" w:space="0" w:color="1B556B" w:themeColor="text2"/>
            </w:tcBorders>
          </w:tcPr>
          <w:p w14:paraId="77234A75" w14:textId="77777777" w:rsidR="001003F8" w:rsidRPr="005C5E32" w:rsidRDefault="001003F8" w:rsidP="008D4EA3">
            <w:pPr>
              <w:pStyle w:val="TableText"/>
              <w:keepNext/>
              <w:spacing w:line="234" w:lineRule="atLeast"/>
              <w:rPr>
                <w:szCs w:val="18"/>
              </w:rPr>
            </w:pPr>
            <w:r w:rsidRPr="005C5E32">
              <w:rPr>
                <w:szCs w:val="18"/>
              </w:rPr>
              <w:lastRenderedPageBreak/>
              <w:t xml:space="preserve">The satisfaction of the Minister for the Environment and the Minister of Climate Change with the advice service, as </w:t>
            </w:r>
            <w:r w:rsidRPr="005C5E32" w:rsidDel="00365883">
              <w:rPr>
                <w:szCs w:val="18"/>
              </w:rPr>
              <w:t xml:space="preserve">per </w:t>
            </w:r>
            <w:r w:rsidRPr="005C5E32">
              <w:rPr>
                <w:szCs w:val="18"/>
              </w:rPr>
              <w:t xml:space="preserve">the common satisfaction survey </w:t>
            </w:r>
          </w:p>
          <w:p w14:paraId="1FEC502F" w14:textId="0A0DC445" w:rsidR="001003F8" w:rsidRPr="005C5E32" w:rsidRDefault="001003F8" w:rsidP="003D0CC1">
            <w:pPr>
              <w:pStyle w:val="Tablegreen"/>
              <w:rPr>
                <w:i/>
              </w:rPr>
            </w:pPr>
            <w:hyperlink w:anchor="_Note_4_–" w:history="1">
              <w:r w:rsidRPr="005C5E32">
                <w:rPr>
                  <w:rStyle w:val="Hyperlink"/>
                  <w:i/>
                </w:rPr>
                <w:t>See note 4</w:t>
              </w:r>
            </w:hyperlink>
          </w:p>
        </w:tc>
        <w:tc>
          <w:tcPr>
            <w:tcW w:w="1166" w:type="pct"/>
            <w:tcBorders>
              <w:top w:val="single" w:sz="12" w:space="0" w:color="1B556B" w:themeColor="text2"/>
              <w:bottom w:val="single" w:sz="4" w:space="0" w:color="1B556B" w:themeColor="text2"/>
            </w:tcBorders>
          </w:tcPr>
          <w:p w14:paraId="77173B3E" w14:textId="46A7B78E" w:rsidR="001003F8" w:rsidRPr="005C5E32" w:rsidRDefault="001003F8" w:rsidP="003D0CC1">
            <w:pPr>
              <w:pStyle w:val="TableText"/>
              <w:rPr>
                <w:szCs w:val="18"/>
              </w:rPr>
            </w:pPr>
            <w:r w:rsidRPr="005C5E32">
              <w:rPr>
                <w:szCs w:val="18"/>
              </w:rPr>
              <w:t>4.13 (83%)</w:t>
            </w:r>
          </w:p>
        </w:tc>
        <w:tc>
          <w:tcPr>
            <w:tcW w:w="1166" w:type="pct"/>
            <w:tcBorders>
              <w:top w:val="single" w:sz="12" w:space="0" w:color="1B556B" w:themeColor="text2"/>
              <w:bottom w:val="single" w:sz="4" w:space="0" w:color="1B556B" w:themeColor="text2"/>
            </w:tcBorders>
          </w:tcPr>
          <w:p w14:paraId="5148BF0C" w14:textId="77777777" w:rsidR="001003F8" w:rsidRPr="005C5E32" w:rsidRDefault="001003F8" w:rsidP="003D0CC1">
            <w:pPr>
              <w:pStyle w:val="TableText"/>
              <w:rPr>
                <w:szCs w:val="18"/>
              </w:rPr>
            </w:pPr>
            <w:r w:rsidRPr="005C5E32">
              <w:rPr>
                <w:szCs w:val="18"/>
              </w:rPr>
              <w:t>At least 4.0 out of 5.0</w:t>
            </w:r>
          </w:p>
        </w:tc>
        <w:tc>
          <w:tcPr>
            <w:tcW w:w="1251" w:type="pct"/>
            <w:tcBorders>
              <w:top w:val="single" w:sz="12" w:space="0" w:color="1B556B" w:themeColor="text2"/>
              <w:bottom w:val="single" w:sz="4" w:space="0" w:color="1B556B" w:themeColor="text2"/>
            </w:tcBorders>
          </w:tcPr>
          <w:p w14:paraId="6ED5FD35" w14:textId="77777777" w:rsidR="001003F8" w:rsidRPr="005C5E32" w:rsidRDefault="001003F8" w:rsidP="003D0CC1">
            <w:pPr>
              <w:pStyle w:val="TableText"/>
              <w:rPr>
                <w:szCs w:val="18"/>
              </w:rPr>
            </w:pPr>
            <w:r w:rsidRPr="005C5E32">
              <w:rPr>
                <w:szCs w:val="18"/>
              </w:rPr>
              <w:t>4.28 (86%)</w:t>
            </w:r>
          </w:p>
        </w:tc>
      </w:tr>
      <w:tr w:rsidR="001003F8" w:rsidRPr="005C5E32" w14:paraId="7AAB8F13" w14:textId="77777777" w:rsidTr="003D0CC1">
        <w:tc>
          <w:tcPr>
            <w:tcW w:w="5000" w:type="pct"/>
            <w:gridSpan w:val="4"/>
            <w:tcBorders>
              <w:bottom w:val="single" w:sz="12" w:space="0" w:color="1B556B" w:themeColor="text2"/>
            </w:tcBorders>
            <w:shd w:val="clear" w:color="auto" w:fill="D2DDE1" w:themeFill="background2"/>
          </w:tcPr>
          <w:p w14:paraId="2DC6493F" w14:textId="77777777" w:rsidR="002F7EC9" w:rsidRPr="005C5E32" w:rsidRDefault="001003F8" w:rsidP="008D4EA3">
            <w:pPr>
              <w:pStyle w:val="TableText"/>
              <w:spacing w:line="234" w:lineRule="atLeast"/>
              <w:rPr>
                <w:szCs w:val="18"/>
              </w:rPr>
            </w:pPr>
            <w:r w:rsidRPr="005C5E32">
              <w:rPr>
                <w:b/>
                <w:bCs/>
                <w:szCs w:val="18"/>
              </w:rPr>
              <w:t>2025/26 commentary:</w:t>
            </w:r>
            <w:r w:rsidRPr="005C5E32">
              <w:rPr>
                <w:szCs w:val="18"/>
              </w:rPr>
              <w:t xml:space="preserve"> Ministers gave particularly high scores in: </w:t>
            </w:r>
          </w:p>
          <w:p w14:paraId="7DE1A288" w14:textId="49940E72" w:rsidR="002F7EC9" w:rsidRPr="005C5E32" w:rsidRDefault="001003F8" w:rsidP="008D4EA3">
            <w:pPr>
              <w:pStyle w:val="TableBullet"/>
              <w:spacing w:line="234" w:lineRule="atLeast"/>
            </w:pPr>
            <w:r w:rsidRPr="005C5E32">
              <w:t>how the Ministry incorporate</w:t>
            </w:r>
            <w:r w:rsidR="00A5589B" w:rsidRPr="005C5E32">
              <w:t>d</w:t>
            </w:r>
            <w:r w:rsidRPr="005C5E32">
              <w:t xml:space="preserve"> Treaty analysis and te ao Māori into policy products</w:t>
            </w:r>
          </w:p>
          <w:p w14:paraId="334CA1E4" w14:textId="625DA64D" w:rsidR="002F7EC9" w:rsidRPr="005C5E32" w:rsidRDefault="001003F8" w:rsidP="008D4EA3">
            <w:pPr>
              <w:pStyle w:val="TableBullet"/>
              <w:spacing w:line="234" w:lineRule="atLeast"/>
            </w:pPr>
            <w:r w:rsidRPr="005C5E32">
              <w:t>trust in officials</w:t>
            </w:r>
          </w:p>
          <w:p w14:paraId="50B73E8F" w14:textId="53BE6921" w:rsidR="001003F8" w:rsidRPr="005C5E32" w:rsidRDefault="001003F8" w:rsidP="008D4EA3">
            <w:pPr>
              <w:pStyle w:val="TableBullet"/>
              <w:spacing w:line="234" w:lineRule="atLeast"/>
            </w:pPr>
            <w:r w:rsidRPr="005C5E32">
              <w:t xml:space="preserve">engagement with Ministers in the policy process. </w:t>
            </w:r>
          </w:p>
          <w:p w14:paraId="20E7E0E6" w14:textId="70269ECD" w:rsidR="001003F8" w:rsidRPr="005C5E32" w:rsidRDefault="001003F8" w:rsidP="008D4EA3">
            <w:pPr>
              <w:pStyle w:val="TableText"/>
              <w:spacing w:line="234" w:lineRule="atLeast"/>
              <w:rPr>
                <w:szCs w:val="18"/>
              </w:rPr>
            </w:pPr>
            <w:r w:rsidRPr="005C5E32">
              <w:rPr>
                <w:szCs w:val="18"/>
              </w:rPr>
              <w:t xml:space="preserve">The Ministry surveyed Ministers in June 2026, before the </w:t>
            </w:r>
            <w:r w:rsidR="00D57F7D" w:rsidRPr="005C5E32">
              <w:rPr>
                <w:szCs w:val="18"/>
              </w:rPr>
              <w:t>introduction of</w:t>
            </w:r>
            <w:r w:rsidRPr="005C5E32">
              <w:rPr>
                <w:szCs w:val="18"/>
              </w:rPr>
              <w:t xml:space="preserve"> </w:t>
            </w:r>
            <w:r w:rsidR="00D57F7D" w:rsidRPr="005C5E32">
              <w:rPr>
                <w:szCs w:val="18"/>
              </w:rPr>
              <w:t xml:space="preserve">the </w:t>
            </w:r>
            <w:r w:rsidR="00187194" w:rsidRPr="005C5E32">
              <w:rPr>
                <w:szCs w:val="18"/>
              </w:rPr>
              <w:t>DPMC’s</w:t>
            </w:r>
            <w:r w:rsidRPr="005C5E32">
              <w:rPr>
                <w:szCs w:val="18"/>
              </w:rPr>
              <w:t xml:space="preserve"> </w:t>
            </w:r>
            <w:r w:rsidR="00D57F7D" w:rsidRPr="005C5E32">
              <w:rPr>
                <w:szCs w:val="18"/>
              </w:rPr>
              <w:t xml:space="preserve">updated </w:t>
            </w:r>
            <w:r w:rsidRPr="005C5E32">
              <w:rPr>
                <w:szCs w:val="18"/>
              </w:rPr>
              <w:t>Ministerial Policy Satisfaction Survey</w:t>
            </w:r>
            <w:r w:rsidR="00D57F7D" w:rsidRPr="005C5E32">
              <w:rPr>
                <w:szCs w:val="18"/>
              </w:rPr>
              <w:t xml:space="preserve"> in July 2026</w:t>
            </w:r>
            <w:r w:rsidRPr="005C5E32">
              <w:rPr>
                <w:szCs w:val="18"/>
              </w:rPr>
              <w:t>.</w:t>
            </w:r>
          </w:p>
        </w:tc>
      </w:tr>
      <w:tr w:rsidR="001003F8" w:rsidRPr="005C5E32" w14:paraId="16EF9F13" w14:textId="77777777" w:rsidTr="007D0234">
        <w:tc>
          <w:tcPr>
            <w:tcW w:w="1417" w:type="pct"/>
            <w:tcBorders>
              <w:top w:val="single" w:sz="12" w:space="0" w:color="1B556B" w:themeColor="text2"/>
              <w:bottom w:val="single" w:sz="4" w:space="0" w:color="1B556B" w:themeColor="text2"/>
            </w:tcBorders>
          </w:tcPr>
          <w:p w14:paraId="229CBC99" w14:textId="6E59DCC1" w:rsidR="001003F8" w:rsidRPr="005C5E32" w:rsidRDefault="001003F8" w:rsidP="003D0CC1">
            <w:pPr>
              <w:pStyle w:val="TableText"/>
              <w:rPr>
                <w:szCs w:val="18"/>
              </w:rPr>
            </w:pPr>
            <w:r w:rsidRPr="005C5E32">
              <w:rPr>
                <w:szCs w:val="18"/>
              </w:rPr>
              <w:t>Technical quality of advice papers (assessed by Ministry</w:t>
            </w:r>
            <w:r w:rsidR="000369F8" w:rsidRPr="005C5E32">
              <w:rPr>
                <w:szCs w:val="18"/>
              </w:rPr>
              <w:t>’</w:t>
            </w:r>
            <w:r w:rsidRPr="005C5E32">
              <w:rPr>
                <w:szCs w:val="18"/>
              </w:rPr>
              <w:t xml:space="preserve">s Quality Advice Assessment Panel) </w:t>
            </w:r>
          </w:p>
          <w:p w14:paraId="71FBF440" w14:textId="6EE9B778" w:rsidR="001003F8" w:rsidRPr="005C5E32" w:rsidRDefault="001003F8" w:rsidP="003D0CC1">
            <w:pPr>
              <w:pStyle w:val="Tablegreen"/>
              <w:rPr>
                <w:i/>
              </w:rPr>
            </w:pPr>
            <w:hyperlink w:anchor="_Note_1_–" w:history="1">
              <w:r w:rsidRPr="005C5E32">
                <w:rPr>
                  <w:rStyle w:val="Hyperlink"/>
                  <w:i/>
                </w:rPr>
                <w:t>See note 1</w:t>
              </w:r>
            </w:hyperlink>
          </w:p>
        </w:tc>
        <w:tc>
          <w:tcPr>
            <w:tcW w:w="1166" w:type="pct"/>
            <w:tcBorders>
              <w:top w:val="single" w:sz="12" w:space="0" w:color="1B556B" w:themeColor="text2"/>
              <w:bottom w:val="single" w:sz="4" w:space="0" w:color="1B556B" w:themeColor="text2"/>
            </w:tcBorders>
          </w:tcPr>
          <w:p w14:paraId="69D61DB4" w14:textId="2077B7CB" w:rsidR="001003F8" w:rsidRPr="005C5E32" w:rsidRDefault="001003F8" w:rsidP="003D0CC1">
            <w:pPr>
              <w:pStyle w:val="TableText"/>
              <w:rPr>
                <w:szCs w:val="18"/>
              </w:rPr>
            </w:pPr>
            <w:r w:rsidRPr="005C5E32">
              <w:rPr>
                <w:szCs w:val="18"/>
              </w:rPr>
              <w:t>Primary: 55% of papers scored at least 3.5 out of 5</w:t>
            </w:r>
            <w:r w:rsidR="002F7EC9" w:rsidRPr="005C5E32">
              <w:rPr>
                <w:szCs w:val="18"/>
              </w:rPr>
              <w:t>.0</w:t>
            </w:r>
          </w:p>
          <w:p w14:paraId="563E764E" w14:textId="50312FEB" w:rsidR="001003F8" w:rsidRPr="005C5E32" w:rsidRDefault="001003F8" w:rsidP="003D0CC1">
            <w:pPr>
              <w:pStyle w:val="TableText"/>
            </w:pPr>
            <w:r w:rsidRPr="005C5E32">
              <w:t>Secondary: 84% of papers scored at least 3.0 out of 5</w:t>
            </w:r>
            <w:r w:rsidR="002F7EC9" w:rsidRPr="005C5E32">
              <w:t>.0</w:t>
            </w:r>
          </w:p>
        </w:tc>
        <w:tc>
          <w:tcPr>
            <w:tcW w:w="1166" w:type="pct"/>
            <w:tcBorders>
              <w:top w:val="single" w:sz="12" w:space="0" w:color="1B556B" w:themeColor="text2"/>
              <w:bottom w:val="single" w:sz="4" w:space="0" w:color="1B556B" w:themeColor="text2"/>
            </w:tcBorders>
          </w:tcPr>
          <w:p w14:paraId="354D681A" w14:textId="77777777" w:rsidR="001003F8" w:rsidRPr="005C5E32" w:rsidRDefault="001003F8" w:rsidP="003D0CC1">
            <w:pPr>
              <w:pStyle w:val="TableText"/>
              <w:rPr>
                <w:szCs w:val="18"/>
              </w:rPr>
            </w:pPr>
            <w:r w:rsidRPr="005C5E32">
              <w:rPr>
                <w:szCs w:val="18"/>
              </w:rPr>
              <w:t>Primary: 70% of papers score at least 3.5 out of 5.0</w:t>
            </w:r>
          </w:p>
          <w:p w14:paraId="759F7825" w14:textId="77777777" w:rsidR="001003F8" w:rsidRPr="005C5E32" w:rsidRDefault="001003F8" w:rsidP="003D0CC1">
            <w:pPr>
              <w:pStyle w:val="TableText"/>
              <w:rPr>
                <w:szCs w:val="18"/>
              </w:rPr>
            </w:pPr>
            <w:r w:rsidRPr="005C5E32">
              <w:rPr>
                <w:szCs w:val="18"/>
              </w:rPr>
              <w:t>Secondary: 80% of papers score at least 3.0 out of 5.0</w:t>
            </w:r>
          </w:p>
        </w:tc>
        <w:tc>
          <w:tcPr>
            <w:tcW w:w="1251" w:type="pct"/>
            <w:tcBorders>
              <w:top w:val="single" w:sz="12" w:space="0" w:color="1B556B" w:themeColor="text2"/>
              <w:bottom w:val="single" w:sz="4" w:space="0" w:color="1B556B" w:themeColor="text2"/>
            </w:tcBorders>
          </w:tcPr>
          <w:p w14:paraId="01D12752" w14:textId="723E9D2D" w:rsidR="001003F8" w:rsidRPr="005C5E32" w:rsidRDefault="001003F8" w:rsidP="003D0CC1">
            <w:pPr>
              <w:pStyle w:val="TableText"/>
              <w:rPr>
                <w:szCs w:val="18"/>
              </w:rPr>
            </w:pPr>
            <w:r w:rsidRPr="005C5E32">
              <w:rPr>
                <w:szCs w:val="18"/>
              </w:rPr>
              <w:t>Primary: 75% of papers scored at least 3.5 out of</w:t>
            </w:r>
            <w:r w:rsidR="004E246F" w:rsidRPr="005C5E32">
              <w:rPr>
                <w:szCs w:val="18"/>
              </w:rPr>
              <w:t> </w:t>
            </w:r>
            <w:r w:rsidRPr="005C5E32">
              <w:rPr>
                <w:szCs w:val="18"/>
              </w:rPr>
              <w:t>5.0</w:t>
            </w:r>
          </w:p>
          <w:p w14:paraId="4FDE1C47" w14:textId="6B6F8DC3" w:rsidR="001003F8" w:rsidRPr="005C5E32" w:rsidRDefault="001003F8" w:rsidP="003D0CC1">
            <w:pPr>
              <w:pStyle w:val="TableText"/>
              <w:rPr>
                <w:szCs w:val="18"/>
              </w:rPr>
            </w:pPr>
            <w:r w:rsidRPr="005C5E32">
              <w:rPr>
                <w:szCs w:val="18"/>
              </w:rPr>
              <w:t>Secondary: 90% of papers scored at least 3.0 out of</w:t>
            </w:r>
            <w:r w:rsidR="004E246F" w:rsidRPr="005C5E32">
              <w:rPr>
                <w:szCs w:val="18"/>
              </w:rPr>
              <w:t> </w:t>
            </w:r>
            <w:r w:rsidRPr="005C5E32">
              <w:rPr>
                <w:szCs w:val="18"/>
              </w:rPr>
              <w:t xml:space="preserve">5.0 </w:t>
            </w:r>
          </w:p>
        </w:tc>
      </w:tr>
      <w:tr w:rsidR="001003F8" w:rsidRPr="005C5E32" w14:paraId="5B50EB9C" w14:textId="77777777" w:rsidTr="003D0CC1">
        <w:tc>
          <w:tcPr>
            <w:tcW w:w="5000" w:type="pct"/>
            <w:gridSpan w:val="4"/>
            <w:tcBorders>
              <w:bottom w:val="single" w:sz="12" w:space="0" w:color="1B556B" w:themeColor="text2"/>
            </w:tcBorders>
            <w:shd w:val="clear" w:color="auto" w:fill="D2DDE1" w:themeFill="background2"/>
          </w:tcPr>
          <w:p w14:paraId="01B646C4" w14:textId="2C07397C" w:rsidR="001003F8" w:rsidRPr="005C5E32" w:rsidRDefault="001003F8">
            <w:pPr>
              <w:pStyle w:val="TableText"/>
              <w:rPr>
                <w:szCs w:val="18"/>
              </w:rPr>
            </w:pPr>
            <w:r w:rsidRPr="005C5E32">
              <w:rPr>
                <w:b/>
                <w:bCs/>
                <w:szCs w:val="18"/>
              </w:rPr>
              <w:t>2025/26 commentary:</w:t>
            </w:r>
            <w:r w:rsidRPr="005C5E32">
              <w:rPr>
                <w:szCs w:val="18"/>
              </w:rPr>
              <w:t xml:space="preserve"> </w:t>
            </w:r>
            <w:r w:rsidR="002E6EBE" w:rsidRPr="005C5E32">
              <w:rPr>
                <w:szCs w:val="18"/>
              </w:rPr>
              <w:t>The Quality Advice Assessment Panel reviewed 48 papers under this appropriation during the financial year.</w:t>
            </w:r>
            <w:r w:rsidR="002E6EBE" w:rsidRPr="005C5E32">
              <w:rPr>
                <w:b/>
                <w:bCs/>
                <w:szCs w:val="18"/>
              </w:rPr>
              <w:t xml:space="preserve"> </w:t>
            </w:r>
            <w:r w:rsidRPr="005C5E32">
              <w:rPr>
                <w:szCs w:val="18"/>
              </w:rPr>
              <w:t>The average quality for all environment papers increased from 3.3 to 3.5. The</w:t>
            </w:r>
            <w:r w:rsidR="00747640" w:rsidRPr="005C5E32">
              <w:rPr>
                <w:szCs w:val="18"/>
              </w:rPr>
              <w:t>se</w:t>
            </w:r>
            <w:r w:rsidRPr="005C5E32">
              <w:rPr>
                <w:szCs w:val="18"/>
              </w:rPr>
              <w:t xml:space="preserve"> results reflect the focus on improving the consistency, quality and impact of policy advice in 2025/26, and strengthening long-term capability. This category includes papers dealing with improving resource management.</w:t>
            </w:r>
          </w:p>
          <w:p w14:paraId="48C57CC8" w14:textId="396697C8" w:rsidR="001003F8" w:rsidRPr="005C5E32" w:rsidRDefault="001003F8">
            <w:pPr>
              <w:pStyle w:val="TableText"/>
              <w:spacing w:before="40" w:after="40"/>
              <w:rPr>
                <w:strike/>
                <w:szCs w:val="18"/>
              </w:rPr>
            </w:pPr>
            <w:r w:rsidRPr="005C5E32">
              <w:rPr>
                <w:szCs w:val="18"/>
              </w:rPr>
              <w:t xml:space="preserve">See </w:t>
            </w:r>
            <w:hyperlink w:anchor="_Advice_and_support_1" w:history="1">
              <w:r w:rsidRPr="005C5E32">
                <w:rPr>
                  <w:rStyle w:val="Hyperlink"/>
                  <w:szCs w:val="22"/>
                </w:rPr>
                <w:t>Advice and support</w:t>
              </w:r>
            </w:hyperlink>
            <w:r w:rsidRPr="005C5E32">
              <w:rPr>
                <w:szCs w:val="18"/>
              </w:rPr>
              <w:t xml:space="preserve"> under Managing Climate Change in New Zealand for details on the </w:t>
            </w:r>
            <w:r w:rsidR="00D57F7D" w:rsidRPr="005C5E32">
              <w:rPr>
                <w:szCs w:val="18"/>
              </w:rPr>
              <w:t>q</w:t>
            </w:r>
            <w:r w:rsidRPr="005C5E32">
              <w:rPr>
                <w:szCs w:val="18"/>
              </w:rPr>
              <w:t xml:space="preserve">uality of </w:t>
            </w:r>
            <w:r w:rsidR="00D57F7D" w:rsidRPr="005C5E32">
              <w:rPr>
                <w:szCs w:val="18"/>
              </w:rPr>
              <w:t>a</w:t>
            </w:r>
            <w:r w:rsidRPr="005C5E32">
              <w:rPr>
                <w:szCs w:val="18"/>
              </w:rPr>
              <w:t xml:space="preserve">dvice </w:t>
            </w:r>
            <w:r w:rsidR="00D57F7D" w:rsidRPr="005C5E32">
              <w:rPr>
                <w:szCs w:val="18"/>
              </w:rPr>
              <w:t>p</w:t>
            </w:r>
            <w:r w:rsidRPr="005C5E32">
              <w:rPr>
                <w:szCs w:val="18"/>
              </w:rPr>
              <w:t>rogramme</w:t>
            </w:r>
            <w:r w:rsidR="00D57F7D" w:rsidRPr="005C5E32">
              <w:rPr>
                <w:szCs w:val="18"/>
              </w:rPr>
              <w:t xml:space="preserve"> that the Ministry</w:t>
            </w:r>
            <w:r w:rsidRPr="005C5E32">
              <w:rPr>
                <w:szCs w:val="18"/>
              </w:rPr>
              <w:t xml:space="preserve"> established in 2025/26.</w:t>
            </w:r>
          </w:p>
        </w:tc>
      </w:tr>
    </w:tbl>
    <w:p w14:paraId="4A6BA02E" w14:textId="77777777" w:rsidR="001003F8" w:rsidRPr="005C5E32" w:rsidRDefault="001003F8" w:rsidP="007020A9">
      <w:pPr>
        <w:pStyle w:val="Heading5"/>
        <w:spacing w:after="180"/>
      </w:pPr>
      <w:r w:rsidRPr="005C5E32">
        <w:t>Ministerial services</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2411"/>
        <w:gridCol w:w="1983"/>
        <w:gridCol w:w="1983"/>
        <w:gridCol w:w="2128"/>
      </w:tblGrid>
      <w:tr w:rsidR="001003F8" w:rsidRPr="005C5E32" w14:paraId="0D4C89F5" w14:textId="77777777" w:rsidTr="007D0234">
        <w:trPr>
          <w:tblHeader/>
        </w:trPr>
        <w:tc>
          <w:tcPr>
            <w:tcW w:w="1417" w:type="pct"/>
            <w:shd w:val="clear" w:color="auto" w:fill="1B556B"/>
          </w:tcPr>
          <w:p w14:paraId="1DECDCC1" w14:textId="77777777" w:rsidR="001003F8" w:rsidRPr="005C5E32" w:rsidRDefault="001003F8" w:rsidP="003D0CC1">
            <w:pPr>
              <w:pStyle w:val="TableTextbold"/>
              <w:rPr>
                <w:color w:val="FFFFFF" w:themeColor="background1"/>
              </w:rPr>
            </w:pPr>
            <w:r w:rsidRPr="005C5E32">
              <w:rPr>
                <w:color w:val="FFFFFF" w:themeColor="background1"/>
              </w:rPr>
              <w:t>Performance measure</w:t>
            </w:r>
          </w:p>
        </w:tc>
        <w:tc>
          <w:tcPr>
            <w:tcW w:w="1166" w:type="pct"/>
            <w:shd w:val="clear" w:color="auto" w:fill="1B556B"/>
          </w:tcPr>
          <w:p w14:paraId="22DD9C00" w14:textId="77777777" w:rsidR="001003F8" w:rsidRPr="005C5E32" w:rsidRDefault="001003F8" w:rsidP="003D0CC1">
            <w:pPr>
              <w:pStyle w:val="TableTextbold"/>
              <w:rPr>
                <w:color w:val="FFFFFF" w:themeColor="background1"/>
              </w:rPr>
            </w:pPr>
            <w:r w:rsidRPr="005C5E32">
              <w:rPr>
                <w:color w:val="FFFFFF" w:themeColor="background1"/>
              </w:rPr>
              <w:t>2024/25 performance</w:t>
            </w:r>
          </w:p>
        </w:tc>
        <w:tc>
          <w:tcPr>
            <w:tcW w:w="1166" w:type="pct"/>
            <w:shd w:val="clear" w:color="auto" w:fill="1B556B"/>
          </w:tcPr>
          <w:p w14:paraId="2AB67535" w14:textId="77777777" w:rsidR="001003F8" w:rsidRPr="005C5E32" w:rsidRDefault="001003F8" w:rsidP="003D0CC1">
            <w:pPr>
              <w:pStyle w:val="TableTextbold"/>
              <w:rPr>
                <w:color w:val="FFFFFF" w:themeColor="background1"/>
              </w:rPr>
            </w:pPr>
            <w:r w:rsidRPr="005C5E32">
              <w:rPr>
                <w:color w:val="FFFFFF" w:themeColor="background1"/>
              </w:rPr>
              <w:t>2025/26 target</w:t>
            </w:r>
          </w:p>
        </w:tc>
        <w:tc>
          <w:tcPr>
            <w:tcW w:w="1251" w:type="pct"/>
            <w:shd w:val="clear" w:color="auto" w:fill="1B556B"/>
          </w:tcPr>
          <w:p w14:paraId="34BB377D" w14:textId="77777777" w:rsidR="001003F8" w:rsidRPr="005C5E32" w:rsidRDefault="001003F8" w:rsidP="003D0CC1">
            <w:pPr>
              <w:pStyle w:val="TableTextbold"/>
              <w:rPr>
                <w:color w:val="FFFFFF" w:themeColor="background1"/>
              </w:rPr>
            </w:pPr>
            <w:r w:rsidRPr="005C5E32">
              <w:rPr>
                <w:color w:val="FFFFFF" w:themeColor="background1"/>
              </w:rPr>
              <w:t>2025/26 performance</w:t>
            </w:r>
          </w:p>
        </w:tc>
      </w:tr>
      <w:tr w:rsidR="001003F8" w:rsidRPr="005C5E32" w14:paraId="3BF21186" w14:textId="77777777" w:rsidTr="007D0234">
        <w:tc>
          <w:tcPr>
            <w:tcW w:w="1417" w:type="pct"/>
            <w:tcBorders>
              <w:bottom w:val="single" w:sz="4" w:space="0" w:color="1B556B"/>
            </w:tcBorders>
          </w:tcPr>
          <w:p w14:paraId="4C5543C9" w14:textId="0E4CDA34" w:rsidR="001003F8" w:rsidRPr="005C5E32" w:rsidRDefault="001003F8" w:rsidP="003D0CC1">
            <w:pPr>
              <w:pStyle w:val="TableText"/>
              <w:rPr>
                <w:i/>
              </w:rPr>
            </w:pPr>
            <w:r w:rsidRPr="005C5E32">
              <w:t>Percentage of ministerial Official Information Act requests submitted within the timeframes agreed with the Minister</w:t>
            </w:r>
            <w:r w:rsidR="000369F8" w:rsidRPr="005C5E32">
              <w:t>’</w:t>
            </w:r>
            <w:r w:rsidRPr="005C5E32">
              <w:t>s office</w:t>
            </w:r>
          </w:p>
        </w:tc>
        <w:tc>
          <w:tcPr>
            <w:tcW w:w="1166" w:type="pct"/>
            <w:tcBorders>
              <w:bottom w:val="single" w:sz="4" w:space="0" w:color="1B556B"/>
            </w:tcBorders>
          </w:tcPr>
          <w:p w14:paraId="3913BBD2" w14:textId="4EE8C7F2" w:rsidR="001003F8" w:rsidRPr="005C5E32" w:rsidRDefault="001003F8" w:rsidP="003D0CC1">
            <w:pPr>
              <w:pStyle w:val="TableText"/>
            </w:pPr>
            <w:r w:rsidRPr="005C5E32">
              <w:t>97%</w:t>
            </w:r>
          </w:p>
        </w:tc>
        <w:tc>
          <w:tcPr>
            <w:tcW w:w="1166" w:type="pct"/>
            <w:tcBorders>
              <w:bottom w:val="single" w:sz="4" w:space="0" w:color="1B556B"/>
            </w:tcBorders>
          </w:tcPr>
          <w:p w14:paraId="451927F4" w14:textId="77777777" w:rsidR="001003F8" w:rsidRPr="005C5E32" w:rsidRDefault="001003F8" w:rsidP="003D0CC1">
            <w:pPr>
              <w:pStyle w:val="TableText"/>
            </w:pPr>
            <w:r w:rsidRPr="005C5E32">
              <w:t>95%</w:t>
            </w:r>
          </w:p>
        </w:tc>
        <w:tc>
          <w:tcPr>
            <w:tcW w:w="1251" w:type="pct"/>
            <w:tcBorders>
              <w:bottom w:val="single" w:sz="4" w:space="0" w:color="1B556B"/>
            </w:tcBorders>
          </w:tcPr>
          <w:p w14:paraId="711E8C1C" w14:textId="13FB3D11" w:rsidR="001003F8" w:rsidRPr="005C5E32" w:rsidRDefault="00497E98" w:rsidP="003D0CC1">
            <w:pPr>
              <w:pStyle w:val="TableText"/>
            </w:pPr>
            <w:r w:rsidRPr="005C5E32">
              <w:t>97%</w:t>
            </w:r>
          </w:p>
        </w:tc>
      </w:tr>
      <w:tr w:rsidR="001003F8" w:rsidRPr="005C5E32" w14:paraId="4CAEF587" w14:textId="77777777" w:rsidTr="003D0CC1">
        <w:tc>
          <w:tcPr>
            <w:tcW w:w="5000" w:type="pct"/>
            <w:gridSpan w:val="4"/>
            <w:tcBorders>
              <w:bottom w:val="single" w:sz="12" w:space="0" w:color="1B556B"/>
            </w:tcBorders>
            <w:shd w:val="clear" w:color="auto" w:fill="D2DDE1"/>
          </w:tcPr>
          <w:p w14:paraId="50970530" w14:textId="4F171802" w:rsidR="001003F8" w:rsidRPr="005C5E32" w:rsidRDefault="001003F8" w:rsidP="003D0CC1">
            <w:pPr>
              <w:pStyle w:val="TableText"/>
            </w:pPr>
            <w:r w:rsidRPr="005C5E32">
              <w:rPr>
                <w:b/>
                <w:bCs/>
              </w:rPr>
              <w:t>2025</w:t>
            </w:r>
            <w:r w:rsidRPr="005C5E32">
              <w:rPr>
                <w:b/>
              </w:rPr>
              <w:t>/26 commentary:</w:t>
            </w:r>
            <w:r w:rsidRPr="005C5E32">
              <w:t xml:space="preserve"> </w:t>
            </w:r>
            <w:r w:rsidR="005F2C2A" w:rsidRPr="005C5E32">
              <w:t>Agreed timeframes are typically 15 working days. Ministers</w:t>
            </w:r>
            <w:r w:rsidR="000369F8" w:rsidRPr="005C5E32">
              <w:t>’</w:t>
            </w:r>
            <w:r w:rsidR="005F2C2A" w:rsidRPr="005C5E32">
              <w:t xml:space="preserve"> offices may request responses sooner or may agree to additional time – typically a day or two. The Ministry provided responses to 148 ministerial</w:t>
            </w:r>
            <w:r w:rsidR="00D83FB5" w:rsidRPr="005C5E32">
              <w:t xml:space="preserve"> Official Information Act 1982</w:t>
            </w:r>
            <w:r w:rsidR="005F2C2A" w:rsidRPr="005C5E32">
              <w:t xml:space="preserve"> </w:t>
            </w:r>
            <w:r w:rsidR="00D83FB5" w:rsidRPr="005C5E32">
              <w:t>(</w:t>
            </w:r>
            <w:r w:rsidR="00D27A7A" w:rsidRPr="005C5E32">
              <w:t>OIA</w:t>
            </w:r>
            <w:r w:rsidR="00D83FB5" w:rsidRPr="005C5E32">
              <w:t>)</w:t>
            </w:r>
            <w:r w:rsidR="005F2C2A" w:rsidRPr="005C5E32">
              <w:t xml:space="preserve"> requests between 1 July 2025 and 30 June 2026.</w:t>
            </w:r>
          </w:p>
        </w:tc>
      </w:tr>
      <w:tr w:rsidR="001003F8" w:rsidRPr="005C5E32" w14:paraId="4DACCFA3" w14:textId="77777777" w:rsidTr="007D0234">
        <w:tc>
          <w:tcPr>
            <w:tcW w:w="1417" w:type="pct"/>
            <w:tcBorders>
              <w:top w:val="single" w:sz="12" w:space="0" w:color="1B556B"/>
              <w:bottom w:val="single" w:sz="4" w:space="0" w:color="1B556B"/>
            </w:tcBorders>
          </w:tcPr>
          <w:p w14:paraId="6F0E15E1" w14:textId="5651FFE7" w:rsidR="001003F8" w:rsidRPr="005C5E32" w:rsidRDefault="001003F8" w:rsidP="003D0CC1">
            <w:pPr>
              <w:pStyle w:val="TableText"/>
              <w:rPr>
                <w:i/>
                <w:iCs/>
              </w:rPr>
            </w:pPr>
            <w:r w:rsidRPr="005C5E32">
              <w:t xml:space="preserve">Percentage of responses to departmental </w:t>
            </w:r>
            <w:r w:rsidRPr="005C5E32" w:rsidDel="007E2DF2">
              <w:t>Official Information Act</w:t>
            </w:r>
            <w:r w:rsidRPr="005C5E32">
              <w:t xml:space="preserve"> requests sent within statutory deadlines</w:t>
            </w:r>
          </w:p>
        </w:tc>
        <w:tc>
          <w:tcPr>
            <w:tcW w:w="1166" w:type="pct"/>
            <w:tcBorders>
              <w:top w:val="single" w:sz="12" w:space="0" w:color="1B556B"/>
              <w:bottom w:val="single" w:sz="4" w:space="0" w:color="1B556B"/>
            </w:tcBorders>
          </w:tcPr>
          <w:p w14:paraId="2BA99578" w14:textId="30E135ED" w:rsidR="001003F8" w:rsidRPr="005C5E32" w:rsidRDefault="001003F8" w:rsidP="003D0CC1">
            <w:pPr>
              <w:pStyle w:val="TableText"/>
            </w:pPr>
            <w:r w:rsidRPr="005C5E32">
              <w:t>99%</w:t>
            </w:r>
          </w:p>
        </w:tc>
        <w:tc>
          <w:tcPr>
            <w:tcW w:w="1166" w:type="pct"/>
            <w:tcBorders>
              <w:top w:val="single" w:sz="12" w:space="0" w:color="1B556B"/>
              <w:bottom w:val="single" w:sz="4" w:space="0" w:color="1B556B"/>
            </w:tcBorders>
          </w:tcPr>
          <w:p w14:paraId="23D7F8C2" w14:textId="77777777" w:rsidR="001003F8" w:rsidRPr="005C5E32" w:rsidRDefault="001003F8" w:rsidP="003D0CC1">
            <w:pPr>
              <w:pStyle w:val="TableText"/>
            </w:pPr>
            <w:r w:rsidRPr="005C5E32">
              <w:t>95%</w:t>
            </w:r>
          </w:p>
        </w:tc>
        <w:tc>
          <w:tcPr>
            <w:tcW w:w="1251" w:type="pct"/>
            <w:tcBorders>
              <w:top w:val="single" w:sz="12" w:space="0" w:color="1B556B"/>
              <w:bottom w:val="single" w:sz="4" w:space="0" w:color="1B556B"/>
            </w:tcBorders>
          </w:tcPr>
          <w:p w14:paraId="2F6EEDFD" w14:textId="5EC7D926" w:rsidR="001003F8" w:rsidRPr="005C5E32" w:rsidRDefault="007469D6" w:rsidP="003D0CC1">
            <w:pPr>
              <w:pStyle w:val="TableText"/>
            </w:pPr>
            <w:r w:rsidRPr="005C5E32">
              <w:t>99%</w:t>
            </w:r>
          </w:p>
        </w:tc>
      </w:tr>
      <w:tr w:rsidR="001003F8" w:rsidRPr="005C5E32" w14:paraId="02A53CC3" w14:textId="77777777" w:rsidTr="003D0CC1">
        <w:tc>
          <w:tcPr>
            <w:tcW w:w="5000" w:type="pct"/>
            <w:gridSpan w:val="4"/>
            <w:tcBorders>
              <w:bottom w:val="single" w:sz="12" w:space="0" w:color="1B556B"/>
            </w:tcBorders>
            <w:shd w:val="clear" w:color="auto" w:fill="D2DDE1"/>
          </w:tcPr>
          <w:p w14:paraId="79A67A0D" w14:textId="4A12251A" w:rsidR="001003F8" w:rsidRPr="005C5E32" w:rsidRDefault="001003F8" w:rsidP="003D0CC1">
            <w:pPr>
              <w:pStyle w:val="TableText"/>
            </w:pPr>
            <w:r w:rsidRPr="005C5E32">
              <w:rPr>
                <w:b/>
                <w:bCs/>
              </w:rPr>
              <w:t>2025/26 commentary:</w:t>
            </w:r>
            <w:r w:rsidRPr="005C5E32">
              <w:t xml:space="preserve"> </w:t>
            </w:r>
            <w:r w:rsidR="0092560C" w:rsidRPr="005C5E32">
              <w:t xml:space="preserve">The </w:t>
            </w:r>
            <w:r w:rsidR="007E2DF2" w:rsidRPr="005C5E32">
              <w:t>OIA</w:t>
            </w:r>
            <w:r w:rsidR="0092560C" w:rsidRPr="005C5E32">
              <w:t xml:space="preserve"> requires the Ministry to respond to departmental </w:t>
            </w:r>
            <w:r w:rsidR="007E2DF2" w:rsidRPr="005C5E32">
              <w:t>OIA</w:t>
            </w:r>
            <w:r w:rsidR="0092560C" w:rsidRPr="005C5E32">
              <w:t xml:space="preserve"> requests as soon as reasonably practicable, and no later than 20 working days after the date of receipt, unless a valid extension is made under section 15A of the </w:t>
            </w:r>
            <w:r w:rsidR="007E2DF2" w:rsidRPr="005C5E32">
              <w:t>OIA</w:t>
            </w:r>
            <w:r w:rsidR="0092560C" w:rsidRPr="005C5E32">
              <w:t xml:space="preserve">. The Ministry provided responses to 381 departmental </w:t>
            </w:r>
            <w:r w:rsidR="006B0E2C" w:rsidRPr="005C5E32">
              <w:t xml:space="preserve">OIA </w:t>
            </w:r>
            <w:r w:rsidR="0092560C" w:rsidRPr="005C5E32">
              <w:t>requests between 1 July 2025 and 30 June 2026.</w:t>
            </w:r>
          </w:p>
        </w:tc>
      </w:tr>
      <w:tr w:rsidR="001003F8" w:rsidRPr="005C5E32" w14:paraId="7E93369D" w14:textId="77777777" w:rsidTr="007D0234">
        <w:tc>
          <w:tcPr>
            <w:tcW w:w="1417" w:type="pct"/>
            <w:tcBorders>
              <w:top w:val="single" w:sz="12" w:space="0" w:color="1B556B"/>
              <w:bottom w:val="single" w:sz="4" w:space="0" w:color="1B556B"/>
            </w:tcBorders>
          </w:tcPr>
          <w:p w14:paraId="1818B805" w14:textId="77777777" w:rsidR="001003F8" w:rsidRPr="005C5E32" w:rsidRDefault="001003F8" w:rsidP="003D0CC1">
            <w:pPr>
              <w:pStyle w:val="TableText"/>
            </w:pPr>
            <w:r w:rsidRPr="005C5E32">
              <w:t>Percentage of ministerial correspondence replies completed within the timeframes agreed between the Ministry and the office of the Minister</w:t>
            </w:r>
          </w:p>
        </w:tc>
        <w:tc>
          <w:tcPr>
            <w:tcW w:w="1166" w:type="pct"/>
            <w:tcBorders>
              <w:top w:val="single" w:sz="12" w:space="0" w:color="1B556B"/>
              <w:bottom w:val="single" w:sz="4" w:space="0" w:color="1B556B"/>
            </w:tcBorders>
          </w:tcPr>
          <w:p w14:paraId="61A680E9" w14:textId="3B30574C" w:rsidR="001003F8" w:rsidRPr="005C5E32" w:rsidRDefault="001003F8" w:rsidP="003D0CC1">
            <w:pPr>
              <w:pStyle w:val="TableText"/>
            </w:pPr>
            <w:r w:rsidRPr="005C5E32">
              <w:t>99%</w:t>
            </w:r>
          </w:p>
        </w:tc>
        <w:tc>
          <w:tcPr>
            <w:tcW w:w="1166" w:type="pct"/>
            <w:tcBorders>
              <w:top w:val="single" w:sz="12" w:space="0" w:color="1B556B"/>
              <w:bottom w:val="single" w:sz="4" w:space="0" w:color="1B556B"/>
            </w:tcBorders>
          </w:tcPr>
          <w:p w14:paraId="4BAC54AB" w14:textId="77777777" w:rsidR="001003F8" w:rsidRPr="005C5E32" w:rsidRDefault="001003F8" w:rsidP="003D0CC1">
            <w:pPr>
              <w:pStyle w:val="TableText"/>
            </w:pPr>
            <w:r w:rsidRPr="005C5E32">
              <w:t>95%</w:t>
            </w:r>
          </w:p>
        </w:tc>
        <w:tc>
          <w:tcPr>
            <w:tcW w:w="1251" w:type="pct"/>
            <w:tcBorders>
              <w:top w:val="single" w:sz="12" w:space="0" w:color="1B556B"/>
              <w:bottom w:val="single" w:sz="4" w:space="0" w:color="1B556B"/>
            </w:tcBorders>
          </w:tcPr>
          <w:p w14:paraId="2D38FEC9" w14:textId="0C1784E0" w:rsidR="001003F8" w:rsidRPr="005C5E32" w:rsidRDefault="00AA331F" w:rsidP="003D0CC1">
            <w:pPr>
              <w:pStyle w:val="TableText"/>
            </w:pPr>
            <w:r w:rsidRPr="005C5E32">
              <w:t>97%</w:t>
            </w:r>
          </w:p>
        </w:tc>
      </w:tr>
      <w:tr w:rsidR="001003F8" w:rsidRPr="005C5E32" w14:paraId="3CBBD3A3" w14:textId="77777777" w:rsidTr="003D0CC1">
        <w:tc>
          <w:tcPr>
            <w:tcW w:w="5000" w:type="pct"/>
            <w:gridSpan w:val="4"/>
            <w:tcBorders>
              <w:bottom w:val="single" w:sz="12" w:space="0" w:color="1B556B"/>
            </w:tcBorders>
            <w:shd w:val="clear" w:color="auto" w:fill="D2DDE1"/>
          </w:tcPr>
          <w:p w14:paraId="70A31DD1" w14:textId="5144F8A5" w:rsidR="001003F8" w:rsidRPr="005C5E32" w:rsidRDefault="001003F8" w:rsidP="003D0CC1">
            <w:pPr>
              <w:pStyle w:val="TableText"/>
            </w:pPr>
            <w:r w:rsidRPr="005C5E32">
              <w:rPr>
                <w:b/>
                <w:bCs/>
              </w:rPr>
              <w:lastRenderedPageBreak/>
              <w:t>2025/26 commentary</w:t>
            </w:r>
            <w:r w:rsidRPr="005C5E32">
              <w:t xml:space="preserve">: </w:t>
            </w:r>
            <w:r w:rsidR="00A94310" w:rsidRPr="005C5E32">
              <w:t>Agreed timeframes are typically 15 working days. The Minister</w:t>
            </w:r>
            <w:r w:rsidR="000369F8" w:rsidRPr="005C5E32">
              <w:t>’</w:t>
            </w:r>
            <w:r w:rsidR="00A94310" w:rsidRPr="005C5E32">
              <w:t>s office may request responses sooner or may allow short extensions – typically of no more than five working days. The Ministry provided responses to 1,276 pieces of ministerial correspondence between 1 July 2025 and 30 June 2026.</w:t>
            </w:r>
          </w:p>
        </w:tc>
      </w:tr>
      <w:tr w:rsidR="001003F8" w:rsidRPr="005C5E32" w14:paraId="14A671EF" w14:textId="77777777" w:rsidTr="007D0234">
        <w:tc>
          <w:tcPr>
            <w:tcW w:w="1417" w:type="pct"/>
            <w:tcBorders>
              <w:top w:val="single" w:sz="12" w:space="0" w:color="1B556B"/>
              <w:bottom w:val="single" w:sz="4" w:space="0" w:color="1B556B"/>
            </w:tcBorders>
          </w:tcPr>
          <w:p w14:paraId="0CB2DFAC" w14:textId="77777777" w:rsidR="001003F8" w:rsidRPr="005C5E32" w:rsidRDefault="001003F8" w:rsidP="003D0CC1">
            <w:pPr>
              <w:pStyle w:val="TableText"/>
            </w:pPr>
            <w:r w:rsidRPr="005C5E32">
              <w:t>Percentage of departmental correspondence replies completed within 20 working days</w:t>
            </w:r>
          </w:p>
        </w:tc>
        <w:tc>
          <w:tcPr>
            <w:tcW w:w="1166" w:type="pct"/>
            <w:tcBorders>
              <w:top w:val="single" w:sz="12" w:space="0" w:color="1B556B"/>
              <w:bottom w:val="single" w:sz="4" w:space="0" w:color="1B556B"/>
            </w:tcBorders>
          </w:tcPr>
          <w:p w14:paraId="15B460DD" w14:textId="37213916" w:rsidR="001003F8" w:rsidRPr="005C5E32" w:rsidRDefault="001003F8" w:rsidP="003D0CC1">
            <w:pPr>
              <w:pStyle w:val="TableText"/>
            </w:pPr>
            <w:r w:rsidRPr="005C5E32">
              <w:t>88%</w:t>
            </w:r>
          </w:p>
        </w:tc>
        <w:tc>
          <w:tcPr>
            <w:tcW w:w="1166" w:type="pct"/>
            <w:tcBorders>
              <w:top w:val="single" w:sz="12" w:space="0" w:color="1B556B"/>
              <w:bottom w:val="single" w:sz="4" w:space="0" w:color="1B556B"/>
            </w:tcBorders>
          </w:tcPr>
          <w:p w14:paraId="43F4AAF1" w14:textId="77777777" w:rsidR="001003F8" w:rsidRPr="005C5E32" w:rsidRDefault="001003F8" w:rsidP="003D0CC1">
            <w:pPr>
              <w:pStyle w:val="TableText"/>
            </w:pPr>
            <w:r w:rsidRPr="005C5E32">
              <w:t>95%</w:t>
            </w:r>
          </w:p>
        </w:tc>
        <w:tc>
          <w:tcPr>
            <w:tcW w:w="1251" w:type="pct"/>
            <w:tcBorders>
              <w:top w:val="single" w:sz="12" w:space="0" w:color="1B556B"/>
              <w:bottom w:val="single" w:sz="4" w:space="0" w:color="1B556B"/>
            </w:tcBorders>
          </w:tcPr>
          <w:p w14:paraId="1C4EC348" w14:textId="79BC7BFA" w:rsidR="001003F8" w:rsidRPr="005C5E32" w:rsidRDefault="0046182E" w:rsidP="003D0CC1">
            <w:pPr>
              <w:pStyle w:val="TableText"/>
            </w:pPr>
            <w:r w:rsidRPr="005C5E32">
              <w:t>92%</w:t>
            </w:r>
          </w:p>
        </w:tc>
      </w:tr>
      <w:tr w:rsidR="001003F8" w:rsidRPr="005C5E32" w14:paraId="15525552" w14:textId="77777777" w:rsidTr="003D0CC1">
        <w:tc>
          <w:tcPr>
            <w:tcW w:w="5000" w:type="pct"/>
            <w:gridSpan w:val="4"/>
            <w:tcBorders>
              <w:bottom w:val="single" w:sz="12" w:space="0" w:color="1B556B"/>
            </w:tcBorders>
            <w:shd w:val="clear" w:color="auto" w:fill="D2DDE1"/>
          </w:tcPr>
          <w:p w14:paraId="506D89F5" w14:textId="06F6A7D0" w:rsidR="001003F8" w:rsidRPr="005C5E32" w:rsidRDefault="001003F8" w:rsidP="003D0CC1">
            <w:pPr>
              <w:pStyle w:val="TableText"/>
            </w:pPr>
            <w:r w:rsidRPr="005C5E32">
              <w:rPr>
                <w:b/>
                <w:bCs/>
              </w:rPr>
              <w:t xml:space="preserve">2025/26 commentary: </w:t>
            </w:r>
            <w:r w:rsidR="005E5B33" w:rsidRPr="005C5E32">
              <w:t>This measure is more challenging to achieve than other</w:t>
            </w:r>
            <w:r w:rsidR="004F0800" w:rsidRPr="005C5E32">
              <w:t>s</w:t>
            </w:r>
            <w:r w:rsidR="005E5B33" w:rsidRPr="005C5E32">
              <w:t>, because the wording does not permit extensions or negotiations around timelines, even where a compelling reason for a change in timeline exists. The Ministry receive</w:t>
            </w:r>
            <w:r w:rsidR="00A5589B" w:rsidRPr="005C5E32">
              <w:t>d</w:t>
            </w:r>
            <w:r w:rsidR="005E5B33" w:rsidRPr="005C5E32">
              <w:t xml:space="preserve"> far fewer pieces of departmental correspondence, compared with ministerial correspondence. This means that even a few responses sent outside of the 20-working-day timeframe </w:t>
            </w:r>
            <w:r w:rsidR="00A5589B" w:rsidRPr="005C5E32">
              <w:t xml:space="preserve">could </w:t>
            </w:r>
            <w:r w:rsidR="005E5B33" w:rsidRPr="005C5E32">
              <w:t>significantly impact timeliness measures. The Ministry responded to 109 pieces of departmental correspondence between 1 July 2025</w:t>
            </w:r>
            <w:r w:rsidR="000C3E62" w:rsidRPr="005C5E32">
              <w:t xml:space="preserve"> </w:t>
            </w:r>
            <w:r w:rsidR="005E5B33" w:rsidRPr="005C5E32">
              <w:t xml:space="preserve">and 30 June 2026. </w:t>
            </w:r>
            <w:r w:rsidR="00B30488" w:rsidRPr="005C5E32">
              <w:t xml:space="preserve">Although </w:t>
            </w:r>
            <w:r w:rsidR="005E5B33" w:rsidRPr="005C5E32">
              <w:t>the measure was not achieved this year, the 2025/26 result improve</w:t>
            </w:r>
            <w:r w:rsidR="00A5589B" w:rsidRPr="005C5E32">
              <w:t>d</w:t>
            </w:r>
            <w:r w:rsidR="005E5B33" w:rsidRPr="005C5E32">
              <w:t xml:space="preserve"> on the 2024/25 result</w:t>
            </w:r>
            <w:r w:rsidR="00B30488" w:rsidRPr="005C5E32">
              <w:t>,</w:t>
            </w:r>
            <w:r w:rsidR="005E5B33" w:rsidRPr="005C5E32">
              <w:t xml:space="preserve"> evidencing our enhanced focus on this measure.</w:t>
            </w:r>
          </w:p>
        </w:tc>
      </w:tr>
      <w:tr w:rsidR="001003F8" w:rsidRPr="005C5E32" w14:paraId="0243A943" w14:textId="77777777" w:rsidTr="007D0234">
        <w:tc>
          <w:tcPr>
            <w:tcW w:w="1417" w:type="pct"/>
            <w:tcBorders>
              <w:top w:val="single" w:sz="12" w:space="0" w:color="1B556B"/>
              <w:bottom w:val="single" w:sz="4" w:space="0" w:color="1B556B"/>
            </w:tcBorders>
          </w:tcPr>
          <w:p w14:paraId="129FF20D" w14:textId="77777777" w:rsidR="001003F8" w:rsidRPr="005C5E32" w:rsidRDefault="001003F8" w:rsidP="007D0234">
            <w:pPr>
              <w:pStyle w:val="TableText"/>
              <w:spacing w:before="40" w:after="40"/>
              <w:rPr>
                <w:i/>
                <w:iCs/>
              </w:rPr>
            </w:pPr>
            <w:r w:rsidRPr="005C5E32">
              <w:t>Percentage of written parliamentary questions completed within the timeframes agreed between the Ministry and the office of the Minister</w:t>
            </w:r>
          </w:p>
        </w:tc>
        <w:tc>
          <w:tcPr>
            <w:tcW w:w="1166" w:type="pct"/>
            <w:tcBorders>
              <w:top w:val="single" w:sz="12" w:space="0" w:color="1B556B"/>
              <w:bottom w:val="single" w:sz="4" w:space="0" w:color="1B556B"/>
            </w:tcBorders>
          </w:tcPr>
          <w:p w14:paraId="5DCB7766" w14:textId="18AA5F1A" w:rsidR="001003F8" w:rsidRPr="005C5E32" w:rsidRDefault="001003F8" w:rsidP="007D0234">
            <w:pPr>
              <w:pStyle w:val="TableText"/>
              <w:spacing w:before="40" w:after="40"/>
            </w:pPr>
            <w:r w:rsidRPr="005C5E32">
              <w:t>100%</w:t>
            </w:r>
          </w:p>
        </w:tc>
        <w:tc>
          <w:tcPr>
            <w:tcW w:w="1166" w:type="pct"/>
            <w:tcBorders>
              <w:top w:val="single" w:sz="12" w:space="0" w:color="1B556B"/>
              <w:bottom w:val="single" w:sz="4" w:space="0" w:color="1B556B"/>
            </w:tcBorders>
          </w:tcPr>
          <w:p w14:paraId="61B06875" w14:textId="77777777" w:rsidR="001003F8" w:rsidRPr="005C5E32" w:rsidRDefault="001003F8" w:rsidP="007D0234">
            <w:pPr>
              <w:pStyle w:val="TableText"/>
              <w:spacing w:before="40" w:after="40"/>
            </w:pPr>
            <w:r w:rsidRPr="005C5E32">
              <w:t>95%</w:t>
            </w:r>
          </w:p>
        </w:tc>
        <w:tc>
          <w:tcPr>
            <w:tcW w:w="1251" w:type="pct"/>
            <w:tcBorders>
              <w:top w:val="single" w:sz="12" w:space="0" w:color="1B556B"/>
              <w:bottom w:val="single" w:sz="4" w:space="0" w:color="1B556B"/>
            </w:tcBorders>
          </w:tcPr>
          <w:p w14:paraId="47A439A1" w14:textId="7EA17E98" w:rsidR="001003F8" w:rsidRPr="005C5E32" w:rsidRDefault="000C5452" w:rsidP="007D0234">
            <w:pPr>
              <w:pStyle w:val="TableText"/>
              <w:spacing w:before="40" w:after="40"/>
            </w:pPr>
            <w:r w:rsidRPr="005C5E32">
              <w:t>98%</w:t>
            </w:r>
          </w:p>
        </w:tc>
      </w:tr>
      <w:tr w:rsidR="001003F8" w:rsidRPr="005C5E32" w14:paraId="24CEB8B0" w14:textId="77777777" w:rsidTr="00F3560F">
        <w:tc>
          <w:tcPr>
            <w:tcW w:w="5000" w:type="pct"/>
            <w:gridSpan w:val="4"/>
            <w:tcBorders>
              <w:bottom w:val="single" w:sz="12" w:space="0" w:color="1B556B"/>
            </w:tcBorders>
            <w:shd w:val="clear" w:color="auto" w:fill="D2DDE1"/>
          </w:tcPr>
          <w:p w14:paraId="78C125A9" w14:textId="4F4822B5" w:rsidR="001003F8" w:rsidRPr="005C5E32" w:rsidRDefault="001003F8" w:rsidP="003D0CC1">
            <w:pPr>
              <w:pStyle w:val="TableText"/>
            </w:pPr>
            <w:r w:rsidRPr="005C5E32">
              <w:rPr>
                <w:b/>
                <w:bCs/>
              </w:rPr>
              <w:t>2025/26 commentary:</w:t>
            </w:r>
            <w:r w:rsidRPr="005C5E32">
              <w:t xml:space="preserve"> </w:t>
            </w:r>
            <w:r w:rsidR="009319C0" w:rsidRPr="005C5E32">
              <w:t>Agreed timeframes are typically between three and five working days, depending on the Minister</w:t>
            </w:r>
            <w:r w:rsidR="000369F8" w:rsidRPr="005C5E32">
              <w:t>’</w:t>
            </w:r>
            <w:r w:rsidR="009319C0" w:rsidRPr="005C5E32">
              <w:t>s office. Ministers</w:t>
            </w:r>
            <w:r w:rsidR="000369F8" w:rsidRPr="005C5E32">
              <w:t>’</w:t>
            </w:r>
            <w:r w:rsidR="009319C0" w:rsidRPr="005C5E32">
              <w:t xml:space="preserve"> offices may request responses sooner, or may allow short extensions – typically of a day at most. The Ministry provided responses to </w:t>
            </w:r>
            <w:r w:rsidR="00DE1E0D" w:rsidRPr="005C5E32">
              <w:t>1</w:t>
            </w:r>
            <w:r w:rsidR="000C3E62" w:rsidRPr="005C5E32">
              <w:t>,</w:t>
            </w:r>
            <w:r w:rsidR="00DE1E0D" w:rsidRPr="005C5E32">
              <w:t>5</w:t>
            </w:r>
            <w:r w:rsidR="00C3319A" w:rsidRPr="005C5E32">
              <w:t>66</w:t>
            </w:r>
            <w:r w:rsidR="009319C0" w:rsidRPr="005C5E32">
              <w:t xml:space="preserve"> written parliamentary questions between 1 July 2025 and 30 June 2026.</w:t>
            </w:r>
          </w:p>
        </w:tc>
      </w:tr>
    </w:tbl>
    <w:p w14:paraId="298FFEE5" w14:textId="77777777" w:rsidR="001003F8" w:rsidRPr="005C5E32" w:rsidRDefault="001003F8" w:rsidP="007020A9">
      <w:pPr>
        <w:pStyle w:val="Heading5"/>
        <w:spacing w:after="120"/>
      </w:pPr>
      <w:r w:rsidRPr="005C5E32">
        <w:t>Environmental monitoring and reporting</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2411"/>
        <w:gridCol w:w="1983"/>
        <w:gridCol w:w="1983"/>
        <w:gridCol w:w="2128"/>
      </w:tblGrid>
      <w:tr w:rsidR="001003F8" w:rsidRPr="005C5E32" w14:paraId="7C62B1E2" w14:textId="77777777" w:rsidTr="007D0234">
        <w:trPr>
          <w:tblHeader/>
        </w:trPr>
        <w:tc>
          <w:tcPr>
            <w:tcW w:w="1417" w:type="pct"/>
            <w:shd w:val="clear" w:color="auto" w:fill="1B556B" w:themeFill="text2"/>
          </w:tcPr>
          <w:p w14:paraId="1432718F" w14:textId="77777777" w:rsidR="001003F8" w:rsidRPr="005C5E32" w:rsidRDefault="001003F8" w:rsidP="003D0CC1">
            <w:pPr>
              <w:pStyle w:val="TableTextbold"/>
              <w:rPr>
                <w:color w:val="FFFFFF" w:themeColor="background1"/>
              </w:rPr>
            </w:pPr>
            <w:r w:rsidRPr="005C5E32">
              <w:rPr>
                <w:color w:val="FFFFFF" w:themeColor="background1"/>
              </w:rPr>
              <w:t>Performance measure</w:t>
            </w:r>
          </w:p>
        </w:tc>
        <w:tc>
          <w:tcPr>
            <w:tcW w:w="1166" w:type="pct"/>
            <w:shd w:val="clear" w:color="auto" w:fill="1B556B" w:themeFill="text2"/>
          </w:tcPr>
          <w:p w14:paraId="6E3B30AC" w14:textId="77777777" w:rsidR="001003F8" w:rsidRPr="005C5E32" w:rsidRDefault="001003F8" w:rsidP="003D0CC1">
            <w:pPr>
              <w:pStyle w:val="TableTextbold"/>
              <w:rPr>
                <w:color w:val="FFFFFF" w:themeColor="background1"/>
              </w:rPr>
            </w:pPr>
            <w:r w:rsidRPr="005C5E32">
              <w:rPr>
                <w:color w:val="FFFFFF" w:themeColor="background1"/>
              </w:rPr>
              <w:t>2024/25 performance</w:t>
            </w:r>
          </w:p>
        </w:tc>
        <w:tc>
          <w:tcPr>
            <w:tcW w:w="1166" w:type="pct"/>
            <w:shd w:val="clear" w:color="auto" w:fill="1B556B" w:themeFill="text2"/>
          </w:tcPr>
          <w:p w14:paraId="6FC71963" w14:textId="77777777" w:rsidR="001003F8" w:rsidRPr="005C5E32" w:rsidRDefault="001003F8" w:rsidP="003D0CC1">
            <w:pPr>
              <w:pStyle w:val="TableTextbold"/>
              <w:rPr>
                <w:color w:val="FFFFFF" w:themeColor="background1"/>
              </w:rPr>
            </w:pPr>
            <w:r w:rsidRPr="005C5E32">
              <w:rPr>
                <w:color w:val="FFFFFF" w:themeColor="background1"/>
              </w:rPr>
              <w:t>2025/26 target</w:t>
            </w:r>
          </w:p>
        </w:tc>
        <w:tc>
          <w:tcPr>
            <w:tcW w:w="1250" w:type="pct"/>
            <w:shd w:val="clear" w:color="auto" w:fill="1B556B" w:themeFill="text2"/>
          </w:tcPr>
          <w:p w14:paraId="4425E22D" w14:textId="77777777" w:rsidR="001003F8" w:rsidRPr="005C5E32" w:rsidRDefault="001003F8" w:rsidP="003D0CC1">
            <w:pPr>
              <w:pStyle w:val="TableTextbold"/>
              <w:rPr>
                <w:color w:val="FFFFFF" w:themeColor="background1"/>
              </w:rPr>
            </w:pPr>
            <w:r w:rsidRPr="005C5E32">
              <w:rPr>
                <w:color w:val="FFFFFF" w:themeColor="background1"/>
              </w:rPr>
              <w:t>2025/26 performance</w:t>
            </w:r>
          </w:p>
        </w:tc>
      </w:tr>
      <w:tr w:rsidR="001003F8" w:rsidRPr="005C5E32" w14:paraId="1F7C2A44" w14:textId="77777777" w:rsidTr="007D0234">
        <w:tc>
          <w:tcPr>
            <w:tcW w:w="1417" w:type="pct"/>
            <w:tcBorders>
              <w:bottom w:val="single" w:sz="4" w:space="0" w:color="1B556B" w:themeColor="text2"/>
            </w:tcBorders>
          </w:tcPr>
          <w:p w14:paraId="714F2DA0" w14:textId="219A4B06" w:rsidR="001003F8" w:rsidRPr="005C5E32" w:rsidRDefault="001003F8" w:rsidP="00D86CA8">
            <w:pPr>
              <w:pStyle w:val="TableText"/>
              <w:spacing w:before="40" w:after="40"/>
            </w:pPr>
            <w:r w:rsidRPr="005C5E32">
              <w:t xml:space="preserve">Number of months </w:t>
            </w:r>
            <w:r w:rsidRPr="005C5E32" w:rsidDel="00885206">
              <w:t xml:space="preserve">the Ministry </w:t>
            </w:r>
            <w:r w:rsidRPr="005C5E32" w:rsidDel="001E2E19">
              <w:t xml:space="preserve">will publish </w:t>
            </w:r>
            <w:r w:rsidRPr="005C5E32" w:rsidDel="001A0A3A">
              <w:t>the</w:t>
            </w:r>
            <w:r w:rsidRPr="005C5E32">
              <w:t xml:space="preserve"> National Monitoring Systems </w:t>
            </w:r>
            <w:r w:rsidRPr="005C5E32" w:rsidDel="00885206">
              <w:t xml:space="preserve">data </w:t>
            </w:r>
            <w:r w:rsidRPr="005C5E32" w:rsidDel="00097E6B">
              <w:t>after receiving the complete dataset from local authorities</w:t>
            </w:r>
          </w:p>
        </w:tc>
        <w:tc>
          <w:tcPr>
            <w:tcW w:w="1166" w:type="pct"/>
            <w:tcBorders>
              <w:bottom w:val="single" w:sz="4" w:space="0" w:color="1B556B" w:themeColor="text2"/>
            </w:tcBorders>
          </w:tcPr>
          <w:p w14:paraId="05963D27" w14:textId="77777777" w:rsidR="001003F8" w:rsidRPr="005C5E32" w:rsidRDefault="001003F8" w:rsidP="00277EC5">
            <w:pPr>
              <w:pStyle w:val="TableText"/>
            </w:pPr>
            <w:r w:rsidRPr="005C5E32">
              <w:t>Not achieved</w:t>
            </w:r>
          </w:p>
        </w:tc>
        <w:tc>
          <w:tcPr>
            <w:tcW w:w="1166" w:type="pct"/>
            <w:tcBorders>
              <w:bottom w:val="single" w:sz="4" w:space="0" w:color="1B556B" w:themeColor="text2"/>
            </w:tcBorders>
          </w:tcPr>
          <w:p w14:paraId="6FB4B58A" w14:textId="77777777" w:rsidR="001003F8" w:rsidRPr="005C5E32" w:rsidRDefault="001003F8" w:rsidP="00277EC5">
            <w:pPr>
              <w:pStyle w:val="TableText"/>
            </w:pPr>
            <w:r w:rsidRPr="005C5E32">
              <w:t>No more than 6 months</w:t>
            </w:r>
          </w:p>
        </w:tc>
        <w:tc>
          <w:tcPr>
            <w:tcW w:w="1250" w:type="pct"/>
            <w:tcBorders>
              <w:bottom w:val="single" w:sz="4" w:space="0" w:color="1B556B" w:themeColor="text2"/>
            </w:tcBorders>
          </w:tcPr>
          <w:p w14:paraId="02A56E11" w14:textId="77777777" w:rsidR="001003F8" w:rsidRPr="005C5E32" w:rsidRDefault="001003F8">
            <w:pPr>
              <w:pStyle w:val="TableText"/>
            </w:pPr>
            <w:r w:rsidRPr="005C5E32">
              <w:t>Achieved</w:t>
            </w:r>
          </w:p>
        </w:tc>
      </w:tr>
      <w:tr w:rsidR="001003F8" w:rsidRPr="005C5E32" w14:paraId="12C12F9F" w14:textId="77777777" w:rsidTr="003D0CC1">
        <w:tc>
          <w:tcPr>
            <w:tcW w:w="5000" w:type="pct"/>
            <w:gridSpan w:val="4"/>
            <w:tcBorders>
              <w:bottom w:val="single" w:sz="12" w:space="0" w:color="1B556B" w:themeColor="text2"/>
            </w:tcBorders>
            <w:shd w:val="clear" w:color="auto" w:fill="D2DDE1" w:themeFill="background2"/>
          </w:tcPr>
          <w:p w14:paraId="796E2CFF" w14:textId="68C0BD65" w:rsidR="001003F8" w:rsidRPr="005C5E32" w:rsidRDefault="001003F8" w:rsidP="003D0CC1">
            <w:pPr>
              <w:pStyle w:val="TableText"/>
            </w:pPr>
            <w:r w:rsidRPr="005C5E32">
              <w:rPr>
                <w:b/>
                <w:bCs/>
              </w:rPr>
              <w:t>2025/26 commentary:</w:t>
            </w:r>
            <w:r w:rsidRPr="005C5E32">
              <w:t xml:space="preserve"> The National Monitoring System</w:t>
            </w:r>
            <w:r w:rsidRPr="005C5E32" w:rsidDel="00B67388">
              <w:t xml:space="preserve"> </w:t>
            </w:r>
            <w:r w:rsidRPr="005C5E32">
              <w:t xml:space="preserve">data were released six months after </w:t>
            </w:r>
            <w:r w:rsidR="00D90ADE" w:rsidRPr="005C5E32">
              <w:t xml:space="preserve">we </w:t>
            </w:r>
            <w:r w:rsidRPr="005C5E32">
              <w:t>receiv</w:t>
            </w:r>
            <w:r w:rsidR="00D90ADE" w:rsidRPr="005C5E32">
              <w:t>ed</w:t>
            </w:r>
            <w:r w:rsidRPr="005C5E32">
              <w:t xml:space="preserve"> the final submission from local authorities. The information is publicly available on </w:t>
            </w:r>
            <w:r w:rsidR="001236F7" w:rsidRPr="005C5E32">
              <w:t xml:space="preserve">the Ministry’s </w:t>
            </w:r>
            <w:hyperlink r:id="rId62" w:history="1">
              <w:r w:rsidRPr="005C5E32">
                <w:rPr>
                  <w:rStyle w:val="Hyperlink"/>
                </w:rPr>
                <w:t>National Monitoring System</w:t>
              </w:r>
            </w:hyperlink>
            <w:r w:rsidRPr="005C5E32">
              <w:t xml:space="preserve"> webpage.</w:t>
            </w:r>
          </w:p>
        </w:tc>
      </w:tr>
      <w:tr w:rsidR="001003F8" w:rsidRPr="005C5E32" w14:paraId="0B3668AE" w14:textId="77777777" w:rsidTr="007D0234">
        <w:tc>
          <w:tcPr>
            <w:tcW w:w="1417" w:type="pct"/>
            <w:tcBorders>
              <w:top w:val="single" w:sz="12" w:space="0" w:color="1B556B" w:themeColor="text2"/>
              <w:bottom w:val="single" w:sz="4" w:space="0" w:color="1B556B" w:themeColor="text2"/>
            </w:tcBorders>
          </w:tcPr>
          <w:p w14:paraId="184C9957" w14:textId="77777777" w:rsidR="001003F8" w:rsidRPr="005C5E32" w:rsidRDefault="001003F8" w:rsidP="007D0234">
            <w:pPr>
              <w:pStyle w:val="TableText"/>
              <w:spacing w:before="40" w:after="40"/>
              <w:rPr>
                <w:spacing w:val="-2"/>
              </w:rPr>
            </w:pPr>
            <w:r w:rsidRPr="005C5E32">
              <w:rPr>
                <w:spacing w:val="-2"/>
              </w:rPr>
              <w:t>Produce environmental reports required by the Environmental Reporting Act 2015</w:t>
            </w:r>
          </w:p>
          <w:p w14:paraId="4DA36962" w14:textId="760C71EE" w:rsidR="001003F8" w:rsidRPr="005C5E32" w:rsidRDefault="001003F8" w:rsidP="007D0234">
            <w:pPr>
              <w:pStyle w:val="Tablegreen"/>
              <w:spacing w:before="40" w:after="40"/>
              <w:rPr>
                <w:i/>
                <w:iCs/>
              </w:rPr>
            </w:pPr>
            <w:hyperlink w:anchor="_Note_5_–" w:history="1">
              <w:r w:rsidRPr="005C5E32">
                <w:rPr>
                  <w:rStyle w:val="Hyperlink"/>
                  <w:i/>
                  <w:iCs/>
                </w:rPr>
                <w:t>See note 5</w:t>
              </w:r>
            </w:hyperlink>
          </w:p>
        </w:tc>
        <w:tc>
          <w:tcPr>
            <w:tcW w:w="1166" w:type="pct"/>
            <w:tcBorders>
              <w:top w:val="single" w:sz="12" w:space="0" w:color="1B556B" w:themeColor="text2"/>
              <w:bottom w:val="single" w:sz="4" w:space="0" w:color="1B556B" w:themeColor="text2"/>
            </w:tcBorders>
          </w:tcPr>
          <w:p w14:paraId="110EB915" w14:textId="77777777" w:rsidR="001003F8" w:rsidRPr="005C5E32" w:rsidRDefault="001003F8" w:rsidP="007D0234">
            <w:pPr>
              <w:pStyle w:val="TableText"/>
              <w:spacing w:before="40" w:after="40"/>
            </w:pPr>
            <w:r w:rsidRPr="005C5E32">
              <w:t>Achieved</w:t>
            </w:r>
          </w:p>
        </w:tc>
        <w:tc>
          <w:tcPr>
            <w:tcW w:w="1166" w:type="pct"/>
            <w:tcBorders>
              <w:top w:val="single" w:sz="12" w:space="0" w:color="1B556B" w:themeColor="text2"/>
              <w:bottom w:val="single" w:sz="4" w:space="0" w:color="1B556B" w:themeColor="text2"/>
            </w:tcBorders>
          </w:tcPr>
          <w:p w14:paraId="7CDF245B" w14:textId="77777777" w:rsidR="001003F8" w:rsidRPr="005C5E32" w:rsidRDefault="001003F8" w:rsidP="007D0234">
            <w:pPr>
              <w:pStyle w:val="TableText"/>
              <w:spacing w:before="40" w:after="40"/>
            </w:pPr>
            <w:r w:rsidRPr="005C5E32">
              <w:t>Achieved</w:t>
            </w:r>
          </w:p>
        </w:tc>
        <w:tc>
          <w:tcPr>
            <w:tcW w:w="1250" w:type="pct"/>
            <w:tcBorders>
              <w:top w:val="single" w:sz="12" w:space="0" w:color="1B556B" w:themeColor="text2"/>
              <w:bottom w:val="single" w:sz="4" w:space="0" w:color="1B556B" w:themeColor="text2"/>
            </w:tcBorders>
          </w:tcPr>
          <w:p w14:paraId="1782AD13" w14:textId="77777777" w:rsidR="001003F8" w:rsidRPr="005C5E32" w:rsidRDefault="001003F8" w:rsidP="007D0234">
            <w:pPr>
              <w:pStyle w:val="TableText"/>
              <w:spacing w:before="40" w:after="40"/>
            </w:pPr>
            <w:r w:rsidRPr="005C5E32">
              <w:t>Achieved</w:t>
            </w:r>
          </w:p>
        </w:tc>
      </w:tr>
      <w:tr w:rsidR="001003F8" w:rsidRPr="005C5E32" w14:paraId="42CC1E20" w14:textId="77777777" w:rsidTr="003D0CC1">
        <w:tc>
          <w:tcPr>
            <w:tcW w:w="5000" w:type="pct"/>
            <w:gridSpan w:val="4"/>
            <w:tcBorders>
              <w:bottom w:val="single" w:sz="12" w:space="0" w:color="1B556B" w:themeColor="text2"/>
            </w:tcBorders>
            <w:shd w:val="clear" w:color="auto" w:fill="D2DDE1" w:themeFill="background2"/>
          </w:tcPr>
          <w:p w14:paraId="415A8638" w14:textId="77777777" w:rsidR="001003F8" w:rsidRPr="005C5E32" w:rsidRDefault="001003F8" w:rsidP="003D0CC1">
            <w:pPr>
              <w:pStyle w:val="TableText"/>
            </w:pPr>
            <w:r w:rsidRPr="005C5E32">
              <w:rPr>
                <w:b/>
                <w:bCs/>
              </w:rPr>
              <w:t>2025/26 commentary:</w:t>
            </w:r>
            <w:r w:rsidRPr="005C5E32">
              <w:t xml:space="preserve"> Two reports were published under the Environmental Reporting Act 2015:</w:t>
            </w:r>
          </w:p>
          <w:p w14:paraId="48DBF639" w14:textId="17C3C7AC" w:rsidR="001003F8" w:rsidRPr="005C5E32" w:rsidRDefault="001003F8">
            <w:pPr>
              <w:pStyle w:val="TableText"/>
              <w:numPr>
                <w:ilvl w:val="0"/>
                <w:numId w:val="22"/>
              </w:numPr>
              <w:spacing w:before="0" w:after="40"/>
              <w:ind w:left="284" w:hanging="284"/>
            </w:pPr>
            <w:hyperlink r:id="rId63" w:history="1">
              <w:r w:rsidRPr="005C5E32">
                <w:rPr>
                  <w:rStyle w:val="Hyperlink"/>
                  <w:rFonts w:cstheme="minorBidi"/>
                  <w:i/>
                  <w:iCs/>
                  <w:szCs w:val="22"/>
                </w:rPr>
                <w:t xml:space="preserve">Our </w:t>
              </w:r>
              <w:r w:rsidR="00921F9D" w:rsidRPr="005C5E32">
                <w:rPr>
                  <w:rStyle w:val="Hyperlink"/>
                  <w:i/>
                  <w:iCs/>
                </w:rPr>
                <w:t xml:space="preserve">Marine Environment </w:t>
              </w:r>
              <w:r w:rsidRPr="005C5E32">
                <w:rPr>
                  <w:rStyle w:val="Hyperlink"/>
                  <w:i/>
                  <w:iCs/>
                </w:rPr>
                <w:t>202</w:t>
              </w:r>
              <w:r w:rsidRPr="005C5E32">
                <w:rPr>
                  <w:rStyle w:val="Hyperlink"/>
                  <w:i/>
                </w:rPr>
                <w:t>5</w:t>
              </w:r>
            </w:hyperlink>
            <w:r w:rsidRPr="005C5E32">
              <w:t xml:space="preserve"> (October 2025)</w:t>
            </w:r>
          </w:p>
          <w:p w14:paraId="3981C76B" w14:textId="05CDFD43" w:rsidR="001003F8" w:rsidRPr="005C5E32" w:rsidRDefault="00921F9D">
            <w:pPr>
              <w:pStyle w:val="TableText"/>
              <w:numPr>
                <w:ilvl w:val="0"/>
                <w:numId w:val="22"/>
              </w:numPr>
              <w:spacing w:before="0" w:after="40"/>
              <w:ind w:left="284" w:hanging="284"/>
            </w:pPr>
            <w:hyperlink r:id="rId64" w:history="1">
              <w:r w:rsidRPr="005C5E32">
                <w:rPr>
                  <w:rStyle w:val="Hyperlink"/>
                  <w:i/>
                  <w:iCs/>
                </w:rPr>
                <w:t>Our Freshwater 2026</w:t>
              </w:r>
            </w:hyperlink>
            <w:r w:rsidR="001003F8" w:rsidRPr="005C5E32">
              <w:rPr>
                <w:i/>
                <w:iCs/>
              </w:rPr>
              <w:t xml:space="preserve"> </w:t>
            </w:r>
            <w:r w:rsidR="001003F8" w:rsidRPr="005C5E32">
              <w:t>(April 2026)</w:t>
            </w:r>
            <w:r w:rsidR="00D90ADE" w:rsidRPr="005C5E32">
              <w:t>.</w:t>
            </w:r>
          </w:p>
        </w:tc>
      </w:tr>
    </w:tbl>
    <w:p w14:paraId="2BAC8BB1" w14:textId="77777777" w:rsidR="001003F8" w:rsidRPr="005C5E32" w:rsidRDefault="001003F8" w:rsidP="007D0234">
      <w:pPr>
        <w:pStyle w:val="Heading5"/>
        <w:spacing w:after="120"/>
      </w:pPr>
      <w:bookmarkStart w:id="130" w:name="_Resource_management_system"/>
      <w:bookmarkStart w:id="131" w:name="_Resource_management"/>
      <w:bookmarkStart w:id="132" w:name="_Toc173852910"/>
      <w:bookmarkStart w:id="133" w:name="_Toc173931479"/>
      <w:bookmarkStart w:id="134" w:name="_Toc173932213"/>
      <w:bookmarkEnd w:id="130"/>
      <w:bookmarkEnd w:id="131"/>
      <w:r w:rsidRPr="005C5E32">
        <w:lastRenderedPageBreak/>
        <w:t xml:space="preserve">Resource management </w:t>
      </w:r>
      <w:bookmarkEnd w:id="132"/>
      <w:bookmarkEnd w:id="133"/>
      <w:bookmarkEnd w:id="134"/>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3120"/>
        <w:gridCol w:w="1983"/>
        <w:gridCol w:w="1560"/>
        <w:gridCol w:w="1842"/>
      </w:tblGrid>
      <w:tr w:rsidR="001003F8" w:rsidRPr="005C5E32" w14:paraId="5D993EE4" w14:textId="77777777" w:rsidTr="002E5436">
        <w:tc>
          <w:tcPr>
            <w:tcW w:w="1834" w:type="pct"/>
            <w:shd w:val="clear" w:color="auto" w:fill="1B556B" w:themeFill="text2"/>
          </w:tcPr>
          <w:p w14:paraId="1577C584" w14:textId="77777777" w:rsidR="001003F8" w:rsidRPr="005C5E32" w:rsidRDefault="001003F8" w:rsidP="002E5436">
            <w:pPr>
              <w:pStyle w:val="TableTextbold"/>
              <w:keepNext/>
              <w:rPr>
                <w:color w:val="FFFFFF" w:themeColor="background1"/>
              </w:rPr>
            </w:pPr>
            <w:r w:rsidRPr="005C5E32">
              <w:rPr>
                <w:color w:val="FFFFFF" w:themeColor="background1"/>
              </w:rPr>
              <w:t>Performance measure</w:t>
            </w:r>
          </w:p>
        </w:tc>
        <w:tc>
          <w:tcPr>
            <w:tcW w:w="1166" w:type="pct"/>
            <w:shd w:val="clear" w:color="auto" w:fill="1B556B" w:themeFill="text2"/>
          </w:tcPr>
          <w:p w14:paraId="2EE125FB" w14:textId="77777777" w:rsidR="001003F8" w:rsidRPr="005C5E32" w:rsidRDefault="001003F8" w:rsidP="002E5436">
            <w:pPr>
              <w:pStyle w:val="TableTextbold"/>
              <w:keepNext/>
              <w:rPr>
                <w:color w:val="FFFFFF" w:themeColor="background1"/>
              </w:rPr>
            </w:pPr>
            <w:r w:rsidRPr="005C5E32">
              <w:rPr>
                <w:color w:val="FFFFFF" w:themeColor="background1"/>
              </w:rPr>
              <w:t>2024/25 performance</w:t>
            </w:r>
          </w:p>
        </w:tc>
        <w:tc>
          <w:tcPr>
            <w:tcW w:w="917" w:type="pct"/>
            <w:shd w:val="clear" w:color="auto" w:fill="1B556B" w:themeFill="text2"/>
          </w:tcPr>
          <w:p w14:paraId="0E7ADD89" w14:textId="77777777" w:rsidR="001003F8" w:rsidRPr="005C5E32" w:rsidRDefault="001003F8" w:rsidP="002E5436">
            <w:pPr>
              <w:pStyle w:val="TableTextbold"/>
              <w:keepNext/>
              <w:rPr>
                <w:color w:val="FFFFFF" w:themeColor="background1"/>
              </w:rPr>
            </w:pPr>
            <w:r w:rsidRPr="005C5E32">
              <w:rPr>
                <w:color w:val="FFFFFF" w:themeColor="background1"/>
              </w:rPr>
              <w:t>2025/26 target</w:t>
            </w:r>
          </w:p>
        </w:tc>
        <w:tc>
          <w:tcPr>
            <w:tcW w:w="1083" w:type="pct"/>
            <w:shd w:val="clear" w:color="auto" w:fill="1B556B" w:themeFill="text2"/>
          </w:tcPr>
          <w:p w14:paraId="1A9191F6" w14:textId="77777777" w:rsidR="001003F8" w:rsidRPr="005C5E32" w:rsidRDefault="001003F8" w:rsidP="002E5436">
            <w:pPr>
              <w:pStyle w:val="TableTextbold"/>
              <w:keepNext/>
              <w:rPr>
                <w:color w:val="FFFFFF" w:themeColor="background1"/>
              </w:rPr>
            </w:pPr>
            <w:r w:rsidRPr="005C5E32">
              <w:rPr>
                <w:color w:val="FFFFFF" w:themeColor="background1"/>
              </w:rPr>
              <w:t>2025/26 performance</w:t>
            </w:r>
          </w:p>
        </w:tc>
      </w:tr>
      <w:tr w:rsidR="001003F8" w:rsidRPr="005C5E32" w14:paraId="640C7EA9" w14:textId="77777777" w:rsidTr="002E5436">
        <w:tc>
          <w:tcPr>
            <w:tcW w:w="1834" w:type="pct"/>
            <w:tcBorders>
              <w:top w:val="single" w:sz="4" w:space="0" w:color="1B556B" w:themeColor="text2"/>
              <w:left w:val="nil"/>
              <w:bottom w:val="single" w:sz="4" w:space="0" w:color="1B556B" w:themeColor="text2"/>
              <w:right w:val="single" w:sz="0" w:space="0" w:color="000000" w:themeColor="text1"/>
            </w:tcBorders>
          </w:tcPr>
          <w:p w14:paraId="5B0E9754" w14:textId="77777777" w:rsidR="001003F8" w:rsidRPr="005C5E32" w:rsidRDefault="001003F8" w:rsidP="002E5436">
            <w:pPr>
              <w:pStyle w:val="TableText"/>
              <w:keepNext/>
              <w:spacing w:before="40" w:after="40" w:line="234" w:lineRule="atLeast"/>
            </w:pPr>
            <w:r w:rsidRPr="005C5E32">
              <w:t>Introduce the Planning Bill and Natural Environment Bill by December 2025</w:t>
            </w:r>
          </w:p>
        </w:tc>
        <w:tc>
          <w:tcPr>
            <w:tcW w:w="1166" w:type="pct"/>
            <w:tcBorders>
              <w:top w:val="single" w:sz="4" w:space="0" w:color="1B556B" w:themeColor="text2"/>
              <w:left w:val="single" w:sz="0" w:space="0" w:color="000000" w:themeColor="text1"/>
              <w:bottom w:val="single" w:sz="4" w:space="0" w:color="1B556B" w:themeColor="text2"/>
              <w:right w:val="single" w:sz="0" w:space="0" w:color="000000" w:themeColor="text1"/>
            </w:tcBorders>
          </w:tcPr>
          <w:p w14:paraId="59D05DF0" w14:textId="77777777" w:rsidR="001003F8" w:rsidRPr="005C5E32" w:rsidRDefault="001003F8" w:rsidP="002E5436">
            <w:pPr>
              <w:pStyle w:val="TableText"/>
              <w:keepNext/>
              <w:spacing w:before="40" w:after="40" w:line="234" w:lineRule="atLeast"/>
            </w:pPr>
            <w:r w:rsidRPr="005C5E32">
              <w:t>New measure</w:t>
            </w:r>
          </w:p>
        </w:tc>
        <w:tc>
          <w:tcPr>
            <w:tcW w:w="917" w:type="pct"/>
            <w:tcBorders>
              <w:top w:val="single" w:sz="4" w:space="0" w:color="1B556B" w:themeColor="text2"/>
              <w:left w:val="single" w:sz="0" w:space="0" w:color="000000" w:themeColor="text1"/>
              <w:bottom w:val="single" w:sz="4" w:space="0" w:color="1B556B" w:themeColor="text2"/>
              <w:right w:val="single" w:sz="0" w:space="0" w:color="000000" w:themeColor="text1"/>
            </w:tcBorders>
          </w:tcPr>
          <w:p w14:paraId="29B093A9" w14:textId="77777777" w:rsidR="001003F8" w:rsidRPr="005C5E32" w:rsidRDefault="001003F8" w:rsidP="002E5436">
            <w:pPr>
              <w:pStyle w:val="TableText"/>
              <w:keepNext/>
              <w:spacing w:before="40" w:after="40" w:line="234" w:lineRule="atLeast"/>
            </w:pPr>
            <w:r w:rsidRPr="005C5E32">
              <w:t>Achieved</w:t>
            </w:r>
          </w:p>
        </w:tc>
        <w:tc>
          <w:tcPr>
            <w:tcW w:w="1083" w:type="pct"/>
            <w:tcBorders>
              <w:top w:val="single" w:sz="4" w:space="0" w:color="1B556B" w:themeColor="text2"/>
              <w:left w:val="single" w:sz="0" w:space="0" w:color="000000" w:themeColor="text1"/>
              <w:bottom w:val="single" w:sz="4" w:space="0" w:color="1B556B" w:themeColor="text2"/>
              <w:right w:val="nil"/>
            </w:tcBorders>
            <w:shd w:val="clear" w:color="auto" w:fill="FFFFFF" w:themeFill="background1"/>
          </w:tcPr>
          <w:p w14:paraId="761D7B34" w14:textId="77777777" w:rsidR="001003F8" w:rsidRPr="005C5E32" w:rsidRDefault="001003F8" w:rsidP="002E5436">
            <w:pPr>
              <w:pStyle w:val="TableText"/>
              <w:keepNext/>
              <w:spacing w:before="40" w:after="40" w:line="234" w:lineRule="atLeast"/>
            </w:pPr>
            <w:r w:rsidRPr="005C5E32">
              <w:t>Achieved</w:t>
            </w:r>
          </w:p>
        </w:tc>
      </w:tr>
      <w:tr w:rsidR="001003F8" w:rsidRPr="005C5E32" w14:paraId="70735D0C" w14:textId="77777777" w:rsidTr="005734DC">
        <w:tc>
          <w:tcPr>
            <w:tcW w:w="5000" w:type="pct"/>
            <w:gridSpan w:val="4"/>
            <w:tcBorders>
              <w:bottom w:val="single" w:sz="12" w:space="0" w:color="1B556B" w:themeColor="text2"/>
            </w:tcBorders>
            <w:shd w:val="clear" w:color="auto" w:fill="D2DDE1" w:themeFill="background2"/>
          </w:tcPr>
          <w:p w14:paraId="4638805C" w14:textId="7C2430EA" w:rsidR="001003F8" w:rsidRPr="005C5E32" w:rsidRDefault="001003F8" w:rsidP="002E5436">
            <w:pPr>
              <w:pStyle w:val="TableText"/>
              <w:keepNext/>
              <w:spacing w:before="40" w:after="40" w:line="234" w:lineRule="atLeast"/>
            </w:pPr>
            <w:r w:rsidRPr="005C5E32">
              <w:rPr>
                <w:b/>
                <w:bCs/>
              </w:rPr>
              <w:t>2025/26 commentary:</w:t>
            </w:r>
            <w:r w:rsidRPr="005C5E32">
              <w:t xml:space="preserve"> Both Bills were introduced on 9 December 2025. </w:t>
            </w:r>
            <w:r w:rsidR="00D90ADE" w:rsidRPr="005C5E32">
              <w:t>For updates on the progress on each one, s</w:t>
            </w:r>
            <w:r w:rsidRPr="005C5E32">
              <w:t>ee Parliament</w:t>
            </w:r>
            <w:r w:rsidR="00F33A19" w:rsidRPr="005C5E32">
              <w:t>’s</w:t>
            </w:r>
            <w:r w:rsidRPr="005C5E32" w:rsidDel="00F33A19">
              <w:t xml:space="preserve"> </w:t>
            </w:r>
            <w:hyperlink r:id="rId65" w:history="1">
              <w:r w:rsidRPr="005C5E32">
                <w:rPr>
                  <w:rStyle w:val="Hyperlink"/>
                </w:rPr>
                <w:t>Natural Environment Bill</w:t>
              </w:r>
            </w:hyperlink>
            <w:r w:rsidRPr="005C5E32">
              <w:t xml:space="preserve"> </w:t>
            </w:r>
            <w:r w:rsidR="00F33A19" w:rsidRPr="005C5E32">
              <w:t xml:space="preserve">webpage </w:t>
            </w:r>
            <w:r w:rsidRPr="005C5E32">
              <w:t xml:space="preserve">and </w:t>
            </w:r>
            <w:hyperlink r:id="rId66" w:history="1">
              <w:r w:rsidRPr="005C5E32">
                <w:rPr>
                  <w:rStyle w:val="Hyperlink"/>
                </w:rPr>
                <w:t>Planning Bill</w:t>
              </w:r>
            </w:hyperlink>
            <w:r w:rsidR="00F33A19" w:rsidRPr="005C5E32">
              <w:t xml:space="preserve"> webpage</w:t>
            </w:r>
            <w:r w:rsidRPr="005C5E32">
              <w:t>.</w:t>
            </w:r>
          </w:p>
          <w:p w14:paraId="4E641480" w14:textId="73AC6EDB" w:rsidR="00761085" w:rsidRPr="005C5E32" w:rsidRDefault="00761085" w:rsidP="002E5436">
            <w:pPr>
              <w:pStyle w:val="TableText"/>
              <w:keepNext/>
              <w:spacing w:before="40" w:after="40" w:line="234" w:lineRule="atLeast"/>
            </w:pPr>
            <w:r w:rsidRPr="005C5E32">
              <w:t>This measure was introduced to track progress on replacing the Resource Management Act 1991 and serves to demonstrate delivery of the Government's primary legislative reform milestone.</w:t>
            </w:r>
          </w:p>
        </w:tc>
      </w:tr>
      <w:tr w:rsidR="001003F8" w:rsidRPr="005C5E32" w14:paraId="32AC1DF6" w14:textId="77777777" w:rsidTr="002E5436">
        <w:tc>
          <w:tcPr>
            <w:tcW w:w="1834" w:type="pct"/>
            <w:tcBorders>
              <w:top w:val="single" w:sz="12" w:space="0" w:color="1B556B" w:themeColor="text2"/>
              <w:bottom w:val="single" w:sz="4" w:space="0" w:color="1B556B" w:themeColor="text2"/>
            </w:tcBorders>
          </w:tcPr>
          <w:p w14:paraId="14C57A71" w14:textId="77777777" w:rsidR="001003F8" w:rsidRPr="005C5E32" w:rsidRDefault="001003F8" w:rsidP="00100B20">
            <w:pPr>
              <w:pStyle w:val="TableText"/>
              <w:spacing w:before="40" w:after="40" w:line="234" w:lineRule="atLeast"/>
            </w:pPr>
            <w:r w:rsidRPr="005C5E32">
              <w:t>Enact the Resource Management (Consenting and Other System Changes) Amendment Bill</w:t>
            </w:r>
          </w:p>
        </w:tc>
        <w:tc>
          <w:tcPr>
            <w:tcW w:w="1166" w:type="pct"/>
            <w:tcBorders>
              <w:top w:val="single" w:sz="12" w:space="0" w:color="1B556B" w:themeColor="text2"/>
              <w:bottom w:val="single" w:sz="4" w:space="0" w:color="1B556B" w:themeColor="text2"/>
            </w:tcBorders>
          </w:tcPr>
          <w:p w14:paraId="76F6F5DF" w14:textId="77777777" w:rsidR="001003F8" w:rsidRPr="005C5E32" w:rsidRDefault="001003F8" w:rsidP="00100B20">
            <w:pPr>
              <w:pStyle w:val="TableText"/>
              <w:spacing w:before="40" w:after="40" w:line="234" w:lineRule="atLeast"/>
            </w:pPr>
            <w:r w:rsidRPr="005C5E32">
              <w:t>New measure</w:t>
            </w:r>
          </w:p>
        </w:tc>
        <w:tc>
          <w:tcPr>
            <w:tcW w:w="917" w:type="pct"/>
            <w:tcBorders>
              <w:top w:val="single" w:sz="12" w:space="0" w:color="1B556B" w:themeColor="text2"/>
              <w:bottom w:val="single" w:sz="4" w:space="0" w:color="1B556B" w:themeColor="text2"/>
            </w:tcBorders>
          </w:tcPr>
          <w:p w14:paraId="7B436E62" w14:textId="77777777" w:rsidR="001003F8" w:rsidRPr="005C5E32" w:rsidRDefault="001003F8" w:rsidP="00100B20">
            <w:pPr>
              <w:pStyle w:val="TableText"/>
              <w:spacing w:before="40" w:after="40" w:line="234" w:lineRule="atLeast"/>
            </w:pPr>
            <w:r w:rsidRPr="005C5E32" w:rsidDel="007A426E">
              <w:t>A</w:t>
            </w:r>
            <w:r w:rsidRPr="005C5E32">
              <w:t>chieved</w:t>
            </w:r>
          </w:p>
        </w:tc>
        <w:tc>
          <w:tcPr>
            <w:tcW w:w="1083" w:type="pct"/>
            <w:tcBorders>
              <w:top w:val="single" w:sz="12" w:space="0" w:color="1B556B" w:themeColor="text2"/>
              <w:bottom w:val="single" w:sz="4" w:space="0" w:color="1B556B" w:themeColor="text2"/>
            </w:tcBorders>
          </w:tcPr>
          <w:p w14:paraId="64EEA7E6" w14:textId="77777777" w:rsidR="001003F8" w:rsidRPr="005C5E32" w:rsidRDefault="001003F8" w:rsidP="00100B20">
            <w:pPr>
              <w:pStyle w:val="TableText"/>
              <w:spacing w:before="40" w:after="40" w:line="234" w:lineRule="atLeast"/>
            </w:pPr>
            <w:r w:rsidRPr="005C5E32">
              <w:t>Achieved</w:t>
            </w:r>
          </w:p>
        </w:tc>
      </w:tr>
      <w:tr w:rsidR="001003F8" w:rsidRPr="005C5E32" w14:paraId="5BC89831" w14:textId="77777777">
        <w:tc>
          <w:tcPr>
            <w:tcW w:w="5000" w:type="pct"/>
            <w:gridSpan w:val="4"/>
            <w:shd w:val="clear" w:color="auto" w:fill="D2DDE1" w:themeFill="background2"/>
          </w:tcPr>
          <w:p w14:paraId="26374746" w14:textId="77777777" w:rsidR="001003F8" w:rsidRPr="005C5E32" w:rsidRDefault="001003F8" w:rsidP="00100B20">
            <w:pPr>
              <w:pStyle w:val="TableText"/>
              <w:spacing w:line="234" w:lineRule="atLeast"/>
            </w:pPr>
            <w:r w:rsidRPr="005C5E32">
              <w:rPr>
                <w:b/>
                <w:bCs/>
              </w:rPr>
              <w:t>2025/26 commentary:</w:t>
            </w:r>
            <w:r w:rsidRPr="005C5E32">
              <w:t xml:space="preserve"> The </w:t>
            </w:r>
            <w:hyperlink r:id="rId67" w:anchor="LMS1014951" w:history="1">
              <w:r w:rsidRPr="005C5E32">
                <w:rPr>
                  <w:rStyle w:val="Hyperlink"/>
                  <w:rFonts w:cstheme="minorBidi"/>
                  <w:szCs w:val="22"/>
                </w:rPr>
                <w:t>Resource Management (Consenting and Other System Changes) Amendment Act 2025</w:t>
              </w:r>
            </w:hyperlink>
            <w:r w:rsidRPr="005C5E32">
              <w:t xml:space="preserve"> was passed into law on 20 August 2025.</w:t>
            </w:r>
          </w:p>
          <w:p w14:paraId="1006466E" w14:textId="3B87E930" w:rsidR="00761085" w:rsidRPr="005C5E32" w:rsidRDefault="00761085" w:rsidP="00100B20">
            <w:pPr>
              <w:pStyle w:val="TableText"/>
              <w:spacing w:before="40" w:after="40" w:line="234" w:lineRule="atLeast"/>
            </w:pPr>
            <w:r w:rsidRPr="005C5E32">
              <w:t>This measure was introduced to track implementation of immediate improvements to the existing resource management system and serves to demonstrate progress in reducing consenting delays and barriers while broader reforms are developed.</w:t>
            </w:r>
          </w:p>
        </w:tc>
      </w:tr>
      <w:tr w:rsidR="001003F8" w:rsidRPr="005C5E32" w14:paraId="4FDDC13E" w14:textId="77777777" w:rsidTr="002E5436">
        <w:tc>
          <w:tcPr>
            <w:tcW w:w="1834" w:type="pct"/>
            <w:tcBorders>
              <w:top w:val="single" w:sz="12" w:space="0" w:color="1B556B" w:themeColor="text2"/>
              <w:bottom w:val="single" w:sz="4" w:space="0" w:color="1B556B" w:themeColor="text2"/>
            </w:tcBorders>
          </w:tcPr>
          <w:p w14:paraId="39836C6A" w14:textId="1C7634EE" w:rsidR="001003F8" w:rsidRPr="005C5E32" w:rsidRDefault="001003F8" w:rsidP="00100B20">
            <w:pPr>
              <w:pStyle w:val="TableText"/>
              <w:spacing w:before="40" w:after="40" w:line="234" w:lineRule="atLeast"/>
            </w:pPr>
            <w:bookmarkStart w:id="135" w:name="_Freshwater_farm_plans"/>
            <w:bookmarkEnd w:id="135"/>
            <w:r w:rsidRPr="005C5E32">
              <w:t xml:space="preserve">National </w:t>
            </w:r>
            <w:r w:rsidRPr="005C5E32" w:rsidDel="005840F7">
              <w:t>D</w:t>
            </w:r>
            <w:r w:rsidRPr="005C5E32">
              <w:t xml:space="preserve">irection package under the </w:t>
            </w:r>
            <w:r w:rsidRPr="005C5E32" w:rsidDel="005840F7">
              <w:t xml:space="preserve">Resource Management Act </w:t>
            </w:r>
            <w:r w:rsidRPr="005C5E32">
              <w:t>is progressed to Cabinet for decision with the aim of removing planning barriers for infrastructure, development and primary sector activities and making consenting less complex and costly</w:t>
            </w:r>
          </w:p>
        </w:tc>
        <w:tc>
          <w:tcPr>
            <w:tcW w:w="1166" w:type="pct"/>
            <w:tcBorders>
              <w:top w:val="single" w:sz="12" w:space="0" w:color="1B556B" w:themeColor="text2"/>
              <w:bottom w:val="single" w:sz="4" w:space="0" w:color="1B556B" w:themeColor="text2"/>
            </w:tcBorders>
          </w:tcPr>
          <w:p w14:paraId="01E2E578" w14:textId="77777777" w:rsidR="001003F8" w:rsidRPr="005C5E32" w:rsidRDefault="001003F8" w:rsidP="00100B20">
            <w:pPr>
              <w:pStyle w:val="TableText"/>
              <w:spacing w:before="40" w:after="40" w:line="234" w:lineRule="atLeast"/>
            </w:pPr>
            <w:r w:rsidRPr="005C5E32">
              <w:t>New measure</w:t>
            </w:r>
          </w:p>
        </w:tc>
        <w:tc>
          <w:tcPr>
            <w:tcW w:w="917" w:type="pct"/>
            <w:tcBorders>
              <w:top w:val="single" w:sz="12" w:space="0" w:color="1B556B" w:themeColor="text2"/>
              <w:bottom w:val="single" w:sz="4" w:space="0" w:color="1B556B" w:themeColor="text2"/>
            </w:tcBorders>
          </w:tcPr>
          <w:p w14:paraId="7889E097" w14:textId="77777777" w:rsidR="001003F8" w:rsidRPr="005C5E32" w:rsidRDefault="001003F8" w:rsidP="00100B20">
            <w:pPr>
              <w:pStyle w:val="TableText"/>
              <w:spacing w:before="40" w:after="40" w:line="234" w:lineRule="atLeast"/>
            </w:pPr>
            <w:r w:rsidRPr="005C5E32">
              <w:t>Achieved</w:t>
            </w:r>
          </w:p>
        </w:tc>
        <w:tc>
          <w:tcPr>
            <w:tcW w:w="1083" w:type="pct"/>
            <w:tcBorders>
              <w:top w:val="single" w:sz="12" w:space="0" w:color="1B556B" w:themeColor="text2"/>
              <w:bottom w:val="single" w:sz="4" w:space="0" w:color="1B556B" w:themeColor="text2"/>
            </w:tcBorders>
          </w:tcPr>
          <w:p w14:paraId="5C7A034E" w14:textId="77777777" w:rsidR="001003F8" w:rsidRPr="005C5E32" w:rsidRDefault="001003F8" w:rsidP="00100B20">
            <w:pPr>
              <w:pStyle w:val="TableText"/>
              <w:spacing w:before="40" w:after="40" w:line="234" w:lineRule="atLeast"/>
            </w:pPr>
            <w:r w:rsidRPr="005C5E32">
              <w:t>Achieved</w:t>
            </w:r>
          </w:p>
        </w:tc>
      </w:tr>
      <w:tr w:rsidR="001003F8" w:rsidRPr="005C5E32" w14:paraId="2A225B69" w14:textId="77777777">
        <w:tc>
          <w:tcPr>
            <w:tcW w:w="5000" w:type="pct"/>
            <w:gridSpan w:val="4"/>
            <w:tcBorders>
              <w:bottom w:val="single" w:sz="12" w:space="0" w:color="1B556B" w:themeColor="text2"/>
            </w:tcBorders>
            <w:shd w:val="clear" w:color="auto" w:fill="D2DDE1" w:themeFill="background2"/>
          </w:tcPr>
          <w:p w14:paraId="743E2EAE" w14:textId="6069E368" w:rsidR="001003F8" w:rsidRPr="005C5E32" w:rsidRDefault="001003F8" w:rsidP="00100B20">
            <w:pPr>
              <w:pStyle w:val="TableText"/>
              <w:spacing w:line="234" w:lineRule="atLeast"/>
            </w:pPr>
            <w:r w:rsidRPr="005C5E32">
              <w:rPr>
                <w:b/>
                <w:bCs/>
              </w:rPr>
              <w:t>2025/26 commentary:</w:t>
            </w:r>
            <w:r w:rsidRPr="005C5E32">
              <w:t xml:space="preserve"> National direction consultation took place</w:t>
            </w:r>
            <w:r w:rsidRPr="005C5E32" w:rsidDel="004D5466">
              <w:t xml:space="preserve"> </w:t>
            </w:r>
            <w:r w:rsidRPr="005C5E32">
              <w:t xml:space="preserve">– </w:t>
            </w:r>
            <w:r w:rsidR="004D5466" w:rsidRPr="005C5E32">
              <w:t xml:space="preserve">for further information, </w:t>
            </w:r>
            <w:r w:rsidRPr="005C5E32">
              <w:t>see</w:t>
            </w:r>
            <w:r w:rsidR="004D5466" w:rsidRPr="005C5E32">
              <w:t xml:space="preserve"> the Ministry’s webpage,</w:t>
            </w:r>
            <w:r w:rsidRPr="005C5E32">
              <w:t xml:space="preserve"> </w:t>
            </w:r>
            <w:hyperlink r:id="rId68" w:history="1">
              <w:r w:rsidR="004D5466" w:rsidRPr="005C5E32">
                <w:rPr>
                  <w:rStyle w:val="Hyperlink"/>
                </w:rPr>
                <w:t>RMA National Direction updated</w:t>
              </w:r>
            </w:hyperlink>
            <w:r w:rsidRPr="005C5E32">
              <w:t>. Cabinet decisions have been made on policy</w:t>
            </w:r>
            <w:r w:rsidR="00B57802" w:rsidRPr="005C5E32">
              <w:t>,</w:t>
            </w:r>
            <w:r w:rsidRPr="005C5E32">
              <w:t xml:space="preserve"> including delegation to responsible Ministers. Fourteen new or amended national direction instruments have been gazetted since December 2025.</w:t>
            </w:r>
          </w:p>
          <w:p w14:paraId="094B55AC" w14:textId="436DBA9B" w:rsidR="00F33924" w:rsidRPr="005C5E32" w:rsidRDefault="00F33924" w:rsidP="00100B20">
            <w:pPr>
              <w:pStyle w:val="TableText"/>
              <w:spacing w:line="234" w:lineRule="atLeast"/>
            </w:pPr>
            <w:r w:rsidRPr="005C5E32">
              <w:t>This measure was introduced to monitor progress on updating national direction under the RMA</w:t>
            </w:r>
            <w:r w:rsidR="008F12B8" w:rsidRPr="005C5E32">
              <w:t>. It</w:t>
            </w:r>
            <w:r w:rsidRPr="005C5E32">
              <w:t xml:space="preserve"> demonstrates efforts to streamline planning and consenting processes for infrastructure and development, while supporting growth in the primary sector.</w:t>
            </w:r>
          </w:p>
        </w:tc>
      </w:tr>
      <w:tr w:rsidR="001003F8" w:rsidRPr="005C5E32" w14:paraId="19028083" w14:textId="77777777" w:rsidTr="002E5436">
        <w:tc>
          <w:tcPr>
            <w:tcW w:w="1834" w:type="pct"/>
            <w:tcBorders>
              <w:top w:val="single" w:sz="12" w:space="0" w:color="1B556B" w:themeColor="text2"/>
              <w:bottom w:val="single" w:sz="4" w:space="0" w:color="1B556B" w:themeColor="text2"/>
            </w:tcBorders>
          </w:tcPr>
          <w:p w14:paraId="0319A044" w14:textId="18509F48" w:rsidR="001003F8" w:rsidRPr="005C5E32" w:rsidRDefault="001003F8" w:rsidP="00100B20">
            <w:pPr>
              <w:pStyle w:val="TableText"/>
              <w:spacing w:before="40" w:after="40" w:line="234" w:lineRule="atLeast"/>
            </w:pPr>
            <w:r w:rsidRPr="005C5E32">
              <w:t>Complete Programme Business Case to enable the Ministry to efficiently and effectively deliver the reform of the planning system</w:t>
            </w:r>
          </w:p>
        </w:tc>
        <w:tc>
          <w:tcPr>
            <w:tcW w:w="1166" w:type="pct"/>
            <w:tcBorders>
              <w:top w:val="single" w:sz="12" w:space="0" w:color="1B556B" w:themeColor="text2"/>
              <w:bottom w:val="single" w:sz="4" w:space="0" w:color="1B556B" w:themeColor="text2"/>
            </w:tcBorders>
          </w:tcPr>
          <w:p w14:paraId="0926115F" w14:textId="77777777" w:rsidR="001003F8" w:rsidRPr="005C5E32" w:rsidRDefault="001003F8" w:rsidP="00100B20">
            <w:pPr>
              <w:pStyle w:val="TableText"/>
              <w:spacing w:before="40" w:after="40" w:line="234" w:lineRule="atLeast"/>
            </w:pPr>
            <w:r w:rsidRPr="005C5E32">
              <w:t>New measure</w:t>
            </w:r>
          </w:p>
        </w:tc>
        <w:tc>
          <w:tcPr>
            <w:tcW w:w="917" w:type="pct"/>
            <w:tcBorders>
              <w:top w:val="single" w:sz="12" w:space="0" w:color="1B556B" w:themeColor="text2"/>
              <w:bottom w:val="single" w:sz="4" w:space="0" w:color="1B556B" w:themeColor="text2"/>
            </w:tcBorders>
          </w:tcPr>
          <w:p w14:paraId="147513A0" w14:textId="77777777" w:rsidR="001003F8" w:rsidRPr="005C5E32" w:rsidRDefault="001003F8" w:rsidP="00100B20">
            <w:pPr>
              <w:pStyle w:val="TableText"/>
              <w:spacing w:before="40" w:after="40" w:line="234" w:lineRule="atLeast"/>
            </w:pPr>
            <w:r w:rsidRPr="005C5E32">
              <w:t>Achieved</w:t>
            </w:r>
          </w:p>
        </w:tc>
        <w:tc>
          <w:tcPr>
            <w:tcW w:w="1083" w:type="pct"/>
            <w:tcBorders>
              <w:top w:val="single" w:sz="12" w:space="0" w:color="1B556B" w:themeColor="text2"/>
              <w:bottom w:val="single" w:sz="4" w:space="0" w:color="1B556B" w:themeColor="text2"/>
            </w:tcBorders>
          </w:tcPr>
          <w:p w14:paraId="6A7EAEBD" w14:textId="77777777" w:rsidR="001003F8" w:rsidRPr="005C5E32" w:rsidRDefault="001003F8" w:rsidP="00100B20">
            <w:pPr>
              <w:pStyle w:val="TableText"/>
              <w:spacing w:before="40" w:after="40" w:line="234" w:lineRule="atLeast"/>
            </w:pPr>
            <w:r w:rsidRPr="005C5E32">
              <w:t>Achieved</w:t>
            </w:r>
          </w:p>
        </w:tc>
      </w:tr>
      <w:tr w:rsidR="001003F8" w:rsidRPr="005C5E32" w14:paraId="3E139CA6" w14:textId="77777777">
        <w:tc>
          <w:tcPr>
            <w:tcW w:w="5000" w:type="pct"/>
            <w:gridSpan w:val="4"/>
            <w:tcBorders>
              <w:bottom w:val="single" w:sz="12" w:space="0" w:color="1B556B" w:themeColor="text2"/>
            </w:tcBorders>
            <w:shd w:val="clear" w:color="auto" w:fill="D2DDE1" w:themeFill="background2"/>
          </w:tcPr>
          <w:p w14:paraId="19EC0FB3" w14:textId="77777777" w:rsidR="001003F8" w:rsidRPr="005C5E32" w:rsidRDefault="001003F8" w:rsidP="00100B20">
            <w:pPr>
              <w:pStyle w:val="TableText"/>
              <w:spacing w:line="234" w:lineRule="atLeast"/>
            </w:pPr>
            <w:r w:rsidRPr="005C5E32">
              <w:rPr>
                <w:b/>
                <w:bCs/>
              </w:rPr>
              <w:t>2025/26 commentary:</w:t>
            </w:r>
            <w:r w:rsidRPr="005C5E32">
              <w:t xml:space="preserve"> </w:t>
            </w:r>
            <w:r w:rsidR="00B57802" w:rsidRPr="005C5E32">
              <w:t>The p</w:t>
            </w:r>
            <w:r w:rsidRPr="005C5E32">
              <w:t xml:space="preserve">rogramme </w:t>
            </w:r>
            <w:r w:rsidR="00B57802" w:rsidRPr="005C5E32">
              <w:t>b</w:t>
            </w:r>
            <w:r w:rsidRPr="005C5E32">
              <w:t xml:space="preserve">usiness </w:t>
            </w:r>
            <w:r w:rsidR="00B57802" w:rsidRPr="005C5E32">
              <w:t>c</w:t>
            </w:r>
            <w:r w:rsidRPr="005C5E32">
              <w:t>ase was reported to Cabinet in December 2025. Funding was announced as part of Budget 2026</w:t>
            </w:r>
            <w:r w:rsidR="009B7FE8" w:rsidRPr="005C5E32">
              <w:t>, with further information available on the Ministry’s webpage,</w:t>
            </w:r>
            <w:r w:rsidRPr="005C5E32">
              <w:t xml:space="preserve"> </w:t>
            </w:r>
            <w:hyperlink r:id="rId69" w:history="1">
              <w:r w:rsidRPr="005C5E32">
                <w:rPr>
                  <w:rStyle w:val="Hyperlink"/>
                </w:rPr>
                <w:t>Budget 2026 – dig</w:t>
              </w:r>
              <w:bookmarkStart w:id="136" w:name="_Hlt235531295"/>
              <w:bookmarkStart w:id="137" w:name="_Hlt235531296"/>
              <w:r w:rsidRPr="005C5E32">
                <w:rPr>
                  <w:rStyle w:val="Hyperlink"/>
                </w:rPr>
                <w:t>i</w:t>
              </w:r>
              <w:bookmarkEnd w:id="136"/>
              <w:bookmarkEnd w:id="137"/>
              <w:r w:rsidRPr="005C5E32">
                <w:rPr>
                  <w:rStyle w:val="Hyperlink"/>
                </w:rPr>
                <w:t>tal and data foundations for the new planning system</w:t>
              </w:r>
            </w:hyperlink>
            <w:r w:rsidRPr="005C5E32">
              <w:t>.</w:t>
            </w:r>
          </w:p>
          <w:p w14:paraId="1008D658" w14:textId="5458BE59" w:rsidR="008708B3" w:rsidRPr="005C5E32" w:rsidRDefault="008708B3" w:rsidP="00100B20">
            <w:pPr>
              <w:pStyle w:val="TableText"/>
              <w:spacing w:line="234" w:lineRule="atLeast"/>
            </w:pPr>
            <w:r w:rsidRPr="005C5E32">
              <w:t>This measure was introduced to track implementation readiness</w:t>
            </w:r>
            <w:r w:rsidR="008F12B8" w:rsidRPr="005C5E32">
              <w:t>. It</w:t>
            </w:r>
            <w:r w:rsidRPr="005C5E32">
              <w:t xml:space="preserve"> serves to demonstrate that the Ministry is establishing the framework required to successfully implement the resource management reforms.</w:t>
            </w:r>
          </w:p>
        </w:tc>
      </w:tr>
    </w:tbl>
    <w:p w14:paraId="116D6C5E" w14:textId="77777777" w:rsidR="001003F8" w:rsidRPr="005C5E32" w:rsidRDefault="001003F8" w:rsidP="007020A9">
      <w:pPr>
        <w:pStyle w:val="Heading5"/>
        <w:spacing w:after="180"/>
      </w:pPr>
      <w:r w:rsidRPr="005C5E32">
        <w:t>Freshwater farm plans</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ayout w:type="fixed"/>
        <w:tblCellMar>
          <w:left w:w="85" w:type="dxa"/>
          <w:right w:w="85" w:type="dxa"/>
        </w:tblCellMar>
        <w:tblLook w:val="04A0" w:firstRow="1" w:lastRow="0" w:firstColumn="1" w:lastColumn="0" w:noHBand="0" w:noVBand="1"/>
      </w:tblPr>
      <w:tblGrid>
        <w:gridCol w:w="3120"/>
        <w:gridCol w:w="1983"/>
        <w:gridCol w:w="1560"/>
        <w:gridCol w:w="1842"/>
      </w:tblGrid>
      <w:tr w:rsidR="001003F8" w:rsidRPr="005C5E32" w14:paraId="21F7425E" w14:textId="77777777" w:rsidTr="002E5436">
        <w:trPr>
          <w:tblHeader/>
        </w:trPr>
        <w:tc>
          <w:tcPr>
            <w:tcW w:w="1834" w:type="pct"/>
            <w:shd w:val="clear" w:color="auto" w:fill="1B556B"/>
          </w:tcPr>
          <w:p w14:paraId="2DE30061" w14:textId="77777777" w:rsidR="001003F8" w:rsidRPr="005C5E32" w:rsidRDefault="001003F8" w:rsidP="00100B20">
            <w:pPr>
              <w:pStyle w:val="TableTextbold"/>
              <w:rPr>
                <w:color w:val="FFFFFF" w:themeColor="background1"/>
              </w:rPr>
            </w:pPr>
            <w:r w:rsidRPr="005C5E32">
              <w:rPr>
                <w:color w:val="FFFFFF" w:themeColor="background1"/>
              </w:rPr>
              <w:t>Performance measure</w:t>
            </w:r>
          </w:p>
        </w:tc>
        <w:tc>
          <w:tcPr>
            <w:tcW w:w="1166" w:type="pct"/>
            <w:shd w:val="clear" w:color="auto" w:fill="1B556B"/>
          </w:tcPr>
          <w:p w14:paraId="789265D9" w14:textId="77777777" w:rsidR="001003F8" w:rsidRPr="005C5E32" w:rsidRDefault="001003F8" w:rsidP="00100B20">
            <w:pPr>
              <w:pStyle w:val="TableTextbold"/>
              <w:rPr>
                <w:color w:val="FFFFFF" w:themeColor="background1"/>
              </w:rPr>
            </w:pPr>
            <w:r w:rsidRPr="005C5E32">
              <w:rPr>
                <w:color w:val="FFFFFF" w:themeColor="background1"/>
              </w:rPr>
              <w:t>2024/25 performance</w:t>
            </w:r>
          </w:p>
        </w:tc>
        <w:tc>
          <w:tcPr>
            <w:tcW w:w="917" w:type="pct"/>
            <w:shd w:val="clear" w:color="auto" w:fill="1B556B"/>
          </w:tcPr>
          <w:p w14:paraId="235A2328" w14:textId="77777777" w:rsidR="001003F8" w:rsidRPr="005C5E32" w:rsidRDefault="001003F8" w:rsidP="00100B20">
            <w:pPr>
              <w:pStyle w:val="TableTextbold"/>
              <w:rPr>
                <w:color w:val="FFFFFF" w:themeColor="background1"/>
              </w:rPr>
            </w:pPr>
            <w:r w:rsidRPr="005C5E32">
              <w:rPr>
                <w:color w:val="FFFFFF" w:themeColor="background1"/>
              </w:rPr>
              <w:t>2025/26 target</w:t>
            </w:r>
          </w:p>
        </w:tc>
        <w:tc>
          <w:tcPr>
            <w:tcW w:w="1083" w:type="pct"/>
            <w:shd w:val="clear" w:color="auto" w:fill="1B556B"/>
          </w:tcPr>
          <w:p w14:paraId="5403699B" w14:textId="77777777" w:rsidR="001003F8" w:rsidRPr="005C5E32" w:rsidRDefault="001003F8" w:rsidP="00100B20">
            <w:pPr>
              <w:pStyle w:val="TableTextbold"/>
              <w:rPr>
                <w:color w:val="FFFFFF" w:themeColor="background1"/>
              </w:rPr>
            </w:pPr>
            <w:r w:rsidRPr="005C5E32">
              <w:rPr>
                <w:color w:val="FFFFFF" w:themeColor="background1"/>
              </w:rPr>
              <w:t>2025/26 performance</w:t>
            </w:r>
          </w:p>
        </w:tc>
      </w:tr>
      <w:tr w:rsidR="001003F8" w:rsidRPr="005C5E32" w14:paraId="771CCFF4" w14:textId="77777777" w:rsidTr="002E5436">
        <w:tc>
          <w:tcPr>
            <w:tcW w:w="1834" w:type="pct"/>
            <w:tcBorders>
              <w:top w:val="single" w:sz="12" w:space="0" w:color="1B556B"/>
              <w:bottom w:val="single" w:sz="4" w:space="0" w:color="1B556B"/>
            </w:tcBorders>
          </w:tcPr>
          <w:p w14:paraId="25B9C892" w14:textId="77777777" w:rsidR="001003F8" w:rsidRPr="005C5E32" w:rsidRDefault="001003F8" w:rsidP="00100B20">
            <w:pPr>
              <w:pStyle w:val="TableText"/>
              <w:spacing w:before="40" w:after="40"/>
            </w:pPr>
            <w:r w:rsidRPr="005C5E32">
              <w:t>Number of certified freshwater farm plans</w:t>
            </w:r>
          </w:p>
        </w:tc>
        <w:tc>
          <w:tcPr>
            <w:tcW w:w="1166" w:type="pct"/>
            <w:tcBorders>
              <w:top w:val="single" w:sz="12" w:space="0" w:color="1B556B"/>
              <w:bottom w:val="single" w:sz="4" w:space="0" w:color="1B556B"/>
            </w:tcBorders>
          </w:tcPr>
          <w:p w14:paraId="1CA39249" w14:textId="7E5A452D" w:rsidR="001003F8" w:rsidRPr="005C5E32" w:rsidRDefault="001003F8" w:rsidP="00100B20">
            <w:pPr>
              <w:pStyle w:val="TableText"/>
              <w:spacing w:before="40" w:after="40"/>
            </w:pPr>
            <w:r w:rsidRPr="005C5E32">
              <w:t xml:space="preserve">Not achieved </w:t>
            </w:r>
          </w:p>
        </w:tc>
        <w:tc>
          <w:tcPr>
            <w:tcW w:w="917" w:type="pct"/>
            <w:tcBorders>
              <w:top w:val="single" w:sz="12" w:space="0" w:color="1B556B"/>
              <w:bottom w:val="single" w:sz="4" w:space="0" w:color="1B556B"/>
            </w:tcBorders>
          </w:tcPr>
          <w:p w14:paraId="4A2FBB1C" w14:textId="77777777" w:rsidR="001003F8" w:rsidRPr="005C5E32" w:rsidRDefault="001003F8" w:rsidP="00100B20">
            <w:pPr>
              <w:pStyle w:val="TableText"/>
              <w:spacing w:before="40" w:after="40"/>
              <w:rPr>
                <w:i/>
                <w:iCs/>
              </w:rPr>
            </w:pPr>
            <w:r w:rsidRPr="005C5E32">
              <w:t>Year-on-year increase</w:t>
            </w:r>
          </w:p>
        </w:tc>
        <w:tc>
          <w:tcPr>
            <w:tcW w:w="1083" w:type="pct"/>
            <w:tcBorders>
              <w:top w:val="single" w:sz="12" w:space="0" w:color="1B556B"/>
              <w:bottom w:val="single" w:sz="4" w:space="0" w:color="1B556B"/>
            </w:tcBorders>
          </w:tcPr>
          <w:p w14:paraId="2429EAAE" w14:textId="77777777" w:rsidR="001003F8" w:rsidRPr="005C5E32" w:rsidRDefault="001003F8" w:rsidP="00100B20">
            <w:pPr>
              <w:pStyle w:val="TableText"/>
              <w:spacing w:before="40" w:after="40"/>
            </w:pPr>
            <w:r w:rsidRPr="005C5E32">
              <w:t>Not achieved</w:t>
            </w:r>
          </w:p>
        </w:tc>
      </w:tr>
      <w:tr w:rsidR="001003F8" w:rsidRPr="005C5E32" w14:paraId="0F83EA94" w14:textId="77777777" w:rsidTr="002E5436">
        <w:tc>
          <w:tcPr>
            <w:tcW w:w="5000" w:type="pct"/>
            <w:gridSpan w:val="4"/>
            <w:tcBorders>
              <w:bottom w:val="single" w:sz="12" w:space="0" w:color="1B556B"/>
            </w:tcBorders>
            <w:shd w:val="clear" w:color="auto" w:fill="D2DDE1"/>
          </w:tcPr>
          <w:p w14:paraId="2762AD11" w14:textId="77777777" w:rsidR="001003F8" w:rsidRPr="005C5E32" w:rsidRDefault="001003F8" w:rsidP="00100B20">
            <w:pPr>
              <w:pStyle w:val="TableText"/>
              <w:spacing w:before="40" w:after="40"/>
            </w:pPr>
            <w:r w:rsidRPr="005C5E32">
              <w:rPr>
                <w:b/>
                <w:bCs/>
              </w:rPr>
              <w:t>2025/26 commentary:</w:t>
            </w:r>
            <w:r w:rsidRPr="005C5E32">
              <w:t xml:space="preserve"> The freshwater farm plan system was paused in 2024 (everywhere except for Southland*) and is currently under review. Work is progressing to implement an improved freshwater farm plan system from 2026. As the system for delivering certified freshwater farm plans is currently paused, the target for 2025/26 could not be achieved. </w:t>
            </w:r>
          </w:p>
          <w:p w14:paraId="0F962E89" w14:textId="77777777" w:rsidR="001003F8" w:rsidRPr="005C5E32" w:rsidRDefault="001003F8" w:rsidP="00100B20">
            <w:pPr>
              <w:pStyle w:val="TableText"/>
              <w:spacing w:before="40" w:after="40"/>
            </w:pPr>
            <w:r w:rsidRPr="005C5E32">
              <w:t>* The freshwater farm plan system remains in place in Southland, but farmers in the region have until late 2027 before they must get their freshwater farm plan certified.</w:t>
            </w:r>
          </w:p>
        </w:tc>
      </w:tr>
    </w:tbl>
    <w:p w14:paraId="52CAFB11" w14:textId="19687436" w:rsidR="001003F8" w:rsidRPr="005C5E32" w:rsidRDefault="001003F8" w:rsidP="007020A9">
      <w:pPr>
        <w:pStyle w:val="Heading3"/>
        <w:spacing w:before="400"/>
      </w:pPr>
      <w:bookmarkStart w:id="138" w:name="_Reducing_emissions_from"/>
      <w:bookmarkStart w:id="139" w:name="_Product_Stewardship_Administration"/>
      <w:bookmarkStart w:id="140" w:name="_Product_Stewardship_–"/>
      <w:bookmarkStart w:id="141" w:name="_Toc173852911"/>
      <w:bookmarkStart w:id="142" w:name="_Toc173931480"/>
      <w:bookmarkStart w:id="143" w:name="_Toc173932214"/>
      <w:bookmarkEnd w:id="138"/>
      <w:bookmarkEnd w:id="139"/>
      <w:bookmarkEnd w:id="140"/>
      <w:r w:rsidRPr="005C5E32">
        <w:lastRenderedPageBreak/>
        <w:t xml:space="preserve">Product Stewardship </w:t>
      </w:r>
      <w:bookmarkEnd w:id="141"/>
      <w:bookmarkEnd w:id="142"/>
      <w:bookmarkEnd w:id="143"/>
      <w:r w:rsidRPr="005C5E32">
        <w:t xml:space="preserve">– multi-category </w:t>
      </w:r>
      <w:r w:rsidRPr="005C5E32" w:rsidDel="0025291E">
        <w:t>appropriation</w:t>
      </w:r>
    </w:p>
    <w:p w14:paraId="500EAA12" w14:textId="77777777" w:rsidR="001003F8" w:rsidRPr="005C5E32" w:rsidRDefault="001003F8" w:rsidP="003B4A7F">
      <w:pPr>
        <w:pStyle w:val="BodyText"/>
        <w:spacing w:after="240"/>
        <w:rPr>
          <w:lang w:eastAsia="en-US"/>
        </w:rPr>
      </w:pPr>
      <w:r w:rsidRPr="005C5E32">
        <w:rPr>
          <w:lang w:eastAsia="en-US"/>
        </w:rPr>
        <w:t xml:space="preserve">This multi-category appropriation (MCA) is intended to achieve reduction, reuse, recycling, </w:t>
      </w:r>
      <w:r w:rsidRPr="005C5E32">
        <w:rPr>
          <w:spacing w:val="-2"/>
          <w:lang w:eastAsia="en-US"/>
        </w:rPr>
        <w:t>recovery or appropriate treatment and disposal of end-of-life tyres through product stewardship</w:t>
      </w:r>
      <w:r w:rsidRPr="005C5E32">
        <w:rPr>
          <w:lang w:eastAsia="en-US"/>
        </w:rPr>
        <w:t xml:space="preserve">. </w:t>
      </w:r>
    </w:p>
    <w:tbl>
      <w:tblPr>
        <w:tblStyle w:val="TableGridLight"/>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CellMar>
          <w:left w:w="85" w:type="dxa"/>
          <w:right w:w="85" w:type="dxa"/>
        </w:tblCellMar>
        <w:tblLook w:val="04A0" w:firstRow="1" w:lastRow="0" w:firstColumn="1" w:lastColumn="0" w:noHBand="0" w:noVBand="1"/>
      </w:tblPr>
      <w:tblGrid>
        <w:gridCol w:w="3978"/>
        <w:gridCol w:w="1040"/>
        <w:gridCol w:w="1040"/>
        <w:gridCol w:w="1407"/>
        <w:gridCol w:w="1040"/>
      </w:tblGrid>
      <w:tr w:rsidR="001003F8" w:rsidRPr="005C5E32" w14:paraId="75537246" w14:textId="77777777" w:rsidTr="00BE6088">
        <w:trPr>
          <w:tblHeader/>
        </w:trPr>
        <w:tc>
          <w:tcPr>
            <w:tcW w:w="3686" w:type="dxa"/>
            <w:shd w:val="clear" w:color="auto" w:fill="1B556B" w:themeFill="text2"/>
            <w:vAlign w:val="bottom"/>
          </w:tcPr>
          <w:p w14:paraId="5D9F47C8" w14:textId="77777777" w:rsidR="001003F8" w:rsidRPr="005C5E32" w:rsidRDefault="001003F8" w:rsidP="00775EFA">
            <w:pPr>
              <w:pStyle w:val="TableTextbold"/>
              <w:spacing w:before="40" w:after="40" w:line="234" w:lineRule="atLeast"/>
              <w:rPr>
                <w:rFonts w:cs="Calibri"/>
                <w:color w:val="FFFFFF" w:themeColor="background1"/>
                <w:szCs w:val="18"/>
              </w:rPr>
            </w:pPr>
          </w:p>
        </w:tc>
        <w:tc>
          <w:tcPr>
            <w:tcW w:w="964" w:type="dxa"/>
            <w:shd w:val="clear" w:color="auto" w:fill="1B556B" w:themeFill="text2"/>
            <w:vAlign w:val="bottom"/>
          </w:tcPr>
          <w:p w14:paraId="4291BC4A" w14:textId="77777777" w:rsidR="001003F8" w:rsidRPr="005C5E32" w:rsidRDefault="001003F8" w:rsidP="00775EFA">
            <w:pPr>
              <w:pStyle w:val="TableTextbold"/>
              <w:spacing w:before="40" w:after="40" w:line="234" w:lineRule="atLeast"/>
              <w:jc w:val="right"/>
              <w:rPr>
                <w:rFonts w:eastAsia="Times New Roman" w:cs="Calibri"/>
                <w:bCs/>
                <w:color w:val="FFFFFF" w:themeColor="background1"/>
                <w:szCs w:val="18"/>
              </w:rPr>
            </w:pPr>
            <w:r w:rsidRPr="005C5E32">
              <w:rPr>
                <w:rFonts w:eastAsia="Times New Roman" w:cs="Calibri"/>
                <w:bCs/>
                <w:color w:val="FFFFFF" w:themeColor="background1"/>
                <w:szCs w:val="18"/>
              </w:rPr>
              <w:t>2024/25</w:t>
            </w:r>
            <w:r w:rsidRPr="005C5E32">
              <w:rPr>
                <w:rFonts w:eastAsia="Times New Roman" w:cs="Calibri"/>
                <w:bCs/>
                <w:color w:val="FFFFFF" w:themeColor="background1"/>
                <w:szCs w:val="18"/>
              </w:rPr>
              <w:br/>
              <w:t>Actuals</w:t>
            </w:r>
            <w:r w:rsidRPr="005C5E32">
              <w:rPr>
                <w:rFonts w:eastAsia="Times New Roman" w:cs="Calibri"/>
                <w:bCs/>
                <w:color w:val="FFFFFF" w:themeColor="background1"/>
                <w:szCs w:val="18"/>
              </w:rPr>
              <w:br/>
              <w:t>$000</w:t>
            </w:r>
          </w:p>
        </w:tc>
        <w:tc>
          <w:tcPr>
            <w:tcW w:w="964" w:type="dxa"/>
            <w:shd w:val="clear" w:color="auto" w:fill="1B556B" w:themeFill="text2"/>
            <w:vAlign w:val="bottom"/>
          </w:tcPr>
          <w:p w14:paraId="6BF14DA7" w14:textId="77777777" w:rsidR="001003F8" w:rsidRPr="005C5E32" w:rsidRDefault="001003F8" w:rsidP="00775EFA">
            <w:pPr>
              <w:pStyle w:val="TableTextbold"/>
              <w:spacing w:before="40" w:after="40" w:line="234" w:lineRule="atLeast"/>
              <w:jc w:val="right"/>
              <w:rPr>
                <w:rFonts w:eastAsia="Times New Roman" w:cs="Calibri"/>
                <w:bCs/>
                <w:color w:val="FFFFFF" w:themeColor="background1"/>
                <w:szCs w:val="18"/>
              </w:rPr>
            </w:pPr>
            <w:r w:rsidRPr="005C5E32">
              <w:rPr>
                <w:rFonts w:eastAsia="Times New Roman" w:cs="Calibri"/>
                <w:bCs/>
                <w:color w:val="FFFFFF" w:themeColor="background1"/>
                <w:szCs w:val="18"/>
              </w:rPr>
              <w:t>2025/26</w:t>
            </w:r>
            <w:r w:rsidRPr="005C5E32">
              <w:rPr>
                <w:rFonts w:eastAsia="Times New Roman" w:cs="Calibri"/>
                <w:bCs/>
                <w:color w:val="FFFFFF" w:themeColor="background1"/>
                <w:szCs w:val="18"/>
              </w:rPr>
              <w:br/>
              <w:t>Budget</w:t>
            </w:r>
            <w:r w:rsidRPr="005C5E32">
              <w:rPr>
                <w:rFonts w:eastAsia="Times New Roman" w:cs="Calibri"/>
                <w:bCs/>
                <w:color w:val="FFFFFF" w:themeColor="background1"/>
                <w:szCs w:val="18"/>
              </w:rPr>
              <w:br/>
              <w:t>$000</w:t>
            </w:r>
          </w:p>
        </w:tc>
        <w:tc>
          <w:tcPr>
            <w:tcW w:w="1304" w:type="dxa"/>
            <w:shd w:val="clear" w:color="auto" w:fill="1B556B" w:themeFill="text2"/>
            <w:vAlign w:val="bottom"/>
          </w:tcPr>
          <w:p w14:paraId="233CF9A7" w14:textId="77777777" w:rsidR="001003F8" w:rsidRPr="005C5E32" w:rsidRDefault="001003F8" w:rsidP="00775EFA">
            <w:pPr>
              <w:pStyle w:val="TableTextbold"/>
              <w:spacing w:before="40" w:after="40" w:line="234" w:lineRule="atLeast"/>
              <w:jc w:val="right"/>
              <w:rPr>
                <w:rFonts w:eastAsia="Times New Roman" w:cs="Calibri"/>
                <w:bCs/>
                <w:color w:val="FFFFFF" w:themeColor="background1"/>
                <w:szCs w:val="18"/>
              </w:rPr>
            </w:pPr>
            <w:r w:rsidRPr="005C5E32">
              <w:rPr>
                <w:rFonts w:eastAsia="Times New Roman" w:cs="Calibri"/>
                <w:bCs/>
                <w:color w:val="FFFFFF" w:themeColor="background1"/>
                <w:szCs w:val="18"/>
              </w:rPr>
              <w:t>2025/26</w:t>
            </w:r>
            <w:r w:rsidRPr="005C5E32">
              <w:rPr>
                <w:rFonts w:eastAsia="Times New Roman" w:cs="Calibri"/>
                <w:bCs/>
                <w:color w:val="FFFFFF" w:themeColor="background1"/>
                <w:szCs w:val="18"/>
              </w:rPr>
              <w:br/>
              <w:t>Revised Budget</w:t>
            </w:r>
            <w:r w:rsidRPr="005C5E32">
              <w:rPr>
                <w:rFonts w:eastAsia="Times New Roman" w:cs="Calibri"/>
                <w:bCs/>
                <w:color w:val="FFFFFF" w:themeColor="background1"/>
                <w:szCs w:val="18"/>
              </w:rPr>
              <w:br/>
              <w:t>$000</w:t>
            </w:r>
          </w:p>
        </w:tc>
        <w:tc>
          <w:tcPr>
            <w:tcW w:w="964" w:type="dxa"/>
            <w:tcBorders>
              <w:bottom w:val="single" w:sz="4" w:space="0" w:color="1B556B" w:themeColor="text2"/>
            </w:tcBorders>
            <w:shd w:val="clear" w:color="auto" w:fill="1B556B" w:themeFill="text2"/>
            <w:vAlign w:val="bottom"/>
          </w:tcPr>
          <w:p w14:paraId="75424A6A" w14:textId="77777777" w:rsidR="001003F8" w:rsidRPr="005C5E32" w:rsidRDefault="001003F8" w:rsidP="00775EFA">
            <w:pPr>
              <w:pStyle w:val="TableTextbold"/>
              <w:spacing w:before="40" w:after="40" w:line="234" w:lineRule="atLeast"/>
              <w:jc w:val="right"/>
              <w:rPr>
                <w:rFonts w:eastAsia="Times New Roman" w:cs="Calibri"/>
                <w:bCs/>
                <w:color w:val="FFFFFF" w:themeColor="background1"/>
                <w:szCs w:val="18"/>
              </w:rPr>
            </w:pPr>
            <w:r w:rsidRPr="005C5E32">
              <w:rPr>
                <w:rFonts w:eastAsia="Times New Roman" w:cs="Calibri"/>
                <w:bCs/>
                <w:color w:val="FFFFFF" w:themeColor="background1"/>
                <w:szCs w:val="18"/>
              </w:rPr>
              <w:t>2025/26</w:t>
            </w:r>
            <w:r w:rsidRPr="005C5E32">
              <w:rPr>
                <w:rFonts w:eastAsia="Times New Roman" w:cs="Calibri"/>
                <w:bCs/>
                <w:color w:val="FFFFFF" w:themeColor="background1"/>
                <w:szCs w:val="18"/>
              </w:rPr>
              <w:br/>
              <w:t>Actuals</w:t>
            </w:r>
            <w:r w:rsidRPr="005C5E32">
              <w:rPr>
                <w:rFonts w:eastAsia="Times New Roman" w:cs="Calibri"/>
                <w:bCs/>
                <w:color w:val="FFFFFF" w:themeColor="background1"/>
                <w:szCs w:val="18"/>
              </w:rPr>
              <w:br/>
              <w:t>$000</w:t>
            </w:r>
          </w:p>
        </w:tc>
      </w:tr>
      <w:tr w:rsidR="001003F8" w:rsidRPr="005C5E32" w14:paraId="2DD57C80" w14:textId="77777777" w:rsidTr="00BE6088">
        <w:tc>
          <w:tcPr>
            <w:tcW w:w="3686" w:type="dxa"/>
          </w:tcPr>
          <w:p w14:paraId="6E6C4859" w14:textId="77777777" w:rsidR="001003F8" w:rsidRPr="005C5E32" w:rsidRDefault="001003F8" w:rsidP="00775EFA">
            <w:pPr>
              <w:pStyle w:val="TableText"/>
              <w:spacing w:before="40" w:after="40" w:line="234" w:lineRule="atLeast"/>
              <w:rPr>
                <w:rFonts w:cs="Calibri"/>
                <w:szCs w:val="18"/>
              </w:rPr>
            </w:pPr>
            <w:r w:rsidRPr="005C5E32">
              <w:rPr>
                <w:rFonts w:cs="Calibri"/>
                <w:b/>
                <w:bCs/>
              </w:rPr>
              <w:t>Revenue Crown</w:t>
            </w:r>
          </w:p>
        </w:tc>
        <w:tc>
          <w:tcPr>
            <w:tcW w:w="964" w:type="dxa"/>
            <w:vAlign w:val="bottom"/>
          </w:tcPr>
          <w:p w14:paraId="4B206D9A" w14:textId="77777777" w:rsidR="001003F8" w:rsidRPr="005C5E32" w:rsidRDefault="001003F8" w:rsidP="00775EFA">
            <w:pPr>
              <w:pStyle w:val="TableText"/>
              <w:spacing w:before="40" w:after="40" w:line="234" w:lineRule="atLeast"/>
              <w:jc w:val="right"/>
              <w:rPr>
                <w:rFonts w:cs="Calibri"/>
                <w:szCs w:val="18"/>
              </w:rPr>
            </w:pPr>
          </w:p>
        </w:tc>
        <w:tc>
          <w:tcPr>
            <w:tcW w:w="964" w:type="dxa"/>
            <w:vAlign w:val="bottom"/>
          </w:tcPr>
          <w:p w14:paraId="36197CBF" w14:textId="77777777" w:rsidR="001003F8" w:rsidRPr="005C5E32" w:rsidRDefault="001003F8" w:rsidP="00775EFA">
            <w:pPr>
              <w:pStyle w:val="TableText"/>
              <w:spacing w:before="40" w:after="40" w:line="234" w:lineRule="atLeast"/>
              <w:jc w:val="right"/>
              <w:rPr>
                <w:rFonts w:cs="Calibri"/>
                <w:szCs w:val="18"/>
              </w:rPr>
            </w:pPr>
          </w:p>
        </w:tc>
        <w:tc>
          <w:tcPr>
            <w:tcW w:w="1304" w:type="dxa"/>
            <w:vAlign w:val="bottom"/>
          </w:tcPr>
          <w:p w14:paraId="0AD37006" w14:textId="77777777" w:rsidR="001003F8" w:rsidRPr="005C5E32" w:rsidRDefault="001003F8" w:rsidP="00775EFA">
            <w:pPr>
              <w:pStyle w:val="TableText"/>
              <w:spacing w:before="40" w:after="40" w:line="234" w:lineRule="atLeast"/>
              <w:jc w:val="right"/>
              <w:rPr>
                <w:rFonts w:cs="Calibri"/>
                <w:szCs w:val="18"/>
              </w:rPr>
            </w:pPr>
          </w:p>
        </w:tc>
        <w:tc>
          <w:tcPr>
            <w:tcW w:w="964" w:type="dxa"/>
            <w:shd w:val="clear" w:color="auto" w:fill="D2DDE1" w:themeFill="background2"/>
            <w:vAlign w:val="bottom"/>
          </w:tcPr>
          <w:p w14:paraId="6C7D5857" w14:textId="77777777" w:rsidR="001003F8" w:rsidRPr="005C5E32" w:rsidRDefault="001003F8" w:rsidP="00775EFA">
            <w:pPr>
              <w:pStyle w:val="TableText"/>
              <w:spacing w:before="40" w:after="40" w:line="234" w:lineRule="atLeast"/>
              <w:jc w:val="right"/>
              <w:rPr>
                <w:rFonts w:cs="Calibri"/>
                <w:szCs w:val="18"/>
              </w:rPr>
            </w:pPr>
          </w:p>
        </w:tc>
      </w:tr>
      <w:tr w:rsidR="001003F8" w:rsidRPr="005C5E32" w14:paraId="6C4AA9F9" w14:textId="77777777" w:rsidTr="00BE6088">
        <w:tc>
          <w:tcPr>
            <w:tcW w:w="3686" w:type="dxa"/>
          </w:tcPr>
          <w:p w14:paraId="7216135D" w14:textId="77777777" w:rsidR="001003F8" w:rsidRPr="005C5E32" w:rsidRDefault="001003F8" w:rsidP="00775EFA">
            <w:pPr>
              <w:pStyle w:val="TableText"/>
              <w:spacing w:before="40" w:after="40" w:line="234" w:lineRule="atLeast"/>
              <w:rPr>
                <w:rFonts w:cs="Calibri"/>
                <w:szCs w:val="18"/>
              </w:rPr>
            </w:pPr>
            <w:r w:rsidRPr="005C5E32">
              <w:rPr>
                <w:rFonts w:cs="Calibri"/>
              </w:rPr>
              <w:t>Product Stewardship Administration</w:t>
            </w:r>
          </w:p>
        </w:tc>
        <w:tc>
          <w:tcPr>
            <w:tcW w:w="964" w:type="dxa"/>
            <w:vAlign w:val="bottom"/>
          </w:tcPr>
          <w:p w14:paraId="53F1C0F5" w14:textId="77777777" w:rsidR="001003F8" w:rsidRPr="005C5E32" w:rsidRDefault="001003F8" w:rsidP="00775EFA">
            <w:pPr>
              <w:pStyle w:val="TableText"/>
              <w:spacing w:before="40" w:after="40" w:line="234" w:lineRule="atLeast"/>
              <w:jc w:val="right"/>
              <w:rPr>
                <w:rFonts w:cs="Calibri"/>
                <w:szCs w:val="18"/>
              </w:rPr>
            </w:pPr>
            <w:r w:rsidRPr="005C5E32">
              <w:rPr>
                <w:rFonts w:cs="Calibri"/>
              </w:rPr>
              <w:t>1,047</w:t>
            </w:r>
          </w:p>
        </w:tc>
        <w:tc>
          <w:tcPr>
            <w:tcW w:w="964" w:type="dxa"/>
            <w:vAlign w:val="bottom"/>
          </w:tcPr>
          <w:p w14:paraId="7C845FAD" w14:textId="4ED5805F" w:rsidR="001003F8" w:rsidRPr="005C5E32" w:rsidRDefault="006662F5" w:rsidP="00775EFA">
            <w:pPr>
              <w:pStyle w:val="TableText"/>
              <w:spacing w:before="40" w:after="40" w:line="234" w:lineRule="atLeast"/>
              <w:jc w:val="right"/>
              <w:rPr>
                <w:rFonts w:cs="Calibri"/>
                <w:szCs w:val="18"/>
              </w:rPr>
            </w:pPr>
            <w:r w:rsidRPr="005C5E32">
              <w:rPr>
                <w:rFonts w:cs="Calibri"/>
                <w:szCs w:val="18"/>
              </w:rPr>
              <w:t>1,</w:t>
            </w:r>
            <w:r w:rsidR="00672FDA" w:rsidRPr="005C5E32">
              <w:rPr>
                <w:rFonts w:cs="Calibri"/>
                <w:szCs w:val="18"/>
              </w:rPr>
              <w:t>154</w:t>
            </w:r>
          </w:p>
        </w:tc>
        <w:tc>
          <w:tcPr>
            <w:tcW w:w="1304" w:type="dxa"/>
            <w:vAlign w:val="bottom"/>
          </w:tcPr>
          <w:p w14:paraId="7D576688" w14:textId="4839B717" w:rsidR="001003F8" w:rsidRPr="005C5E32" w:rsidRDefault="00672FDA" w:rsidP="00775EFA">
            <w:pPr>
              <w:pStyle w:val="TableText"/>
              <w:spacing w:before="40" w:after="40" w:line="234" w:lineRule="atLeast"/>
              <w:jc w:val="right"/>
              <w:rPr>
                <w:rFonts w:cs="Calibri"/>
                <w:szCs w:val="18"/>
              </w:rPr>
            </w:pPr>
            <w:r w:rsidRPr="005C5E32">
              <w:rPr>
                <w:rFonts w:cs="Calibri"/>
                <w:szCs w:val="18"/>
              </w:rPr>
              <w:t>1,154</w:t>
            </w:r>
          </w:p>
        </w:tc>
        <w:tc>
          <w:tcPr>
            <w:tcW w:w="964" w:type="dxa"/>
            <w:shd w:val="clear" w:color="auto" w:fill="D2DDE1" w:themeFill="background2"/>
            <w:vAlign w:val="bottom"/>
          </w:tcPr>
          <w:p w14:paraId="1D0564D2" w14:textId="40A39CB1" w:rsidR="001003F8" w:rsidRPr="005C5E32" w:rsidRDefault="00672FDA" w:rsidP="00775EFA">
            <w:pPr>
              <w:pStyle w:val="TableText"/>
              <w:spacing w:before="40" w:after="40" w:line="234" w:lineRule="atLeast"/>
              <w:jc w:val="right"/>
              <w:rPr>
                <w:rFonts w:cs="Calibri"/>
                <w:szCs w:val="18"/>
              </w:rPr>
            </w:pPr>
            <w:r w:rsidRPr="005C5E32">
              <w:rPr>
                <w:rFonts w:cs="Calibri"/>
                <w:szCs w:val="18"/>
              </w:rPr>
              <w:t>1,154</w:t>
            </w:r>
          </w:p>
        </w:tc>
      </w:tr>
      <w:tr w:rsidR="001003F8" w:rsidRPr="005C5E32" w14:paraId="7C081866" w14:textId="77777777" w:rsidTr="00BE6088">
        <w:tc>
          <w:tcPr>
            <w:tcW w:w="3686" w:type="dxa"/>
          </w:tcPr>
          <w:p w14:paraId="0767967E" w14:textId="77777777" w:rsidR="001003F8" w:rsidRPr="005C5E32" w:rsidRDefault="001003F8" w:rsidP="00775EFA">
            <w:pPr>
              <w:pStyle w:val="TableText"/>
              <w:spacing w:before="40" w:after="40" w:line="234" w:lineRule="atLeast"/>
              <w:rPr>
                <w:rFonts w:cs="Calibri"/>
                <w:b/>
                <w:bCs/>
                <w:szCs w:val="18"/>
              </w:rPr>
            </w:pPr>
            <w:r w:rsidRPr="005C5E32">
              <w:rPr>
                <w:rFonts w:cs="Calibri"/>
                <w:b/>
                <w:bCs/>
              </w:rPr>
              <w:t>Total revenue Crown</w:t>
            </w:r>
          </w:p>
        </w:tc>
        <w:tc>
          <w:tcPr>
            <w:tcW w:w="964" w:type="dxa"/>
            <w:vAlign w:val="bottom"/>
          </w:tcPr>
          <w:p w14:paraId="2C051BF1" w14:textId="77777777" w:rsidR="001003F8" w:rsidRPr="005C5E32" w:rsidRDefault="001003F8" w:rsidP="00775EFA">
            <w:pPr>
              <w:pStyle w:val="TableText"/>
              <w:spacing w:before="40" w:after="40" w:line="234" w:lineRule="atLeast"/>
              <w:jc w:val="right"/>
              <w:rPr>
                <w:rFonts w:cs="Calibri"/>
                <w:szCs w:val="18"/>
              </w:rPr>
            </w:pPr>
            <w:r w:rsidRPr="005C5E32">
              <w:rPr>
                <w:rFonts w:cs="Calibri"/>
                <w:b/>
                <w:bCs/>
              </w:rPr>
              <w:t>1,047</w:t>
            </w:r>
          </w:p>
        </w:tc>
        <w:tc>
          <w:tcPr>
            <w:tcW w:w="964" w:type="dxa"/>
            <w:vAlign w:val="bottom"/>
          </w:tcPr>
          <w:p w14:paraId="5B0DC0EB" w14:textId="6A85291A" w:rsidR="001003F8" w:rsidRPr="00064AD6" w:rsidRDefault="00672FDA" w:rsidP="00775EFA">
            <w:pPr>
              <w:pStyle w:val="TableText"/>
              <w:spacing w:before="40" w:after="40" w:line="234" w:lineRule="atLeast"/>
              <w:jc w:val="right"/>
              <w:rPr>
                <w:rFonts w:cs="Calibri"/>
                <w:b/>
                <w:szCs w:val="18"/>
              </w:rPr>
            </w:pPr>
            <w:r w:rsidRPr="00064AD6">
              <w:rPr>
                <w:rFonts w:cs="Calibri"/>
                <w:b/>
                <w:szCs w:val="18"/>
              </w:rPr>
              <w:t>1,154</w:t>
            </w:r>
          </w:p>
        </w:tc>
        <w:tc>
          <w:tcPr>
            <w:tcW w:w="1304" w:type="dxa"/>
            <w:vAlign w:val="bottom"/>
          </w:tcPr>
          <w:p w14:paraId="39AEE571" w14:textId="31D13AE2" w:rsidR="001003F8" w:rsidRPr="00064AD6" w:rsidRDefault="00672FDA" w:rsidP="00775EFA">
            <w:pPr>
              <w:pStyle w:val="TableText"/>
              <w:spacing w:before="40" w:after="40" w:line="234" w:lineRule="atLeast"/>
              <w:jc w:val="right"/>
              <w:rPr>
                <w:rFonts w:cs="Calibri"/>
                <w:b/>
                <w:szCs w:val="18"/>
              </w:rPr>
            </w:pPr>
            <w:r w:rsidRPr="00064AD6">
              <w:rPr>
                <w:rFonts w:cs="Calibri"/>
                <w:b/>
                <w:szCs w:val="18"/>
              </w:rPr>
              <w:t>1,154</w:t>
            </w:r>
          </w:p>
        </w:tc>
        <w:tc>
          <w:tcPr>
            <w:tcW w:w="964" w:type="dxa"/>
            <w:shd w:val="clear" w:color="auto" w:fill="D2DDE1" w:themeFill="background2"/>
            <w:vAlign w:val="bottom"/>
          </w:tcPr>
          <w:p w14:paraId="05A4F360" w14:textId="29A5A0E5" w:rsidR="001003F8" w:rsidRPr="00064AD6" w:rsidRDefault="00672FDA" w:rsidP="00775EFA">
            <w:pPr>
              <w:pStyle w:val="TableText"/>
              <w:spacing w:before="40" w:after="40" w:line="234" w:lineRule="atLeast"/>
              <w:jc w:val="right"/>
              <w:rPr>
                <w:rFonts w:cs="Calibri"/>
                <w:b/>
                <w:szCs w:val="18"/>
              </w:rPr>
            </w:pPr>
            <w:r w:rsidRPr="00064AD6">
              <w:rPr>
                <w:rFonts w:cs="Calibri"/>
                <w:b/>
                <w:szCs w:val="18"/>
              </w:rPr>
              <w:t>1,154</w:t>
            </w:r>
          </w:p>
        </w:tc>
      </w:tr>
      <w:tr w:rsidR="001003F8" w:rsidRPr="005C5E32" w14:paraId="688B7E8C" w14:textId="77777777" w:rsidTr="00BE6088">
        <w:tc>
          <w:tcPr>
            <w:tcW w:w="3686" w:type="dxa"/>
          </w:tcPr>
          <w:p w14:paraId="5D9CFB69" w14:textId="77777777" w:rsidR="001003F8" w:rsidRPr="005C5E32" w:rsidRDefault="001003F8" w:rsidP="00775EFA">
            <w:pPr>
              <w:pStyle w:val="TableText"/>
              <w:spacing w:before="40" w:after="40" w:line="234" w:lineRule="atLeast"/>
              <w:rPr>
                <w:rFonts w:cs="Calibri"/>
                <w:b/>
                <w:bCs/>
                <w:szCs w:val="18"/>
              </w:rPr>
            </w:pPr>
            <w:r w:rsidRPr="005C5E32">
              <w:rPr>
                <w:rFonts w:cs="Calibri"/>
                <w:b/>
                <w:bCs/>
              </w:rPr>
              <w:t>Expenses</w:t>
            </w:r>
          </w:p>
        </w:tc>
        <w:tc>
          <w:tcPr>
            <w:tcW w:w="964" w:type="dxa"/>
            <w:vAlign w:val="bottom"/>
          </w:tcPr>
          <w:p w14:paraId="6A65DCCF" w14:textId="77777777" w:rsidR="001003F8" w:rsidRPr="005C5E32" w:rsidRDefault="001003F8" w:rsidP="00775EFA">
            <w:pPr>
              <w:pStyle w:val="TableText"/>
              <w:spacing w:before="40" w:after="40" w:line="234" w:lineRule="atLeast"/>
              <w:jc w:val="right"/>
              <w:rPr>
                <w:rFonts w:cs="Calibri"/>
                <w:szCs w:val="18"/>
              </w:rPr>
            </w:pPr>
          </w:p>
        </w:tc>
        <w:tc>
          <w:tcPr>
            <w:tcW w:w="964" w:type="dxa"/>
            <w:vAlign w:val="bottom"/>
          </w:tcPr>
          <w:p w14:paraId="60D4E017" w14:textId="77777777" w:rsidR="001003F8" w:rsidRPr="005C5E32" w:rsidRDefault="001003F8" w:rsidP="00775EFA">
            <w:pPr>
              <w:pStyle w:val="TableText"/>
              <w:spacing w:before="40" w:after="40" w:line="234" w:lineRule="atLeast"/>
              <w:jc w:val="right"/>
              <w:rPr>
                <w:rFonts w:cs="Calibri"/>
                <w:szCs w:val="18"/>
              </w:rPr>
            </w:pPr>
          </w:p>
        </w:tc>
        <w:tc>
          <w:tcPr>
            <w:tcW w:w="1304" w:type="dxa"/>
            <w:vAlign w:val="bottom"/>
          </w:tcPr>
          <w:p w14:paraId="61A5CBF6" w14:textId="77777777" w:rsidR="001003F8" w:rsidRPr="005C5E32" w:rsidRDefault="001003F8" w:rsidP="00775EFA">
            <w:pPr>
              <w:pStyle w:val="TableText"/>
              <w:spacing w:before="40" w:after="40" w:line="234" w:lineRule="atLeast"/>
              <w:jc w:val="right"/>
              <w:rPr>
                <w:rFonts w:cs="Calibri"/>
                <w:szCs w:val="18"/>
              </w:rPr>
            </w:pPr>
          </w:p>
        </w:tc>
        <w:tc>
          <w:tcPr>
            <w:tcW w:w="964" w:type="dxa"/>
            <w:shd w:val="clear" w:color="auto" w:fill="D2DDE1" w:themeFill="background2"/>
            <w:vAlign w:val="bottom"/>
          </w:tcPr>
          <w:p w14:paraId="308E9501" w14:textId="77777777" w:rsidR="001003F8" w:rsidRPr="005C5E32" w:rsidRDefault="001003F8" w:rsidP="00775EFA">
            <w:pPr>
              <w:pStyle w:val="TableText"/>
              <w:spacing w:before="40" w:after="40" w:line="234" w:lineRule="atLeast"/>
              <w:jc w:val="right"/>
              <w:rPr>
                <w:rFonts w:cs="Calibri"/>
                <w:szCs w:val="18"/>
              </w:rPr>
            </w:pPr>
          </w:p>
        </w:tc>
      </w:tr>
      <w:tr w:rsidR="001003F8" w:rsidRPr="005C5E32" w14:paraId="14C5CBF4" w14:textId="77777777" w:rsidTr="00BE6088">
        <w:tc>
          <w:tcPr>
            <w:tcW w:w="3686" w:type="dxa"/>
          </w:tcPr>
          <w:p w14:paraId="4A82B5F9" w14:textId="77777777" w:rsidR="001003F8" w:rsidRPr="005C5E32" w:rsidRDefault="001003F8" w:rsidP="00775EFA">
            <w:pPr>
              <w:pStyle w:val="TableText"/>
              <w:spacing w:before="40" w:after="40" w:line="234" w:lineRule="atLeast"/>
              <w:rPr>
                <w:rFonts w:cs="Calibri"/>
                <w:b/>
                <w:bCs/>
                <w:szCs w:val="18"/>
              </w:rPr>
            </w:pPr>
            <w:r w:rsidRPr="005C5E32">
              <w:rPr>
                <w:rFonts w:cs="Calibri"/>
              </w:rPr>
              <w:t>Product Stewardship Administration</w:t>
            </w:r>
          </w:p>
        </w:tc>
        <w:tc>
          <w:tcPr>
            <w:tcW w:w="964" w:type="dxa"/>
            <w:vAlign w:val="bottom"/>
          </w:tcPr>
          <w:p w14:paraId="138BE7A1" w14:textId="77777777" w:rsidR="001003F8" w:rsidRPr="005C5E32" w:rsidRDefault="001003F8" w:rsidP="00775EFA">
            <w:pPr>
              <w:pStyle w:val="TableText"/>
              <w:spacing w:before="40" w:after="40" w:line="234" w:lineRule="atLeast"/>
              <w:jc w:val="right"/>
              <w:rPr>
                <w:rFonts w:cs="Calibri"/>
                <w:szCs w:val="18"/>
              </w:rPr>
            </w:pPr>
            <w:r w:rsidRPr="005C5E32">
              <w:rPr>
                <w:rFonts w:cs="Calibri"/>
              </w:rPr>
              <w:t>624</w:t>
            </w:r>
          </w:p>
        </w:tc>
        <w:tc>
          <w:tcPr>
            <w:tcW w:w="964" w:type="dxa"/>
            <w:vAlign w:val="bottom"/>
          </w:tcPr>
          <w:p w14:paraId="7941BA9D" w14:textId="6B7EFFBF" w:rsidR="001003F8" w:rsidRPr="005C5E32" w:rsidRDefault="00345CA5" w:rsidP="00775EFA">
            <w:pPr>
              <w:pStyle w:val="TableText"/>
              <w:spacing w:before="40" w:after="40" w:line="234" w:lineRule="atLeast"/>
              <w:jc w:val="right"/>
              <w:rPr>
                <w:rFonts w:cs="Calibri"/>
                <w:szCs w:val="18"/>
              </w:rPr>
            </w:pPr>
            <w:r w:rsidRPr="005C5E32">
              <w:rPr>
                <w:rFonts w:cs="Calibri"/>
                <w:szCs w:val="18"/>
              </w:rPr>
              <w:t>1,154</w:t>
            </w:r>
          </w:p>
        </w:tc>
        <w:tc>
          <w:tcPr>
            <w:tcW w:w="1304" w:type="dxa"/>
            <w:vAlign w:val="bottom"/>
          </w:tcPr>
          <w:p w14:paraId="69A122E7" w14:textId="5C20477B" w:rsidR="001003F8" w:rsidRPr="005C5E32" w:rsidRDefault="00345CA5" w:rsidP="00775EFA">
            <w:pPr>
              <w:pStyle w:val="TableText"/>
              <w:spacing w:before="40" w:after="40" w:line="234" w:lineRule="atLeast"/>
              <w:jc w:val="right"/>
              <w:rPr>
                <w:rFonts w:cs="Calibri"/>
                <w:szCs w:val="18"/>
              </w:rPr>
            </w:pPr>
            <w:r w:rsidRPr="005C5E32">
              <w:rPr>
                <w:rFonts w:cs="Calibri"/>
                <w:szCs w:val="18"/>
              </w:rPr>
              <w:t>1,154</w:t>
            </w:r>
          </w:p>
        </w:tc>
        <w:tc>
          <w:tcPr>
            <w:tcW w:w="964" w:type="dxa"/>
            <w:shd w:val="clear" w:color="auto" w:fill="D2DDE1" w:themeFill="background2"/>
            <w:vAlign w:val="bottom"/>
          </w:tcPr>
          <w:p w14:paraId="65C4DA26" w14:textId="570E8DBD" w:rsidR="001003F8" w:rsidRPr="005C5E32" w:rsidRDefault="00D0058A" w:rsidP="00775EFA">
            <w:pPr>
              <w:pStyle w:val="TableText"/>
              <w:spacing w:before="40" w:after="40" w:line="234" w:lineRule="atLeast"/>
              <w:jc w:val="right"/>
              <w:rPr>
                <w:rFonts w:cs="Calibri"/>
                <w:szCs w:val="18"/>
              </w:rPr>
            </w:pPr>
            <w:r w:rsidRPr="005C5E32">
              <w:rPr>
                <w:rFonts w:cs="Calibri"/>
                <w:szCs w:val="18"/>
              </w:rPr>
              <w:t>552</w:t>
            </w:r>
          </w:p>
        </w:tc>
      </w:tr>
      <w:tr w:rsidR="001003F8" w:rsidRPr="005C5E32" w14:paraId="674A73C4" w14:textId="77777777" w:rsidTr="00BE6088">
        <w:tc>
          <w:tcPr>
            <w:tcW w:w="3686" w:type="dxa"/>
          </w:tcPr>
          <w:p w14:paraId="032DFB1A" w14:textId="77777777" w:rsidR="001003F8" w:rsidRPr="005C5E32" w:rsidRDefault="001003F8" w:rsidP="00775EFA">
            <w:pPr>
              <w:pStyle w:val="TableText"/>
              <w:spacing w:before="40" w:after="40" w:line="234" w:lineRule="atLeast"/>
              <w:rPr>
                <w:rFonts w:cs="Calibri"/>
                <w:b/>
                <w:bCs/>
                <w:szCs w:val="18"/>
              </w:rPr>
            </w:pPr>
            <w:r w:rsidRPr="005C5E32">
              <w:rPr>
                <w:rFonts w:cs="Calibri"/>
                <w:b/>
                <w:bCs/>
              </w:rPr>
              <w:t>Total expenses</w:t>
            </w:r>
          </w:p>
        </w:tc>
        <w:tc>
          <w:tcPr>
            <w:tcW w:w="964" w:type="dxa"/>
            <w:vAlign w:val="bottom"/>
          </w:tcPr>
          <w:p w14:paraId="1606D569" w14:textId="77777777" w:rsidR="001003F8" w:rsidRPr="005C5E32" w:rsidRDefault="001003F8" w:rsidP="00775EFA">
            <w:pPr>
              <w:pStyle w:val="TableText"/>
              <w:spacing w:before="40" w:after="40" w:line="234" w:lineRule="atLeast"/>
              <w:jc w:val="right"/>
              <w:rPr>
                <w:rFonts w:cs="Calibri"/>
              </w:rPr>
            </w:pPr>
            <w:r w:rsidRPr="005C5E32">
              <w:rPr>
                <w:rFonts w:cs="Calibri"/>
                <w:b/>
                <w:bCs/>
              </w:rPr>
              <w:t>624</w:t>
            </w:r>
          </w:p>
        </w:tc>
        <w:tc>
          <w:tcPr>
            <w:tcW w:w="964" w:type="dxa"/>
            <w:vAlign w:val="bottom"/>
          </w:tcPr>
          <w:p w14:paraId="1F35E322" w14:textId="2340E3C0" w:rsidR="001003F8" w:rsidRPr="00064AD6" w:rsidRDefault="00EC31CD" w:rsidP="00775EFA">
            <w:pPr>
              <w:pStyle w:val="TableText"/>
              <w:spacing w:before="40" w:after="40" w:line="234" w:lineRule="atLeast"/>
              <w:jc w:val="right"/>
              <w:rPr>
                <w:rFonts w:cs="Calibri"/>
                <w:b/>
              </w:rPr>
            </w:pPr>
            <w:r w:rsidRPr="00064AD6">
              <w:rPr>
                <w:b/>
              </w:rPr>
              <w:t>1,154</w:t>
            </w:r>
          </w:p>
        </w:tc>
        <w:tc>
          <w:tcPr>
            <w:tcW w:w="1304" w:type="dxa"/>
            <w:vAlign w:val="bottom"/>
          </w:tcPr>
          <w:p w14:paraId="71574C7E" w14:textId="678E5D1D" w:rsidR="001003F8" w:rsidRPr="00064AD6" w:rsidRDefault="00EC31CD" w:rsidP="00775EFA">
            <w:pPr>
              <w:pStyle w:val="TableText"/>
              <w:spacing w:before="40" w:after="40" w:line="234" w:lineRule="atLeast"/>
              <w:jc w:val="right"/>
              <w:rPr>
                <w:rFonts w:cs="Calibri"/>
                <w:b/>
              </w:rPr>
            </w:pPr>
            <w:r w:rsidRPr="00064AD6">
              <w:rPr>
                <w:b/>
              </w:rPr>
              <w:t>1,154</w:t>
            </w:r>
          </w:p>
        </w:tc>
        <w:tc>
          <w:tcPr>
            <w:tcW w:w="964" w:type="dxa"/>
            <w:shd w:val="clear" w:color="auto" w:fill="D2DDE1" w:themeFill="background2"/>
            <w:vAlign w:val="bottom"/>
          </w:tcPr>
          <w:p w14:paraId="3D1E6001" w14:textId="22425E0A" w:rsidR="001003F8" w:rsidRPr="00064AD6" w:rsidRDefault="00EC31CD" w:rsidP="00775EFA">
            <w:pPr>
              <w:pStyle w:val="TableText"/>
              <w:spacing w:before="40" w:after="40" w:line="234" w:lineRule="atLeast"/>
              <w:jc w:val="right"/>
              <w:rPr>
                <w:rFonts w:cs="Calibri"/>
                <w:b/>
              </w:rPr>
            </w:pPr>
            <w:r w:rsidRPr="00064AD6">
              <w:rPr>
                <w:rFonts w:cs="Calibri"/>
                <w:b/>
              </w:rPr>
              <w:t>552</w:t>
            </w:r>
          </w:p>
        </w:tc>
      </w:tr>
      <w:tr w:rsidR="001003F8" w:rsidRPr="005C5E32" w14:paraId="40F9AF61" w14:textId="77777777" w:rsidTr="00BE6088">
        <w:tc>
          <w:tcPr>
            <w:tcW w:w="3686" w:type="dxa"/>
          </w:tcPr>
          <w:p w14:paraId="2E481A45" w14:textId="175815F8" w:rsidR="001003F8" w:rsidRPr="005C5E32" w:rsidRDefault="001003F8" w:rsidP="00775EFA">
            <w:pPr>
              <w:pStyle w:val="TableText"/>
              <w:spacing w:before="40" w:after="40" w:line="234" w:lineRule="atLeast"/>
              <w:rPr>
                <w:rFonts w:cs="Calibri"/>
                <w:b/>
                <w:bCs/>
                <w:szCs w:val="18"/>
              </w:rPr>
            </w:pPr>
            <w:r w:rsidRPr="005C5E32">
              <w:rPr>
                <w:rFonts w:cs="Calibri"/>
                <w:b/>
                <w:bCs/>
              </w:rPr>
              <w:t>Surplus/(Deficit)</w:t>
            </w:r>
          </w:p>
        </w:tc>
        <w:tc>
          <w:tcPr>
            <w:tcW w:w="964" w:type="dxa"/>
            <w:vAlign w:val="bottom"/>
          </w:tcPr>
          <w:p w14:paraId="1F248A68" w14:textId="77777777" w:rsidR="001003F8" w:rsidRPr="005C5E32" w:rsidRDefault="001003F8" w:rsidP="00775EFA">
            <w:pPr>
              <w:pStyle w:val="TableText"/>
              <w:spacing w:before="40" w:after="40" w:line="234" w:lineRule="atLeast"/>
              <w:jc w:val="right"/>
              <w:rPr>
                <w:rFonts w:cs="Calibri"/>
              </w:rPr>
            </w:pPr>
          </w:p>
        </w:tc>
        <w:tc>
          <w:tcPr>
            <w:tcW w:w="964" w:type="dxa"/>
            <w:vAlign w:val="bottom"/>
          </w:tcPr>
          <w:p w14:paraId="57DE7A3E" w14:textId="77777777" w:rsidR="001003F8" w:rsidRPr="005C5E32" w:rsidRDefault="001003F8" w:rsidP="00775EFA">
            <w:pPr>
              <w:pStyle w:val="TableText"/>
              <w:spacing w:before="40" w:after="40" w:line="234" w:lineRule="atLeast"/>
              <w:jc w:val="right"/>
              <w:rPr>
                <w:rFonts w:cs="Calibri"/>
              </w:rPr>
            </w:pPr>
          </w:p>
        </w:tc>
        <w:tc>
          <w:tcPr>
            <w:tcW w:w="1304" w:type="dxa"/>
            <w:vAlign w:val="bottom"/>
          </w:tcPr>
          <w:p w14:paraId="0D047AC9" w14:textId="77777777" w:rsidR="001003F8" w:rsidRPr="005C5E32" w:rsidRDefault="001003F8" w:rsidP="00775EFA">
            <w:pPr>
              <w:pStyle w:val="TableText"/>
              <w:spacing w:before="40" w:after="40" w:line="234" w:lineRule="atLeast"/>
              <w:jc w:val="right"/>
              <w:rPr>
                <w:rFonts w:cs="Calibri"/>
              </w:rPr>
            </w:pPr>
          </w:p>
        </w:tc>
        <w:tc>
          <w:tcPr>
            <w:tcW w:w="964" w:type="dxa"/>
            <w:shd w:val="clear" w:color="auto" w:fill="D2DDE1" w:themeFill="background2"/>
            <w:vAlign w:val="bottom"/>
          </w:tcPr>
          <w:p w14:paraId="7FE737D3" w14:textId="77777777" w:rsidR="001003F8" w:rsidRPr="005C5E32" w:rsidRDefault="001003F8" w:rsidP="00775EFA">
            <w:pPr>
              <w:pStyle w:val="TableText"/>
              <w:spacing w:before="40" w:after="40" w:line="234" w:lineRule="atLeast"/>
              <w:jc w:val="right"/>
              <w:rPr>
                <w:rFonts w:cs="Calibri"/>
              </w:rPr>
            </w:pPr>
          </w:p>
        </w:tc>
      </w:tr>
      <w:tr w:rsidR="001003F8" w:rsidRPr="005C5E32" w14:paraId="3ADFA158" w14:textId="77777777" w:rsidTr="00BE6088">
        <w:tc>
          <w:tcPr>
            <w:tcW w:w="3686" w:type="dxa"/>
          </w:tcPr>
          <w:p w14:paraId="45C9FE65" w14:textId="77777777" w:rsidR="001003F8" w:rsidRPr="005C5E32" w:rsidRDefault="001003F8" w:rsidP="00775EFA">
            <w:pPr>
              <w:pStyle w:val="TableText"/>
              <w:spacing w:before="40" w:after="40" w:line="234" w:lineRule="atLeast"/>
              <w:rPr>
                <w:rFonts w:cs="Calibri"/>
                <w:b/>
                <w:bCs/>
                <w:szCs w:val="18"/>
              </w:rPr>
            </w:pPr>
            <w:r w:rsidRPr="005C5E32">
              <w:rPr>
                <w:rFonts w:cs="Calibri"/>
              </w:rPr>
              <w:t>Product Stewardship Administration</w:t>
            </w:r>
          </w:p>
        </w:tc>
        <w:tc>
          <w:tcPr>
            <w:tcW w:w="964" w:type="dxa"/>
            <w:vAlign w:val="bottom"/>
          </w:tcPr>
          <w:p w14:paraId="71314094" w14:textId="77777777" w:rsidR="001003F8" w:rsidRPr="005C5E32" w:rsidRDefault="001003F8" w:rsidP="00775EFA">
            <w:pPr>
              <w:pStyle w:val="TableText"/>
              <w:spacing w:before="40" w:after="40" w:line="234" w:lineRule="atLeast"/>
              <w:jc w:val="right"/>
              <w:rPr>
                <w:rFonts w:cs="Calibri"/>
              </w:rPr>
            </w:pPr>
            <w:r w:rsidRPr="005C5E32">
              <w:rPr>
                <w:rFonts w:cs="Calibri"/>
              </w:rPr>
              <w:t>423</w:t>
            </w:r>
          </w:p>
        </w:tc>
        <w:tc>
          <w:tcPr>
            <w:tcW w:w="964" w:type="dxa"/>
            <w:vAlign w:val="bottom"/>
          </w:tcPr>
          <w:p w14:paraId="09877072" w14:textId="37A3DA7C" w:rsidR="001003F8" w:rsidRPr="005C5E32" w:rsidRDefault="00AA0858" w:rsidP="00775EFA">
            <w:pPr>
              <w:pStyle w:val="TableText"/>
              <w:spacing w:before="40" w:after="40" w:line="234" w:lineRule="atLeast"/>
              <w:jc w:val="right"/>
              <w:rPr>
                <w:rFonts w:cs="Calibri"/>
              </w:rPr>
            </w:pPr>
            <w:r w:rsidRPr="005C5E32">
              <w:t>–</w:t>
            </w:r>
          </w:p>
        </w:tc>
        <w:tc>
          <w:tcPr>
            <w:tcW w:w="1304" w:type="dxa"/>
            <w:vAlign w:val="bottom"/>
          </w:tcPr>
          <w:p w14:paraId="2BF17080" w14:textId="5CE2C48D" w:rsidR="001003F8" w:rsidRPr="005C5E32" w:rsidRDefault="00AA0858" w:rsidP="00775EFA">
            <w:pPr>
              <w:pStyle w:val="TableText"/>
              <w:spacing w:before="40" w:after="40" w:line="234" w:lineRule="atLeast"/>
              <w:jc w:val="right"/>
              <w:rPr>
                <w:rFonts w:cs="Calibri"/>
              </w:rPr>
            </w:pPr>
            <w:r w:rsidRPr="005C5E32">
              <w:t>–</w:t>
            </w:r>
          </w:p>
        </w:tc>
        <w:tc>
          <w:tcPr>
            <w:tcW w:w="964" w:type="dxa"/>
            <w:shd w:val="clear" w:color="auto" w:fill="D2DDE1" w:themeFill="background2"/>
            <w:vAlign w:val="bottom"/>
          </w:tcPr>
          <w:p w14:paraId="6875A2FB" w14:textId="2FD65802" w:rsidR="001003F8" w:rsidRPr="005C5E32" w:rsidRDefault="000064A1" w:rsidP="00775EFA">
            <w:pPr>
              <w:pStyle w:val="TableText"/>
              <w:spacing w:before="40" w:after="40" w:line="234" w:lineRule="atLeast"/>
              <w:jc w:val="right"/>
              <w:rPr>
                <w:rFonts w:cs="Calibri"/>
              </w:rPr>
            </w:pPr>
            <w:r w:rsidRPr="005C5E32">
              <w:rPr>
                <w:rFonts w:cs="Calibri"/>
              </w:rPr>
              <w:t>602</w:t>
            </w:r>
          </w:p>
        </w:tc>
      </w:tr>
      <w:tr w:rsidR="001003F8" w:rsidRPr="005C5E32" w14:paraId="35575BAA" w14:textId="77777777" w:rsidTr="00BE6088">
        <w:tc>
          <w:tcPr>
            <w:tcW w:w="3686" w:type="dxa"/>
          </w:tcPr>
          <w:p w14:paraId="303D8383" w14:textId="347B540C" w:rsidR="001003F8" w:rsidRPr="005C5E32" w:rsidRDefault="001003F8" w:rsidP="00775EFA">
            <w:pPr>
              <w:pStyle w:val="TableText"/>
              <w:spacing w:before="40" w:after="40" w:line="234" w:lineRule="atLeast"/>
              <w:rPr>
                <w:rFonts w:cs="Calibri"/>
                <w:b/>
                <w:bCs/>
                <w:szCs w:val="18"/>
              </w:rPr>
            </w:pPr>
            <w:r w:rsidRPr="005C5E32">
              <w:rPr>
                <w:rFonts w:cs="Calibri"/>
                <w:b/>
                <w:bCs/>
              </w:rPr>
              <w:t>Total departmental surplus/(deficit)</w:t>
            </w:r>
          </w:p>
        </w:tc>
        <w:tc>
          <w:tcPr>
            <w:tcW w:w="964" w:type="dxa"/>
            <w:vAlign w:val="bottom"/>
          </w:tcPr>
          <w:p w14:paraId="42EB0A90" w14:textId="77777777" w:rsidR="001003F8" w:rsidRPr="005C5E32" w:rsidRDefault="001003F8" w:rsidP="00775EFA">
            <w:pPr>
              <w:pStyle w:val="TableText"/>
              <w:spacing w:before="40" w:after="40" w:line="234" w:lineRule="atLeast"/>
              <w:jc w:val="right"/>
              <w:rPr>
                <w:rFonts w:cs="Calibri"/>
              </w:rPr>
            </w:pPr>
            <w:r w:rsidRPr="005C5E32">
              <w:rPr>
                <w:rFonts w:cs="Calibri"/>
                <w:b/>
                <w:bCs/>
              </w:rPr>
              <w:t>423</w:t>
            </w:r>
          </w:p>
        </w:tc>
        <w:tc>
          <w:tcPr>
            <w:tcW w:w="964" w:type="dxa"/>
            <w:vAlign w:val="bottom"/>
          </w:tcPr>
          <w:p w14:paraId="4E010536" w14:textId="5976162A" w:rsidR="001003F8" w:rsidRPr="00064AD6" w:rsidRDefault="00AA0858" w:rsidP="00775EFA">
            <w:pPr>
              <w:pStyle w:val="TableText"/>
              <w:spacing w:before="40" w:after="40" w:line="234" w:lineRule="atLeast"/>
              <w:jc w:val="right"/>
              <w:rPr>
                <w:rFonts w:cs="Calibri"/>
                <w:b/>
              </w:rPr>
            </w:pPr>
            <w:r w:rsidRPr="00064AD6">
              <w:rPr>
                <w:b/>
              </w:rPr>
              <w:t>–</w:t>
            </w:r>
          </w:p>
        </w:tc>
        <w:tc>
          <w:tcPr>
            <w:tcW w:w="1304" w:type="dxa"/>
            <w:vAlign w:val="bottom"/>
          </w:tcPr>
          <w:p w14:paraId="1831CCB9" w14:textId="0D82048C" w:rsidR="001003F8" w:rsidRPr="00064AD6" w:rsidRDefault="00AA0858" w:rsidP="00775EFA">
            <w:pPr>
              <w:pStyle w:val="TableText"/>
              <w:spacing w:before="40" w:after="40" w:line="234" w:lineRule="atLeast"/>
              <w:jc w:val="right"/>
              <w:rPr>
                <w:rFonts w:cs="Calibri"/>
                <w:b/>
              </w:rPr>
            </w:pPr>
            <w:r w:rsidRPr="00064AD6">
              <w:rPr>
                <w:b/>
              </w:rPr>
              <w:t>–</w:t>
            </w:r>
          </w:p>
        </w:tc>
        <w:tc>
          <w:tcPr>
            <w:tcW w:w="964" w:type="dxa"/>
            <w:shd w:val="clear" w:color="auto" w:fill="D2DDE1" w:themeFill="background2"/>
            <w:vAlign w:val="bottom"/>
          </w:tcPr>
          <w:p w14:paraId="4987A275" w14:textId="3B732DCF" w:rsidR="001003F8" w:rsidRPr="00064AD6" w:rsidRDefault="000064A1" w:rsidP="00775EFA">
            <w:pPr>
              <w:pStyle w:val="TableText"/>
              <w:spacing w:before="40" w:after="40" w:line="234" w:lineRule="atLeast"/>
              <w:jc w:val="right"/>
              <w:rPr>
                <w:rFonts w:cs="Calibri"/>
                <w:b/>
              </w:rPr>
            </w:pPr>
            <w:r w:rsidRPr="00064AD6">
              <w:rPr>
                <w:rFonts w:cs="Calibri"/>
                <w:b/>
              </w:rPr>
              <w:t>602</w:t>
            </w:r>
          </w:p>
        </w:tc>
      </w:tr>
      <w:tr w:rsidR="001003F8" w:rsidRPr="005C5E32" w14:paraId="131E7962" w14:textId="77777777" w:rsidTr="00BE6088">
        <w:tc>
          <w:tcPr>
            <w:tcW w:w="3686" w:type="dxa"/>
          </w:tcPr>
          <w:p w14:paraId="05D854BA" w14:textId="77777777" w:rsidR="001003F8" w:rsidRPr="005C5E32" w:rsidRDefault="001003F8" w:rsidP="00775EFA">
            <w:pPr>
              <w:pStyle w:val="TableText"/>
              <w:spacing w:before="40" w:after="40" w:line="234" w:lineRule="atLeast"/>
              <w:rPr>
                <w:rFonts w:cs="Calibri"/>
                <w:b/>
                <w:bCs/>
                <w:szCs w:val="18"/>
              </w:rPr>
            </w:pPr>
            <w:r w:rsidRPr="005C5E32">
              <w:rPr>
                <w:rFonts w:cs="Calibri"/>
                <w:b/>
                <w:bCs/>
              </w:rPr>
              <w:t>Non-departmental output expenses</w:t>
            </w:r>
          </w:p>
        </w:tc>
        <w:tc>
          <w:tcPr>
            <w:tcW w:w="964" w:type="dxa"/>
          </w:tcPr>
          <w:p w14:paraId="573716BF" w14:textId="77777777" w:rsidR="001003F8" w:rsidRPr="005C5E32" w:rsidRDefault="001003F8" w:rsidP="00775EFA">
            <w:pPr>
              <w:pStyle w:val="TableText"/>
              <w:spacing w:before="40" w:after="40" w:line="234" w:lineRule="atLeast"/>
              <w:jc w:val="right"/>
              <w:rPr>
                <w:rFonts w:cs="Calibri"/>
              </w:rPr>
            </w:pPr>
          </w:p>
        </w:tc>
        <w:tc>
          <w:tcPr>
            <w:tcW w:w="964" w:type="dxa"/>
          </w:tcPr>
          <w:p w14:paraId="7770798C" w14:textId="77777777" w:rsidR="001003F8" w:rsidRPr="005C5E32" w:rsidRDefault="001003F8" w:rsidP="00775EFA">
            <w:pPr>
              <w:pStyle w:val="TableText"/>
              <w:spacing w:before="40" w:after="40" w:line="234" w:lineRule="atLeast"/>
              <w:jc w:val="right"/>
              <w:rPr>
                <w:rFonts w:cs="Calibri"/>
              </w:rPr>
            </w:pPr>
          </w:p>
        </w:tc>
        <w:tc>
          <w:tcPr>
            <w:tcW w:w="1304" w:type="dxa"/>
          </w:tcPr>
          <w:p w14:paraId="30F3D9BC" w14:textId="77777777" w:rsidR="001003F8" w:rsidRPr="005C5E32" w:rsidRDefault="001003F8" w:rsidP="00775EFA">
            <w:pPr>
              <w:pStyle w:val="TableText"/>
              <w:spacing w:before="40" w:after="40" w:line="234" w:lineRule="atLeast"/>
              <w:jc w:val="right"/>
              <w:rPr>
                <w:rFonts w:cs="Calibri"/>
              </w:rPr>
            </w:pPr>
          </w:p>
        </w:tc>
        <w:tc>
          <w:tcPr>
            <w:tcW w:w="964" w:type="dxa"/>
            <w:shd w:val="clear" w:color="auto" w:fill="D2DDE1" w:themeFill="background2"/>
          </w:tcPr>
          <w:p w14:paraId="15F4CE1A" w14:textId="77777777" w:rsidR="001003F8" w:rsidRPr="005C5E32" w:rsidRDefault="001003F8" w:rsidP="00775EFA">
            <w:pPr>
              <w:pStyle w:val="TableText"/>
              <w:spacing w:before="40" w:after="40" w:line="234" w:lineRule="atLeast"/>
              <w:jc w:val="right"/>
              <w:rPr>
                <w:rFonts w:cs="Calibri"/>
              </w:rPr>
            </w:pPr>
          </w:p>
        </w:tc>
      </w:tr>
      <w:tr w:rsidR="001003F8" w:rsidRPr="005C5E32" w14:paraId="743AE232" w14:textId="77777777" w:rsidTr="00BE6088">
        <w:tc>
          <w:tcPr>
            <w:tcW w:w="3686" w:type="dxa"/>
          </w:tcPr>
          <w:p w14:paraId="13235815" w14:textId="77777777" w:rsidR="001003F8" w:rsidRPr="005C5E32" w:rsidRDefault="001003F8" w:rsidP="00775EFA">
            <w:pPr>
              <w:pStyle w:val="TableText"/>
              <w:spacing w:before="40" w:after="40" w:line="234" w:lineRule="atLeast"/>
              <w:rPr>
                <w:rFonts w:cs="Calibri"/>
                <w:b/>
                <w:bCs/>
                <w:szCs w:val="18"/>
              </w:rPr>
            </w:pPr>
            <w:r w:rsidRPr="005C5E32">
              <w:t>Tyre stewardship fee disbursements</w:t>
            </w:r>
          </w:p>
        </w:tc>
        <w:tc>
          <w:tcPr>
            <w:tcW w:w="964" w:type="dxa"/>
            <w:vAlign w:val="bottom"/>
          </w:tcPr>
          <w:p w14:paraId="4DF6C8F0" w14:textId="77777777" w:rsidR="001003F8" w:rsidRPr="005C5E32" w:rsidRDefault="001003F8" w:rsidP="00775EFA">
            <w:pPr>
              <w:pStyle w:val="TableText"/>
              <w:spacing w:before="40" w:after="40" w:line="234" w:lineRule="atLeast"/>
              <w:jc w:val="right"/>
              <w:rPr>
                <w:rFonts w:cs="Calibri"/>
              </w:rPr>
            </w:pPr>
            <w:r w:rsidRPr="005C5E32">
              <w:rPr>
                <w:rFonts w:cs="Calibri"/>
              </w:rPr>
              <w:t>57,342</w:t>
            </w:r>
          </w:p>
        </w:tc>
        <w:tc>
          <w:tcPr>
            <w:tcW w:w="964" w:type="dxa"/>
            <w:vAlign w:val="bottom"/>
          </w:tcPr>
          <w:p w14:paraId="0F877895" w14:textId="4BE0EAC9" w:rsidR="001003F8" w:rsidRPr="005C5E32" w:rsidRDefault="006F4F3C" w:rsidP="00775EFA">
            <w:pPr>
              <w:pStyle w:val="TableText"/>
              <w:spacing w:before="40" w:after="40" w:line="234" w:lineRule="atLeast"/>
              <w:jc w:val="right"/>
              <w:rPr>
                <w:rFonts w:cs="Calibri"/>
              </w:rPr>
            </w:pPr>
            <w:r w:rsidRPr="005C5E32">
              <w:rPr>
                <w:rFonts w:cs="Calibri"/>
              </w:rPr>
              <w:t>64,456</w:t>
            </w:r>
          </w:p>
        </w:tc>
        <w:tc>
          <w:tcPr>
            <w:tcW w:w="1304" w:type="dxa"/>
            <w:vAlign w:val="bottom"/>
          </w:tcPr>
          <w:p w14:paraId="5B2993FD" w14:textId="2EFD1A55" w:rsidR="001003F8" w:rsidRPr="005C5E32" w:rsidRDefault="00963179" w:rsidP="00775EFA">
            <w:pPr>
              <w:pStyle w:val="TableText"/>
              <w:spacing w:before="40" w:after="40" w:line="234" w:lineRule="atLeast"/>
              <w:jc w:val="right"/>
              <w:rPr>
                <w:rFonts w:cs="Calibri"/>
              </w:rPr>
            </w:pPr>
            <w:r w:rsidRPr="005C5E32">
              <w:rPr>
                <w:rFonts w:cs="Calibri"/>
              </w:rPr>
              <w:t>64,</w:t>
            </w:r>
            <w:r w:rsidR="006F4F3C" w:rsidRPr="005C5E32">
              <w:rPr>
                <w:rFonts w:cs="Calibri"/>
              </w:rPr>
              <w:t>456</w:t>
            </w:r>
          </w:p>
        </w:tc>
        <w:tc>
          <w:tcPr>
            <w:tcW w:w="964" w:type="dxa"/>
            <w:shd w:val="clear" w:color="auto" w:fill="D2DDE1" w:themeFill="background2"/>
            <w:vAlign w:val="bottom"/>
          </w:tcPr>
          <w:p w14:paraId="651F4306" w14:textId="0F6A1727" w:rsidR="001003F8" w:rsidRPr="005C5E32" w:rsidRDefault="00BE0458" w:rsidP="00775EFA">
            <w:pPr>
              <w:pStyle w:val="TableText"/>
              <w:spacing w:before="40" w:after="40" w:line="234" w:lineRule="atLeast"/>
              <w:jc w:val="right"/>
              <w:rPr>
                <w:rFonts w:cs="Calibri"/>
              </w:rPr>
            </w:pPr>
            <w:r w:rsidRPr="005C5E32">
              <w:rPr>
                <w:rFonts w:cs="Calibri"/>
              </w:rPr>
              <w:t>55,597</w:t>
            </w:r>
          </w:p>
        </w:tc>
      </w:tr>
      <w:tr w:rsidR="001003F8" w:rsidRPr="005C5E32" w14:paraId="5BA20198" w14:textId="77777777" w:rsidTr="00BE6088">
        <w:tc>
          <w:tcPr>
            <w:tcW w:w="3686" w:type="dxa"/>
          </w:tcPr>
          <w:p w14:paraId="12049320" w14:textId="77777777" w:rsidR="001003F8" w:rsidRPr="005C5E32" w:rsidRDefault="001003F8" w:rsidP="00775EFA">
            <w:pPr>
              <w:pStyle w:val="TableText"/>
              <w:spacing w:before="40" w:after="40" w:line="234" w:lineRule="atLeast"/>
              <w:rPr>
                <w:rFonts w:cs="Calibri"/>
                <w:b/>
                <w:bCs/>
                <w:szCs w:val="18"/>
              </w:rPr>
            </w:pPr>
            <w:r w:rsidRPr="005C5E32">
              <w:rPr>
                <w:rFonts w:cs="Calibri"/>
                <w:b/>
                <w:bCs/>
              </w:rPr>
              <w:t>Total non-departmental output expenditure</w:t>
            </w:r>
          </w:p>
        </w:tc>
        <w:tc>
          <w:tcPr>
            <w:tcW w:w="964" w:type="dxa"/>
            <w:vAlign w:val="bottom"/>
          </w:tcPr>
          <w:p w14:paraId="548CE8F2" w14:textId="77777777" w:rsidR="001003F8" w:rsidRPr="00064AD6" w:rsidRDefault="001003F8" w:rsidP="00775EFA">
            <w:pPr>
              <w:pStyle w:val="TableText"/>
              <w:spacing w:before="40" w:after="40" w:line="234" w:lineRule="atLeast"/>
              <w:jc w:val="right"/>
              <w:rPr>
                <w:rFonts w:cs="Calibri"/>
                <w:b/>
              </w:rPr>
            </w:pPr>
            <w:r w:rsidRPr="00064AD6">
              <w:rPr>
                <w:rFonts w:cs="Calibri"/>
                <w:b/>
              </w:rPr>
              <w:t>57,342</w:t>
            </w:r>
          </w:p>
        </w:tc>
        <w:tc>
          <w:tcPr>
            <w:tcW w:w="964" w:type="dxa"/>
            <w:vAlign w:val="bottom"/>
          </w:tcPr>
          <w:p w14:paraId="3CD18034" w14:textId="5B6CC6DA" w:rsidR="001003F8" w:rsidRPr="00064AD6" w:rsidRDefault="00731A71" w:rsidP="00775EFA">
            <w:pPr>
              <w:pStyle w:val="TableText"/>
              <w:spacing w:before="40" w:after="40" w:line="234" w:lineRule="atLeast"/>
              <w:jc w:val="right"/>
              <w:rPr>
                <w:rFonts w:cs="Calibri"/>
                <w:b/>
              </w:rPr>
            </w:pPr>
            <w:r w:rsidRPr="00064AD6">
              <w:rPr>
                <w:rFonts w:cs="Calibri"/>
                <w:b/>
              </w:rPr>
              <w:t>64,456</w:t>
            </w:r>
          </w:p>
        </w:tc>
        <w:tc>
          <w:tcPr>
            <w:tcW w:w="1304" w:type="dxa"/>
            <w:vAlign w:val="bottom"/>
          </w:tcPr>
          <w:p w14:paraId="4C302122" w14:textId="61708E20" w:rsidR="001003F8" w:rsidRPr="00064AD6" w:rsidRDefault="00EB71AF" w:rsidP="00775EFA">
            <w:pPr>
              <w:pStyle w:val="TableText"/>
              <w:spacing w:before="40" w:after="40" w:line="234" w:lineRule="atLeast"/>
              <w:jc w:val="right"/>
              <w:rPr>
                <w:rFonts w:cs="Calibri"/>
                <w:b/>
              </w:rPr>
            </w:pPr>
            <w:r w:rsidRPr="00064AD6">
              <w:rPr>
                <w:rFonts w:cs="Calibri"/>
                <w:b/>
              </w:rPr>
              <w:t>64,456</w:t>
            </w:r>
          </w:p>
        </w:tc>
        <w:tc>
          <w:tcPr>
            <w:tcW w:w="964" w:type="dxa"/>
            <w:shd w:val="clear" w:color="auto" w:fill="D2DDE1" w:themeFill="background2"/>
            <w:vAlign w:val="bottom"/>
          </w:tcPr>
          <w:p w14:paraId="6D73F1D0" w14:textId="7B9E688E" w:rsidR="001003F8" w:rsidRPr="00064AD6" w:rsidRDefault="00EB71AF" w:rsidP="00775EFA">
            <w:pPr>
              <w:pStyle w:val="TableText"/>
              <w:spacing w:before="40" w:after="40" w:line="234" w:lineRule="atLeast"/>
              <w:jc w:val="right"/>
              <w:rPr>
                <w:rFonts w:cs="Calibri"/>
                <w:b/>
              </w:rPr>
            </w:pPr>
            <w:r w:rsidRPr="00064AD6">
              <w:rPr>
                <w:rFonts w:cs="Calibri"/>
                <w:b/>
              </w:rPr>
              <w:t>55,597</w:t>
            </w:r>
          </w:p>
        </w:tc>
      </w:tr>
      <w:tr w:rsidR="001003F8" w:rsidRPr="005C5E32" w14:paraId="4357B088" w14:textId="77777777" w:rsidTr="00BE6088">
        <w:tc>
          <w:tcPr>
            <w:tcW w:w="3686" w:type="dxa"/>
          </w:tcPr>
          <w:p w14:paraId="71240686" w14:textId="77777777" w:rsidR="001003F8" w:rsidRPr="005C5E32" w:rsidRDefault="001003F8" w:rsidP="00775EFA">
            <w:pPr>
              <w:pStyle w:val="TableText"/>
              <w:spacing w:before="40" w:after="40" w:line="234" w:lineRule="atLeast"/>
              <w:rPr>
                <w:rFonts w:cs="Calibri"/>
                <w:b/>
                <w:bCs/>
                <w:szCs w:val="18"/>
              </w:rPr>
            </w:pPr>
            <w:r w:rsidRPr="005C5E32">
              <w:rPr>
                <w:rFonts w:cs="Calibri"/>
                <w:b/>
                <w:bCs/>
              </w:rPr>
              <w:t>Total Product Stewardship MCA expenditure</w:t>
            </w:r>
          </w:p>
        </w:tc>
        <w:tc>
          <w:tcPr>
            <w:tcW w:w="964" w:type="dxa"/>
            <w:vAlign w:val="bottom"/>
          </w:tcPr>
          <w:p w14:paraId="0E1B2883" w14:textId="77777777" w:rsidR="001003F8" w:rsidRPr="005C5E32" w:rsidRDefault="001003F8" w:rsidP="00775EFA">
            <w:pPr>
              <w:pStyle w:val="TableText"/>
              <w:spacing w:before="40" w:after="40" w:line="234" w:lineRule="atLeast"/>
              <w:jc w:val="right"/>
              <w:rPr>
                <w:rFonts w:cs="Calibri"/>
              </w:rPr>
            </w:pPr>
            <w:r w:rsidRPr="005C5E32">
              <w:rPr>
                <w:rFonts w:cs="Calibri"/>
                <w:b/>
                <w:bCs/>
              </w:rPr>
              <w:t>57,966</w:t>
            </w:r>
          </w:p>
        </w:tc>
        <w:tc>
          <w:tcPr>
            <w:tcW w:w="964" w:type="dxa"/>
            <w:vAlign w:val="bottom"/>
          </w:tcPr>
          <w:p w14:paraId="42EDD75F" w14:textId="2FE72741" w:rsidR="001003F8" w:rsidRPr="00064AD6" w:rsidRDefault="00D036D7" w:rsidP="00775EFA">
            <w:pPr>
              <w:pStyle w:val="TableText"/>
              <w:spacing w:before="40" w:after="40" w:line="234" w:lineRule="atLeast"/>
              <w:jc w:val="right"/>
              <w:rPr>
                <w:rFonts w:cs="Calibri"/>
                <w:b/>
              </w:rPr>
            </w:pPr>
            <w:r w:rsidRPr="00064AD6">
              <w:rPr>
                <w:rFonts w:cs="Calibri"/>
                <w:b/>
              </w:rPr>
              <w:t>65,610</w:t>
            </w:r>
          </w:p>
        </w:tc>
        <w:tc>
          <w:tcPr>
            <w:tcW w:w="1304" w:type="dxa"/>
            <w:vAlign w:val="bottom"/>
          </w:tcPr>
          <w:p w14:paraId="396C30AD" w14:textId="0934DA37" w:rsidR="001003F8" w:rsidRPr="00064AD6" w:rsidRDefault="00D036D7" w:rsidP="00775EFA">
            <w:pPr>
              <w:pStyle w:val="TableText"/>
              <w:spacing w:before="40" w:after="40" w:line="234" w:lineRule="atLeast"/>
              <w:jc w:val="right"/>
              <w:rPr>
                <w:rFonts w:cs="Calibri"/>
                <w:b/>
              </w:rPr>
            </w:pPr>
            <w:r w:rsidRPr="00064AD6">
              <w:rPr>
                <w:rFonts w:cs="Calibri"/>
                <w:b/>
              </w:rPr>
              <w:t>65,610</w:t>
            </w:r>
          </w:p>
        </w:tc>
        <w:tc>
          <w:tcPr>
            <w:tcW w:w="964" w:type="dxa"/>
            <w:shd w:val="clear" w:color="auto" w:fill="D2DDE1" w:themeFill="background2"/>
            <w:vAlign w:val="bottom"/>
          </w:tcPr>
          <w:p w14:paraId="06943C89" w14:textId="1EDA3F3F" w:rsidR="001003F8" w:rsidRPr="00064AD6" w:rsidRDefault="001421E4" w:rsidP="00775EFA">
            <w:pPr>
              <w:pStyle w:val="TableText"/>
              <w:spacing w:before="40" w:after="40" w:line="234" w:lineRule="atLeast"/>
              <w:jc w:val="right"/>
              <w:rPr>
                <w:rFonts w:cs="Calibri"/>
                <w:b/>
              </w:rPr>
            </w:pPr>
            <w:r w:rsidRPr="00064AD6">
              <w:rPr>
                <w:rFonts w:cs="Calibri"/>
                <w:b/>
              </w:rPr>
              <w:t>56,149</w:t>
            </w:r>
          </w:p>
        </w:tc>
      </w:tr>
    </w:tbl>
    <w:p w14:paraId="39B37AA7" w14:textId="52F6E4F6" w:rsidR="00E913D6" w:rsidRPr="005C5E32" w:rsidRDefault="00DE0247" w:rsidP="00056356">
      <w:pPr>
        <w:pStyle w:val="BodyText"/>
        <w:spacing w:before="240"/>
      </w:pPr>
      <w:r w:rsidRPr="005C5E32">
        <w:t xml:space="preserve">Actual expenditure for 2025/26 came under budget. The revenue collected from the tyre fees was lower than </w:t>
      </w:r>
      <w:r w:rsidR="009F6904" w:rsidRPr="005C5E32">
        <w:t>the revised budget</w:t>
      </w:r>
      <w:r w:rsidRPr="005C5E32">
        <w:t xml:space="preserve"> due to the current economic conditions, which led to a reduction in imports and in purchasing of tyres. This has reduced the amount available to be paid to the </w:t>
      </w:r>
      <w:r w:rsidR="0019337B" w:rsidRPr="005C5E32">
        <w:t>p</w:t>
      </w:r>
      <w:r w:rsidRPr="005C5E32">
        <w:t xml:space="preserve">roduct </w:t>
      </w:r>
      <w:r w:rsidR="0019337B" w:rsidRPr="005C5E32">
        <w:t>s</w:t>
      </w:r>
      <w:r w:rsidRPr="005C5E32">
        <w:t xml:space="preserve">tewardship </w:t>
      </w:r>
      <w:r w:rsidR="0019337B" w:rsidRPr="005C5E32">
        <w:t>o</w:t>
      </w:r>
      <w:r w:rsidRPr="005C5E32">
        <w:t xml:space="preserve">rganisation </w:t>
      </w:r>
      <w:r w:rsidR="0019337B" w:rsidRPr="005C5E32">
        <w:t>that</w:t>
      </w:r>
      <w:r w:rsidRPr="005C5E32">
        <w:t xml:space="preserve"> operates the scheme to manage end-of-life tyres in New Zealand. Any year-end surplus must remain in the scheme.</w:t>
      </w:r>
    </w:p>
    <w:p w14:paraId="161C3CEE" w14:textId="2A838C24" w:rsidR="001003F8" w:rsidRPr="005C5E32" w:rsidRDefault="001003F8" w:rsidP="007020A9">
      <w:pPr>
        <w:pStyle w:val="Heading4"/>
        <w:spacing w:after="240"/>
      </w:pPr>
      <w:r w:rsidRPr="005C5E32">
        <w:t>Appropriation performance</w:t>
      </w:r>
    </w:p>
    <w:tbl>
      <w:tblPr>
        <w:tblStyle w:val="TableGrid"/>
        <w:tblW w:w="5000" w:type="pct"/>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2268"/>
        <w:gridCol w:w="1842"/>
        <w:gridCol w:w="2546"/>
        <w:gridCol w:w="1849"/>
      </w:tblGrid>
      <w:tr w:rsidR="001003F8" w:rsidRPr="005C5E32" w14:paraId="2749F040" w14:textId="77777777" w:rsidTr="003119E0">
        <w:trPr>
          <w:trHeight w:val="360"/>
          <w:tblHeader/>
        </w:trPr>
        <w:tc>
          <w:tcPr>
            <w:tcW w:w="1333" w:type="pct"/>
            <w:shd w:val="clear" w:color="auto" w:fill="1B556B" w:themeFill="text2"/>
          </w:tcPr>
          <w:p w14:paraId="545A4309" w14:textId="77777777" w:rsidR="001003F8" w:rsidRPr="005C5E32" w:rsidRDefault="001003F8" w:rsidP="00775EFA">
            <w:pPr>
              <w:pStyle w:val="TableTextbold"/>
              <w:rPr>
                <w:color w:val="FFFFFF" w:themeColor="background1"/>
              </w:rPr>
            </w:pPr>
            <w:r w:rsidRPr="005C5E32">
              <w:rPr>
                <w:color w:val="FFFFFF" w:themeColor="background1"/>
              </w:rPr>
              <w:t>Performance measure</w:t>
            </w:r>
          </w:p>
        </w:tc>
        <w:tc>
          <w:tcPr>
            <w:tcW w:w="1083" w:type="pct"/>
            <w:shd w:val="clear" w:color="auto" w:fill="1B556B" w:themeFill="text2"/>
          </w:tcPr>
          <w:p w14:paraId="25CAA289" w14:textId="77777777" w:rsidR="001003F8" w:rsidRPr="005C5E32" w:rsidRDefault="001003F8" w:rsidP="00775EFA">
            <w:pPr>
              <w:pStyle w:val="TableTextbold"/>
              <w:rPr>
                <w:color w:val="FFFFFF" w:themeColor="background1"/>
              </w:rPr>
            </w:pPr>
            <w:r w:rsidRPr="005C5E32">
              <w:rPr>
                <w:color w:val="FFFFFF" w:themeColor="background1"/>
              </w:rPr>
              <w:t>2024/25 performance</w:t>
            </w:r>
          </w:p>
        </w:tc>
        <w:tc>
          <w:tcPr>
            <w:tcW w:w="1497" w:type="pct"/>
            <w:shd w:val="clear" w:color="auto" w:fill="1B556B" w:themeFill="text2"/>
          </w:tcPr>
          <w:p w14:paraId="69CA3BAE" w14:textId="77777777" w:rsidR="001003F8" w:rsidRPr="005C5E32" w:rsidRDefault="001003F8" w:rsidP="00775EFA">
            <w:pPr>
              <w:pStyle w:val="TableTextbold"/>
              <w:rPr>
                <w:color w:val="FFFFFF" w:themeColor="background1"/>
              </w:rPr>
            </w:pPr>
            <w:r w:rsidRPr="005C5E32">
              <w:rPr>
                <w:color w:val="FFFFFF" w:themeColor="background1"/>
              </w:rPr>
              <w:t>2025/26 target</w:t>
            </w:r>
          </w:p>
        </w:tc>
        <w:tc>
          <w:tcPr>
            <w:tcW w:w="1086" w:type="pct"/>
            <w:shd w:val="clear" w:color="auto" w:fill="1B556B" w:themeFill="text2"/>
          </w:tcPr>
          <w:p w14:paraId="0E608138" w14:textId="77777777" w:rsidR="001003F8" w:rsidRPr="005C5E32" w:rsidRDefault="001003F8" w:rsidP="00775EFA">
            <w:pPr>
              <w:pStyle w:val="TableTextbold"/>
              <w:rPr>
                <w:color w:val="FFFFFF" w:themeColor="background1"/>
              </w:rPr>
            </w:pPr>
            <w:r w:rsidRPr="005C5E32">
              <w:rPr>
                <w:color w:val="FFFFFF" w:themeColor="background1"/>
              </w:rPr>
              <w:t>2025/26 performance</w:t>
            </w:r>
          </w:p>
        </w:tc>
      </w:tr>
      <w:tr w:rsidR="001003F8" w:rsidRPr="005C5E32" w14:paraId="46FE2AD4" w14:textId="77777777" w:rsidTr="003119E0">
        <w:trPr>
          <w:trHeight w:val="360"/>
        </w:trPr>
        <w:tc>
          <w:tcPr>
            <w:tcW w:w="1333" w:type="pct"/>
            <w:tcBorders>
              <w:bottom w:val="single" w:sz="4" w:space="0" w:color="1B556B" w:themeColor="text2"/>
            </w:tcBorders>
          </w:tcPr>
          <w:p w14:paraId="5A9295D9" w14:textId="77777777" w:rsidR="001003F8" w:rsidRPr="005C5E32" w:rsidRDefault="001003F8" w:rsidP="00775EFA">
            <w:pPr>
              <w:pStyle w:val="TableText"/>
              <w:spacing w:after="0"/>
            </w:pPr>
            <w:r w:rsidRPr="005C5E32">
              <w:t>Tonnage of end-of-life tyres collected by the Tyrewise Product Stewardship scheme annually</w:t>
            </w:r>
          </w:p>
          <w:p w14:paraId="448B946D" w14:textId="6AEDA03D" w:rsidR="001003F8" w:rsidRPr="005C5E32" w:rsidRDefault="001003F8" w:rsidP="00775EFA">
            <w:pPr>
              <w:pStyle w:val="Tablegreen"/>
              <w:rPr>
                <w:i/>
                <w:iCs/>
              </w:rPr>
            </w:pPr>
            <w:hyperlink w:anchor="_Note_6_–" w:history="1">
              <w:r w:rsidRPr="005C5E32">
                <w:rPr>
                  <w:rStyle w:val="Hyperlink"/>
                  <w:i/>
                </w:rPr>
                <w:t>See note 6</w:t>
              </w:r>
            </w:hyperlink>
          </w:p>
        </w:tc>
        <w:tc>
          <w:tcPr>
            <w:tcW w:w="1083" w:type="pct"/>
            <w:tcBorders>
              <w:bottom w:val="single" w:sz="4" w:space="0" w:color="1B556B" w:themeColor="text2"/>
            </w:tcBorders>
          </w:tcPr>
          <w:p w14:paraId="14225AA3" w14:textId="62EA64FF" w:rsidR="001003F8" w:rsidRPr="005C5E32" w:rsidRDefault="001003F8" w:rsidP="00775EFA">
            <w:pPr>
              <w:pStyle w:val="TableText"/>
            </w:pPr>
            <w:r w:rsidRPr="005C5E32">
              <w:t>35,406 tonnes</w:t>
            </w:r>
          </w:p>
        </w:tc>
        <w:tc>
          <w:tcPr>
            <w:tcW w:w="1497" w:type="pct"/>
            <w:tcBorders>
              <w:bottom w:val="single" w:sz="4" w:space="0" w:color="1B556B" w:themeColor="text2"/>
            </w:tcBorders>
          </w:tcPr>
          <w:p w14:paraId="04FBE221" w14:textId="45810FE2" w:rsidR="001003F8" w:rsidRPr="005C5E32" w:rsidRDefault="001003F8" w:rsidP="00775EFA">
            <w:pPr>
              <w:pStyle w:val="TableText"/>
            </w:pPr>
            <w:r w:rsidRPr="005C5E32">
              <w:t xml:space="preserve">1 April </w:t>
            </w:r>
            <w:r w:rsidR="0019337B" w:rsidRPr="005C5E32">
              <w:t>20</w:t>
            </w:r>
            <w:r w:rsidRPr="005C5E32">
              <w:t xml:space="preserve">25 to 31 March </w:t>
            </w:r>
            <w:r w:rsidR="0019337B" w:rsidRPr="005C5E32">
              <w:t>20</w:t>
            </w:r>
            <w:r w:rsidRPr="005C5E32">
              <w:t>26: 20,000 tonnes (12</w:t>
            </w:r>
            <w:r w:rsidR="00235B76" w:rsidRPr="005C5E32">
              <w:t> </w:t>
            </w:r>
            <w:r w:rsidRPr="005C5E32">
              <w:t>months)</w:t>
            </w:r>
          </w:p>
          <w:p w14:paraId="4E1EC755" w14:textId="739EC988" w:rsidR="001003F8" w:rsidRPr="005C5E32" w:rsidRDefault="001003F8" w:rsidP="00775EFA">
            <w:pPr>
              <w:pStyle w:val="TableText"/>
            </w:pPr>
            <w:r w:rsidRPr="005C5E32">
              <w:t xml:space="preserve">1 April </w:t>
            </w:r>
            <w:r w:rsidR="0019337B" w:rsidRPr="005C5E32">
              <w:t>20</w:t>
            </w:r>
            <w:r w:rsidRPr="005C5E32">
              <w:t xml:space="preserve">26 to 31 March </w:t>
            </w:r>
            <w:r w:rsidR="0019337B" w:rsidRPr="005C5E32">
              <w:t>20</w:t>
            </w:r>
            <w:r w:rsidRPr="005C5E32">
              <w:t>27: 20,000 tonnes (12</w:t>
            </w:r>
            <w:r w:rsidR="00235B76" w:rsidRPr="005C5E32">
              <w:t> </w:t>
            </w:r>
            <w:r w:rsidRPr="005C5E32">
              <w:t xml:space="preserve">months) </w:t>
            </w:r>
          </w:p>
        </w:tc>
        <w:tc>
          <w:tcPr>
            <w:tcW w:w="1086" w:type="pct"/>
            <w:tcBorders>
              <w:bottom w:val="single" w:sz="4" w:space="0" w:color="1B556B" w:themeColor="text2"/>
            </w:tcBorders>
          </w:tcPr>
          <w:p w14:paraId="0DD1DC54" w14:textId="77777777" w:rsidR="001003F8" w:rsidRPr="005C5E32" w:rsidRDefault="001003F8" w:rsidP="00775EFA">
            <w:pPr>
              <w:pStyle w:val="TableText"/>
            </w:pPr>
            <w:r w:rsidRPr="005C5E32">
              <w:t xml:space="preserve">66,974 tonnes </w:t>
            </w:r>
          </w:p>
        </w:tc>
      </w:tr>
      <w:tr w:rsidR="001003F8" w:rsidRPr="005C5E32" w14:paraId="50CFD598" w14:textId="77777777" w:rsidTr="00655B09">
        <w:trPr>
          <w:trHeight w:val="360"/>
        </w:trPr>
        <w:tc>
          <w:tcPr>
            <w:tcW w:w="5000" w:type="pct"/>
            <w:gridSpan w:val="4"/>
            <w:tcBorders>
              <w:bottom w:val="single" w:sz="12" w:space="0" w:color="1B556B" w:themeColor="text2"/>
            </w:tcBorders>
            <w:shd w:val="clear" w:color="auto" w:fill="D2DDE1" w:themeFill="background2"/>
          </w:tcPr>
          <w:p w14:paraId="1FBDD638" w14:textId="275049B4" w:rsidR="001003F8" w:rsidRPr="005C5E32" w:rsidRDefault="001003F8" w:rsidP="00AF6A67">
            <w:pPr>
              <w:pStyle w:val="TableText"/>
            </w:pPr>
            <w:r w:rsidRPr="005C5E32">
              <w:rPr>
                <w:b/>
                <w:bCs/>
              </w:rPr>
              <w:t>2025/26 commentary:</w:t>
            </w:r>
            <w:r w:rsidRPr="005C5E32">
              <w:t xml:space="preserve"> The 2025/26 target for collection of end-of-life tyres </w:t>
            </w:r>
            <w:r w:rsidR="0019337B" w:rsidRPr="005C5E32">
              <w:t>was</w:t>
            </w:r>
            <w:r w:rsidRPr="005C5E32">
              <w:t xml:space="preserve"> exceeded, indicating high volumes of tyres reaching end-of-life and requiring management by the Tyrewise </w:t>
            </w:r>
            <w:r w:rsidR="004A1801" w:rsidRPr="005C5E32">
              <w:t>s</w:t>
            </w:r>
            <w:r w:rsidRPr="005C5E32">
              <w:t xml:space="preserve">cheme. The target was updated from 13,000 tonnes for </w:t>
            </w:r>
            <w:r w:rsidR="0019337B" w:rsidRPr="005C5E32">
              <w:t xml:space="preserve">seven </w:t>
            </w:r>
            <w:r w:rsidRPr="005C5E32">
              <w:t>months in 2024/25</w:t>
            </w:r>
            <w:r w:rsidR="00554D90" w:rsidRPr="005C5E32">
              <w:t>,</w:t>
            </w:r>
            <w:r w:rsidRPr="005C5E32">
              <w:t xml:space="preserve"> to 20,000 tonnes for the full year in 2025/26. The 2024/25 target </w:t>
            </w:r>
            <w:r w:rsidR="009E6251" w:rsidRPr="005C5E32">
              <w:t>covered only</w:t>
            </w:r>
            <w:r w:rsidRPr="005C5E32">
              <w:t xml:space="preserve"> </w:t>
            </w:r>
            <w:r w:rsidR="0019337B" w:rsidRPr="005C5E32">
              <w:t xml:space="preserve">seven </w:t>
            </w:r>
            <w:r w:rsidRPr="005C5E32">
              <w:t xml:space="preserve">months </w:t>
            </w:r>
            <w:r w:rsidR="009E6251" w:rsidRPr="005C5E32">
              <w:t>because</w:t>
            </w:r>
            <w:r w:rsidR="0019337B" w:rsidRPr="005C5E32">
              <w:t xml:space="preserve"> </w:t>
            </w:r>
            <w:r w:rsidRPr="005C5E32">
              <w:t xml:space="preserve">the scheme </w:t>
            </w:r>
            <w:r w:rsidR="009E6251" w:rsidRPr="005C5E32">
              <w:t xml:space="preserve">did not start </w:t>
            </w:r>
            <w:r w:rsidRPr="005C5E32">
              <w:t>operations</w:t>
            </w:r>
            <w:r w:rsidR="00554D90" w:rsidRPr="005C5E32">
              <w:t xml:space="preserve"> (</w:t>
            </w:r>
            <w:r w:rsidR="003A0CB8" w:rsidRPr="005C5E32">
              <w:t>eg</w:t>
            </w:r>
            <w:r w:rsidR="00554D90" w:rsidRPr="005C5E32">
              <w:t xml:space="preserve">, </w:t>
            </w:r>
            <w:r w:rsidRPr="005C5E32">
              <w:t>tyre collection</w:t>
            </w:r>
            <w:r w:rsidR="00554D90" w:rsidRPr="005C5E32">
              <w:t>)</w:t>
            </w:r>
            <w:r w:rsidRPr="005C5E32">
              <w:t xml:space="preserve"> </w:t>
            </w:r>
            <w:r w:rsidR="009E6251" w:rsidRPr="005C5E32">
              <w:t xml:space="preserve">until </w:t>
            </w:r>
            <w:r w:rsidRPr="005C5E32">
              <w:t>1 September 2024.</w:t>
            </w:r>
            <w:r w:rsidR="005B7E42" w:rsidRPr="005C5E32">
              <w:t xml:space="preserve"> </w:t>
            </w:r>
          </w:p>
        </w:tc>
      </w:tr>
    </w:tbl>
    <w:p w14:paraId="50420B59" w14:textId="77777777" w:rsidR="001003F8" w:rsidRPr="005C5E32" w:rsidRDefault="001003F8" w:rsidP="00AF6A67">
      <w:pPr>
        <w:pStyle w:val="Heading4"/>
        <w:spacing w:before="360"/>
      </w:pPr>
      <w:r w:rsidRPr="005C5E32">
        <w:lastRenderedPageBreak/>
        <w:t>Departmental output expenses</w:t>
      </w:r>
    </w:p>
    <w:p w14:paraId="10BA3B16" w14:textId="77777777" w:rsidR="001003F8" w:rsidRPr="005C5E32" w:rsidRDefault="001003F8" w:rsidP="00AF6A67">
      <w:pPr>
        <w:pStyle w:val="Heading5"/>
        <w:spacing w:before="180" w:after="120"/>
      </w:pPr>
      <w:bookmarkStart w:id="144" w:name="_Product_stewardship_administration_1"/>
      <w:bookmarkEnd w:id="144"/>
      <w:r w:rsidRPr="005C5E32">
        <w:t>Product stewardship administration</w:t>
      </w:r>
    </w:p>
    <w:tbl>
      <w:tblPr>
        <w:tblStyle w:val="TableGrid"/>
        <w:tblW w:w="5000" w:type="pct"/>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CellMar>
          <w:left w:w="85" w:type="dxa"/>
          <w:right w:w="85" w:type="dxa"/>
        </w:tblCellMar>
        <w:tblLook w:val="04A0" w:firstRow="1" w:lastRow="0" w:firstColumn="1" w:lastColumn="0" w:noHBand="0" w:noVBand="1"/>
      </w:tblPr>
      <w:tblGrid>
        <w:gridCol w:w="3402"/>
        <w:gridCol w:w="1842"/>
        <w:gridCol w:w="1419"/>
        <w:gridCol w:w="1842"/>
      </w:tblGrid>
      <w:tr w:rsidR="001003F8" w:rsidRPr="005C5E32" w14:paraId="47CC5EBC" w14:textId="77777777" w:rsidTr="00D86CA8">
        <w:trPr>
          <w:trHeight w:val="360"/>
          <w:tblHeader/>
        </w:trPr>
        <w:tc>
          <w:tcPr>
            <w:tcW w:w="2000" w:type="pct"/>
            <w:shd w:val="clear" w:color="auto" w:fill="1B556B" w:themeFill="text2"/>
          </w:tcPr>
          <w:p w14:paraId="53798818" w14:textId="77777777" w:rsidR="001003F8" w:rsidRPr="005C5E32" w:rsidRDefault="001003F8" w:rsidP="00C70125">
            <w:pPr>
              <w:pStyle w:val="TableTextbold"/>
              <w:keepNext/>
              <w:rPr>
                <w:color w:val="FFFFFF" w:themeColor="background1"/>
              </w:rPr>
            </w:pPr>
            <w:r w:rsidRPr="005C5E32">
              <w:rPr>
                <w:color w:val="FFFFFF" w:themeColor="background1"/>
              </w:rPr>
              <w:t>Performance measure</w:t>
            </w:r>
          </w:p>
        </w:tc>
        <w:tc>
          <w:tcPr>
            <w:tcW w:w="1083" w:type="pct"/>
            <w:shd w:val="clear" w:color="auto" w:fill="1B556B" w:themeFill="text2"/>
          </w:tcPr>
          <w:p w14:paraId="7866D708" w14:textId="77777777" w:rsidR="001003F8" w:rsidRPr="005C5E32" w:rsidRDefault="001003F8" w:rsidP="00C70125">
            <w:pPr>
              <w:pStyle w:val="TableTextbold"/>
              <w:keepNext/>
              <w:rPr>
                <w:color w:val="FFFFFF" w:themeColor="background1"/>
              </w:rPr>
            </w:pPr>
            <w:r w:rsidRPr="005C5E32">
              <w:rPr>
                <w:color w:val="FFFFFF" w:themeColor="background1"/>
              </w:rPr>
              <w:t>2024/25 performance</w:t>
            </w:r>
          </w:p>
        </w:tc>
        <w:tc>
          <w:tcPr>
            <w:tcW w:w="834" w:type="pct"/>
            <w:shd w:val="clear" w:color="auto" w:fill="1B556B" w:themeFill="text2"/>
          </w:tcPr>
          <w:p w14:paraId="1C5457B4" w14:textId="77777777" w:rsidR="001003F8" w:rsidRPr="005C5E32" w:rsidRDefault="001003F8" w:rsidP="00C70125">
            <w:pPr>
              <w:pStyle w:val="TableTextbold"/>
              <w:keepNext/>
              <w:rPr>
                <w:color w:val="FFFFFF" w:themeColor="background1"/>
              </w:rPr>
            </w:pPr>
            <w:r w:rsidRPr="005C5E32">
              <w:rPr>
                <w:color w:val="FFFFFF" w:themeColor="background1"/>
              </w:rPr>
              <w:t>2025/26 target</w:t>
            </w:r>
          </w:p>
        </w:tc>
        <w:tc>
          <w:tcPr>
            <w:tcW w:w="1083" w:type="pct"/>
            <w:shd w:val="clear" w:color="auto" w:fill="1B556B" w:themeFill="text2"/>
          </w:tcPr>
          <w:p w14:paraId="6AB5495D" w14:textId="77777777" w:rsidR="001003F8" w:rsidRPr="005C5E32" w:rsidRDefault="001003F8" w:rsidP="00C70125">
            <w:pPr>
              <w:pStyle w:val="TableTextbold"/>
              <w:keepNext/>
              <w:rPr>
                <w:color w:val="FFFFFF" w:themeColor="background1"/>
              </w:rPr>
            </w:pPr>
            <w:r w:rsidRPr="005C5E32">
              <w:rPr>
                <w:color w:val="FFFFFF" w:themeColor="background1"/>
              </w:rPr>
              <w:t>2025/26 performance</w:t>
            </w:r>
          </w:p>
        </w:tc>
      </w:tr>
      <w:tr w:rsidR="001003F8" w:rsidRPr="005C5E32" w14:paraId="547F60D7" w14:textId="77777777" w:rsidTr="00D86CA8">
        <w:trPr>
          <w:trHeight w:val="360"/>
        </w:trPr>
        <w:tc>
          <w:tcPr>
            <w:tcW w:w="2000" w:type="pct"/>
            <w:tcBorders>
              <w:bottom w:val="single" w:sz="4" w:space="0" w:color="1B556B" w:themeColor="text2"/>
            </w:tcBorders>
          </w:tcPr>
          <w:p w14:paraId="065B25FF" w14:textId="6E2D64AC" w:rsidR="001003F8" w:rsidRPr="005C5E32" w:rsidRDefault="001003F8" w:rsidP="00C70125">
            <w:pPr>
              <w:pStyle w:val="TableText"/>
              <w:keepNext/>
            </w:pPr>
            <w:r w:rsidRPr="005C5E32">
              <w:t xml:space="preserve">Monitoring </w:t>
            </w:r>
            <w:r w:rsidR="00705A65" w:rsidRPr="005C5E32">
              <w:t xml:space="preserve">and auditing </w:t>
            </w:r>
            <w:r w:rsidRPr="005C5E32">
              <w:t>of the scheme to ensure the tyre stewardship fee is spent correctly and appropriately and achieving the expected outcomes</w:t>
            </w:r>
          </w:p>
        </w:tc>
        <w:tc>
          <w:tcPr>
            <w:tcW w:w="1083" w:type="pct"/>
            <w:tcBorders>
              <w:bottom w:val="single" w:sz="4" w:space="0" w:color="1B556B" w:themeColor="text2"/>
            </w:tcBorders>
          </w:tcPr>
          <w:p w14:paraId="6D8F2051" w14:textId="0E4DAD58" w:rsidR="001003F8" w:rsidRPr="005C5E32" w:rsidRDefault="001003F8" w:rsidP="00C70125">
            <w:pPr>
              <w:pStyle w:val="TableText"/>
              <w:keepNext/>
            </w:pPr>
            <w:r w:rsidRPr="005C5E32">
              <w:t>Achieved</w:t>
            </w:r>
          </w:p>
        </w:tc>
        <w:tc>
          <w:tcPr>
            <w:tcW w:w="834" w:type="pct"/>
            <w:tcBorders>
              <w:bottom w:val="single" w:sz="4" w:space="0" w:color="1B556B" w:themeColor="text2"/>
            </w:tcBorders>
          </w:tcPr>
          <w:p w14:paraId="26D7BFBC" w14:textId="77777777" w:rsidR="001003F8" w:rsidRPr="005C5E32" w:rsidRDefault="001003F8" w:rsidP="00C70125">
            <w:pPr>
              <w:pStyle w:val="TableText"/>
              <w:keepNext/>
            </w:pPr>
            <w:r w:rsidRPr="005C5E32">
              <w:t>Achieved</w:t>
            </w:r>
          </w:p>
        </w:tc>
        <w:tc>
          <w:tcPr>
            <w:tcW w:w="1083" w:type="pct"/>
            <w:tcBorders>
              <w:bottom w:val="single" w:sz="4" w:space="0" w:color="1B556B" w:themeColor="text2"/>
            </w:tcBorders>
          </w:tcPr>
          <w:p w14:paraId="3DE34FF6" w14:textId="77777777" w:rsidR="001003F8" w:rsidRPr="005C5E32" w:rsidRDefault="001003F8" w:rsidP="00C70125">
            <w:pPr>
              <w:pStyle w:val="TableText"/>
              <w:keepNext/>
            </w:pPr>
            <w:r w:rsidRPr="005C5E32">
              <w:t xml:space="preserve">Achieved </w:t>
            </w:r>
          </w:p>
        </w:tc>
      </w:tr>
      <w:tr w:rsidR="001003F8" w:rsidRPr="005C5E32" w14:paraId="2D715D28" w14:textId="77777777" w:rsidTr="003D0CC1">
        <w:trPr>
          <w:trHeight w:val="360"/>
        </w:trPr>
        <w:tc>
          <w:tcPr>
            <w:tcW w:w="5000" w:type="pct"/>
            <w:gridSpan w:val="4"/>
            <w:tcBorders>
              <w:bottom w:val="single" w:sz="12" w:space="0" w:color="1B556B" w:themeColor="text2"/>
            </w:tcBorders>
            <w:shd w:val="clear" w:color="auto" w:fill="D2DDE1" w:themeFill="background2"/>
          </w:tcPr>
          <w:p w14:paraId="35B2F518" w14:textId="5DCA1DB3" w:rsidR="001003F8" w:rsidRPr="005C5E32" w:rsidRDefault="001003F8" w:rsidP="003D0CC1">
            <w:pPr>
              <w:pStyle w:val="TableText"/>
              <w:rPr>
                <w:lang w:eastAsia="en-US"/>
              </w:rPr>
            </w:pPr>
            <w:r w:rsidRPr="005C5E32">
              <w:rPr>
                <w:b/>
                <w:bCs/>
              </w:rPr>
              <w:t>2025/26 commentary:</w:t>
            </w:r>
            <w:r w:rsidRPr="005C5E32">
              <w:t xml:space="preserve"> Monitoring of the scheme includes an assurance and engagement plan, which provides for</w:t>
            </w:r>
            <w:r w:rsidR="00C70125" w:rsidRPr="005C5E32">
              <w:t> </w:t>
            </w:r>
            <w:r w:rsidRPr="005C5E32">
              <w:t>engagements every six months. The plan outlines the scope of each engagement, ensuring that the tyre stewardship fee is spent appropriately and that the scheme is being well managed. This structured approach enables regular oversight and supports accountability. An independent auditor contracted by the Ministry completed two assurance engagements (ISAE (NZ) 3100) and one agreed procedures engagement (ISRS (NZ) 4400</w:t>
            </w:r>
            <w:r w:rsidR="00C70125" w:rsidRPr="005C5E32">
              <w:t> </w:t>
            </w:r>
            <w:r w:rsidRPr="005C5E32">
              <w:t xml:space="preserve">Revised) during the year. </w:t>
            </w:r>
          </w:p>
        </w:tc>
      </w:tr>
    </w:tbl>
    <w:p w14:paraId="710F8D49" w14:textId="77777777" w:rsidR="001003F8" w:rsidRPr="005C5E32" w:rsidRDefault="001003F8" w:rsidP="00AF6A67">
      <w:pPr>
        <w:pStyle w:val="Heading4"/>
        <w:spacing w:before="360"/>
      </w:pPr>
      <w:bookmarkStart w:id="145" w:name="_Waste_Minimisation_Administration"/>
      <w:bookmarkStart w:id="146" w:name="_Toc173852912"/>
      <w:bookmarkStart w:id="147" w:name="_Toc173931481"/>
      <w:bookmarkStart w:id="148" w:name="_Toc173932215"/>
      <w:bookmarkEnd w:id="145"/>
      <w:r w:rsidRPr="005C5E32">
        <w:t>Non-departmental output expenses</w:t>
      </w:r>
    </w:p>
    <w:p w14:paraId="7CAC2DD7" w14:textId="77777777" w:rsidR="001003F8" w:rsidRPr="005C5E32" w:rsidRDefault="001003F8" w:rsidP="00AF6A67">
      <w:pPr>
        <w:pStyle w:val="Heading5"/>
        <w:spacing w:before="180" w:after="120"/>
      </w:pPr>
      <w:r w:rsidRPr="005C5E32">
        <w:t>Tyre stewardship fee disbursements</w:t>
      </w:r>
    </w:p>
    <w:tbl>
      <w:tblPr>
        <w:tblStyle w:val="TableGrid"/>
        <w:tblW w:w="8505" w:type="dxa"/>
        <w:tblBorders>
          <w:top w:val="single" w:sz="4" w:space="0" w:color="1B556B" w:themeColor="text2"/>
          <w:left w:val="none" w:sz="0" w:space="0" w:color="auto"/>
          <w:bottom w:val="none" w:sz="0" w:space="0" w:color="auto"/>
          <w:right w:val="none" w:sz="0" w:space="0" w:color="auto"/>
          <w:insideH w:val="single" w:sz="4" w:space="0" w:color="1B556B" w:themeColor="text2"/>
          <w:insideV w:val="none" w:sz="0" w:space="0" w:color="auto"/>
        </w:tblBorders>
        <w:tblCellMar>
          <w:left w:w="85" w:type="dxa"/>
          <w:right w:w="85" w:type="dxa"/>
        </w:tblCellMar>
        <w:tblLook w:val="04A0" w:firstRow="1" w:lastRow="0" w:firstColumn="1" w:lastColumn="0" w:noHBand="0" w:noVBand="1"/>
      </w:tblPr>
      <w:tblGrid>
        <w:gridCol w:w="3402"/>
        <w:gridCol w:w="1843"/>
        <w:gridCol w:w="1418"/>
        <w:gridCol w:w="1842"/>
      </w:tblGrid>
      <w:tr w:rsidR="001003F8" w:rsidRPr="005C5E32" w14:paraId="18ED39F6" w14:textId="77777777" w:rsidTr="005734DC">
        <w:trPr>
          <w:trHeight w:val="360"/>
        </w:trPr>
        <w:tc>
          <w:tcPr>
            <w:tcW w:w="3402" w:type="dxa"/>
            <w:tcBorders>
              <w:bottom w:val="single" w:sz="4" w:space="0" w:color="1B556B" w:themeColor="text2"/>
            </w:tcBorders>
            <w:shd w:val="clear" w:color="auto" w:fill="1B556B" w:themeFill="text2"/>
            <w:vAlign w:val="bottom"/>
          </w:tcPr>
          <w:p w14:paraId="746788EA" w14:textId="77777777" w:rsidR="001003F8" w:rsidRPr="005C5E32" w:rsidRDefault="001003F8" w:rsidP="003D0CC1">
            <w:pPr>
              <w:pStyle w:val="TableTextbold"/>
              <w:spacing w:before="40" w:after="40"/>
              <w:rPr>
                <w:color w:val="FFFFFF" w:themeColor="background1"/>
              </w:rPr>
            </w:pPr>
            <w:r w:rsidRPr="005C5E32">
              <w:rPr>
                <w:color w:val="FFFFFF" w:themeColor="background1"/>
              </w:rPr>
              <w:t>Performance measure</w:t>
            </w:r>
          </w:p>
        </w:tc>
        <w:tc>
          <w:tcPr>
            <w:tcW w:w="1843" w:type="dxa"/>
            <w:tcBorders>
              <w:bottom w:val="single" w:sz="4" w:space="0" w:color="1B556B" w:themeColor="text2"/>
            </w:tcBorders>
            <w:shd w:val="clear" w:color="auto" w:fill="1B556B" w:themeFill="text2"/>
            <w:vAlign w:val="bottom"/>
          </w:tcPr>
          <w:p w14:paraId="42FC63EE" w14:textId="77777777" w:rsidR="001003F8" w:rsidRPr="005C5E32" w:rsidRDefault="001003F8" w:rsidP="003D0CC1">
            <w:pPr>
              <w:pStyle w:val="TableTextbold"/>
              <w:spacing w:before="40" w:after="40"/>
              <w:rPr>
                <w:color w:val="FFFFFF" w:themeColor="background1"/>
              </w:rPr>
            </w:pPr>
            <w:r w:rsidRPr="005C5E32">
              <w:rPr>
                <w:color w:val="FFFFFF" w:themeColor="background1"/>
              </w:rPr>
              <w:t>2024/25 performance</w:t>
            </w:r>
          </w:p>
        </w:tc>
        <w:tc>
          <w:tcPr>
            <w:tcW w:w="1418" w:type="dxa"/>
            <w:tcBorders>
              <w:bottom w:val="single" w:sz="4" w:space="0" w:color="1B556B" w:themeColor="text2"/>
            </w:tcBorders>
            <w:shd w:val="clear" w:color="auto" w:fill="1B556B" w:themeFill="text2"/>
            <w:vAlign w:val="bottom"/>
          </w:tcPr>
          <w:p w14:paraId="67928317"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target</w:t>
            </w:r>
          </w:p>
        </w:tc>
        <w:tc>
          <w:tcPr>
            <w:tcW w:w="1842" w:type="dxa"/>
            <w:tcBorders>
              <w:bottom w:val="single" w:sz="4" w:space="0" w:color="1B556B" w:themeColor="text2"/>
            </w:tcBorders>
            <w:shd w:val="clear" w:color="auto" w:fill="1B556B" w:themeFill="text2"/>
            <w:vAlign w:val="bottom"/>
          </w:tcPr>
          <w:p w14:paraId="7ABBFD31"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performance</w:t>
            </w:r>
          </w:p>
        </w:tc>
      </w:tr>
      <w:tr w:rsidR="001003F8" w:rsidRPr="005C5E32" w14:paraId="314912DF" w14:textId="77777777" w:rsidTr="005734DC">
        <w:trPr>
          <w:trHeight w:val="360"/>
        </w:trPr>
        <w:tc>
          <w:tcPr>
            <w:tcW w:w="3402" w:type="dxa"/>
            <w:tcBorders>
              <w:bottom w:val="single" w:sz="4" w:space="0" w:color="1B556B" w:themeColor="text2"/>
              <w:right w:val="single" w:sz="4" w:space="0" w:color="1B556B" w:themeColor="text2"/>
            </w:tcBorders>
          </w:tcPr>
          <w:p w14:paraId="5FD56144" w14:textId="3800202E" w:rsidR="001003F8" w:rsidRPr="005C5E32" w:rsidRDefault="001003F8" w:rsidP="00787B70">
            <w:pPr>
              <w:pStyle w:val="TableText"/>
              <w:spacing w:before="40" w:after="0"/>
            </w:pPr>
            <w:r w:rsidRPr="005C5E32">
              <w:t>Auto Stewardship New Zealand meets 80% of the Ministry</w:t>
            </w:r>
            <w:r w:rsidRPr="005C5E32" w:rsidDel="00757E1C">
              <w:t xml:space="preserve"> </w:t>
            </w:r>
            <w:r w:rsidRPr="005C5E32">
              <w:t xml:space="preserve">agreed milestones in </w:t>
            </w:r>
            <w:r w:rsidRPr="005C5E32" w:rsidDel="00757E1C">
              <w:t xml:space="preserve">their </w:t>
            </w:r>
            <w:r w:rsidRPr="005C5E32">
              <w:t xml:space="preserve">Deed/Operational delivery </w:t>
            </w:r>
            <w:r w:rsidRPr="005C5E32" w:rsidDel="00654139">
              <w:t>p</w:t>
            </w:r>
            <w:r w:rsidRPr="005C5E32">
              <w:t>lan for the Tyrewise scheme</w:t>
            </w:r>
          </w:p>
          <w:p w14:paraId="180151CF" w14:textId="20D111AB" w:rsidR="001003F8" w:rsidRPr="005C5E32" w:rsidRDefault="001003F8" w:rsidP="003D0CC1">
            <w:pPr>
              <w:pStyle w:val="Tablegreen"/>
              <w:rPr>
                <w:i/>
                <w:iCs/>
              </w:rPr>
            </w:pPr>
            <w:hyperlink w:anchor="_Note_7_–" w:history="1">
              <w:r w:rsidRPr="005C5E32">
                <w:rPr>
                  <w:rStyle w:val="Hyperlink"/>
                  <w:i/>
                  <w:iCs/>
                </w:rPr>
                <w:t>See note 7</w:t>
              </w:r>
            </w:hyperlink>
          </w:p>
        </w:tc>
        <w:tc>
          <w:tcPr>
            <w:tcW w:w="1843" w:type="dxa"/>
            <w:tcBorders>
              <w:left w:val="single" w:sz="4" w:space="0" w:color="1B556B" w:themeColor="text2"/>
              <w:bottom w:val="single" w:sz="4" w:space="0" w:color="1B556B" w:themeColor="text2"/>
              <w:right w:val="single" w:sz="4" w:space="0" w:color="1B556B" w:themeColor="text2"/>
            </w:tcBorders>
          </w:tcPr>
          <w:p w14:paraId="3C0B0308" w14:textId="1E27310A" w:rsidR="001003F8" w:rsidRPr="005C5E32" w:rsidRDefault="001003F8" w:rsidP="003D0CC1">
            <w:pPr>
              <w:pStyle w:val="TableText"/>
              <w:spacing w:before="40" w:after="40"/>
            </w:pPr>
            <w:r w:rsidRPr="005C5E32">
              <w:t>Achieved</w:t>
            </w:r>
          </w:p>
        </w:tc>
        <w:tc>
          <w:tcPr>
            <w:tcW w:w="1418" w:type="dxa"/>
            <w:tcBorders>
              <w:left w:val="single" w:sz="4" w:space="0" w:color="1B556B" w:themeColor="text2"/>
              <w:bottom w:val="single" w:sz="4" w:space="0" w:color="1B556B" w:themeColor="text2"/>
              <w:right w:val="single" w:sz="4" w:space="0" w:color="1B556B" w:themeColor="text2"/>
            </w:tcBorders>
          </w:tcPr>
          <w:p w14:paraId="0D802519" w14:textId="77777777" w:rsidR="001003F8" w:rsidRPr="005C5E32" w:rsidRDefault="001003F8" w:rsidP="00AF6A67">
            <w:pPr>
              <w:pStyle w:val="TableText"/>
              <w:spacing w:before="40" w:after="40"/>
            </w:pPr>
            <w:r w:rsidRPr="005C5E32">
              <w:t>Achieved</w:t>
            </w:r>
          </w:p>
        </w:tc>
        <w:tc>
          <w:tcPr>
            <w:tcW w:w="1842" w:type="dxa"/>
            <w:tcBorders>
              <w:left w:val="single" w:sz="4" w:space="0" w:color="1B556B" w:themeColor="text2"/>
              <w:bottom w:val="single" w:sz="4" w:space="0" w:color="1B556B" w:themeColor="text2"/>
            </w:tcBorders>
          </w:tcPr>
          <w:p w14:paraId="081BE5BC" w14:textId="77777777" w:rsidR="001003F8" w:rsidRPr="005C5E32" w:rsidRDefault="001003F8" w:rsidP="003D0CC1">
            <w:pPr>
              <w:pStyle w:val="TableText"/>
              <w:spacing w:before="40" w:after="40"/>
            </w:pPr>
            <w:r w:rsidRPr="005C5E32">
              <w:t xml:space="preserve">Achieved </w:t>
            </w:r>
          </w:p>
        </w:tc>
      </w:tr>
      <w:tr w:rsidR="001003F8" w:rsidRPr="005C5E32" w14:paraId="6B027B45" w14:textId="77777777" w:rsidTr="005734DC">
        <w:trPr>
          <w:trHeight w:val="360"/>
        </w:trPr>
        <w:tc>
          <w:tcPr>
            <w:tcW w:w="8505" w:type="dxa"/>
            <w:gridSpan w:val="4"/>
            <w:tcBorders>
              <w:bottom w:val="single" w:sz="12" w:space="0" w:color="1B556B" w:themeColor="text2"/>
            </w:tcBorders>
            <w:shd w:val="clear" w:color="auto" w:fill="D2DDE1" w:themeFill="background2"/>
          </w:tcPr>
          <w:p w14:paraId="5B65C9FB" w14:textId="6E77BE0C" w:rsidR="001003F8" w:rsidRPr="005C5E32" w:rsidRDefault="001003F8" w:rsidP="003D0CC1">
            <w:pPr>
              <w:pStyle w:val="TableText"/>
              <w:spacing w:before="40" w:after="40"/>
            </w:pPr>
            <w:r w:rsidRPr="005C5E32">
              <w:rPr>
                <w:b/>
                <w:bCs/>
              </w:rPr>
              <w:t>2025/26 commentary:</w:t>
            </w:r>
            <w:r w:rsidRPr="005C5E32">
              <w:t xml:space="preserve"> All agreed milestones for the Tyrewise </w:t>
            </w:r>
            <w:r w:rsidR="00505A9A" w:rsidRPr="005C5E32">
              <w:t>s</w:t>
            </w:r>
            <w:r w:rsidRPr="005C5E32">
              <w:t xml:space="preserve">cheme for the year have been met. </w:t>
            </w:r>
            <w:r w:rsidR="008E5CE1" w:rsidRPr="005C5E32">
              <w:t>Progress was assessed against 8 milestones, all of which were achieved by year-end.</w:t>
            </w:r>
          </w:p>
        </w:tc>
      </w:tr>
    </w:tbl>
    <w:p w14:paraId="59400525" w14:textId="77777777" w:rsidR="001003F8" w:rsidRPr="005C5E32" w:rsidRDefault="001003F8" w:rsidP="00787B70">
      <w:pPr>
        <w:pStyle w:val="Heading3"/>
        <w:spacing w:before="400"/>
        <w:rPr>
          <w:rFonts w:eastAsiaTheme="minorHAnsi"/>
          <w:lang w:eastAsia="en-US"/>
        </w:rPr>
      </w:pPr>
      <w:bookmarkStart w:id="149" w:name="_Waste_Minimisation_–"/>
      <w:bookmarkEnd w:id="149"/>
      <w:r w:rsidRPr="005C5E32">
        <w:rPr>
          <w:rFonts w:eastAsiaTheme="minorHAnsi"/>
          <w:lang w:eastAsia="en-US"/>
        </w:rPr>
        <w:t xml:space="preserve">Waste Minimisation – </w:t>
      </w:r>
      <w:bookmarkEnd w:id="146"/>
      <w:bookmarkEnd w:id="147"/>
      <w:bookmarkEnd w:id="148"/>
      <w:r w:rsidRPr="005C5E32">
        <w:t xml:space="preserve">multi-category </w:t>
      </w:r>
      <w:r w:rsidRPr="005C5E32" w:rsidDel="0025291E">
        <w:rPr>
          <w:rFonts w:eastAsiaTheme="minorHAnsi"/>
          <w:lang w:eastAsia="en-US"/>
        </w:rPr>
        <w:t>appropriation</w:t>
      </w:r>
    </w:p>
    <w:p w14:paraId="081238AF" w14:textId="30342FCD" w:rsidR="001003F8" w:rsidRPr="005C5E32" w:rsidRDefault="001003F8" w:rsidP="0030611B">
      <w:pPr>
        <w:pStyle w:val="BodyText"/>
        <w:keepNext/>
        <w:spacing w:after="240"/>
        <w:rPr>
          <w:lang w:eastAsia="en-US"/>
        </w:rPr>
      </w:pPr>
      <w:r w:rsidRPr="005C5E32">
        <w:rPr>
          <w:lang w:eastAsia="en-US"/>
        </w:rPr>
        <w:t xml:space="preserve">This </w:t>
      </w:r>
      <w:r w:rsidRPr="005C5E32" w:rsidDel="00505A9A">
        <w:rPr>
          <w:lang w:eastAsia="en-US"/>
        </w:rPr>
        <w:t>multi-category appropriation (</w:t>
      </w:r>
      <w:r w:rsidRPr="005C5E32">
        <w:rPr>
          <w:lang w:eastAsia="en-US"/>
        </w:rPr>
        <w:t>MCA</w:t>
      </w:r>
      <w:r w:rsidRPr="005C5E32" w:rsidDel="00505A9A">
        <w:rPr>
          <w:lang w:eastAsia="en-US"/>
        </w:rPr>
        <w:t>)</w:t>
      </w:r>
      <w:r w:rsidRPr="005C5E32">
        <w:rPr>
          <w:lang w:eastAsia="en-US"/>
        </w:rPr>
        <w:t xml:space="preserve"> is intended to boost New Zealand</w:t>
      </w:r>
      <w:r w:rsidR="000369F8" w:rsidRPr="005C5E32">
        <w:rPr>
          <w:lang w:eastAsia="en-US"/>
        </w:rPr>
        <w:t>’</w:t>
      </w:r>
      <w:r w:rsidRPr="005C5E32">
        <w:rPr>
          <w:lang w:eastAsia="en-US"/>
        </w:rPr>
        <w:t>s performance in waste and support a reduction in environmental harm and an increase in environmental benefits.</w:t>
      </w:r>
    </w:p>
    <w:tbl>
      <w:tblPr>
        <w:tblStyle w:val="TableGridLight"/>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CellMar>
          <w:left w:w="85" w:type="dxa"/>
          <w:right w:w="85" w:type="dxa"/>
        </w:tblCellMar>
        <w:tblLook w:val="04A0" w:firstRow="1" w:lastRow="0" w:firstColumn="1" w:lastColumn="0" w:noHBand="0" w:noVBand="1"/>
      </w:tblPr>
      <w:tblGrid>
        <w:gridCol w:w="4135"/>
        <w:gridCol w:w="1004"/>
        <w:gridCol w:w="1004"/>
        <w:gridCol w:w="1358"/>
        <w:gridCol w:w="1004"/>
      </w:tblGrid>
      <w:tr w:rsidR="001003F8" w:rsidRPr="005C5E32" w14:paraId="302476ED" w14:textId="77777777" w:rsidTr="00BE6088">
        <w:trPr>
          <w:tblHeader/>
        </w:trPr>
        <w:tc>
          <w:tcPr>
            <w:tcW w:w="3969" w:type="dxa"/>
            <w:shd w:val="clear" w:color="auto" w:fill="1B556B" w:themeFill="text2"/>
            <w:vAlign w:val="bottom"/>
          </w:tcPr>
          <w:p w14:paraId="3E1535B1" w14:textId="77777777" w:rsidR="001003F8" w:rsidRPr="005C5E32" w:rsidRDefault="001003F8" w:rsidP="009A5ED1">
            <w:pPr>
              <w:pStyle w:val="TableTextbold"/>
              <w:keepNext/>
              <w:spacing w:before="40" w:after="40" w:line="230" w:lineRule="atLeast"/>
              <w:rPr>
                <w:rFonts w:cs="Calibri"/>
                <w:color w:val="FFFFFF" w:themeColor="background1"/>
                <w:szCs w:val="18"/>
              </w:rPr>
            </w:pPr>
          </w:p>
        </w:tc>
        <w:tc>
          <w:tcPr>
            <w:tcW w:w="964" w:type="dxa"/>
            <w:shd w:val="clear" w:color="auto" w:fill="1B556B" w:themeFill="text2"/>
            <w:vAlign w:val="bottom"/>
          </w:tcPr>
          <w:p w14:paraId="4EB98FE8" w14:textId="77777777" w:rsidR="001003F8" w:rsidRPr="005C5E32" w:rsidRDefault="001003F8" w:rsidP="009A5ED1">
            <w:pPr>
              <w:pStyle w:val="TableTextbold"/>
              <w:keepNext/>
              <w:spacing w:before="40" w:after="40" w:line="230" w:lineRule="atLeast"/>
              <w:jc w:val="right"/>
              <w:rPr>
                <w:rFonts w:eastAsia="Times New Roman" w:cs="Calibri"/>
                <w:bCs/>
                <w:color w:val="FFFFFF" w:themeColor="background1"/>
                <w:szCs w:val="18"/>
              </w:rPr>
            </w:pPr>
            <w:r w:rsidRPr="005C5E32">
              <w:rPr>
                <w:rFonts w:eastAsia="Times New Roman" w:cs="Calibri"/>
                <w:bCs/>
                <w:color w:val="FFFFFF" w:themeColor="background1"/>
                <w:szCs w:val="18"/>
              </w:rPr>
              <w:t>2024/25</w:t>
            </w:r>
            <w:r w:rsidRPr="005C5E32">
              <w:rPr>
                <w:rFonts w:eastAsia="Times New Roman" w:cs="Calibri"/>
                <w:bCs/>
                <w:color w:val="FFFFFF" w:themeColor="background1"/>
                <w:szCs w:val="18"/>
              </w:rPr>
              <w:br/>
              <w:t>Actuals</w:t>
            </w:r>
            <w:r w:rsidRPr="005C5E32">
              <w:rPr>
                <w:rFonts w:eastAsia="Times New Roman" w:cs="Calibri"/>
                <w:bCs/>
                <w:color w:val="FFFFFF" w:themeColor="background1"/>
                <w:szCs w:val="18"/>
              </w:rPr>
              <w:br/>
              <w:t>$000</w:t>
            </w:r>
          </w:p>
        </w:tc>
        <w:tc>
          <w:tcPr>
            <w:tcW w:w="964" w:type="dxa"/>
            <w:shd w:val="clear" w:color="auto" w:fill="1B556B" w:themeFill="text2"/>
            <w:vAlign w:val="bottom"/>
          </w:tcPr>
          <w:p w14:paraId="3FD2917F" w14:textId="77777777" w:rsidR="001003F8" w:rsidRPr="005C5E32" w:rsidRDefault="001003F8" w:rsidP="009A5ED1">
            <w:pPr>
              <w:pStyle w:val="TableTextbold"/>
              <w:keepNext/>
              <w:spacing w:before="40" w:after="40" w:line="230" w:lineRule="atLeast"/>
              <w:jc w:val="right"/>
              <w:rPr>
                <w:rFonts w:eastAsia="Times New Roman" w:cs="Calibri"/>
                <w:bCs/>
                <w:color w:val="FFFFFF" w:themeColor="background1"/>
                <w:szCs w:val="18"/>
              </w:rPr>
            </w:pPr>
            <w:r w:rsidRPr="005C5E32">
              <w:rPr>
                <w:rFonts w:eastAsia="Times New Roman" w:cs="Calibri"/>
                <w:bCs/>
                <w:color w:val="FFFFFF" w:themeColor="background1"/>
                <w:szCs w:val="18"/>
              </w:rPr>
              <w:t>2025/26</w:t>
            </w:r>
            <w:r w:rsidRPr="005C5E32">
              <w:rPr>
                <w:rFonts w:eastAsia="Times New Roman" w:cs="Calibri"/>
                <w:bCs/>
                <w:color w:val="FFFFFF" w:themeColor="background1"/>
                <w:szCs w:val="18"/>
              </w:rPr>
              <w:br/>
              <w:t>Budget</w:t>
            </w:r>
            <w:r w:rsidRPr="005C5E32">
              <w:rPr>
                <w:rFonts w:eastAsia="Times New Roman" w:cs="Calibri"/>
                <w:bCs/>
                <w:color w:val="FFFFFF" w:themeColor="background1"/>
                <w:szCs w:val="18"/>
              </w:rPr>
              <w:br/>
              <w:t>$000</w:t>
            </w:r>
          </w:p>
        </w:tc>
        <w:tc>
          <w:tcPr>
            <w:tcW w:w="1304" w:type="dxa"/>
            <w:shd w:val="clear" w:color="auto" w:fill="1B556B" w:themeFill="text2"/>
            <w:vAlign w:val="bottom"/>
          </w:tcPr>
          <w:p w14:paraId="0C24834A" w14:textId="77777777" w:rsidR="001003F8" w:rsidRPr="005C5E32" w:rsidRDefault="001003F8" w:rsidP="009A5ED1">
            <w:pPr>
              <w:pStyle w:val="TableTextbold"/>
              <w:keepNext/>
              <w:spacing w:before="40" w:after="40" w:line="230" w:lineRule="atLeast"/>
              <w:jc w:val="right"/>
              <w:rPr>
                <w:rFonts w:eastAsia="Times New Roman" w:cs="Calibri"/>
                <w:bCs/>
                <w:color w:val="FFFFFF" w:themeColor="background1"/>
                <w:szCs w:val="18"/>
              </w:rPr>
            </w:pPr>
            <w:r w:rsidRPr="005C5E32">
              <w:rPr>
                <w:rFonts w:eastAsia="Times New Roman" w:cs="Calibri"/>
                <w:bCs/>
                <w:color w:val="FFFFFF" w:themeColor="background1"/>
                <w:szCs w:val="18"/>
              </w:rPr>
              <w:t>2025/26</w:t>
            </w:r>
            <w:r w:rsidRPr="005C5E32">
              <w:rPr>
                <w:rFonts w:eastAsia="Times New Roman" w:cs="Calibri"/>
                <w:bCs/>
                <w:color w:val="FFFFFF" w:themeColor="background1"/>
                <w:szCs w:val="18"/>
              </w:rPr>
              <w:br/>
              <w:t xml:space="preserve">Revised </w:t>
            </w:r>
            <w:r w:rsidRPr="005C5E32" w:rsidDel="0074152A">
              <w:rPr>
                <w:rFonts w:eastAsia="Times New Roman" w:cs="Calibri"/>
                <w:bCs/>
                <w:color w:val="FFFFFF" w:themeColor="background1"/>
                <w:szCs w:val="18"/>
              </w:rPr>
              <w:t>B</w:t>
            </w:r>
            <w:r w:rsidRPr="005C5E32">
              <w:rPr>
                <w:rFonts w:eastAsia="Times New Roman" w:cs="Calibri"/>
                <w:bCs/>
                <w:color w:val="FFFFFF" w:themeColor="background1"/>
                <w:szCs w:val="18"/>
              </w:rPr>
              <w:t>udget</w:t>
            </w:r>
            <w:r w:rsidRPr="005C5E32">
              <w:rPr>
                <w:rFonts w:eastAsia="Times New Roman" w:cs="Calibri"/>
                <w:bCs/>
                <w:color w:val="FFFFFF" w:themeColor="background1"/>
                <w:szCs w:val="18"/>
              </w:rPr>
              <w:br/>
              <w:t>$000</w:t>
            </w:r>
          </w:p>
        </w:tc>
        <w:tc>
          <w:tcPr>
            <w:tcW w:w="964" w:type="dxa"/>
            <w:tcBorders>
              <w:bottom w:val="single" w:sz="4" w:space="0" w:color="1B556B" w:themeColor="text2"/>
            </w:tcBorders>
            <w:shd w:val="clear" w:color="auto" w:fill="1B556B" w:themeFill="text2"/>
            <w:vAlign w:val="bottom"/>
          </w:tcPr>
          <w:p w14:paraId="6FCD72AA" w14:textId="77777777" w:rsidR="001003F8" w:rsidRPr="005C5E32" w:rsidRDefault="001003F8" w:rsidP="009A5ED1">
            <w:pPr>
              <w:pStyle w:val="TableTextbold"/>
              <w:keepNext/>
              <w:spacing w:before="40" w:after="40" w:line="230" w:lineRule="atLeast"/>
              <w:jc w:val="right"/>
              <w:rPr>
                <w:rFonts w:eastAsia="Times New Roman" w:cs="Calibri"/>
                <w:bCs/>
                <w:color w:val="FFFFFF" w:themeColor="background1"/>
                <w:szCs w:val="18"/>
              </w:rPr>
            </w:pPr>
            <w:r w:rsidRPr="005C5E32">
              <w:rPr>
                <w:rFonts w:eastAsia="Times New Roman" w:cs="Calibri"/>
                <w:bCs/>
                <w:color w:val="FFFFFF" w:themeColor="background1"/>
                <w:szCs w:val="18"/>
              </w:rPr>
              <w:t>2025/26</w:t>
            </w:r>
            <w:r w:rsidRPr="005C5E32">
              <w:rPr>
                <w:rFonts w:eastAsia="Times New Roman" w:cs="Calibri"/>
                <w:bCs/>
                <w:color w:val="FFFFFF" w:themeColor="background1"/>
                <w:szCs w:val="18"/>
              </w:rPr>
              <w:br/>
              <w:t>Actuals</w:t>
            </w:r>
            <w:r w:rsidRPr="005C5E32">
              <w:rPr>
                <w:rFonts w:eastAsia="Times New Roman" w:cs="Calibri"/>
                <w:bCs/>
                <w:color w:val="FFFFFF" w:themeColor="background1"/>
                <w:szCs w:val="18"/>
              </w:rPr>
              <w:br/>
              <w:t>$000</w:t>
            </w:r>
          </w:p>
        </w:tc>
      </w:tr>
      <w:tr w:rsidR="001003F8" w:rsidRPr="005C5E32" w14:paraId="75186598" w14:textId="77777777" w:rsidTr="00BE6088">
        <w:tc>
          <w:tcPr>
            <w:tcW w:w="3969" w:type="dxa"/>
          </w:tcPr>
          <w:p w14:paraId="121956C6" w14:textId="77777777" w:rsidR="001003F8" w:rsidRPr="005C5E32" w:rsidRDefault="001003F8" w:rsidP="009A5ED1">
            <w:pPr>
              <w:pStyle w:val="TableText"/>
              <w:spacing w:before="40" w:after="40" w:line="230" w:lineRule="atLeast"/>
              <w:rPr>
                <w:rFonts w:cs="Calibri"/>
                <w:szCs w:val="18"/>
              </w:rPr>
            </w:pPr>
            <w:r w:rsidRPr="005C5E32">
              <w:rPr>
                <w:rFonts w:cs="Calibri"/>
                <w:b/>
                <w:bCs/>
              </w:rPr>
              <w:t>Revenue Crown</w:t>
            </w:r>
          </w:p>
        </w:tc>
        <w:tc>
          <w:tcPr>
            <w:tcW w:w="964" w:type="dxa"/>
            <w:vAlign w:val="bottom"/>
          </w:tcPr>
          <w:p w14:paraId="71229C5B" w14:textId="77777777" w:rsidR="001003F8" w:rsidRPr="005C5E32" w:rsidRDefault="001003F8" w:rsidP="009A5ED1">
            <w:pPr>
              <w:pStyle w:val="TableText"/>
              <w:spacing w:before="40" w:after="40" w:line="230" w:lineRule="atLeast"/>
              <w:jc w:val="right"/>
              <w:rPr>
                <w:rFonts w:cs="Calibri"/>
                <w:szCs w:val="18"/>
              </w:rPr>
            </w:pPr>
          </w:p>
        </w:tc>
        <w:tc>
          <w:tcPr>
            <w:tcW w:w="964" w:type="dxa"/>
            <w:vAlign w:val="bottom"/>
          </w:tcPr>
          <w:p w14:paraId="57D53243" w14:textId="77777777" w:rsidR="001003F8" w:rsidRPr="005C5E32" w:rsidRDefault="001003F8" w:rsidP="009A5ED1">
            <w:pPr>
              <w:pStyle w:val="TableText"/>
              <w:spacing w:before="40" w:after="40" w:line="230" w:lineRule="atLeast"/>
              <w:jc w:val="right"/>
              <w:rPr>
                <w:rFonts w:cs="Calibri"/>
                <w:szCs w:val="18"/>
              </w:rPr>
            </w:pPr>
          </w:p>
        </w:tc>
        <w:tc>
          <w:tcPr>
            <w:tcW w:w="1304" w:type="dxa"/>
            <w:vAlign w:val="bottom"/>
          </w:tcPr>
          <w:p w14:paraId="28F62110" w14:textId="77777777" w:rsidR="001003F8" w:rsidRPr="005C5E32" w:rsidRDefault="001003F8" w:rsidP="009A5ED1">
            <w:pPr>
              <w:pStyle w:val="TableText"/>
              <w:spacing w:before="40" w:after="40" w:line="230" w:lineRule="atLeast"/>
              <w:jc w:val="right"/>
              <w:rPr>
                <w:rFonts w:cs="Calibri"/>
                <w:szCs w:val="18"/>
              </w:rPr>
            </w:pPr>
          </w:p>
        </w:tc>
        <w:tc>
          <w:tcPr>
            <w:tcW w:w="964" w:type="dxa"/>
            <w:shd w:val="clear" w:color="auto" w:fill="D2DDE1" w:themeFill="background2"/>
            <w:vAlign w:val="bottom"/>
          </w:tcPr>
          <w:p w14:paraId="055F2BCC" w14:textId="77777777" w:rsidR="001003F8" w:rsidRPr="005C5E32" w:rsidRDefault="001003F8" w:rsidP="009A5ED1">
            <w:pPr>
              <w:pStyle w:val="TableText"/>
              <w:spacing w:before="40" w:after="40" w:line="230" w:lineRule="atLeast"/>
              <w:jc w:val="right"/>
              <w:rPr>
                <w:rFonts w:cs="Calibri"/>
                <w:szCs w:val="18"/>
              </w:rPr>
            </w:pPr>
          </w:p>
        </w:tc>
      </w:tr>
      <w:tr w:rsidR="001003F8" w:rsidRPr="005C5E32" w14:paraId="6546A628" w14:textId="77777777" w:rsidTr="00BE6088">
        <w:tc>
          <w:tcPr>
            <w:tcW w:w="3969" w:type="dxa"/>
          </w:tcPr>
          <w:p w14:paraId="43FE653D" w14:textId="77777777" w:rsidR="001003F8" w:rsidRPr="005C5E32" w:rsidRDefault="001003F8" w:rsidP="009A5ED1">
            <w:pPr>
              <w:pStyle w:val="TableText"/>
              <w:spacing w:before="40" w:after="40" w:line="230" w:lineRule="atLeast"/>
              <w:rPr>
                <w:rFonts w:cs="Calibri"/>
                <w:szCs w:val="18"/>
              </w:rPr>
            </w:pPr>
            <w:r w:rsidRPr="005C5E32">
              <w:rPr>
                <w:rFonts w:cs="Calibri"/>
              </w:rPr>
              <w:t>Environment Work Programme</w:t>
            </w:r>
          </w:p>
        </w:tc>
        <w:tc>
          <w:tcPr>
            <w:tcW w:w="964" w:type="dxa"/>
            <w:vAlign w:val="bottom"/>
          </w:tcPr>
          <w:p w14:paraId="117EBA17" w14:textId="77777777" w:rsidR="001003F8" w:rsidRPr="005C5E32" w:rsidRDefault="001003F8" w:rsidP="009A5ED1">
            <w:pPr>
              <w:pStyle w:val="TableText"/>
              <w:spacing w:before="40" w:after="40" w:line="230" w:lineRule="atLeast"/>
              <w:jc w:val="right"/>
              <w:rPr>
                <w:rFonts w:cs="Calibri"/>
                <w:szCs w:val="18"/>
              </w:rPr>
            </w:pPr>
            <w:r w:rsidRPr="005C5E32">
              <w:rPr>
                <w:rFonts w:cs="Calibri"/>
              </w:rPr>
              <w:t>17,553</w:t>
            </w:r>
          </w:p>
        </w:tc>
        <w:tc>
          <w:tcPr>
            <w:tcW w:w="964" w:type="dxa"/>
            <w:vAlign w:val="bottom"/>
          </w:tcPr>
          <w:p w14:paraId="45B5D188" w14:textId="0B758292" w:rsidR="001003F8" w:rsidRPr="005C5E32" w:rsidRDefault="000A7488" w:rsidP="009A5ED1">
            <w:pPr>
              <w:pStyle w:val="TableText"/>
              <w:spacing w:before="40" w:after="40" w:line="230" w:lineRule="atLeast"/>
              <w:jc w:val="right"/>
              <w:rPr>
                <w:rFonts w:cs="Calibri"/>
                <w:szCs w:val="18"/>
              </w:rPr>
            </w:pPr>
            <w:r w:rsidRPr="005C5E32">
              <w:rPr>
                <w:rFonts w:cs="Calibri"/>
                <w:szCs w:val="18"/>
              </w:rPr>
              <w:t>1</w:t>
            </w:r>
            <w:r w:rsidR="00D77EB4" w:rsidRPr="005C5E32">
              <w:rPr>
                <w:rFonts w:cs="Calibri"/>
                <w:szCs w:val="18"/>
              </w:rPr>
              <w:t>5,223</w:t>
            </w:r>
          </w:p>
        </w:tc>
        <w:tc>
          <w:tcPr>
            <w:tcW w:w="1304" w:type="dxa"/>
            <w:vAlign w:val="bottom"/>
          </w:tcPr>
          <w:p w14:paraId="6B342BB1" w14:textId="2D8FC658" w:rsidR="001003F8" w:rsidRPr="005C5E32" w:rsidRDefault="00E03602" w:rsidP="009A5ED1">
            <w:pPr>
              <w:pStyle w:val="TableText"/>
              <w:spacing w:before="40" w:after="40" w:line="230" w:lineRule="atLeast"/>
              <w:jc w:val="right"/>
              <w:rPr>
                <w:rFonts w:cs="Calibri"/>
                <w:szCs w:val="18"/>
              </w:rPr>
            </w:pPr>
            <w:r w:rsidRPr="005C5E32">
              <w:rPr>
                <w:rFonts w:cs="Calibri"/>
                <w:szCs w:val="18"/>
              </w:rPr>
              <w:t>1</w:t>
            </w:r>
            <w:r w:rsidR="009F032B" w:rsidRPr="005C5E32">
              <w:rPr>
                <w:rFonts w:cs="Calibri"/>
                <w:szCs w:val="18"/>
              </w:rPr>
              <w:t>3,</w:t>
            </w:r>
            <w:r w:rsidR="00704EAB" w:rsidRPr="005C5E32">
              <w:rPr>
                <w:rFonts w:cs="Calibri"/>
                <w:szCs w:val="18"/>
              </w:rPr>
              <w:t>673</w:t>
            </w:r>
          </w:p>
        </w:tc>
        <w:tc>
          <w:tcPr>
            <w:tcW w:w="964" w:type="dxa"/>
            <w:shd w:val="clear" w:color="auto" w:fill="D2DDE1" w:themeFill="background2"/>
            <w:vAlign w:val="bottom"/>
          </w:tcPr>
          <w:p w14:paraId="4B7D049C" w14:textId="6FCDC2B1" w:rsidR="001003F8" w:rsidRPr="005C5E32" w:rsidRDefault="0079386F" w:rsidP="009A5ED1">
            <w:pPr>
              <w:pStyle w:val="TableText"/>
              <w:spacing w:before="40" w:after="40" w:line="230" w:lineRule="atLeast"/>
              <w:jc w:val="right"/>
              <w:rPr>
                <w:rFonts w:cs="Calibri"/>
                <w:szCs w:val="18"/>
              </w:rPr>
            </w:pPr>
            <w:r w:rsidRPr="005C5E32">
              <w:rPr>
                <w:rFonts w:cs="Calibri"/>
                <w:szCs w:val="18"/>
              </w:rPr>
              <w:t>13,673</w:t>
            </w:r>
          </w:p>
        </w:tc>
      </w:tr>
      <w:tr w:rsidR="001003F8" w:rsidRPr="005C5E32" w14:paraId="50E077D4" w14:textId="77777777" w:rsidTr="00BE6088">
        <w:tc>
          <w:tcPr>
            <w:tcW w:w="3969" w:type="dxa"/>
          </w:tcPr>
          <w:p w14:paraId="6261361A" w14:textId="77777777" w:rsidR="001003F8" w:rsidRPr="005C5E32" w:rsidRDefault="001003F8" w:rsidP="009A5ED1">
            <w:pPr>
              <w:pStyle w:val="TableTextbold"/>
              <w:spacing w:before="40" w:after="40" w:line="230" w:lineRule="atLeast"/>
              <w:rPr>
                <w:rFonts w:cs="Calibri"/>
                <w:b w:val="0"/>
                <w:szCs w:val="18"/>
              </w:rPr>
            </w:pPr>
            <w:r w:rsidRPr="005C5E32">
              <w:rPr>
                <w:rFonts w:cs="Calibri"/>
                <w:b w:val="0"/>
              </w:rPr>
              <w:t>Waste Minimisation Administration</w:t>
            </w:r>
          </w:p>
        </w:tc>
        <w:tc>
          <w:tcPr>
            <w:tcW w:w="964" w:type="dxa"/>
            <w:vAlign w:val="bottom"/>
          </w:tcPr>
          <w:p w14:paraId="46658106" w14:textId="77777777" w:rsidR="001003F8" w:rsidRPr="005C5E32" w:rsidRDefault="001003F8" w:rsidP="009A5ED1">
            <w:pPr>
              <w:pStyle w:val="TableText"/>
              <w:spacing w:before="40" w:after="40" w:line="230" w:lineRule="atLeast"/>
              <w:jc w:val="right"/>
              <w:rPr>
                <w:rFonts w:cs="Calibri"/>
                <w:b/>
                <w:bCs/>
                <w:szCs w:val="18"/>
              </w:rPr>
            </w:pPr>
            <w:r w:rsidRPr="005C5E32">
              <w:rPr>
                <w:rFonts w:cs="Calibri"/>
              </w:rPr>
              <w:t>13,101</w:t>
            </w:r>
          </w:p>
        </w:tc>
        <w:tc>
          <w:tcPr>
            <w:tcW w:w="964" w:type="dxa"/>
            <w:vAlign w:val="bottom"/>
          </w:tcPr>
          <w:p w14:paraId="3F13AD81" w14:textId="14DBD4F0" w:rsidR="001003F8" w:rsidRPr="005C5E32" w:rsidRDefault="00166C44" w:rsidP="009A5ED1">
            <w:pPr>
              <w:pStyle w:val="TableText"/>
              <w:spacing w:before="40" w:after="40" w:line="230" w:lineRule="atLeast"/>
              <w:jc w:val="right"/>
              <w:rPr>
                <w:rFonts w:cs="Calibri"/>
                <w:szCs w:val="18"/>
              </w:rPr>
            </w:pPr>
            <w:r w:rsidRPr="005C5E32">
              <w:rPr>
                <w:rFonts w:cs="Calibri"/>
                <w:szCs w:val="18"/>
              </w:rPr>
              <w:t>13</w:t>
            </w:r>
            <w:r w:rsidR="0031450C" w:rsidRPr="005C5E32">
              <w:rPr>
                <w:rFonts w:cs="Calibri"/>
                <w:szCs w:val="18"/>
              </w:rPr>
              <w:t>,102</w:t>
            </w:r>
          </w:p>
        </w:tc>
        <w:tc>
          <w:tcPr>
            <w:tcW w:w="1304" w:type="dxa"/>
            <w:vAlign w:val="bottom"/>
          </w:tcPr>
          <w:p w14:paraId="70F3FE09" w14:textId="31BEA023" w:rsidR="001003F8" w:rsidRPr="005C5E32" w:rsidRDefault="00E66C82" w:rsidP="009A5ED1">
            <w:pPr>
              <w:pStyle w:val="TableText"/>
              <w:spacing w:before="40" w:after="40" w:line="230" w:lineRule="atLeast"/>
              <w:jc w:val="right"/>
              <w:rPr>
                <w:rFonts w:cs="Calibri"/>
                <w:szCs w:val="18"/>
              </w:rPr>
            </w:pPr>
            <w:r w:rsidRPr="005C5E32">
              <w:rPr>
                <w:rFonts w:cs="Calibri"/>
                <w:szCs w:val="18"/>
              </w:rPr>
              <w:t>1</w:t>
            </w:r>
            <w:r w:rsidR="00704EAB" w:rsidRPr="005C5E32">
              <w:rPr>
                <w:rFonts w:cs="Calibri"/>
                <w:szCs w:val="18"/>
              </w:rPr>
              <w:t>4,652</w:t>
            </w:r>
          </w:p>
        </w:tc>
        <w:tc>
          <w:tcPr>
            <w:tcW w:w="964" w:type="dxa"/>
            <w:shd w:val="clear" w:color="auto" w:fill="D2DDE1" w:themeFill="background2"/>
            <w:vAlign w:val="bottom"/>
          </w:tcPr>
          <w:p w14:paraId="5B6586BF" w14:textId="7A2DE051" w:rsidR="001003F8" w:rsidRPr="005C5E32" w:rsidRDefault="00E66C82" w:rsidP="009A5ED1">
            <w:pPr>
              <w:pStyle w:val="TableText"/>
              <w:spacing w:before="40" w:after="40" w:line="230" w:lineRule="atLeast"/>
              <w:jc w:val="right"/>
              <w:rPr>
                <w:rFonts w:cs="Calibri"/>
                <w:szCs w:val="18"/>
              </w:rPr>
            </w:pPr>
            <w:r w:rsidRPr="005C5E32">
              <w:rPr>
                <w:rFonts w:cs="Calibri"/>
                <w:szCs w:val="18"/>
              </w:rPr>
              <w:t>1</w:t>
            </w:r>
            <w:r w:rsidR="0079386F" w:rsidRPr="005C5E32">
              <w:rPr>
                <w:rFonts w:cs="Calibri"/>
                <w:szCs w:val="18"/>
              </w:rPr>
              <w:t>4,</w:t>
            </w:r>
            <w:r w:rsidR="00BC09E5" w:rsidRPr="005C5E32">
              <w:rPr>
                <w:rFonts w:cs="Calibri"/>
                <w:szCs w:val="18"/>
              </w:rPr>
              <w:t>652</w:t>
            </w:r>
          </w:p>
        </w:tc>
      </w:tr>
      <w:tr w:rsidR="001003F8" w:rsidRPr="005C5E32" w14:paraId="6A675BAB" w14:textId="77777777" w:rsidTr="00BE6088">
        <w:tc>
          <w:tcPr>
            <w:tcW w:w="3969" w:type="dxa"/>
          </w:tcPr>
          <w:p w14:paraId="4E61E7F1" w14:textId="77777777" w:rsidR="001003F8" w:rsidRPr="005C5E32" w:rsidRDefault="001003F8" w:rsidP="009A5ED1">
            <w:pPr>
              <w:pStyle w:val="TableTextbold"/>
              <w:spacing w:before="40" w:after="40" w:line="230" w:lineRule="atLeast"/>
              <w:rPr>
                <w:rFonts w:cs="Calibri"/>
                <w:szCs w:val="18"/>
              </w:rPr>
            </w:pPr>
            <w:r w:rsidRPr="005C5E32">
              <w:rPr>
                <w:rFonts w:cs="Calibri"/>
                <w:bCs/>
              </w:rPr>
              <w:t>Total revenue Crown</w:t>
            </w:r>
          </w:p>
        </w:tc>
        <w:tc>
          <w:tcPr>
            <w:tcW w:w="964" w:type="dxa"/>
            <w:vAlign w:val="bottom"/>
          </w:tcPr>
          <w:p w14:paraId="1D0BDFEB" w14:textId="77777777" w:rsidR="001003F8" w:rsidRPr="005C5E32" w:rsidRDefault="001003F8" w:rsidP="009A5ED1">
            <w:pPr>
              <w:pStyle w:val="TableText"/>
              <w:spacing w:before="40" w:after="40" w:line="230" w:lineRule="atLeast"/>
              <w:jc w:val="right"/>
              <w:rPr>
                <w:rFonts w:cs="Calibri"/>
                <w:b/>
                <w:bCs/>
                <w:szCs w:val="18"/>
              </w:rPr>
            </w:pPr>
            <w:r w:rsidRPr="005C5E32">
              <w:rPr>
                <w:rFonts w:cs="Calibri"/>
                <w:b/>
                <w:bCs/>
              </w:rPr>
              <w:t>30,654</w:t>
            </w:r>
          </w:p>
        </w:tc>
        <w:tc>
          <w:tcPr>
            <w:tcW w:w="964" w:type="dxa"/>
            <w:vAlign w:val="bottom"/>
          </w:tcPr>
          <w:p w14:paraId="6B9A0C44" w14:textId="2E6F5A3F" w:rsidR="001003F8" w:rsidRPr="005C5E32" w:rsidRDefault="0085180E" w:rsidP="009A5ED1">
            <w:pPr>
              <w:pStyle w:val="TableText"/>
              <w:spacing w:before="40" w:after="40" w:line="230" w:lineRule="atLeast"/>
              <w:jc w:val="right"/>
              <w:rPr>
                <w:rFonts w:cs="Calibri"/>
                <w:b/>
                <w:bCs/>
                <w:szCs w:val="18"/>
              </w:rPr>
            </w:pPr>
            <w:r w:rsidRPr="005C5E32">
              <w:rPr>
                <w:rFonts w:cs="Calibri"/>
                <w:b/>
                <w:bCs/>
                <w:szCs w:val="18"/>
              </w:rPr>
              <w:t>2</w:t>
            </w:r>
            <w:r w:rsidR="00AF4072" w:rsidRPr="005C5E32">
              <w:rPr>
                <w:rFonts w:cs="Calibri"/>
                <w:b/>
                <w:bCs/>
                <w:szCs w:val="18"/>
              </w:rPr>
              <w:t>8</w:t>
            </w:r>
            <w:r w:rsidRPr="005C5E32">
              <w:rPr>
                <w:rFonts w:cs="Calibri"/>
                <w:b/>
                <w:bCs/>
                <w:szCs w:val="18"/>
              </w:rPr>
              <w:t>,325</w:t>
            </w:r>
          </w:p>
        </w:tc>
        <w:tc>
          <w:tcPr>
            <w:tcW w:w="1304" w:type="dxa"/>
            <w:vAlign w:val="bottom"/>
          </w:tcPr>
          <w:p w14:paraId="0FD57B00" w14:textId="54571123" w:rsidR="001003F8" w:rsidRPr="005C5E32" w:rsidRDefault="0060600B" w:rsidP="009A5ED1">
            <w:pPr>
              <w:pStyle w:val="TableText"/>
              <w:spacing w:before="40" w:after="40" w:line="230" w:lineRule="atLeast"/>
              <w:jc w:val="right"/>
              <w:rPr>
                <w:rFonts w:cs="Calibri"/>
                <w:b/>
                <w:bCs/>
                <w:szCs w:val="18"/>
              </w:rPr>
            </w:pPr>
            <w:r w:rsidRPr="005C5E32">
              <w:rPr>
                <w:rFonts w:cs="Calibri"/>
                <w:b/>
                <w:bCs/>
                <w:szCs w:val="18"/>
              </w:rPr>
              <w:t>28,325</w:t>
            </w:r>
          </w:p>
        </w:tc>
        <w:tc>
          <w:tcPr>
            <w:tcW w:w="964" w:type="dxa"/>
            <w:shd w:val="clear" w:color="auto" w:fill="D2DDE1" w:themeFill="background2"/>
            <w:vAlign w:val="bottom"/>
          </w:tcPr>
          <w:p w14:paraId="0BDC70DE" w14:textId="6F76134F" w:rsidR="001003F8" w:rsidRPr="005C5E32" w:rsidRDefault="00B645EF" w:rsidP="009A5ED1">
            <w:pPr>
              <w:pStyle w:val="TableText"/>
              <w:spacing w:before="40" w:after="40" w:line="230" w:lineRule="atLeast"/>
              <w:jc w:val="right"/>
              <w:rPr>
                <w:rFonts w:cs="Calibri"/>
                <w:b/>
                <w:bCs/>
                <w:szCs w:val="18"/>
              </w:rPr>
            </w:pPr>
            <w:r w:rsidRPr="005C5E32">
              <w:rPr>
                <w:rFonts w:cs="Calibri"/>
                <w:b/>
                <w:bCs/>
                <w:szCs w:val="18"/>
              </w:rPr>
              <w:t>28,325</w:t>
            </w:r>
          </w:p>
        </w:tc>
      </w:tr>
      <w:tr w:rsidR="001003F8" w:rsidRPr="005C5E32" w14:paraId="7F62D5ED" w14:textId="77777777" w:rsidTr="00BE6088">
        <w:tc>
          <w:tcPr>
            <w:tcW w:w="3969" w:type="dxa"/>
          </w:tcPr>
          <w:p w14:paraId="1A349EEB" w14:textId="77777777" w:rsidR="001003F8" w:rsidRPr="005C5E32" w:rsidRDefault="001003F8" w:rsidP="009A5ED1">
            <w:pPr>
              <w:pStyle w:val="TableTextbold"/>
              <w:spacing w:before="40" w:after="40" w:line="230" w:lineRule="atLeast"/>
              <w:rPr>
                <w:rFonts w:cs="Calibri"/>
                <w:szCs w:val="18"/>
              </w:rPr>
            </w:pPr>
            <w:r w:rsidRPr="005C5E32">
              <w:rPr>
                <w:rFonts w:cs="Calibri"/>
                <w:bCs/>
              </w:rPr>
              <w:t>Expenses</w:t>
            </w:r>
          </w:p>
        </w:tc>
        <w:tc>
          <w:tcPr>
            <w:tcW w:w="964" w:type="dxa"/>
            <w:vAlign w:val="bottom"/>
          </w:tcPr>
          <w:p w14:paraId="6FC15125" w14:textId="77777777" w:rsidR="001003F8" w:rsidRPr="005C5E32" w:rsidRDefault="001003F8" w:rsidP="009A5ED1">
            <w:pPr>
              <w:pStyle w:val="TableText"/>
              <w:spacing w:before="40" w:after="40" w:line="230" w:lineRule="atLeast"/>
              <w:jc w:val="right"/>
              <w:rPr>
                <w:rFonts w:cs="Calibri"/>
                <w:b/>
                <w:bCs/>
                <w:szCs w:val="18"/>
              </w:rPr>
            </w:pPr>
          </w:p>
        </w:tc>
        <w:tc>
          <w:tcPr>
            <w:tcW w:w="964" w:type="dxa"/>
            <w:vAlign w:val="bottom"/>
          </w:tcPr>
          <w:p w14:paraId="6652E5FC" w14:textId="77777777" w:rsidR="001003F8" w:rsidRPr="005C5E32" w:rsidRDefault="001003F8" w:rsidP="009A5ED1">
            <w:pPr>
              <w:pStyle w:val="TableText"/>
              <w:spacing w:before="40" w:after="40" w:line="230" w:lineRule="atLeast"/>
              <w:jc w:val="right"/>
              <w:rPr>
                <w:rFonts w:cs="Calibri"/>
                <w:b/>
                <w:bCs/>
                <w:szCs w:val="18"/>
              </w:rPr>
            </w:pPr>
          </w:p>
        </w:tc>
        <w:tc>
          <w:tcPr>
            <w:tcW w:w="1304" w:type="dxa"/>
            <w:vAlign w:val="bottom"/>
          </w:tcPr>
          <w:p w14:paraId="154DE3F8" w14:textId="77777777" w:rsidR="001003F8" w:rsidRPr="005C5E32" w:rsidRDefault="001003F8" w:rsidP="009A5ED1">
            <w:pPr>
              <w:pStyle w:val="TableText"/>
              <w:spacing w:before="40" w:after="40" w:line="230" w:lineRule="atLeast"/>
              <w:jc w:val="right"/>
              <w:rPr>
                <w:rFonts w:cs="Calibri"/>
                <w:b/>
                <w:bCs/>
                <w:szCs w:val="18"/>
              </w:rPr>
            </w:pPr>
          </w:p>
        </w:tc>
        <w:tc>
          <w:tcPr>
            <w:tcW w:w="964" w:type="dxa"/>
            <w:shd w:val="clear" w:color="auto" w:fill="D2DDE1" w:themeFill="background2"/>
            <w:vAlign w:val="bottom"/>
          </w:tcPr>
          <w:p w14:paraId="682F5864" w14:textId="77777777" w:rsidR="001003F8" w:rsidRPr="005C5E32" w:rsidRDefault="001003F8" w:rsidP="009A5ED1">
            <w:pPr>
              <w:pStyle w:val="TableText"/>
              <w:spacing w:before="40" w:after="40" w:line="230" w:lineRule="atLeast"/>
              <w:jc w:val="right"/>
              <w:rPr>
                <w:rFonts w:cs="Calibri"/>
                <w:b/>
                <w:bCs/>
                <w:szCs w:val="18"/>
              </w:rPr>
            </w:pPr>
          </w:p>
        </w:tc>
      </w:tr>
      <w:tr w:rsidR="001003F8" w:rsidRPr="005C5E32" w14:paraId="26674F1E" w14:textId="77777777" w:rsidTr="00BE6088">
        <w:tc>
          <w:tcPr>
            <w:tcW w:w="3969" w:type="dxa"/>
          </w:tcPr>
          <w:p w14:paraId="0DB5ECCC" w14:textId="77777777" w:rsidR="001003F8" w:rsidRPr="005C5E32" w:rsidRDefault="001003F8" w:rsidP="009A5ED1">
            <w:pPr>
              <w:pStyle w:val="TableTextbold"/>
              <w:spacing w:before="40" w:after="40" w:line="230" w:lineRule="atLeast"/>
              <w:rPr>
                <w:rFonts w:cs="Calibri"/>
                <w:b w:val="0"/>
                <w:szCs w:val="18"/>
              </w:rPr>
            </w:pPr>
            <w:r w:rsidRPr="005C5E32">
              <w:rPr>
                <w:rFonts w:cs="Calibri"/>
                <w:b w:val="0"/>
              </w:rPr>
              <w:t>Environment Work Programme</w:t>
            </w:r>
          </w:p>
        </w:tc>
        <w:tc>
          <w:tcPr>
            <w:tcW w:w="964" w:type="dxa"/>
            <w:vAlign w:val="bottom"/>
          </w:tcPr>
          <w:p w14:paraId="1749FFCA" w14:textId="77777777" w:rsidR="001003F8" w:rsidRPr="005C5E32" w:rsidRDefault="001003F8" w:rsidP="009A5ED1">
            <w:pPr>
              <w:pStyle w:val="TableText"/>
              <w:spacing w:before="40" w:after="40" w:line="230" w:lineRule="atLeast"/>
              <w:jc w:val="right"/>
              <w:rPr>
                <w:rFonts w:cs="Calibri"/>
                <w:b/>
                <w:bCs/>
              </w:rPr>
            </w:pPr>
            <w:r w:rsidRPr="005C5E32">
              <w:rPr>
                <w:rFonts w:cs="Calibri"/>
              </w:rPr>
              <w:t>16,870</w:t>
            </w:r>
          </w:p>
        </w:tc>
        <w:tc>
          <w:tcPr>
            <w:tcW w:w="964" w:type="dxa"/>
            <w:vAlign w:val="bottom"/>
          </w:tcPr>
          <w:p w14:paraId="0CE6AC45" w14:textId="097C278A" w:rsidR="001003F8" w:rsidRPr="00064AD6" w:rsidRDefault="003A6F41" w:rsidP="009A5ED1">
            <w:pPr>
              <w:pStyle w:val="TableText"/>
              <w:spacing w:before="40" w:after="40" w:line="230" w:lineRule="atLeast"/>
              <w:jc w:val="right"/>
              <w:rPr>
                <w:rFonts w:cs="Calibri"/>
              </w:rPr>
            </w:pPr>
            <w:r w:rsidRPr="00064AD6">
              <w:rPr>
                <w:rFonts w:cs="Calibri"/>
              </w:rPr>
              <w:t>15,223</w:t>
            </w:r>
          </w:p>
        </w:tc>
        <w:tc>
          <w:tcPr>
            <w:tcW w:w="1304" w:type="dxa"/>
            <w:vAlign w:val="bottom"/>
          </w:tcPr>
          <w:p w14:paraId="086B9C46" w14:textId="76A7E053" w:rsidR="001003F8" w:rsidRPr="00064AD6" w:rsidRDefault="00456203" w:rsidP="009A5ED1">
            <w:pPr>
              <w:pStyle w:val="TableText"/>
              <w:spacing w:before="40" w:after="40" w:line="230" w:lineRule="atLeast"/>
              <w:jc w:val="right"/>
              <w:rPr>
                <w:rFonts w:cs="Calibri"/>
              </w:rPr>
            </w:pPr>
            <w:r w:rsidRPr="00064AD6">
              <w:rPr>
                <w:rFonts w:cs="Calibri"/>
              </w:rPr>
              <w:t>13,673</w:t>
            </w:r>
          </w:p>
        </w:tc>
        <w:tc>
          <w:tcPr>
            <w:tcW w:w="964" w:type="dxa"/>
            <w:shd w:val="clear" w:color="auto" w:fill="D2DDE1" w:themeFill="background2"/>
            <w:vAlign w:val="bottom"/>
          </w:tcPr>
          <w:p w14:paraId="2356EEAA" w14:textId="302268CA" w:rsidR="001003F8" w:rsidRPr="00064AD6" w:rsidRDefault="00D51612" w:rsidP="009A5ED1">
            <w:pPr>
              <w:pStyle w:val="TableText"/>
              <w:spacing w:before="40" w:after="40" w:line="230" w:lineRule="atLeast"/>
              <w:jc w:val="right"/>
              <w:rPr>
                <w:rFonts w:cs="Calibri"/>
              </w:rPr>
            </w:pPr>
            <w:r w:rsidRPr="00064AD6">
              <w:rPr>
                <w:rFonts w:cs="Calibri"/>
              </w:rPr>
              <w:t>12,732</w:t>
            </w:r>
          </w:p>
        </w:tc>
      </w:tr>
      <w:tr w:rsidR="001003F8" w:rsidRPr="005C5E32" w14:paraId="65B31269" w14:textId="77777777" w:rsidTr="00BE6088">
        <w:tc>
          <w:tcPr>
            <w:tcW w:w="3969" w:type="dxa"/>
          </w:tcPr>
          <w:p w14:paraId="64530C2F" w14:textId="77777777" w:rsidR="001003F8" w:rsidRPr="005C5E32" w:rsidRDefault="001003F8" w:rsidP="009A5ED1">
            <w:pPr>
              <w:pStyle w:val="TableTextbold"/>
              <w:spacing w:before="40" w:after="40" w:line="230" w:lineRule="atLeast"/>
              <w:rPr>
                <w:rFonts w:cs="Calibri"/>
                <w:b w:val="0"/>
                <w:szCs w:val="18"/>
              </w:rPr>
            </w:pPr>
            <w:r w:rsidRPr="005C5E32">
              <w:rPr>
                <w:rFonts w:cs="Calibri"/>
                <w:b w:val="0"/>
              </w:rPr>
              <w:t>Waste Minimisation Administration</w:t>
            </w:r>
          </w:p>
        </w:tc>
        <w:tc>
          <w:tcPr>
            <w:tcW w:w="964" w:type="dxa"/>
            <w:vAlign w:val="bottom"/>
          </w:tcPr>
          <w:p w14:paraId="6107628E" w14:textId="77777777" w:rsidR="001003F8" w:rsidRPr="005C5E32" w:rsidRDefault="001003F8" w:rsidP="009A5ED1">
            <w:pPr>
              <w:pStyle w:val="TableText"/>
              <w:spacing w:before="40" w:after="40" w:line="230" w:lineRule="atLeast"/>
              <w:jc w:val="right"/>
              <w:rPr>
                <w:rFonts w:cs="Calibri"/>
                <w:b/>
                <w:bCs/>
              </w:rPr>
            </w:pPr>
            <w:r w:rsidRPr="005C5E32">
              <w:rPr>
                <w:rFonts w:cs="Calibri"/>
              </w:rPr>
              <w:t>12,555</w:t>
            </w:r>
          </w:p>
        </w:tc>
        <w:tc>
          <w:tcPr>
            <w:tcW w:w="964" w:type="dxa"/>
            <w:vAlign w:val="bottom"/>
          </w:tcPr>
          <w:p w14:paraId="735CC89C" w14:textId="0F553497" w:rsidR="001003F8" w:rsidRPr="00064AD6" w:rsidRDefault="00CF026A" w:rsidP="009A5ED1">
            <w:pPr>
              <w:pStyle w:val="TableText"/>
              <w:spacing w:before="40" w:after="40" w:line="230" w:lineRule="atLeast"/>
              <w:jc w:val="right"/>
              <w:rPr>
                <w:rFonts w:cs="Calibri"/>
              </w:rPr>
            </w:pPr>
            <w:r w:rsidRPr="00064AD6">
              <w:rPr>
                <w:rFonts w:cs="Calibri"/>
              </w:rPr>
              <w:t>13,</w:t>
            </w:r>
            <w:r w:rsidR="00683AB1" w:rsidRPr="00064AD6">
              <w:rPr>
                <w:rFonts w:cs="Calibri"/>
              </w:rPr>
              <w:t>102</w:t>
            </w:r>
          </w:p>
        </w:tc>
        <w:tc>
          <w:tcPr>
            <w:tcW w:w="1304" w:type="dxa"/>
            <w:vAlign w:val="bottom"/>
          </w:tcPr>
          <w:p w14:paraId="4988FF82" w14:textId="30C8CFED" w:rsidR="001003F8" w:rsidRPr="00064AD6" w:rsidRDefault="00456203" w:rsidP="009A5ED1">
            <w:pPr>
              <w:pStyle w:val="TableText"/>
              <w:spacing w:before="40" w:after="40" w:line="230" w:lineRule="atLeast"/>
              <w:jc w:val="right"/>
              <w:rPr>
                <w:rFonts w:cs="Calibri"/>
              </w:rPr>
            </w:pPr>
            <w:r w:rsidRPr="00064AD6">
              <w:rPr>
                <w:rFonts w:cs="Calibri"/>
              </w:rPr>
              <w:t>14,652</w:t>
            </w:r>
          </w:p>
        </w:tc>
        <w:tc>
          <w:tcPr>
            <w:tcW w:w="964" w:type="dxa"/>
            <w:shd w:val="clear" w:color="auto" w:fill="D2DDE1" w:themeFill="background2"/>
            <w:vAlign w:val="bottom"/>
          </w:tcPr>
          <w:p w14:paraId="27BEFB5D" w14:textId="5EDDB501" w:rsidR="001003F8" w:rsidRPr="00064AD6" w:rsidRDefault="000964DB" w:rsidP="009A5ED1">
            <w:pPr>
              <w:pStyle w:val="TableText"/>
              <w:spacing w:before="40" w:after="40" w:line="230" w:lineRule="atLeast"/>
              <w:jc w:val="right"/>
              <w:rPr>
                <w:rFonts w:cs="Calibri"/>
              </w:rPr>
            </w:pPr>
            <w:r w:rsidRPr="00064AD6">
              <w:rPr>
                <w:rFonts w:cs="Calibri"/>
              </w:rPr>
              <w:t>14,003</w:t>
            </w:r>
          </w:p>
        </w:tc>
      </w:tr>
      <w:tr w:rsidR="001003F8" w:rsidRPr="005C5E32" w14:paraId="21E9B1E6" w14:textId="77777777" w:rsidTr="00BE6088">
        <w:tc>
          <w:tcPr>
            <w:tcW w:w="3969" w:type="dxa"/>
          </w:tcPr>
          <w:p w14:paraId="21D624DB" w14:textId="77777777" w:rsidR="001003F8" w:rsidRPr="005C5E32" w:rsidRDefault="001003F8" w:rsidP="009A5ED1">
            <w:pPr>
              <w:pStyle w:val="TableTextbold"/>
              <w:spacing w:before="40" w:after="40" w:line="230" w:lineRule="atLeast"/>
              <w:rPr>
                <w:rFonts w:cs="Calibri"/>
                <w:szCs w:val="18"/>
              </w:rPr>
            </w:pPr>
            <w:r w:rsidRPr="005C5E32">
              <w:rPr>
                <w:rFonts w:cs="Calibri"/>
                <w:bCs/>
              </w:rPr>
              <w:t>Total expenses</w:t>
            </w:r>
          </w:p>
        </w:tc>
        <w:tc>
          <w:tcPr>
            <w:tcW w:w="964" w:type="dxa"/>
            <w:vAlign w:val="bottom"/>
          </w:tcPr>
          <w:p w14:paraId="2F50AFD0" w14:textId="77777777" w:rsidR="001003F8" w:rsidRPr="005C5E32" w:rsidRDefault="001003F8" w:rsidP="009A5ED1">
            <w:pPr>
              <w:pStyle w:val="TableText"/>
              <w:spacing w:before="40" w:after="40" w:line="230" w:lineRule="atLeast"/>
              <w:jc w:val="right"/>
              <w:rPr>
                <w:rFonts w:cs="Calibri"/>
                <w:b/>
                <w:bCs/>
              </w:rPr>
            </w:pPr>
            <w:r w:rsidRPr="005C5E32">
              <w:rPr>
                <w:rFonts w:cs="Calibri"/>
                <w:b/>
                <w:bCs/>
              </w:rPr>
              <w:t>29,425</w:t>
            </w:r>
          </w:p>
        </w:tc>
        <w:tc>
          <w:tcPr>
            <w:tcW w:w="964" w:type="dxa"/>
            <w:vAlign w:val="bottom"/>
          </w:tcPr>
          <w:p w14:paraId="457598A0" w14:textId="5A018B82" w:rsidR="001003F8" w:rsidRPr="005C5E32" w:rsidRDefault="00692CAC" w:rsidP="009A5ED1">
            <w:pPr>
              <w:pStyle w:val="TableText"/>
              <w:spacing w:before="40" w:after="40" w:line="230" w:lineRule="atLeast"/>
              <w:jc w:val="right"/>
              <w:rPr>
                <w:rFonts w:cs="Calibri"/>
                <w:b/>
                <w:bCs/>
              </w:rPr>
            </w:pPr>
            <w:r w:rsidRPr="005C5E32">
              <w:rPr>
                <w:rFonts w:cs="Calibri"/>
                <w:b/>
                <w:bCs/>
              </w:rPr>
              <w:t>28,325</w:t>
            </w:r>
          </w:p>
        </w:tc>
        <w:tc>
          <w:tcPr>
            <w:tcW w:w="1304" w:type="dxa"/>
            <w:vAlign w:val="bottom"/>
          </w:tcPr>
          <w:p w14:paraId="4B6D18B4" w14:textId="08F4805B" w:rsidR="001003F8" w:rsidRPr="005C5E32" w:rsidRDefault="00E05C6A" w:rsidP="009A5ED1">
            <w:pPr>
              <w:pStyle w:val="TableText"/>
              <w:spacing w:before="40" w:after="40" w:line="230" w:lineRule="atLeast"/>
              <w:jc w:val="right"/>
              <w:rPr>
                <w:rFonts w:cs="Calibri"/>
                <w:b/>
                <w:bCs/>
              </w:rPr>
            </w:pPr>
            <w:r w:rsidRPr="005C5E32">
              <w:rPr>
                <w:rFonts w:cs="Calibri"/>
                <w:b/>
                <w:bCs/>
              </w:rPr>
              <w:t>28,325</w:t>
            </w:r>
          </w:p>
        </w:tc>
        <w:tc>
          <w:tcPr>
            <w:tcW w:w="964" w:type="dxa"/>
            <w:shd w:val="clear" w:color="auto" w:fill="D2DDE1" w:themeFill="background2"/>
            <w:vAlign w:val="bottom"/>
          </w:tcPr>
          <w:p w14:paraId="33597E6B" w14:textId="51617E60" w:rsidR="001003F8" w:rsidRPr="005C5E32" w:rsidRDefault="00750D65" w:rsidP="009A5ED1">
            <w:pPr>
              <w:pStyle w:val="TableText"/>
              <w:spacing w:before="40" w:after="40" w:line="230" w:lineRule="atLeast"/>
              <w:jc w:val="right"/>
              <w:rPr>
                <w:rFonts w:cs="Calibri"/>
                <w:b/>
                <w:bCs/>
              </w:rPr>
            </w:pPr>
            <w:r w:rsidRPr="005C5E32">
              <w:rPr>
                <w:rFonts w:cs="Calibri"/>
                <w:b/>
                <w:bCs/>
              </w:rPr>
              <w:t>26,735</w:t>
            </w:r>
          </w:p>
        </w:tc>
      </w:tr>
      <w:tr w:rsidR="001003F8" w:rsidRPr="005C5E32" w14:paraId="0279C331" w14:textId="77777777" w:rsidTr="00BE6088">
        <w:tc>
          <w:tcPr>
            <w:tcW w:w="3969" w:type="dxa"/>
          </w:tcPr>
          <w:p w14:paraId="1D5A7915" w14:textId="080A4A86" w:rsidR="001003F8" w:rsidRPr="005C5E32" w:rsidRDefault="001003F8" w:rsidP="009A5ED1">
            <w:pPr>
              <w:pStyle w:val="TableTextbold"/>
              <w:spacing w:before="40" w:after="40" w:line="230" w:lineRule="atLeast"/>
              <w:rPr>
                <w:rFonts w:cs="Calibri"/>
                <w:szCs w:val="18"/>
              </w:rPr>
            </w:pPr>
            <w:r w:rsidRPr="005C5E32">
              <w:rPr>
                <w:rFonts w:cs="Calibri"/>
                <w:bCs/>
              </w:rPr>
              <w:t>Surplus/(</w:t>
            </w:r>
            <w:r w:rsidR="00A65D00">
              <w:rPr>
                <w:rFonts w:cs="Calibri"/>
                <w:bCs/>
              </w:rPr>
              <w:t>d</w:t>
            </w:r>
            <w:r w:rsidR="00A65D00" w:rsidRPr="005C5E32">
              <w:rPr>
                <w:rFonts w:cs="Calibri"/>
                <w:bCs/>
              </w:rPr>
              <w:t>eficit</w:t>
            </w:r>
            <w:r w:rsidRPr="005C5E32">
              <w:rPr>
                <w:rFonts w:cs="Calibri"/>
                <w:bCs/>
              </w:rPr>
              <w:t>)</w:t>
            </w:r>
          </w:p>
        </w:tc>
        <w:tc>
          <w:tcPr>
            <w:tcW w:w="964" w:type="dxa"/>
            <w:vAlign w:val="bottom"/>
          </w:tcPr>
          <w:p w14:paraId="32E3DAC5" w14:textId="77777777" w:rsidR="001003F8" w:rsidRPr="005C5E32" w:rsidRDefault="001003F8" w:rsidP="009A5ED1">
            <w:pPr>
              <w:pStyle w:val="TableText"/>
              <w:spacing w:before="40" w:after="40" w:line="230" w:lineRule="atLeast"/>
              <w:jc w:val="right"/>
              <w:rPr>
                <w:rFonts w:cs="Calibri"/>
                <w:b/>
                <w:bCs/>
              </w:rPr>
            </w:pPr>
          </w:p>
        </w:tc>
        <w:tc>
          <w:tcPr>
            <w:tcW w:w="964" w:type="dxa"/>
            <w:vAlign w:val="bottom"/>
          </w:tcPr>
          <w:p w14:paraId="6A4C7D9F" w14:textId="77777777" w:rsidR="001003F8" w:rsidRPr="005C5E32" w:rsidRDefault="001003F8" w:rsidP="009A5ED1">
            <w:pPr>
              <w:pStyle w:val="TableText"/>
              <w:spacing w:before="40" w:after="40" w:line="230" w:lineRule="atLeast"/>
              <w:jc w:val="right"/>
              <w:rPr>
                <w:rFonts w:cs="Calibri"/>
                <w:b/>
                <w:bCs/>
              </w:rPr>
            </w:pPr>
          </w:p>
        </w:tc>
        <w:tc>
          <w:tcPr>
            <w:tcW w:w="1304" w:type="dxa"/>
            <w:vAlign w:val="bottom"/>
          </w:tcPr>
          <w:p w14:paraId="137C3699" w14:textId="77777777" w:rsidR="001003F8" w:rsidRPr="005C5E32" w:rsidRDefault="001003F8" w:rsidP="009A5ED1">
            <w:pPr>
              <w:pStyle w:val="TableText"/>
              <w:spacing w:before="40" w:after="40" w:line="230" w:lineRule="atLeast"/>
              <w:jc w:val="right"/>
              <w:rPr>
                <w:rFonts w:cs="Calibri"/>
                <w:b/>
                <w:bCs/>
              </w:rPr>
            </w:pPr>
          </w:p>
        </w:tc>
        <w:tc>
          <w:tcPr>
            <w:tcW w:w="964" w:type="dxa"/>
            <w:shd w:val="clear" w:color="auto" w:fill="D2DDE1" w:themeFill="background2"/>
            <w:vAlign w:val="bottom"/>
          </w:tcPr>
          <w:p w14:paraId="1F474C66" w14:textId="77777777" w:rsidR="001003F8" w:rsidRPr="005C5E32" w:rsidRDefault="001003F8" w:rsidP="009A5ED1">
            <w:pPr>
              <w:pStyle w:val="TableText"/>
              <w:spacing w:before="40" w:after="40" w:line="230" w:lineRule="atLeast"/>
              <w:jc w:val="right"/>
              <w:rPr>
                <w:rFonts w:cs="Calibri"/>
                <w:b/>
                <w:bCs/>
              </w:rPr>
            </w:pPr>
          </w:p>
        </w:tc>
      </w:tr>
      <w:tr w:rsidR="001003F8" w:rsidRPr="005C5E32" w14:paraId="7AF759C6" w14:textId="77777777" w:rsidTr="00BE6088">
        <w:tc>
          <w:tcPr>
            <w:tcW w:w="3969" w:type="dxa"/>
          </w:tcPr>
          <w:p w14:paraId="1441F2FD" w14:textId="77777777" w:rsidR="001003F8" w:rsidRPr="005C5E32" w:rsidRDefault="001003F8" w:rsidP="009A5ED1">
            <w:pPr>
              <w:pStyle w:val="TableTextbold"/>
              <w:spacing w:before="40" w:after="40" w:line="230" w:lineRule="atLeast"/>
              <w:rPr>
                <w:rFonts w:cs="Calibri"/>
                <w:b w:val="0"/>
                <w:szCs w:val="18"/>
              </w:rPr>
            </w:pPr>
            <w:r w:rsidRPr="005C5E32">
              <w:rPr>
                <w:rFonts w:cs="Calibri"/>
                <w:b w:val="0"/>
              </w:rPr>
              <w:t>Environment Work Programme</w:t>
            </w:r>
          </w:p>
        </w:tc>
        <w:tc>
          <w:tcPr>
            <w:tcW w:w="964" w:type="dxa"/>
            <w:vAlign w:val="bottom"/>
          </w:tcPr>
          <w:p w14:paraId="411392A1" w14:textId="77777777" w:rsidR="001003F8" w:rsidRPr="005C5E32" w:rsidRDefault="001003F8" w:rsidP="009A5ED1">
            <w:pPr>
              <w:pStyle w:val="TableText"/>
              <w:spacing w:before="40" w:after="40" w:line="230" w:lineRule="atLeast"/>
              <w:jc w:val="right"/>
              <w:rPr>
                <w:rFonts w:cs="Calibri"/>
                <w:b/>
                <w:bCs/>
              </w:rPr>
            </w:pPr>
            <w:r w:rsidRPr="005C5E32">
              <w:rPr>
                <w:rFonts w:cs="Calibri"/>
              </w:rPr>
              <w:t>683</w:t>
            </w:r>
          </w:p>
        </w:tc>
        <w:tc>
          <w:tcPr>
            <w:tcW w:w="964" w:type="dxa"/>
            <w:vAlign w:val="bottom"/>
          </w:tcPr>
          <w:p w14:paraId="26ECF63E" w14:textId="6838D41B" w:rsidR="001003F8" w:rsidRPr="00064AD6" w:rsidRDefault="00DC483C" w:rsidP="009A5ED1">
            <w:pPr>
              <w:pStyle w:val="TableText"/>
              <w:spacing w:before="40" w:after="40" w:line="230" w:lineRule="atLeast"/>
              <w:jc w:val="right"/>
              <w:rPr>
                <w:rFonts w:cs="Calibri"/>
              </w:rPr>
            </w:pPr>
            <w:r w:rsidRPr="005C5E32">
              <w:t>–</w:t>
            </w:r>
          </w:p>
        </w:tc>
        <w:tc>
          <w:tcPr>
            <w:tcW w:w="1304" w:type="dxa"/>
            <w:vAlign w:val="bottom"/>
          </w:tcPr>
          <w:p w14:paraId="6BAF7480" w14:textId="08B55BC9" w:rsidR="001003F8" w:rsidRPr="00064AD6" w:rsidRDefault="00704EAB" w:rsidP="009A5ED1">
            <w:pPr>
              <w:pStyle w:val="TableText"/>
              <w:spacing w:before="40" w:after="40" w:line="230" w:lineRule="atLeast"/>
              <w:jc w:val="right"/>
              <w:rPr>
                <w:rFonts w:cs="Calibri"/>
              </w:rPr>
            </w:pPr>
            <w:r w:rsidRPr="005C5E32">
              <w:t>–</w:t>
            </w:r>
          </w:p>
        </w:tc>
        <w:tc>
          <w:tcPr>
            <w:tcW w:w="964" w:type="dxa"/>
            <w:shd w:val="clear" w:color="auto" w:fill="D2DDE1" w:themeFill="background2"/>
            <w:vAlign w:val="bottom"/>
          </w:tcPr>
          <w:p w14:paraId="45153362" w14:textId="6F49F84C" w:rsidR="001003F8" w:rsidRPr="00064AD6" w:rsidRDefault="00907A34" w:rsidP="009A5ED1">
            <w:pPr>
              <w:pStyle w:val="TableText"/>
              <w:spacing w:before="40" w:after="40" w:line="230" w:lineRule="atLeast"/>
              <w:jc w:val="right"/>
              <w:rPr>
                <w:rFonts w:cs="Calibri"/>
              </w:rPr>
            </w:pPr>
            <w:r w:rsidRPr="00064AD6">
              <w:rPr>
                <w:rFonts w:cs="Calibri"/>
              </w:rPr>
              <w:t>941</w:t>
            </w:r>
          </w:p>
        </w:tc>
      </w:tr>
      <w:tr w:rsidR="001003F8" w:rsidRPr="005C5E32" w14:paraId="15DEB7EC" w14:textId="77777777" w:rsidTr="00BE6088">
        <w:tc>
          <w:tcPr>
            <w:tcW w:w="3969" w:type="dxa"/>
          </w:tcPr>
          <w:p w14:paraId="7E3BEE3F" w14:textId="77777777" w:rsidR="001003F8" w:rsidRPr="005C5E32" w:rsidRDefault="001003F8" w:rsidP="009A5ED1">
            <w:pPr>
              <w:pStyle w:val="TableTextbold"/>
              <w:spacing w:before="40" w:after="40" w:line="230" w:lineRule="atLeast"/>
              <w:rPr>
                <w:rFonts w:cs="Calibri"/>
                <w:b w:val="0"/>
                <w:szCs w:val="18"/>
              </w:rPr>
            </w:pPr>
            <w:r w:rsidRPr="005C5E32">
              <w:rPr>
                <w:rFonts w:cs="Calibri"/>
                <w:b w:val="0"/>
              </w:rPr>
              <w:t>Waste Minimisation Administration</w:t>
            </w:r>
          </w:p>
        </w:tc>
        <w:tc>
          <w:tcPr>
            <w:tcW w:w="964" w:type="dxa"/>
          </w:tcPr>
          <w:p w14:paraId="5C2FE7B0" w14:textId="77777777" w:rsidR="001003F8" w:rsidRPr="005C5E32" w:rsidRDefault="001003F8" w:rsidP="009A5ED1">
            <w:pPr>
              <w:pStyle w:val="TableText"/>
              <w:spacing w:before="40" w:after="40" w:line="230" w:lineRule="atLeast"/>
              <w:jc w:val="right"/>
              <w:rPr>
                <w:rFonts w:cs="Calibri"/>
                <w:b/>
                <w:bCs/>
              </w:rPr>
            </w:pPr>
            <w:r w:rsidRPr="005C5E32">
              <w:rPr>
                <w:rFonts w:cs="Calibri"/>
              </w:rPr>
              <w:t>546</w:t>
            </w:r>
          </w:p>
        </w:tc>
        <w:tc>
          <w:tcPr>
            <w:tcW w:w="964" w:type="dxa"/>
          </w:tcPr>
          <w:p w14:paraId="34D82E12" w14:textId="3743F1A0" w:rsidR="001003F8" w:rsidRPr="00064AD6" w:rsidRDefault="00DC483C" w:rsidP="009A5ED1">
            <w:pPr>
              <w:pStyle w:val="TableText"/>
              <w:spacing w:before="40" w:after="40" w:line="230" w:lineRule="atLeast"/>
              <w:jc w:val="right"/>
              <w:rPr>
                <w:rFonts w:cs="Calibri"/>
              </w:rPr>
            </w:pPr>
            <w:r w:rsidRPr="005C5E32">
              <w:t>–</w:t>
            </w:r>
          </w:p>
        </w:tc>
        <w:tc>
          <w:tcPr>
            <w:tcW w:w="1304" w:type="dxa"/>
          </w:tcPr>
          <w:p w14:paraId="646C27ED" w14:textId="6F9E7FE7" w:rsidR="001003F8" w:rsidRPr="00064AD6" w:rsidRDefault="00704EAB" w:rsidP="009A5ED1">
            <w:pPr>
              <w:pStyle w:val="TableText"/>
              <w:spacing w:before="40" w:after="40" w:line="230" w:lineRule="atLeast"/>
              <w:jc w:val="right"/>
              <w:rPr>
                <w:rFonts w:cs="Calibri"/>
              </w:rPr>
            </w:pPr>
            <w:r w:rsidRPr="005C5E32">
              <w:t>–</w:t>
            </w:r>
          </w:p>
        </w:tc>
        <w:tc>
          <w:tcPr>
            <w:tcW w:w="964" w:type="dxa"/>
            <w:shd w:val="clear" w:color="auto" w:fill="D2DDE1" w:themeFill="background2"/>
          </w:tcPr>
          <w:p w14:paraId="2444A290" w14:textId="5F4525B6" w:rsidR="001003F8" w:rsidRPr="00064AD6" w:rsidRDefault="00907A34" w:rsidP="009A5ED1">
            <w:pPr>
              <w:pStyle w:val="TableText"/>
              <w:spacing w:before="40" w:after="40" w:line="230" w:lineRule="atLeast"/>
              <w:jc w:val="right"/>
              <w:rPr>
                <w:rFonts w:cs="Calibri"/>
              </w:rPr>
            </w:pPr>
            <w:r w:rsidRPr="00064AD6">
              <w:rPr>
                <w:rFonts w:cs="Calibri"/>
              </w:rPr>
              <w:t>649</w:t>
            </w:r>
          </w:p>
        </w:tc>
      </w:tr>
      <w:tr w:rsidR="001003F8" w:rsidRPr="005C5E32" w14:paraId="7DEB9C9B" w14:textId="77777777" w:rsidTr="00BE6088">
        <w:tc>
          <w:tcPr>
            <w:tcW w:w="3969" w:type="dxa"/>
          </w:tcPr>
          <w:p w14:paraId="1C428DB6" w14:textId="0FDE197D" w:rsidR="001003F8" w:rsidRPr="005C5E32" w:rsidRDefault="001003F8" w:rsidP="009A5ED1">
            <w:pPr>
              <w:pStyle w:val="TableTextbold"/>
              <w:spacing w:before="40" w:after="40" w:line="230" w:lineRule="atLeast"/>
              <w:rPr>
                <w:rFonts w:cs="Calibri"/>
                <w:szCs w:val="18"/>
              </w:rPr>
            </w:pPr>
            <w:r w:rsidRPr="005C5E32">
              <w:rPr>
                <w:rFonts w:cs="Calibri"/>
                <w:bCs/>
              </w:rPr>
              <w:t>Total departmental surplus/(deficit)</w:t>
            </w:r>
          </w:p>
        </w:tc>
        <w:tc>
          <w:tcPr>
            <w:tcW w:w="964" w:type="dxa"/>
            <w:vAlign w:val="bottom"/>
          </w:tcPr>
          <w:p w14:paraId="404342B4" w14:textId="77777777" w:rsidR="001003F8" w:rsidRPr="005C5E32" w:rsidRDefault="001003F8" w:rsidP="009A5ED1">
            <w:pPr>
              <w:pStyle w:val="TableText"/>
              <w:spacing w:before="40" w:after="40" w:line="230" w:lineRule="atLeast"/>
              <w:jc w:val="right"/>
              <w:rPr>
                <w:rFonts w:cs="Calibri"/>
                <w:b/>
                <w:bCs/>
              </w:rPr>
            </w:pPr>
            <w:r w:rsidRPr="005C5E32">
              <w:rPr>
                <w:rFonts w:cs="Calibri"/>
                <w:b/>
                <w:bCs/>
              </w:rPr>
              <w:t>1,229</w:t>
            </w:r>
          </w:p>
        </w:tc>
        <w:tc>
          <w:tcPr>
            <w:tcW w:w="964" w:type="dxa"/>
            <w:vAlign w:val="bottom"/>
          </w:tcPr>
          <w:p w14:paraId="6F62C715" w14:textId="72CEA9E6" w:rsidR="001003F8" w:rsidRPr="005C5E32" w:rsidRDefault="00E47426" w:rsidP="009A5ED1">
            <w:pPr>
              <w:pStyle w:val="TableText"/>
              <w:spacing w:before="40" w:after="40" w:line="230" w:lineRule="atLeast"/>
              <w:jc w:val="right"/>
              <w:rPr>
                <w:rFonts w:cs="Calibri"/>
                <w:b/>
                <w:bCs/>
              </w:rPr>
            </w:pPr>
            <w:r w:rsidRPr="00064AD6">
              <w:rPr>
                <w:b/>
              </w:rPr>
              <w:t>–</w:t>
            </w:r>
          </w:p>
        </w:tc>
        <w:tc>
          <w:tcPr>
            <w:tcW w:w="1304" w:type="dxa"/>
            <w:vAlign w:val="bottom"/>
          </w:tcPr>
          <w:p w14:paraId="3B7C6CB6" w14:textId="6CE4C305" w:rsidR="001003F8" w:rsidRPr="005C5E32" w:rsidRDefault="00704EAB" w:rsidP="009A5ED1">
            <w:pPr>
              <w:pStyle w:val="TableText"/>
              <w:spacing w:before="40" w:after="40" w:line="230" w:lineRule="atLeast"/>
              <w:jc w:val="right"/>
              <w:rPr>
                <w:rFonts w:cs="Calibri"/>
                <w:b/>
                <w:bCs/>
              </w:rPr>
            </w:pPr>
            <w:r w:rsidRPr="00064AD6">
              <w:rPr>
                <w:b/>
              </w:rPr>
              <w:t>–</w:t>
            </w:r>
          </w:p>
        </w:tc>
        <w:tc>
          <w:tcPr>
            <w:tcW w:w="964" w:type="dxa"/>
            <w:shd w:val="clear" w:color="auto" w:fill="D2DDE1" w:themeFill="background2"/>
            <w:vAlign w:val="bottom"/>
          </w:tcPr>
          <w:p w14:paraId="2F63542A" w14:textId="58AB9FD0" w:rsidR="001003F8" w:rsidRPr="005C5E32" w:rsidRDefault="00117953" w:rsidP="009A5ED1">
            <w:pPr>
              <w:pStyle w:val="TableText"/>
              <w:spacing w:before="40" w:after="40" w:line="230" w:lineRule="atLeast"/>
              <w:jc w:val="right"/>
              <w:rPr>
                <w:rFonts w:cs="Calibri"/>
                <w:b/>
                <w:bCs/>
              </w:rPr>
            </w:pPr>
            <w:r w:rsidRPr="005C5E32">
              <w:rPr>
                <w:rFonts w:cs="Calibri"/>
                <w:b/>
                <w:bCs/>
              </w:rPr>
              <w:t>1,590</w:t>
            </w:r>
          </w:p>
        </w:tc>
      </w:tr>
      <w:tr w:rsidR="001003F8" w:rsidRPr="005C5E32" w14:paraId="5DE2CB22" w14:textId="77777777" w:rsidTr="00BE6088">
        <w:tc>
          <w:tcPr>
            <w:tcW w:w="3969" w:type="dxa"/>
          </w:tcPr>
          <w:p w14:paraId="7FDAD48C" w14:textId="77777777" w:rsidR="001003F8" w:rsidRPr="005C5E32" w:rsidRDefault="001003F8" w:rsidP="009A5ED1">
            <w:pPr>
              <w:pStyle w:val="TableTextbold"/>
              <w:spacing w:before="40" w:after="40" w:line="230" w:lineRule="atLeast"/>
              <w:rPr>
                <w:rFonts w:cs="Calibri"/>
                <w:szCs w:val="18"/>
              </w:rPr>
            </w:pPr>
            <w:r w:rsidRPr="005C5E32">
              <w:rPr>
                <w:rFonts w:cs="Calibri"/>
                <w:bCs/>
              </w:rPr>
              <w:lastRenderedPageBreak/>
              <w:t>Non-departmental output expenses</w:t>
            </w:r>
          </w:p>
        </w:tc>
        <w:tc>
          <w:tcPr>
            <w:tcW w:w="964" w:type="dxa"/>
          </w:tcPr>
          <w:p w14:paraId="0919031D" w14:textId="77777777" w:rsidR="001003F8" w:rsidRPr="005C5E32" w:rsidRDefault="001003F8" w:rsidP="009A5ED1">
            <w:pPr>
              <w:pStyle w:val="TableText"/>
              <w:spacing w:before="40" w:after="40" w:line="230" w:lineRule="atLeast"/>
              <w:jc w:val="right"/>
              <w:rPr>
                <w:rFonts w:cs="Calibri"/>
                <w:b/>
                <w:bCs/>
              </w:rPr>
            </w:pPr>
          </w:p>
        </w:tc>
        <w:tc>
          <w:tcPr>
            <w:tcW w:w="964" w:type="dxa"/>
          </w:tcPr>
          <w:p w14:paraId="1F991394" w14:textId="77777777" w:rsidR="001003F8" w:rsidRPr="005C5E32" w:rsidRDefault="001003F8" w:rsidP="009A5ED1">
            <w:pPr>
              <w:pStyle w:val="TableText"/>
              <w:spacing w:before="40" w:after="40" w:line="230" w:lineRule="atLeast"/>
              <w:jc w:val="right"/>
              <w:rPr>
                <w:rFonts w:cs="Calibri"/>
                <w:b/>
                <w:bCs/>
              </w:rPr>
            </w:pPr>
          </w:p>
        </w:tc>
        <w:tc>
          <w:tcPr>
            <w:tcW w:w="1304" w:type="dxa"/>
          </w:tcPr>
          <w:p w14:paraId="4E90D667" w14:textId="77777777" w:rsidR="001003F8" w:rsidRPr="005C5E32" w:rsidRDefault="001003F8" w:rsidP="009A5ED1">
            <w:pPr>
              <w:pStyle w:val="TableText"/>
              <w:spacing w:before="40" w:after="40" w:line="230" w:lineRule="atLeast"/>
              <w:jc w:val="right"/>
              <w:rPr>
                <w:rFonts w:cs="Calibri"/>
                <w:b/>
                <w:bCs/>
              </w:rPr>
            </w:pPr>
          </w:p>
        </w:tc>
        <w:tc>
          <w:tcPr>
            <w:tcW w:w="964" w:type="dxa"/>
            <w:shd w:val="clear" w:color="auto" w:fill="D2DDE1" w:themeFill="background2"/>
          </w:tcPr>
          <w:p w14:paraId="257E0BC1" w14:textId="77777777" w:rsidR="001003F8" w:rsidRPr="005C5E32" w:rsidRDefault="001003F8" w:rsidP="009A5ED1">
            <w:pPr>
              <w:pStyle w:val="TableText"/>
              <w:spacing w:before="40" w:after="40" w:line="230" w:lineRule="atLeast"/>
              <w:jc w:val="right"/>
              <w:rPr>
                <w:rFonts w:cs="Calibri"/>
                <w:b/>
                <w:bCs/>
              </w:rPr>
            </w:pPr>
          </w:p>
        </w:tc>
      </w:tr>
      <w:tr w:rsidR="001003F8" w:rsidRPr="005C5E32" w14:paraId="26E89C74" w14:textId="77777777" w:rsidTr="00BE6088">
        <w:tc>
          <w:tcPr>
            <w:tcW w:w="3969" w:type="dxa"/>
          </w:tcPr>
          <w:p w14:paraId="6097BC21" w14:textId="77777777" w:rsidR="001003F8" w:rsidRPr="005C5E32" w:rsidRDefault="001003F8" w:rsidP="009A5ED1">
            <w:pPr>
              <w:pStyle w:val="TableTextbold"/>
              <w:spacing w:before="40" w:after="40" w:line="230" w:lineRule="atLeast"/>
              <w:rPr>
                <w:rFonts w:cs="Calibri"/>
                <w:b w:val="0"/>
                <w:szCs w:val="18"/>
              </w:rPr>
            </w:pPr>
            <w:r w:rsidRPr="005C5E32">
              <w:rPr>
                <w:b w:val="0"/>
              </w:rPr>
              <w:t>Contaminated Sites and Vulnerable Landfills Fund</w:t>
            </w:r>
          </w:p>
        </w:tc>
        <w:tc>
          <w:tcPr>
            <w:tcW w:w="964" w:type="dxa"/>
            <w:vAlign w:val="bottom"/>
          </w:tcPr>
          <w:p w14:paraId="38192398" w14:textId="77777777" w:rsidR="001003F8" w:rsidRPr="005C5E32" w:rsidRDefault="001003F8" w:rsidP="009A5ED1">
            <w:pPr>
              <w:pStyle w:val="TableText"/>
              <w:spacing w:before="40" w:after="40" w:line="230" w:lineRule="atLeast"/>
              <w:jc w:val="right"/>
              <w:rPr>
                <w:rFonts w:cs="Calibri"/>
                <w:b/>
                <w:bCs/>
              </w:rPr>
            </w:pPr>
            <w:r w:rsidRPr="005C5E32">
              <w:rPr>
                <w:rFonts w:cs="Calibri"/>
              </w:rPr>
              <w:t>926</w:t>
            </w:r>
          </w:p>
        </w:tc>
        <w:tc>
          <w:tcPr>
            <w:tcW w:w="964" w:type="dxa"/>
            <w:vAlign w:val="bottom"/>
          </w:tcPr>
          <w:p w14:paraId="37773D62" w14:textId="43E0CC96" w:rsidR="001003F8" w:rsidRPr="005C5E32" w:rsidRDefault="00093084" w:rsidP="009A5ED1">
            <w:pPr>
              <w:pStyle w:val="TableText"/>
              <w:spacing w:before="40" w:after="40" w:line="230" w:lineRule="atLeast"/>
              <w:jc w:val="right"/>
              <w:rPr>
                <w:rFonts w:cs="Calibri"/>
                <w:b/>
                <w:bCs/>
              </w:rPr>
            </w:pPr>
            <w:r w:rsidRPr="005C5E32">
              <w:t>–</w:t>
            </w:r>
          </w:p>
        </w:tc>
        <w:tc>
          <w:tcPr>
            <w:tcW w:w="1304" w:type="dxa"/>
            <w:vAlign w:val="bottom"/>
          </w:tcPr>
          <w:p w14:paraId="747AB728" w14:textId="770467C4" w:rsidR="001003F8" w:rsidRPr="005C5E32" w:rsidRDefault="00CC4A96" w:rsidP="009A5ED1">
            <w:pPr>
              <w:pStyle w:val="TableText"/>
              <w:spacing w:before="40" w:after="40" w:line="230" w:lineRule="atLeast"/>
              <w:jc w:val="right"/>
              <w:rPr>
                <w:rFonts w:cs="Calibri"/>
                <w:b/>
                <w:bCs/>
              </w:rPr>
            </w:pPr>
            <w:r w:rsidRPr="005C5E32">
              <w:t>–</w:t>
            </w:r>
          </w:p>
        </w:tc>
        <w:tc>
          <w:tcPr>
            <w:tcW w:w="964" w:type="dxa"/>
            <w:shd w:val="clear" w:color="auto" w:fill="D2DDE1" w:themeFill="background2"/>
            <w:vAlign w:val="bottom"/>
          </w:tcPr>
          <w:p w14:paraId="22D18294" w14:textId="454E3961" w:rsidR="001003F8" w:rsidRPr="005C5E32" w:rsidRDefault="00CC4A96" w:rsidP="009A5ED1">
            <w:pPr>
              <w:pStyle w:val="TableText"/>
              <w:spacing w:before="40" w:after="40" w:line="230" w:lineRule="atLeast"/>
              <w:jc w:val="right"/>
              <w:rPr>
                <w:rFonts w:cs="Calibri"/>
                <w:b/>
                <w:bCs/>
              </w:rPr>
            </w:pPr>
            <w:r w:rsidRPr="005C5E32">
              <w:t>–</w:t>
            </w:r>
          </w:p>
        </w:tc>
      </w:tr>
      <w:tr w:rsidR="001003F8" w:rsidRPr="005C5E32" w14:paraId="126F8B5F" w14:textId="77777777" w:rsidTr="00BE6088">
        <w:tc>
          <w:tcPr>
            <w:tcW w:w="3969" w:type="dxa"/>
          </w:tcPr>
          <w:p w14:paraId="44C6DE17" w14:textId="77777777" w:rsidR="001003F8" w:rsidRPr="005C5E32" w:rsidRDefault="001003F8" w:rsidP="009A5ED1">
            <w:pPr>
              <w:pStyle w:val="TableTextbold"/>
              <w:spacing w:before="40" w:after="40" w:line="230" w:lineRule="atLeast"/>
              <w:rPr>
                <w:rFonts w:cs="Calibri"/>
                <w:b w:val="0"/>
                <w:szCs w:val="18"/>
              </w:rPr>
            </w:pPr>
            <w:r w:rsidRPr="005C5E32">
              <w:rPr>
                <w:b w:val="0"/>
              </w:rPr>
              <w:t>Contestable Waste Minimisation Fund</w:t>
            </w:r>
          </w:p>
        </w:tc>
        <w:tc>
          <w:tcPr>
            <w:tcW w:w="964" w:type="dxa"/>
            <w:vAlign w:val="bottom"/>
          </w:tcPr>
          <w:p w14:paraId="1C42EAEE" w14:textId="77777777" w:rsidR="001003F8" w:rsidRPr="005C5E32" w:rsidRDefault="001003F8" w:rsidP="009A5ED1">
            <w:pPr>
              <w:pStyle w:val="TableText"/>
              <w:spacing w:before="40" w:after="40" w:line="230" w:lineRule="atLeast"/>
              <w:jc w:val="right"/>
              <w:rPr>
                <w:rFonts w:cs="Calibri"/>
                <w:b/>
                <w:bCs/>
              </w:rPr>
            </w:pPr>
            <w:r w:rsidRPr="005C5E32">
              <w:rPr>
                <w:rFonts w:cs="Calibri"/>
              </w:rPr>
              <w:t>5,850</w:t>
            </w:r>
          </w:p>
        </w:tc>
        <w:tc>
          <w:tcPr>
            <w:tcW w:w="964" w:type="dxa"/>
            <w:vAlign w:val="bottom"/>
          </w:tcPr>
          <w:p w14:paraId="4E3B6661" w14:textId="1BEBABF7" w:rsidR="001003F8" w:rsidRPr="00064AD6" w:rsidRDefault="00644EA9" w:rsidP="009A5ED1">
            <w:pPr>
              <w:pStyle w:val="TableText"/>
              <w:spacing w:before="40" w:after="40" w:line="230" w:lineRule="atLeast"/>
              <w:jc w:val="right"/>
              <w:rPr>
                <w:rFonts w:cs="Calibri"/>
              </w:rPr>
            </w:pPr>
            <w:r w:rsidRPr="00064AD6">
              <w:rPr>
                <w:rFonts w:cs="Calibri"/>
              </w:rPr>
              <w:t>34,308</w:t>
            </w:r>
          </w:p>
        </w:tc>
        <w:tc>
          <w:tcPr>
            <w:tcW w:w="1304" w:type="dxa"/>
            <w:vAlign w:val="bottom"/>
          </w:tcPr>
          <w:p w14:paraId="57D380BC" w14:textId="194C29D3" w:rsidR="001003F8" w:rsidRPr="00064AD6" w:rsidRDefault="00A63DF4" w:rsidP="009A5ED1">
            <w:pPr>
              <w:pStyle w:val="TableText"/>
              <w:spacing w:before="40" w:after="40" w:line="230" w:lineRule="atLeast"/>
              <w:jc w:val="right"/>
              <w:rPr>
                <w:rFonts w:cs="Calibri"/>
              </w:rPr>
            </w:pPr>
            <w:r w:rsidRPr="00064AD6">
              <w:rPr>
                <w:rFonts w:cs="Calibri"/>
              </w:rPr>
              <w:t>30,000</w:t>
            </w:r>
          </w:p>
        </w:tc>
        <w:tc>
          <w:tcPr>
            <w:tcW w:w="964" w:type="dxa"/>
            <w:shd w:val="clear" w:color="auto" w:fill="D2DDE1" w:themeFill="background2"/>
            <w:vAlign w:val="bottom"/>
          </w:tcPr>
          <w:p w14:paraId="67FEA2E8" w14:textId="2EBF22DB" w:rsidR="001003F8" w:rsidRPr="00064AD6" w:rsidRDefault="00A63DF4" w:rsidP="009A5ED1">
            <w:pPr>
              <w:pStyle w:val="TableText"/>
              <w:spacing w:before="40" w:after="40" w:line="230" w:lineRule="atLeast"/>
              <w:jc w:val="right"/>
              <w:rPr>
                <w:rFonts w:cs="Calibri"/>
              </w:rPr>
            </w:pPr>
            <w:r w:rsidRPr="00064AD6">
              <w:rPr>
                <w:rFonts w:cs="Calibri"/>
              </w:rPr>
              <w:t>9,421</w:t>
            </w:r>
          </w:p>
        </w:tc>
      </w:tr>
      <w:tr w:rsidR="001003F8" w:rsidRPr="005C5E32" w14:paraId="0E16F2BB" w14:textId="77777777" w:rsidTr="00BE6088">
        <w:tc>
          <w:tcPr>
            <w:tcW w:w="3969" w:type="dxa"/>
          </w:tcPr>
          <w:p w14:paraId="5C428025" w14:textId="77777777" w:rsidR="001003F8" w:rsidRPr="005C5E32" w:rsidRDefault="001003F8" w:rsidP="009A5ED1">
            <w:pPr>
              <w:pStyle w:val="TableTextbold"/>
              <w:spacing w:before="40" w:after="40" w:line="230" w:lineRule="atLeast"/>
              <w:rPr>
                <w:rFonts w:cs="Calibri"/>
                <w:b w:val="0"/>
                <w:szCs w:val="18"/>
              </w:rPr>
            </w:pPr>
            <w:r w:rsidRPr="005C5E32">
              <w:rPr>
                <w:b w:val="0"/>
              </w:rPr>
              <w:t>Freshwater Improvement Fund</w:t>
            </w:r>
          </w:p>
        </w:tc>
        <w:tc>
          <w:tcPr>
            <w:tcW w:w="964" w:type="dxa"/>
            <w:vAlign w:val="bottom"/>
          </w:tcPr>
          <w:p w14:paraId="7E3AF3F7" w14:textId="77777777" w:rsidR="001003F8" w:rsidRPr="005C5E32" w:rsidRDefault="001003F8" w:rsidP="009A5ED1">
            <w:pPr>
              <w:pStyle w:val="TableText"/>
              <w:spacing w:before="40" w:after="40" w:line="230" w:lineRule="atLeast"/>
              <w:jc w:val="right"/>
              <w:rPr>
                <w:rFonts w:cs="Calibri"/>
                <w:b/>
                <w:bCs/>
              </w:rPr>
            </w:pPr>
            <w:r w:rsidRPr="005C5E32">
              <w:rPr>
                <w:rFonts w:cs="Calibri"/>
              </w:rPr>
              <w:t>15,037</w:t>
            </w:r>
          </w:p>
        </w:tc>
        <w:tc>
          <w:tcPr>
            <w:tcW w:w="964" w:type="dxa"/>
            <w:vAlign w:val="bottom"/>
          </w:tcPr>
          <w:p w14:paraId="36AE337B" w14:textId="48C7C469" w:rsidR="001003F8" w:rsidRPr="00064AD6" w:rsidRDefault="00FD7FD5" w:rsidP="009A5ED1">
            <w:pPr>
              <w:pStyle w:val="TableText"/>
              <w:spacing w:before="40" w:after="40" w:line="230" w:lineRule="atLeast"/>
              <w:jc w:val="right"/>
              <w:rPr>
                <w:rFonts w:cs="Calibri"/>
              </w:rPr>
            </w:pPr>
            <w:r w:rsidRPr="005C5E32">
              <w:t>–</w:t>
            </w:r>
          </w:p>
        </w:tc>
        <w:tc>
          <w:tcPr>
            <w:tcW w:w="1304" w:type="dxa"/>
            <w:vAlign w:val="bottom"/>
          </w:tcPr>
          <w:p w14:paraId="53F9CD20" w14:textId="45665308" w:rsidR="001003F8" w:rsidRPr="00064AD6" w:rsidRDefault="00FD7FD5" w:rsidP="009A5ED1">
            <w:pPr>
              <w:pStyle w:val="TableText"/>
              <w:spacing w:before="40" w:after="40" w:line="230" w:lineRule="atLeast"/>
              <w:jc w:val="right"/>
              <w:rPr>
                <w:rFonts w:cs="Calibri"/>
              </w:rPr>
            </w:pPr>
            <w:r w:rsidRPr="005C5E32">
              <w:t>–</w:t>
            </w:r>
          </w:p>
        </w:tc>
        <w:tc>
          <w:tcPr>
            <w:tcW w:w="964" w:type="dxa"/>
            <w:shd w:val="clear" w:color="auto" w:fill="D2DDE1" w:themeFill="background2"/>
            <w:vAlign w:val="bottom"/>
          </w:tcPr>
          <w:p w14:paraId="313F1D7E" w14:textId="0520B5CC" w:rsidR="001003F8" w:rsidRPr="00064AD6" w:rsidRDefault="00FD7FD5" w:rsidP="009A5ED1">
            <w:pPr>
              <w:pStyle w:val="TableText"/>
              <w:spacing w:before="40" w:after="40" w:line="230" w:lineRule="atLeast"/>
              <w:jc w:val="right"/>
              <w:rPr>
                <w:rFonts w:cs="Calibri"/>
              </w:rPr>
            </w:pPr>
            <w:r w:rsidRPr="005C5E32">
              <w:t>–</w:t>
            </w:r>
          </w:p>
        </w:tc>
      </w:tr>
      <w:tr w:rsidR="001003F8" w:rsidRPr="005C5E32" w14:paraId="093A7A9B" w14:textId="77777777" w:rsidTr="00BE6088">
        <w:tc>
          <w:tcPr>
            <w:tcW w:w="3969" w:type="dxa"/>
          </w:tcPr>
          <w:p w14:paraId="216AB94A" w14:textId="77777777" w:rsidR="001003F8" w:rsidRPr="005C5E32" w:rsidRDefault="001003F8" w:rsidP="009A5ED1">
            <w:pPr>
              <w:pStyle w:val="TableTextbold"/>
              <w:spacing w:before="40" w:after="40" w:line="230" w:lineRule="atLeast"/>
              <w:rPr>
                <w:rFonts w:cs="Calibri"/>
                <w:b w:val="0"/>
                <w:szCs w:val="18"/>
              </w:rPr>
            </w:pPr>
            <w:r w:rsidRPr="005C5E32">
              <w:rPr>
                <w:b w:val="0"/>
              </w:rPr>
              <w:t>Kaipara Moana Remediation</w:t>
            </w:r>
          </w:p>
        </w:tc>
        <w:tc>
          <w:tcPr>
            <w:tcW w:w="964" w:type="dxa"/>
          </w:tcPr>
          <w:p w14:paraId="16531F0E" w14:textId="77777777" w:rsidR="001003F8" w:rsidRPr="005C5E32" w:rsidRDefault="001003F8" w:rsidP="009A5ED1">
            <w:pPr>
              <w:pStyle w:val="TableText"/>
              <w:spacing w:before="40" w:after="40" w:line="230" w:lineRule="atLeast"/>
              <w:jc w:val="right"/>
              <w:rPr>
                <w:rFonts w:cs="Calibri"/>
                <w:b/>
                <w:bCs/>
              </w:rPr>
            </w:pPr>
            <w:r w:rsidRPr="005C5E32">
              <w:rPr>
                <w:rFonts w:cs="Calibri"/>
              </w:rPr>
              <w:t>4,386</w:t>
            </w:r>
          </w:p>
        </w:tc>
        <w:tc>
          <w:tcPr>
            <w:tcW w:w="964" w:type="dxa"/>
          </w:tcPr>
          <w:p w14:paraId="0DDB2764" w14:textId="3068DFC6" w:rsidR="001003F8" w:rsidRPr="00064AD6" w:rsidRDefault="006D4993" w:rsidP="009A5ED1">
            <w:pPr>
              <w:pStyle w:val="TableText"/>
              <w:spacing w:before="40" w:after="40" w:line="230" w:lineRule="atLeast"/>
              <w:jc w:val="right"/>
              <w:rPr>
                <w:rFonts w:cs="Calibri"/>
              </w:rPr>
            </w:pPr>
            <w:r w:rsidRPr="005C5E32">
              <w:t>–</w:t>
            </w:r>
          </w:p>
        </w:tc>
        <w:tc>
          <w:tcPr>
            <w:tcW w:w="1304" w:type="dxa"/>
          </w:tcPr>
          <w:p w14:paraId="2B82EFDC" w14:textId="37951458" w:rsidR="001003F8" w:rsidRPr="00064AD6" w:rsidRDefault="006D4993" w:rsidP="009A5ED1">
            <w:pPr>
              <w:pStyle w:val="TableText"/>
              <w:spacing w:before="40" w:after="40" w:line="230" w:lineRule="atLeast"/>
              <w:jc w:val="right"/>
              <w:rPr>
                <w:rFonts w:cs="Calibri"/>
              </w:rPr>
            </w:pPr>
            <w:r w:rsidRPr="005C5E32">
              <w:t>–</w:t>
            </w:r>
          </w:p>
        </w:tc>
        <w:tc>
          <w:tcPr>
            <w:tcW w:w="964" w:type="dxa"/>
            <w:shd w:val="clear" w:color="auto" w:fill="D2DDE1" w:themeFill="background2"/>
          </w:tcPr>
          <w:p w14:paraId="59389E2A" w14:textId="7CD4C694" w:rsidR="001003F8" w:rsidRPr="00064AD6" w:rsidRDefault="006D4993" w:rsidP="009A5ED1">
            <w:pPr>
              <w:pStyle w:val="TableText"/>
              <w:spacing w:before="40" w:after="40" w:line="230" w:lineRule="atLeast"/>
              <w:jc w:val="right"/>
              <w:rPr>
                <w:rFonts w:cs="Calibri"/>
              </w:rPr>
            </w:pPr>
            <w:r w:rsidRPr="005C5E32">
              <w:t>–</w:t>
            </w:r>
          </w:p>
        </w:tc>
      </w:tr>
      <w:tr w:rsidR="001003F8" w:rsidRPr="005C5E32" w14:paraId="19C20636" w14:textId="77777777" w:rsidTr="00BE6088">
        <w:tc>
          <w:tcPr>
            <w:tcW w:w="3969" w:type="dxa"/>
          </w:tcPr>
          <w:p w14:paraId="237E39A4" w14:textId="77777777" w:rsidR="001003F8" w:rsidRPr="005C5E32" w:rsidRDefault="001003F8" w:rsidP="009A5ED1">
            <w:pPr>
              <w:pStyle w:val="TableTextbold"/>
              <w:spacing w:before="40" w:after="40" w:line="230" w:lineRule="atLeast"/>
              <w:rPr>
                <w:rFonts w:cs="Calibri"/>
                <w:b w:val="0"/>
                <w:szCs w:val="18"/>
              </w:rPr>
            </w:pPr>
            <w:r w:rsidRPr="005C5E32">
              <w:rPr>
                <w:b w:val="0"/>
              </w:rPr>
              <w:t>Reducing Emissions from Waste</w:t>
            </w:r>
          </w:p>
        </w:tc>
        <w:tc>
          <w:tcPr>
            <w:tcW w:w="964" w:type="dxa"/>
          </w:tcPr>
          <w:p w14:paraId="3C761E4C" w14:textId="77777777" w:rsidR="001003F8" w:rsidRPr="005C5E32" w:rsidRDefault="001003F8" w:rsidP="009A5ED1">
            <w:pPr>
              <w:pStyle w:val="TableText"/>
              <w:spacing w:before="40" w:after="40" w:line="230" w:lineRule="atLeast"/>
              <w:jc w:val="right"/>
              <w:rPr>
                <w:rFonts w:cs="Calibri"/>
                <w:b/>
                <w:bCs/>
              </w:rPr>
            </w:pPr>
            <w:r w:rsidRPr="005C5E32">
              <w:rPr>
                <w:rFonts w:cs="Calibri"/>
              </w:rPr>
              <w:t>9,340</w:t>
            </w:r>
          </w:p>
        </w:tc>
        <w:tc>
          <w:tcPr>
            <w:tcW w:w="964" w:type="dxa"/>
          </w:tcPr>
          <w:p w14:paraId="1A751BA9" w14:textId="2B9F73A8" w:rsidR="001003F8" w:rsidRPr="00064AD6" w:rsidRDefault="006D4993" w:rsidP="009A5ED1">
            <w:pPr>
              <w:pStyle w:val="TableText"/>
              <w:spacing w:before="40" w:after="40" w:line="230" w:lineRule="atLeast"/>
              <w:jc w:val="right"/>
              <w:rPr>
                <w:rFonts w:cs="Calibri"/>
              </w:rPr>
            </w:pPr>
            <w:r w:rsidRPr="005C5E32">
              <w:t>–</w:t>
            </w:r>
          </w:p>
        </w:tc>
        <w:tc>
          <w:tcPr>
            <w:tcW w:w="1304" w:type="dxa"/>
          </w:tcPr>
          <w:p w14:paraId="19B2D1E7" w14:textId="462F14BB" w:rsidR="001003F8" w:rsidRPr="00064AD6" w:rsidRDefault="006D4993" w:rsidP="009A5ED1">
            <w:pPr>
              <w:pStyle w:val="TableText"/>
              <w:spacing w:before="40" w:after="40" w:line="230" w:lineRule="atLeast"/>
              <w:jc w:val="right"/>
              <w:rPr>
                <w:rFonts w:cs="Calibri"/>
              </w:rPr>
            </w:pPr>
            <w:r w:rsidRPr="005C5E32">
              <w:t>–</w:t>
            </w:r>
          </w:p>
        </w:tc>
        <w:tc>
          <w:tcPr>
            <w:tcW w:w="964" w:type="dxa"/>
            <w:shd w:val="clear" w:color="auto" w:fill="D2DDE1" w:themeFill="background2"/>
          </w:tcPr>
          <w:p w14:paraId="7C2B4489" w14:textId="4DBDC715" w:rsidR="001003F8" w:rsidRPr="00064AD6" w:rsidRDefault="006D4993" w:rsidP="009A5ED1">
            <w:pPr>
              <w:pStyle w:val="TableText"/>
              <w:spacing w:before="40" w:after="40" w:line="230" w:lineRule="atLeast"/>
              <w:jc w:val="right"/>
              <w:rPr>
                <w:rFonts w:cs="Calibri"/>
              </w:rPr>
            </w:pPr>
            <w:r w:rsidRPr="005C5E32">
              <w:t>–</w:t>
            </w:r>
          </w:p>
        </w:tc>
      </w:tr>
      <w:tr w:rsidR="001003F8" w:rsidRPr="005C5E32" w14:paraId="6FC642F9" w14:textId="77777777" w:rsidTr="00BE6088">
        <w:tc>
          <w:tcPr>
            <w:tcW w:w="3969" w:type="dxa"/>
          </w:tcPr>
          <w:p w14:paraId="43750C33" w14:textId="77777777" w:rsidR="001003F8" w:rsidRPr="005C5E32" w:rsidRDefault="001003F8" w:rsidP="009A5ED1">
            <w:pPr>
              <w:pStyle w:val="TableTextbold"/>
              <w:spacing w:before="40" w:after="40" w:line="230" w:lineRule="atLeast"/>
              <w:rPr>
                <w:rFonts w:cs="Calibri"/>
                <w:b w:val="0"/>
                <w:szCs w:val="18"/>
              </w:rPr>
            </w:pPr>
            <w:r w:rsidRPr="005C5E32">
              <w:rPr>
                <w:b w:val="0"/>
              </w:rPr>
              <w:t>Environmental Investment Fund</w:t>
            </w:r>
          </w:p>
        </w:tc>
        <w:tc>
          <w:tcPr>
            <w:tcW w:w="964" w:type="dxa"/>
            <w:vAlign w:val="bottom"/>
          </w:tcPr>
          <w:p w14:paraId="7C61DE69" w14:textId="77777777" w:rsidR="001003F8" w:rsidRPr="00064AD6" w:rsidRDefault="001003F8" w:rsidP="009A5ED1">
            <w:pPr>
              <w:pStyle w:val="TableText"/>
              <w:spacing w:before="40" w:after="40" w:line="230" w:lineRule="atLeast"/>
              <w:jc w:val="right"/>
              <w:rPr>
                <w:rFonts w:cs="Calibri"/>
              </w:rPr>
            </w:pPr>
            <w:r w:rsidRPr="005C5E32">
              <w:rPr>
                <w:rFonts w:cs="Calibri"/>
              </w:rPr>
              <w:t>–</w:t>
            </w:r>
          </w:p>
        </w:tc>
        <w:tc>
          <w:tcPr>
            <w:tcW w:w="964" w:type="dxa"/>
            <w:vAlign w:val="bottom"/>
          </w:tcPr>
          <w:p w14:paraId="519E52D6" w14:textId="02CA1FBF" w:rsidR="001003F8" w:rsidRPr="00064AD6" w:rsidRDefault="0046586F" w:rsidP="009A5ED1">
            <w:pPr>
              <w:pStyle w:val="TableText"/>
              <w:spacing w:before="40" w:after="40" w:line="230" w:lineRule="atLeast"/>
              <w:jc w:val="right"/>
              <w:rPr>
                <w:rFonts w:cs="Calibri"/>
              </w:rPr>
            </w:pPr>
            <w:r w:rsidRPr="00064AD6">
              <w:rPr>
                <w:rFonts w:cs="Calibri"/>
              </w:rPr>
              <w:t>97,586</w:t>
            </w:r>
          </w:p>
        </w:tc>
        <w:tc>
          <w:tcPr>
            <w:tcW w:w="1304" w:type="dxa"/>
            <w:vAlign w:val="bottom"/>
          </w:tcPr>
          <w:p w14:paraId="41DCBCC6" w14:textId="2417238D" w:rsidR="001003F8" w:rsidRPr="00064AD6" w:rsidRDefault="00291785" w:rsidP="009A5ED1">
            <w:pPr>
              <w:pStyle w:val="TableText"/>
              <w:spacing w:before="40" w:after="40" w:line="230" w:lineRule="atLeast"/>
              <w:jc w:val="right"/>
              <w:rPr>
                <w:rFonts w:cs="Calibri"/>
              </w:rPr>
            </w:pPr>
            <w:r w:rsidRPr="00064AD6">
              <w:rPr>
                <w:rFonts w:cs="Calibri"/>
              </w:rPr>
              <w:t>89,377</w:t>
            </w:r>
          </w:p>
        </w:tc>
        <w:tc>
          <w:tcPr>
            <w:tcW w:w="964" w:type="dxa"/>
            <w:shd w:val="clear" w:color="auto" w:fill="D2DDE1" w:themeFill="background2"/>
            <w:vAlign w:val="bottom"/>
          </w:tcPr>
          <w:p w14:paraId="4C42DA63" w14:textId="3506C287" w:rsidR="001003F8" w:rsidRPr="00064AD6" w:rsidRDefault="00291785" w:rsidP="009A5ED1">
            <w:pPr>
              <w:pStyle w:val="TableText"/>
              <w:spacing w:before="40" w:after="40" w:line="230" w:lineRule="atLeast"/>
              <w:jc w:val="right"/>
              <w:rPr>
                <w:rFonts w:cs="Calibri"/>
              </w:rPr>
            </w:pPr>
            <w:r w:rsidRPr="00064AD6">
              <w:rPr>
                <w:rFonts w:cs="Calibri"/>
              </w:rPr>
              <w:t>45,284</w:t>
            </w:r>
          </w:p>
        </w:tc>
      </w:tr>
      <w:tr w:rsidR="001003F8" w:rsidRPr="005C5E32" w14:paraId="2FA5D772" w14:textId="77777777" w:rsidTr="00BE6088">
        <w:tc>
          <w:tcPr>
            <w:tcW w:w="3969" w:type="dxa"/>
          </w:tcPr>
          <w:p w14:paraId="240443C5" w14:textId="77777777" w:rsidR="001003F8" w:rsidRPr="005C5E32" w:rsidRDefault="001003F8" w:rsidP="009A5ED1">
            <w:pPr>
              <w:pStyle w:val="TableTextbold"/>
              <w:spacing w:before="40" w:after="40" w:line="230" w:lineRule="atLeast"/>
              <w:rPr>
                <w:rFonts w:cs="Calibri"/>
                <w:szCs w:val="18"/>
              </w:rPr>
            </w:pPr>
            <w:r w:rsidRPr="005C5E32">
              <w:rPr>
                <w:rFonts w:cs="Calibri"/>
                <w:bCs/>
              </w:rPr>
              <w:t>Total non-departmental output expenditure</w:t>
            </w:r>
          </w:p>
        </w:tc>
        <w:tc>
          <w:tcPr>
            <w:tcW w:w="964" w:type="dxa"/>
            <w:vAlign w:val="bottom"/>
          </w:tcPr>
          <w:p w14:paraId="52A8930A" w14:textId="77777777" w:rsidR="001003F8" w:rsidRPr="005C5E32" w:rsidRDefault="001003F8" w:rsidP="009A5ED1">
            <w:pPr>
              <w:pStyle w:val="TableText"/>
              <w:spacing w:before="40" w:after="40" w:line="230" w:lineRule="atLeast"/>
              <w:jc w:val="right"/>
              <w:rPr>
                <w:rFonts w:cs="Calibri"/>
                <w:b/>
                <w:bCs/>
              </w:rPr>
            </w:pPr>
            <w:r w:rsidRPr="005C5E32">
              <w:rPr>
                <w:rFonts w:cs="Calibri"/>
                <w:b/>
                <w:bCs/>
              </w:rPr>
              <w:t>35,539</w:t>
            </w:r>
          </w:p>
        </w:tc>
        <w:tc>
          <w:tcPr>
            <w:tcW w:w="964" w:type="dxa"/>
            <w:vAlign w:val="bottom"/>
          </w:tcPr>
          <w:p w14:paraId="281DC27F" w14:textId="0EEFF03B" w:rsidR="001003F8" w:rsidRPr="005C5E32" w:rsidRDefault="00AD1E3D" w:rsidP="009A5ED1">
            <w:pPr>
              <w:pStyle w:val="TableText"/>
              <w:spacing w:before="40" w:after="40" w:line="230" w:lineRule="atLeast"/>
              <w:jc w:val="right"/>
              <w:rPr>
                <w:rFonts w:cs="Calibri"/>
                <w:b/>
                <w:bCs/>
              </w:rPr>
            </w:pPr>
            <w:r w:rsidRPr="005C5E32">
              <w:rPr>
                <w:rFonts w:cs="Calibri"/>
                <w:b/>
                <w:bCs/>
              </w:rPr>
              <w:t>131,</w:t>
            </w:r>
            <w:r w:rsidR="00A57D6E" w:rsidRPr="005C5E32">
              <w:rPr>
                <w:rFonts w:cs="Calibri"/>
                <w:b/>
                <w:bCs/>
              </w:rPr>
              <w:t>894</w:t>
            </w:r>
          </w:p>
        </w:tc>
        <w:tc>
          <w:tcPr>
            <w:tcW w:w="1304" w:type="dxa"/>
            <w:vAlign w:val="bottom"/>
          </w:tcPr>
          <w:p w14:paraId="18BB5024" w14:textId="2E29A226" w:rsidR="001003F8" w:rsidRPr="005C5E32" w:rsidRDefault="00A57D6E" w:rsidP="009A5ED1">
            <w:pPr>
              <w:pStyle w:val="TableText"/>
              <w:spacing w:before="40" w:after="40" w:line="230" w:lineRule="atLeast"/>
              <w:jc w:val="right"/>
              <w:rPr>
                <w:rFonts w:cs="Calibri"/>
                <w:b/>
                <w:bCs/>
              </w:rPr>
            </w:pPr>
            <w:r w:rsidRPr="005C5E32">
              <w:rPr>
                <w:rFonts w:cs="Calibri"/>
                <w:b/>
                <w:bCs/>
              </w:rPr>
              <w:t>119,377</w:t>
            </w:r>
          </w:p>
        </w:tc>
        <w:tc>
          <w:tcPr>
            <w:tcW w:w="964" w:type="dxa"/>
            <w:shd w:val="clear" w:color="auto" w:fill="D2DDE1" w:themeFill="background2"/>
            <w:vAlign w:val="bottom"/>
          </w:tcPr>
          <w:p w14:paraId="64FE2BEC" w14:textId="5EB7F85D" w:rsidR="001003F8" w:rsidRPr="005C5E32" w:rsidRDefault="00A57D6E" w:rsidP="009A5ED1">
            <w:pPr>
              <w:pStyle w:val="TableText"/>
              <w:spacing w:before="40" w:after="40" w:line="230" w:lineRule="atLeast"/>
              <w:jc w:val="right"/>
              <w:rPr>
                <w:rFonts w:cs="Calibri"/>
                <w:b/>
                <w:bCs/>
              </w:rPr>
            </w:pPr>
            <w:r w:rsidRPr="005C5E32">
              <w:rPr>
                <w:rFonts w:cs="Calibri"/>
                <w:b/>
                <w:bCs/>
              </w:rPr>
              <w:t>54,705</w:t>
            </w:r>
          </w:p>
        </w:tc>
      </w:tr>
      <w:tr w:rsidR="001003F8" w:rsidRPr="005C5E32" w14:paraId="7A896367" w14:textId="77777777" w:rsidTr="00BE6088">
        <w:tc>
          <w:tcPr>
            <w:tcW w:w="3969" w:type="dxa"/>
          </w:tcPr>
          <w:p w14:paraId="08470F80" w14:textId="77777777" w:rsidR="001003F8" w:rsidRPr="005C5E32" w:rsidRDefault="001003F8" w:rsidP="009A5ED1">
            <w:pPr>
              <w:pStyle w:val="TableTextbold"/>
              <w:spacing w:before="40" w:after="40" w:line="230" w:lineRule="atLeast"/>
              <w:rPr>
                <w:rFonts w:cs="Calibri"/>
                <w:szCs w:val="18"/>
              </w:rPr>
            </w:pPr>
            <w:r w:rsidRPr="005C5E32">
              <w:rPr>
                <w:rFonts w:cs="Calibri"/>
                <w:bCs/>
              </w:rPr>
              <w:t>Non-departmental other expense</w:t>
            </w:r>
          </w:p>
        </w:tc>
        <w:tc>
          <w:tcPr>
            <w:tcW w:w="964" w:type="dxa"/>
          </w:tcPr>
          <w:p w14:paraId="292A683C" w14:textId="77777777" w:rsidR="001003F8" w:rsidRPr="005C5E32" w:rsidRDefault="001003F8" w:rsidP="009A5ED1">
            <w:pPr>
              <w:pStyle w:val="TableText"/>
              <w:spacing w:before="40" w:after="40" w:line="230" w:lineRule="atLeast"/>
              <w:jc w:val="right"/>
              <w:rPr>
                <w:rFonts w:cs="Calibri"/>
                <w:b/>
                <w:bCs/>
              </w:rPr>
            </w:pPr>
          </w:p>
        </w:tc>
        <w:tc>
          <w:tcPr>
            <w:tcW w:w="964" w:type="dxa"/>
          </w:tcPr>
          <w:p w14:paraId="5AED8B41" w14:textId="77777777" w:rsidR="001003F8" w:rsidRPr="005C5E32" w:rsidRDefault="001003F8" w:rsidP="009A5ED1">
            <w:pPr>
              <w:pStyle w:val="TableText"/>
              <w:spacing w:before="40" w:after="40" w:line="230" w:lineRule="atLeast"/>
              <w:jc w:val="right"/>
              <w:rPr>
                <w:rFonts w:cs="Calibri"/>
                <w:b/>
                <w:bCs/>
              </w:rPr>
            </w:pPr>
          </w:p>
        </w:tc>
        <w:tc>
          <w:tcPr>
            <w:tcW w:w="1304" w:type="dxa"/>
          </w:tcPr>
          <w:p w14:paraId="66042510" w14:textId="77777777" w:rsidR="001003F8" w:rsidRPr="005C5E32" w:rsidRDefault="001003F8" w:rsidP="009A5ED1">
            <w:pPr>
              <w:pStyle w:val="TableText"/>
              <w:spacing w:before="40" w:after="40" w:line="230" w:lineRule="atLeast"/>
              <w:jc w:val="right"/>
              <w:rPr>
                <w:rFonts w:cs="Calibri"/>
                <w:b/>
                <w:bCs/>
              </w:rPr>
            </w:pPr>
          </w:p>
        </w:tc>
        <w:tc>
          <w:tcPr>
            <w:tcW w:w="964" w:type="dxa"/>
            <w:shd w:val="clear" w:color="auto" w:fill="D2DDE1" w:themeFill="background2"/>
          </w:tcPr>
          <w:p w14:paraId="480EB898" w14:textId="77777777" w:rsidR="001003F8" w:rsidRPr="005C5E32" w:rsidRDefault="001003F8" w:rsidP="009A5ED1">
            <w:pPr>
              <w:pStyle w:val="TableText"/>
              <w:spacing w:before="40" w:after="40" w:line="230" w:lineRule="atLeast"/>
              <w:jc w:val="right"/>
              <w:rPr>
                <w:rFonts w:cs="Calibri"/>
                <w:b/>
                <w:bCs/>
              </w:rPr>
            </w:pPr>
          </w:p>
        </w:tc>
      </w:tr>
      <w:tr w:rsidR="001003F8" w:rsidRPr="005C5E32" w14:paraId="76186BBF" w14:textId="77777777" w:rsidTr="00BE6088">
        <w:tc>
          <w:tcPr>
            <w:tcW w:w="3969" w:type="dxa"/>
          </w:tcPr>
          <w:p w14:paraId="03B75C6F" w14:textId="41F2910D" w:rsidR="001003F8" w:rsidRPr="005C5E32" w:rsidRDefault="001003F8" w:rsidP="009A5ED1">
            <w:pPr>
              <w:pStyle w:val="TableTextbold"/>
              <w:spacing w:before="40" w:after="40" w:line="230" w:lineRule="atLeast"/>
              <w:rPr>
                <w:rFonts w:cs="Calibri"/>
                <w:b w:val="0"/>
                <w:szCs w:val="18"/>
              </w:rPr>
            </w:pPr>
            <w:r w:rsidRPr="005C5E32">
              <w:rPr>
                <w:b w:val="0"/>
              </w:rPr>
              <w:t>Waste Disposal Levy Disbursements to Territorial Local Authorities</w:t>
            </w:r>
          </w:p>
        </w:tc>
        <w:tc>
          <w:tcPr>
            <w:tcW w:w="964" w:type="dxa"/>
            <w:vAlign w:val="bottom"/>
          </w:tcPr>
          <w:p w14:paraId="2C61C519" w14:textId="77777777" w:rsidR="001003F8" w:rsidRPr="005C5E32" w:rsidRDefault="001003F8" w:rsidP="009A5ED1">
            <w:pPr>
              <w:pStyle w:val="TableText"/>
              <w:spacing w:before="40" w:after="40" w:line="230" w:lineRule="atLeast"/>
              <w:jc w:val="right"/>
              <w:rPr>
                <w:rFonts w:cs="Calibri"/>
                <w:b/>
                <w:bCs/>
              </w:rPr>
            </w:pPr>
            <w:r w:rsidRPr="005C5E32">
              <w:rPr>
                <w:rFonts w:cs="Calibri"/>
              </w:rPr>
              <w:t>99,932</w:t>
            </w:r>
          </w:p>
        </w:tc>
        <w:tc>
          <w:tcPr>
            <w:tcW w:w="964" w:type="dxa"/>
            <w:vAlign w:val="bottom"/>
          </w:tcPr>
          <w:p w14:paraId="3DD32174" w14:textId="78D0CCB2" w:rsidR="001003F8" w:rsidRPr="00064AD6" w:rsidRDefault="00002173" w:rsidP="009A5ED1">
            <w:pPr>
              <w:pStyle w:val="TableText"/>
              <w:spacing w:before="40" w:after="40" w:line="230" w:lineRule="atLeast"/>
              <w:jc w:val="right"/>
              <w:rPr>
                <w:rFonts w:cs="Calibri"/>
              </w:rPr>
            </w:pPr>
            <w:r w:rsidRPr="00064AD6">
              <w:rPr>
                <w:rFonts w:cs="Calibri"/>
              </w:rPr>
              <w:t>127,861</w:t>
            </w:r>
          </w:p>
        </w:tc>
        <w:tc>
          <w:tcPr>
            <w:tcW w:w="1304" w:type="dxa"/>
            <w:vAlign w:val="bottom"/>
          </w:tcPr>
          <w:p w14:paraId="67B74305" w14:textId="16CAE369" w:rsidR="001003F8" w:rsidRPr="00064AD6" w:rsidRDefault="00C62CE7" w:rsidP="009A5ED1">
            <w:pPr>
              <w:pStyle w:val="TableText"/>
              <w:spacing w:before="40" w:after="40" w:line="230" w:lineRule="atLeast"/>
              <w:jc w:val="right"/>
              <w:rPr>
                <w:rFonts w:cs="Calibri"/>
              </w:rPr>
            </w:pPr>
            <w:r w:rsidRPr="00064AD6">
              <w:rPr>
                <w:rFonts w:cs="Calibri"/>
              </w:rPr>
              <w:t>122,063</w:t>
            </w:r>
          </w:p>
        </w:tc>
        <w:tc>
          <w:tcPr>
            <w:tcW w:w="964" w:type="dxa"/>
            <w:shd w:val="clear" w:color="auto" w:fill="D2DDE1" w:themeFill="background2"/>
            <w:vAlign w:val="bottom"/>
          </w:tcPr>
          <w:p w14:paraId="7C92F586" w14:textId="7A48F83D" w:rsidR="001003F8" w:rsidRPr="00064AD6" w:rsidRDefault="00342F5E" w:rsidP="009A5ED1">
            <w:pPr>
              <w:pStyle w:val="TableText"/>
              <w:spacing w:before="40" w:after="40" w:line="230" w:lineRule="atLeast"/>
              <w:jc w:val="right"/>
              <w:rPr>
                <w:rFonts w:cs="Calibri"/>
              </w:rPr>
            </w:pPr>
            <w:r w:rsidRPr="00064AD6">
              <w:rPr>
                <w:rFonts w:cs="Calibri"/>
              </w:rPr>
              <w:t>108,623</w:t>
            </w:r>
          </w:p>
        </w:tc>
      </w:tr>
      <w:tr w:rsidR="001003F8" w:rsidRPr="005C5E32" w14:paraId="74A4B458" w14:textId="77777777" w:rsidTr="00BE6088">
        <w:tc>
          <w:tcPr>
            <w:tcW w:w="3969" w:type="dxa"/>
          </w:tcPr>
          <w:p w14:paraId="21EA6BEF" w14:textId="77777777" w:rsidR="001003F8" w:rsidRPr="005C5E32" w:rsidRDefault="001003F8" w:rsidP="009A5ED1">
            <w:pPr>
              <w:pStyle w:val="TableTextbold"/>
              <w:spacing w:before="40" w:after="40" w:line="230" w:lineRule="atLeast"/>
              <w:rPr>
                <w:rFonts w:cs="Calibri"/>
                <w:szCs w:val="18"/>
              </w:rPr>
            </w:pPr>
            <w:r w:rsidRPr="005C5E32">
              <w:rPr>
                <w:rFonts w:cs="Calibri"/>
                <w:bCs/>
              </w:rPr>
              <w:t>Total non-departmental other expenditure</w:t>
            </w:r>
          </w:p>
        </w:tc>
        <w:tc>
          <w:tcPr>
            <w:tcW w:w="964" w:type="dxa"/>
            <w:vAlign w:val="bottom"/>
          </w:tcPr>
          <w:p w14:paraId="393B78E1" w14:textId="77777777" w:rsidR="001003F8" w:rsidRPr="005C5E32" w:rsidRDefault="001003F8" w:rsidP="009A5ED1">
            <w:pPr>
              <w:pStyle w:val="TableText"/>
              <w:spacing w:before="40" w:after="40" w:line="230" w:lineRule="atLeast"/>
              <w:jc w:val="right"/>
              <w:rPr>
                <w:rFonts w:cs="Calibri"/>
                <w:b/>
                <w:bCs/>
              </w:rPr>
            </w:pPr>
            <w:r w:rsidRPr="005C5E32">
              <w:rPr>
                <w:rFonts w:cs="Calibri"/>
                <w:b/>
                <w:bCs/>
              </w:rPr>
              <w:t>99,932</w:t>
            </w:r>
          </w:p>
        </w:tc>
        <w:tc>
          <w:tcPr>
            <w:tcW w:w="964" w:type="dxa"/>
            <w:vAlign w:val="bottom"/>
          </w:tcPr>
          <w:p w14:paraId="39992D66" w14:textId="622477DE" w:rsidR="001003F8" w:rsidRPr="005C5E32" w:rsidRDefault="00342F5E" w:rsidP="009A5ED1">
            <w:pPr>
              <w:pStyle w:val="TableText"/>
              <w:spacing w:before="40" w:after="40" w:line="230" w:lineRule="atLeast"/>
              <w:jc w:val="right"/>
              <w:rPr>
                <w:rFonts w:cs="Calibri"/>
                <w:b/>
                <w:bCs/>
              </w:rPr>
            </w:pPr>
            <w:r w:rsidRPr="005C5E32">
              <w:rPr>
                <w:rFonts w:cs="Calibri"/>
                <w:b/>
                <w:bCs/>
              </w:rPr>
              <w:t>127,861</w:t>
            </w:r>
          </w:p>
        </w:tc>
        <w:tc>
          <w:tcPr>
            <w:tcW w:w="1304" w:type="dxa"/>
            <w:vAlign w:val="bottom"/>
          </w:tcPr>
          <w:p w14:paraId="446F7DD8" w14:textId="2C3F4791" w:rsidR="001003F8" w:rsidRPr="005C5E32" w:rsidRDefault="00342F5E" w:rsidP="009A5ED1">
            <w:pPr>
              <w:pStyle w:val="TableText"/>
              <w:spacing w:before="40" w:after="40" w:line="230" w:lineRule="atLeast"/>
              <w:jc w:val="right"/>
              <w:rPr>
                <w:rFonts w:cs="Calibri"/>
                <w:b/>
                <w:bCs/>
              </w:rPr>
            </w:pPr>
            <w:r w:rsidRPr="005C5E32">
              <w:rPr>
                <w:rFonts w:cs="Calibri"/>
                <w:b/>
                <w:bCs/>
              </w:rPr>
              <w:t>122,063</w:t>
            </w:r>
          </w:p>
        </w:tc>
        <w:tc>
          <w:tcPr>
            <w:tcW w:w="964" w:type="dxa"/>
            <w:shd w:val="clear" w:color="auto" w:fill="D2DDE1" w:themeFill="background2"/>
            <w:vAlign w:val="bottom"/>
          </w:tcPr>
          <w:p w14:paraId="043B8E81" w14:textId="1E33646F" w:rsidR="001003F8" w:rsidRPr="005C5E32" w:rsidRDefault="00342F5E" w:rsidP="009A5ED1">
            <w:pPr>
              <w:pStyle w:val="TableText"/>
              <w:spacing w:before="40" w:after="40" w:line="230" w:lineRule="atLeast"/>
              <w:jc w:val="right"/>
              <w:rPr>
                <w:rFonts w:cs="Calibri"/>
                <w:b/>
                <w:bCs/>
              </w:rPr>
            </w:pPr>
            <w:r w:rsidRPr="005C5E32">
              <w:rPr>
                <w:rFonts w:cs="Calibri"/>
                <w:b/>
                <w:bCs/>
              </w:rPr>
              <w:t>108,623</w:t>
            </w:r>
          </w:p>
        </w:tc>
      </w:tr>
      <w:tr w:rsidR="001003F8" w:rsidRPr="005C5E32" w14:paraId="44571F82" w14:textId="77777777" w:rsidTr="00BE6088">
        <w:tc>
          <w:tcPr>
            <w:tcW w:w="3969" w:type="dxa"/>
          </w:tcPr>
          <w:p w14:paraId="6DA77765" w14:textId="77777777" w:rsidR="001003F8" w:rsidRPr="005C5E32" w:rsidRDefault="001003F8" w:rsidP="009A5ED1">
            <w:pPr>
              <w:pStyle w:val="TableTextbold"/>
              <w:spacing w:before="40" w:after="40" w:line="230" w:lineRule="atLeast"/>
              <w:rPr>
                <w:rFonts w:cs="Calibri"/>
                <w:szCs w:val="18"/>
              </w:rPr>
            </w:pPr>
            <w:r w:rsidRPr="005C5E32">
              <w:rPr>
                <w:rFonts w:cs="Calibri"/>
                <w:bCs/>
              </w:rPr>
              <w:t>Total Waste Minimisation MCA expenditure</w:t>
            </w:r>
          </w:p>
        </w:tc>
        <w:tc>
          <w:tcPr>
            <w:tcW w:w="964" w:type="dxa"/>
            <w:vAlign w:val="bottom"/>
          </w:tcPr>
          <w:p w14:paraId="4C9C5F64" w14:textId="77777777" w:rsidR="001003F8" w:rsidRPr="005C5E32" w:rsidRDefault="001003F8" w:rsidP="009A5ED1">
            <w:pPr>
              <w:pStyle w:val="TableText"/>
              <w:spacing w:before="40" w:after="40" w:line="230" w:lineRule="atLeast"/>
              <w:jc w:val="right"/>
              <w:rPr>
                <w:rFonts w:cs="Calibri"/>
                <w:b/>
                <w:bCs/>
              </w:rPr>
            </w:pPr>
            <w:r w:rsidRPr="005C5E32">
              <w:rPr>
                <w:rFonts w:cs="Calibri"/>
                <w:b/>
                <w:bCs/>
              </w:rPr>
              <w:t>164,896</w:t>
            </w:r>
          </w:p>
        </w:tc>
        <w:tc>
          <w:tcPr>
            <w:tcW w:w="964" w:type="dxa"/>
            <w:vAlign w:val="bottom"/>
          </w:tcPr>
          <w:p w14:paraId="2604695B" w14:textId="0666C836" w:rsidR="001003F8" w:rsidRPr="005C5E32" w:rsidRDefault="0013151F" w:rsidP="009A5ED1">
            <w:pPr>
              <w:pStyle w:val="TableText"/>
              <w:spacing w:before="40" w:after="40" w:line="230" w:lineRule="atLeast"/>
              <w:jc w:val="right"/>
              <w:rPr>
                <w:rFonts w:cs="Calibri"/>
                <w:b/>
                <w:bCs/>
              </w:rPr>
            </w:pPr>
            <w:r w:rsidRPr="005C5E32">
              <w:rPr>
                <w:rFonts w:cs="Calibri"/>
                <w:b/>
                <w:bCs/>
              </w:rPr>
              <w:t>288,080</w:t>
            </w:r>
          </w:p>
        </w:tc>
        <w:tc>
          <w:tcPr>
            <w:tcW w:w="1304" w:type="dxa"/>
            <w:vAlign w:val="bottom"/>
          </w:tcPr>
          <w:p w14:paraId="124A7C5D" w14:textId="3BC69424" w:rsidR="001003F8" w:rsidRPr="005C5E32" w:rsidRDefault="0013151F" w:rsidP="009A5ED1">
            <w:pPr>
              <w:pStyle w:val="TableText"/>
              <w:spacing w:before="40" w:after="40" w:line="230" w:lineRule="atLeast"/>
              <w:jc w:val="right"/>
              <w:rPr>
                <w:rFonts w:cs="Calibri"/>
                <w:b/>
                <w:bCs/>
              </w:rPr>
            </w:pPr>
            <w:r w:rsidRPr="005C5E32">
              <w:rPr>
                <w:rFonts w:cs="Calibri"/>
                <w:b/>
                <w:bCs/>
              </w:rPr>
              <w:t>269,765</w:t>
            </w:r>
          </w:p>
        </w:tc>
        <w:tc>
          <w:tcPr>
            <w:tcW w:w="964" w:type="dxa"/>
            <w:shd w:val="clear" w:color="auto" w:fill="D2DDE1" w:themeFill="background2"/>
            <w:vAlign w:val="bottom"/>
          </w:tcPr>
          <w:p w14:paraId="4E91A705" w14:textId="4D7F881F" w:rsidR="001003F8" w:rsidRPr="005C5E32" w:rsidRDefault="0013151F" w:rsidP="009A5ED1">
            <w:pPr>
              <w:pStyle w:val="TableText"/>
              <w:spacing w:before="40" w:after="40" w:line="230" w:lineRule="atLeast"/>
              <w:jc w:val="right"/>
              <w:rPr>
                <w:rFonts w:cs="Calibri"/>
                <w:b/>
                <w:bCs/>
              </w:rPr>
            </w:pPr>
            <w:r w:rsidRPr="005C5E32">
              <w:rPr>
                <w:rFonts w:cs="Calibri"/>
                <w:b/>
                <w:bCs/>
              </w:rPr>
              <w:t>190,063</w:t>
            </w:r>
          </w:p>
        </w:tc>
      </w:tr>
    </w:tbl>
    <w:p w14:paraId="547C3DEA" w14:textId="214FB381" w:rsidR="00B82944" w:rsidRPr="005C5E32" w:rsidRDefault="00B82944" w:rsidP="00B82944">
      <w:pPr>
        <w:pStyle w:val="BodyText"/>
        <w:spacing w:before="240"/>
      </w:pPr>
      <w:r w:rsidRPr="005C5E32">
        <w:t>At Mains Estimates, the 2025/26 budget for this MCA was $288.080 million. During the year, the budget for this MCA decreased $18.315 million to $269.765 million for 2025/26</w:t>
      </w:r>
      <w:r w:rsidR="009B7BC3" w:rsidRPr="005C5E32">
        <w:t>,</w:t>
      </w:r>
      <w:r w:rsidRPr="005C5E32">
        <w:t xml:space="preserve"> due to:</w:t>
      </w:r>
    </w:p>
    <w:p w14:paraId="3D60133F" w14:textId="41ABB01A" w:rsidR="00B82944" w:rsidRPr="005C5E32" w:rsidRDefault="00B82944" w:rsidP="00B82944">
      <w:pPr>
        <w:pStyle w:val="Bullet"/>
      </w:pPr>
      <w:r w:rsidRPr="005C5E32">
        <w:t>an expense transfer of $18.207 million to 2026/27 from the Environmental Investment Fund</w:t>
      </w:r>
      <w:r w:rsidR="009B7BC3" w:rsidRPr="005C5E32">
        <w:t>,</w:t>
      </w:r>
      <w:r w:rsidRPr="005C5E32">
        <w:t xml:space="preserve"> relating to the Freshwater Improvement Fund for the implementation of the freshwater farm plans, supporting catchment groups</w:t>
      </w:r>
      <w:r w:rsidR="009B7BC3" w:rsidRPr="005C5E32">
        <w:t>,</w:t>
      </w:r>
      <w:r w:rsidRPr="005C5E32">
        <w:t xml:space="preserve"> and to match funding with project milestone deliverables</w:t>
      </w:r>
    </w:p>
    <w:p w14:paraId="29CF3E8A" w14:textId="2B3A72C8" w:rsidR="00B82944" w:rsidRPr="005C5E32" w:rsidRDefault="00B82944" w:rsidP="00B82944">
      <w:pPr>
        <w:pStyle w:val="Bullet"/>
      </w:pPr>
      <w:r w:rsidRPr="005C5E32">
        <w:t xml:space="preserve">an expense transfer of $9.663 million to 2026/27 from the Contestable </w:t>
      </w:r>
      <w:r w:rsidR="008D2D59" w:rsidRPr="005C5E32">
        <w:t>WMF</w:t>
      </w:r>
      <w:r w:rsidR="009B7BC3" w:rsidRPr="005C5E32">
        <w:t>,</w:t>
      </w:r>
      <w:r w:rsidRPr="005C5E32">
        <w:t xml:space="preserve"> to match funding with project milestone deliverables</w:t>
      </w:r>
    </w:p>
    <w:p w14:paraId="0E9F0821" w14:textId="787D761A" w:rsidR="00B82944" w:rsidRPr="005C5E32" w:rsidRDefault="00B82944" w:rsidP="00B82944">
      <w:pPr>
        <w:pStyle w:val="Bullet"/>
      </w:pPr>
      <w:r w:rsidRPr="005C5E32">
        <w:rPr>
          <w:spacing w:val="-2"/>
        </w:rPr>
        <w:t>a transfer of $9.007</w:t>
      </w:r>
      <w:r w:rsidR="00D91020" w:rsidRPr="005C5E32">
        <w:rPr>
          <w:spacing w:val="-2"/>
        </w:rPr>
        <w:t xml:space="preserve"> </w:t>
      </w:r>
      <w:r w:rsidRPr="005C5E32">
        <w:rPr>
          <w:spacing w:val="-2"/>
        </w:rPr>
        <w:t xml:space="preserve">million to </w:t>
      </w:r>
      <w:r w:rsidR="00634E4A" w:rsidRPr="005C5E32">
        <w:rPr>
          <w:spacing w:val="-2"/>
        </w:rPr>
        <w:t>LINZ</w:t>
      </w:r>
      <w:r w:rsidRPr="005C5E32">
        <w:rPr>
          <w:spacing w:val="-2"/>
        </w:rPr>
        <w:t xml:space="preserve"> for remediation of the Stockton Acid Mine Drainage, a cross-agency initiative</w:t>
      </w:r>
    </w:p>
    <w:p w14:paraId="0607A538" w14:textId="39553B3C" w:rsidR="00B82944" w:rsidRPr="005C5E32" w:rsidRDefault="00B82944" w:rsidP="00B82944">
      <w:pPr>
        <w:pStyle w:val="Bullet"/>
      </w:pPr>
      <w:r w:rsidRPr="005C5E32">
        <w:t xml:space="preserve">a decrease of $5.798 million in forecast relating to the Waste Disposal Levy </w:t>
      </w:r>
      <w:r w:rsidR="008D3BA0" w:rsidRPr="005C5E32">
        <w:t>d</w:t>
      </w:r>
      <w:r w:rsidRPr="005C5E32">
        <w:t xml:space="preserve">isbursements to </w:t>
      </w:r>
      <w:r w:rsidR="008D3BA0" w:rsidRPr="005C5E32">
        <w:rPr>
          <w:spacing w:val="-2"/>
        </w:rPr>
        <w:t>t</w:t>
      </w:r>
      <w:r w:rsidRPr="005C5E32">
        <w:rPr>
          <w:spacing w:val="-2"/>
        </w:rPr>
        <w:t xml:space="preserve">erritorial </w:t>
      </w:r>
      <w:r w:rsidR="008D3BA0" w:rsidRPr="005C5E32">
        <w:rPr>
          <w:spacing w:val="-2"/>
        </w:rPr>
        <w:t>l</w:t>
      </w:r>
      <w:r w:rsidRPr="005C5E32">
        <w:rPr>
          <w:spacing w:val="-2"/>
        </w:rPr>
        <w:t xml:space="preserve">ocal </w:t>
      </w:r>
      <w:r w:rsidR="008D3BA0" w:rsidRPr="005C5E32">
        <w:rPr>
          <w:spacing w:val="-2"/>
        </w:rPr>
        <w:t>a</w:t>
      </w:r>
      <w:r w:rsidRPr="005C5E32">
        <w:rPr>
          <w:spacing w:val="-2"/>
        </w:rPr>
        <w:t>uthorities</w:t>
      </w:r>
      <w:r w:rsidR="00B3114B" w:rsidRPr="005C5E32">
        <w:rPr>
          <w:spacing w:val="-2"/>
        </w:rPr>
        <w:t>, which</w:t>
      </w:r>
      <w:r w:rsidR="00D64965" w:rsidRPr="005C5E32">
        <w:rPr>
          <w:spacing w:val="-2"/>
        </w:rPr>
        <w:t xml:space="preserve"> </w:t>
      </w:r>
      <w:r w:rsidRPr="005C5E32">
        <w:rPr>
          <w:spacing w:val="-2"/>
        </w:rPr>
        <w:t>reflects th</w:t>
      </w:r>
      <w:r w:rsidR="00B3114B" w:rsidRPr="005C5E32">
        <w:rPr>
          <w:spacing w:val="-2"/>
        </w:rPr>
        <w:t>at</w:t>
      </w:r>
      <w:r w:rsidRPr="005C5E32">
        <w:rPr>
          <w:spacing w:val="-2"/>
        </w:rPr>
        <w:t xml:space="preserve"> 50 percent of Waste Disposal Levy revenue collected is distributed to territorial</w:t>
      </w:r>
      <w:r w:rsidRPr="005C5E32">
        <w:t xml:space="preserve"> local authorities </w:t>
      </w:r>
      <w:r w:rsidR="000E17A7" w:rsidRPr="005C5E32">
        <w:t xml:space="preserve">for them </w:t>
      </w:r>
      <w:r w:rsidRPr="005C5E32">
        <w:t>to spen</w:t>
      </w:r>
      <w:r w:rsidR="000E17A7" w:rsidRPr="005C5E32">
        <w:t>d</w:t>
      </w:r>
      <w:r w:rsidRPr="005C5E32">
        <w:t xml:space="preserve"> on waste minimisation activities.</w:t>
      </w:r>
    </w:p>
    <w:p w14:paraId="6E5A16E7" w14:textId="77777777" w:rsidR="00B82944" w:rsidRPr="005C5E32" w:rsidRDefault="00B82944" w:rsidP="00B82944">
      <w:pPr>
        <w:pStyle w:val="Bullet"/>
        <w:numPr>
          <w:ilvl w:val="0"/>
          <w:numId w:val="0"/>
        </w:numPr>
      </w:pPr>
      <w:r w:rsidRPr="005C5E32">
        <w:t>The above is offset by:</w:t>
      </w:r>
    </w:p>
    <w:p w14:paraId="112D99A7" w14:textId="37F30570" w:rsidR="00B82944" w:rsidRPr="005C5E32" w:rsidRDefault="00B82944" w:rsidP="00B82944">
      <w:pPr>
        <w:pStyle w:val="Bullet"/>
      </w:pPr>
      <w:r w:rsidRPr="005C5E32">
        <w:t xml:space="preserve">a transfer of $19.005 million from 2024/25 to 2025/26 related to various discontinued categories within the Waste Minimisation MCA to the consolidated Environmental Investment Fund established during Budget </w:t>
      </w:r>
      <w:r w:rsidR="00B3114B" w:rsidRPr="005C5E32">
        <w:t>20</w:t>
      </w:r>
      <w:r w:rsidRPr="005C5E32">
        <w:t>25</w:t>
      </w:r>
      <w:r w:rsidR="00B3114B" w:rsidRPr="005C5E32">
        <w:t xml:space="preserve"> (t</w:t>
      </w:r>
      <w:r w:rsidRPr="005C5E32">
        <w:t xml:space="preserve">hese transfers occurred </w:t>
      </w:r>
      <w:r w:rsidR="00E41434" w:rsidRPr="005C5E32">
        <w:t xml:space="preserve">either </w:t>
      </w:r>
      <w:r w:rsidR="000E17A7" w:rsidRPr="005C5E32">
        <w:t>because</w:t>
      </w:r>
      <w:r w:rsidR="00E41434" w:rsidRPr="005C5E32">
        <w:t xml:space="preserve"> a</w:t>
      </w:r>
      <w:r w:rsidRPr="005C5E32">
        <w:t xml:space="preserve"> project experienc</w:t>
      </w:r>
      <w:r w:rsidR="000E17A7" w:rsidRPr="005C5E32">
        <w:t>ed</w:t>
      </w:r>
      <w:r w:rsidRPr="005C5E32">
        <w:t xml:space="preserve"> delays </w:t>
      </w:r>
      <w:r w:rsidR="00E41434" w:rsidRPr="005C5E32">
        <w:t xml:space="preserve">or </w:t>
      </w:r>
      <w:r w:rsidR="000E17A7" w:rsidRPr="005C5E32">
        <w:t>because</w:t>
      </w:r>
      <w:r w:rsidRPr="005C5E32">
        <w:t xml:space="preserve"> changes to </w:t>
      </w:r>
      <w:r w:rsidR="00E41434" w:rsidRPr="005C5E32">
        <w:t xml:space="preserve">a </w:t>
      </w:r>
      <w:r w:rsidRPr="005C5E32">
        <w:t>project</w:t>
      </w:r>
      <w:r w:rsidR="00E41434" w:rsidRPr="005C5E32">
        <w:t xml:space="preserve"> meant it was necessary to</w:t>
      </w:r>
      <w:r w:rsidR="000E17A7" w:rsidRPr="005C5E32">
        <w:t xml:space="preserve"> </w:t>
      </w:r>
      <w:r w:rsidRPr="005C5E32">
        <w:t>extend</w:t>
      </w:r>
      <w:r w:rsidR="00E41434" w:rsidRPr="005C5E32">
        <w:t xml:space="preserve"> its</w:t>
      </w:r>
      <w:r w:rsidRPr="005C5E32">
        <w:t xml:space="preserve"> timeline into 2025/26 </w:t>
      </w:r>
      <w:r w:rsidR="00E41434" w:rsidRPr="005C5E32">
        <w:t>so that it could be</w:t>
      </w:r>
      <w:r w:rsidR="000E17A7" w:rsidRPr="005C5E32">
        <w:t xml:space="preserve"> </w:t>
      </w:r>
      <w:r w:rsidRPr="005C5E32">
        <w:t>successful</w:t>
      </w:r>
      <w:r w:rsidR="00E41434" w:rsidRPr="005C5E32">
        <w:t>ly</w:t>
      </w:r>
      <w:r w:rsidRPr="005C5E32">
        <w:t xml:space="preserve"> complet</w:t>
      </w:r>
      <w:r w:rsidR="00E41434" w:rsidRPr="005C5E32">
        <w:t>ed</w:t>
      </w:r>
      <w:r w:rsidR="00B3114B" w:rsidRPr="005C5E32">
        <w:t>)</w:t>
      </w:r>
    </w:p>
    <w:p w14:paraId="1D6C475B" w14:textId="76C4D7BD" w:rsidR="00B82944" w:rsidRPr="005C5E32" w:rsidRDefault="00B82944" w:rsidP="00B82944">
      <w:pPr>
        <w:pStyle w:val="Bullet"/>
      </w:pPr>
      <w:r w:rsidRPr="005C5E32">
        <w:t xml:space="preserve">a transfer of $5.355 million from 2024/25 to 2025/26 from the Contestable </w:t>
      </w:r>
      <w:r w:rsidR="008D2D59" w:rsidRPr="005C5E32">
        <w:t xml:space="preserve">WMF </w:t>
      </w:r>
      <w:r w:rsidRPr="005C5E32">
        <w:t>to match funding with project milestone deliverables.</w:t>
      </w:r>
    </w:p>
    <w:p w14:paraId="5DFA1D90" w14:textId="181783DD" w:rsidR="00B82944" w:rsidRPr="005C5E32" w:rsidRDefault="00B82944" w:rsidP="00B82944">
      <w:pPr>
        <w:pStyle w:val="BodyText"/>
      </w:pPr>
      <w:r w:rsidRPr="005C5E32">
        <w:t>Actual expenditure for 2025/26 was lower than the revised budget</w:t>
      </w:r>
      <w:r w:rsidR="00B3114B" w:rsidRPr="005C5E32">
        <w:t>,</w:t>
      </w:r>
      <w:r w:rsidRPr="005C5E32">
        <w:t xml:space="preserve"> </w:t>
      </w:r>
      <w:r w:rsidR="00340300" w:rsidRPr="005C5E32">
        <w:t>primarily for the reasons outlined below.</w:t>
      </w:r>
    </w:p>
    <w:p w14:paraId="08D8FE78" w14:textId="1DD13BF4" w:rsidR="00340300" w:rsidRPr="005C5E32" w:rsidRDefault="00B82944" w:rsidP="006F6341">
      <w:pPr>
        <w:pStyle w:val="Heading5"/>
      </w:pPr>
      <w:r w:rsidRPr="005C5E32">
        <w:t>Contestable Waste Minimisation Fund</w:t>
      </w:r>
    </w:p>
    <w:p w14:paraId="61EF7026" w14:textId="40F5EE40" w:rsidR="00F925AB" w:rsidRPr="005C5E32" w:rsidRDefault="009E4A11" w:rsidP="00F925AB">
      <w:pPr>
        <w:pStyle w:val="BodyText"/>
      </w:pPr>
      <w:r w:rsidRPr="005C5E32">
        <w:t xml:space="preserve">The </w:t>
      </w:r>
      <w:r w:rsidR="002956A5" w:rsidRPr="005C5E32">
        <w:t>Fund</w:t>
      </w:r>
      <w:r w:rsidRPr="005C5E32">
        <w:t xml:space="preserve"> met its </w:t>
      </w:r>
      <w:r w:rsidR="000E17A7" w:rsidRPr="005C5E32">
        <w:t>20</w:t>
      </w:r>
      <w:r w:rsidRPr="005C5E32">
        <w:t xml:space="preserve">25/26 target of awarding $30 million to new initiatives. Funding awarded to successful projects is spent over multiple years. Actual expenditure was lower than the mains forecast </w:t>
      </w:r>
      <w:r w:rsidR="000E17A7" w:rsidRPr="005C5E32">
        <w:t>because</w:t>
      </w:r>
      <w:r w:rsidRPr="005C5E32">
        <w:t xml:space="preserve"> some projects</w:t>
      </w:r>
      <w:r w:rsidR="000E17A7" w:rsidRPr="005C5E32">
        <w:t xml:space="preserve"> were withdrawn or terminated</w:t>
      </w:r>
      <w:r w:rsidRPr="005C5E32">
        <w:t xml:space="preserve">, </w:t>
      </w:r>
      <w:r w:rsidR="000E17A7" w:rsidRPr="005C5E32">
        <w:t xml:space="preserve">for example because </w:t>
      </w:r>
      <w:r w:rsidR="000E17A7" w:rsidRPr="005C5E32">
        <w:lastRenderedPageBreak/>
        <w:t>they did not meet</w:t>
      </w:r>
      <w:r w:rsidRPr="005C5E32">
        <w:t xml:space="preserve"> agreed condition precedents or </w:t>
      </w:r>
      <w:r w:rsidR="000E17A7" w:rsidRPr="005C5E32">
        <w:t xml:space="preserve">did not mandate the implementation of </w:t>
      </w:r>
      <w:r w:rsidRPr="005C5E32">
        <w:t xml:space="preserve">kerbside organics. In addition, </w:t>
      </w:r>
      <w:r w:rsidR="00D66C91" w:rsidRPr="005C5E32">
        <w:t xml:space="preserve">for some projects </w:t>
      </w:r>
      <w:r w:rsidRPr="005C5E32">
        <w:t>a range of factors contributed to delays in expenditure, including delays in meeting stage gate requirements, consenting delays, deteriorated economic conditions or other project-specific issues.</w:t>
      </w:r>
    </w:p>
    <w:p w14:paraId="17BF7B9A" w14:textId="20EA91FE" w:rsidR="004C5ABE" w:rsidRPr="005C5E32" w:rsidRDefault="00FA6A14" w:rsidP="008F787B">
      <w:pPr>
        <w:pStyle w:val="Heading5"/>
        <w:rPr>
          <w:rFonts w:ascii="Aptos" w:eastAsiaTheme="minorHAnsi" w:hAnsi="Aptos"/>
        </w:rPr>
      </w:pPr>
      <w:r w:rsidRPr="005C5E32">
        <w:t>Environmental Investment Fund</w:t>
      </w:r>
    </w:p>
    <w:p w14:paraId="61A977CD" w14:textId="33A038E7" w:rsidR="00FA6A14" w:rsidRPr="005C5E32" w:rsidRDefault="00FA6A14" w:rsidP="008F787B">
      <w:pPr>
        <w:pStyle w:val="BodyText"/>
        <w:rPr>
          <w:rFonts w:ascii="Aptos" w:eastAsiaTheme="minorHAnsi" w:hAnsi="Aptos"/>
        </w:rPr>
      </w:pPr>
      <w:r w:rsidRPr="005C5E32">
        <w:t>Th</w:t>
      </w:r>
      <w:r w:rsidR="00D66C91" w:rsidRPr="005C5E32">
        <w:t>e Environmental Investment</w:t>
      </w:r>
      <w:r w:rsidRPr="005C5E32">
        <w:t xml:space="preserve"> </w:t>
      </w:r>
      <w:r w:rsidR="00D66C91" w:rsidRPr="005C5E32">
        <w:t>F</w:t>
      </w:r>
      <w:r w:rsidRPr="005C5E32">
        <w:t xml:space="preserve">und is set up as an umbrella funding category that includes multiple investment programmes and a revenue forecasting buffer. Expenditure was lower than </w:t>
      </w:r>
      <w:r w:rsidR="00C7479C" w:rsidRPr="005C5E32">
        <w:t>the revised budget</w:t>
      </w:r>
      <w:r w:rsidR="005C297B" w:rsidRPr="005C5E32">
        <w:t>,</w:t>
      </w:r>
      <w:r w:rsidRPr="005C5E32">
        <w:t xml:space="preserve"> primarily </w:t>
      </w:r>
      <w:r w:rsidR="005C297B" w:rsidRPr="005C5E32">
        <w:t xml:space="preserve">for </w:t>
      </w:r>
      <w:r w:rsidRPr="005C5E32">
        <w:t>the following</w:t>
      </w:r>
      <w:r w:rsidR="005C297B" w:rsidRPr="005C5E32">
        <w:t xml:space="preserve"> reasons.</w:t>
      </w:r>
    </w:p>
    <w:p w14:paraId="3E0DFE29" w14:textId="3A7DAC1D" w:rsidR="005C297B" w:rsidRPr="00D75F2A" w:rsidRDefault="00103C82" w:rsidP="008F787B">
      <w:pPr>
        <w:pStyle w:val="Heading6"/>
        <w:rPr>
          <w:sz w:val="20"/>
          <w:lang w:val="en-NZ"/>
        </w:rPr>
      </w:pPr>
      <w:r w:rsidRPr="00D75F2A">
        <w:rPr>
          <w:sz w:val="20"/>
          <w:lang w:val="en-NZ"/>
        </w:rPr>
        <w:t>Contaminated Sites and Vulnerable Landfills Fund</w:t>
      </w:r>
    </w:p>
    <w:p w14:paraId="25C24042" w14:textId="7B24343E" w:rsidR="00103C82" w:rsidRPr="005C5E32" w:rsidRDefault="00103C82" w:rsidP="008F787B">
      <w:pPr>
        <w:pStyle w:val="BodyText"/>
      </w:pPr>
      <w:r w:rsidRPr="005C5E32">
        <w:t xml:space="preserve">Local government reform and competing demands have </w:t>
      </w:r>
      <w:r w:rsidR="00D66C91" w:rsidRPr="005C5E32">
        <w:t xml:space="preserve">made the </w:t>
      </w:r>
      <w:r w:rsidR="00930A6C" w:rsidRPr="005C5E32">
        <w:t>development of</w:t>
      </w:r>
      <w:r w:rsidRPr="005C5E32">
        <w:t xml:space="preserve"> </w:t>
      </w:r>
      <w:r w:rsidR="00930A6C" w:rsidRPr="005C5E32">
        <w:t>l</w:t>
      </w:r>
      <w:r w:rsidRPr="005C5E32">
        <w:t>ong</w:t>
      </w:r>
      <w:r w:rsidR="00930A6C" w:rsidRPr="005C5E32">
        <w:t>-t</w:t>
      </w:r>
      <w:r w:rsidRPr="005C5E32">
        <w:t xml:space="preserve">erm </w:t>
      </w:r>
      <w:r w:rsidR="00930A6C" w:rsidRPr="005C5E32">
        <w:t>p</w:t>
      </w:r>
      <w:r w:rsidRPr="005C5E32">
        <w:t>lan</w:t>
      </w:r>
      <w:r w:rsidR="00930A6C" w:rsidRPr="005C5E32">
        <w:t>s</w:t>
      </w:r>
      <w:r w:rsidR="00D66C91" w:rsidRPr="005C5E32">
        <w:t xml:space="preserve"> more complicated</w:t>
      </w:r>
      <w:r w:rsidRPr="005C5E32">
        <w:t xml:space="preserve"> </w:t>
      </w:r>
      <w:r w:rsidR="00D66C91" w:rsidRPr="005C5E32">
        <w:t xml:space="preserve">for councils </w:t>
      </w:r>
      <w:r w:rsidRPr="005C5E32">
        <w:t xml:space="preserve">and affected their ability to progress applications to the </w:t>
      </w:r>
      <w:r w:rsidR="00C12604" w:rsidRPr="005C5E32">
        <w:t>Contaminated Sites and Vulnerable Landfills F</w:t>
      </w:r>
      <w:r w:rsidRPr="005C5E32">
        <w:t xml:space="preserve">und in a timely manner. </w:t>
      </w:r>
      <w:r w:rsidR="00F3450A" w:rsidRPr="005C5E32">
        <w:t>As a result of these conditions, t</w:t>
      </w:r>
      <w:r w:rsidRPr="005C5E32">
        <w:t xml:space="preserve">ogether with expenditure delays and underspends across several funded projects, expenditure </w:t>
      </w:r>
      <w:r w:rsidR="00F3450A" w:rsidRPr="005C5E32">
        <w:t xml:space="preserve">was </w:t>
      </w:r>
      <w:r w:rsidRPr="005C5E32">
        <w:t>lower than forecast.</w:t>
      </w:r>
      <w:r w:rsidR="005B7E42" w:rsidRPr="005C5E32">
        <w:t xml:space="preserve"> </w:t>
      </w:r>
    </w:p>
    <w:p w14:paraId="1BDE0619" w14:textId="77777777" w:rsidR="00685120" w:rsidRPr="00D75F2A" w:rsidRDefault="00685120" w:rsidP="00685120">
      <w:pPr>
        <w:pStyle w:val="Heading6"/>
        <w:rPr>
          <w:sz w:val="20"/>
          <w:lang w:val="en-NZ"/>
        </w:rPr>
      </w:pPr>
      <w:r w:rsidRPr="00D75F2A">
        <w:rPr>
          <w:sz w:val="20"/>
          <w:lang w:val="en-NZ"/>
        </w:rPr>
        <w:t>Emergency waste funding</w:t>
      </w:r>
    </w:p>
    <w:p w14:paraId="06B90334" w14:textId="732FB654" w:rsidR="00685120" w:rsidRPr="005C5E32" w:rsidRDefault="00D66C91" w:rsidP="008F787B">
      <w:pPr>
        <w:pStyle w:val="BodyText"/>
      </w:pPr>
      <w:r w:rsidRPr="005C5E32">
        <w:t xml:space="preserve">Emergency waste </w:t>
      </w:r>
      <w:r w:rsidR="0069708D" w:rsidRPr="005C5E32">
        <w:t xml:space="preserve">funding supports local authorities to respond rapidly to emergency events </w:t>
      </w:r>
      <w:r w:rsidR="0069708D" w:rsidRPr="005C5E32">
        <w:rPr>
          <w:spacing w:val="-2"/>
        </w:rPr>
        <w:t>that pose waste-related risks to human health and the environment. As there is no fixed annual</w:t>
      </w:r>
      <w:r w:rsidR="0069708D" w:rsidRPr="005C5E32">
        <w:t xml:space="preserve"> allocation for this funding, budget from other Environmental Investment Fund programmes that was not going to be spent this year was retained rather than rephased</w:t>
      </w:r>
      <w:r w:rsidRPr="005C5E32">
        <w:t>, as a way of</w:t>
      </w:r>
      <w:r w:rsidR="0069708D" w:rsidRPr="005C5E32">
        <w:t xml:space="preserve"> maintain</w:t>
      </w:r>
      <w:r w:rsidRPr="005C5E32">
        <w:t>ing</w:t>
      </w:r>
      <w:r w:rsidR="0069708D" w:rsidRPr="005C5E32">
        <w:t xml:space="preserve"> flexibility to respond to emergency events if required.</w:t>
      </w:r>
    </w:p>
    <w:p w14:paraId="7A7102D0" w14:textId="43A3EE2B" w:rsidR="005C297B" w:rsidRPr="00D75F2A" w:rsidRDefault="00103C82" w:rsidP="008F787B">
      <w:pPr>
        <w:pStyle w:val="Heading6"/>
        <w:rPr>
          <w:sz w:val="20"/>
          <w:lang w:val="en-NZ"/>
        </w:rPr>
      </w:pPr>
      <w:r w:rsidRPr="00D75F2A">
        <w:rPr>
          <w:sz w:val="20"/>
          <w:lang w:val="en-NZ"/>
        </w:rPr>
        <w:t xml:space="preserve">Freshwater </w:t>
      </w:r>
      <w:r w:rsidR="002054ED" w:rsidRPr="00D75F2A">
        <w:rPr>
          <w:sz w:val="20"/>
          <w:lang w:val="en-NZ"/>
        </w:rPr>
        <w:t>i</w:t>
      </w:r>
      <w:r w:rsidRPr="00D75F2A">
        <w:rPr>
          <w:sz w:val="20"/>
          <w:lang w:val="en-NZ"/>
        </w:rPr>
        <w:t>nvestment</w:t>
      </w:r>
    </w:p>
    <w:p w14:paraId="5D8CFA44" w14:textId="6CF6D610" w:rsidR="00A63503" w:rsidRPr="005C5E32" w:rsidRDefault="00F70E39" w:rsidP="00A63503">
      <w:pPr>
        <w:pStyle w:val="BodyText"/>
      </w:pPr>
      <w:r w:rsidRPr="005C5E32">
        <w:t>Expenditure</w:t>
      </w:r>
      <w:r w:rsidR="00D66C91" w:rsidRPr="005C5E32">
        <w:t xml:space="preserve"> on freshwater investment</w:t>
      </w:r>
      <w:r w:rsidRPr="005C5E32">
        <w:t xml:space="preserve"> was lower than forecast due to project underspends, changes in expenditure timing for a small number of projects, and the rephasing of freshwater farm plan implementation funding pending improvements to the Freshwater Farm Plan regulations.</w:t>
      </w:r>
    </w:p>
    <w:p w14:paraId="0DAD2901" w14:textId="57AAA0A6" w:rsidR="00F70E39" w:rsidRPr="00D75F2A" w:rsidRDefault="00F70E39" w:rsidP="00F70E39">
      <w:pPr>
        <w:pStyle w:val="Heading6"/>
        <w:rPr>
          <w:sz w:val="20"/>
          <w:lang w:val="en-NZ"/>
        </w:rPr>
      </w:pPr>
      <w:r w:rsidRPr="00D75F2A">
        <w:rPr>
          <w:sz w:val="20"/>
          <w:lang w:val="en-NZ"/>
        </w:rPr>
        <w:t>Kaipara Moana Remediation</w:t>
      </w:r>
    </w:p>
    <w:p w14:paraId="162C8A48" w14:textId="66B4A351" w:rsidR="00F70E39" w:rsidRPr="005C5E32" w:rsidRDefault="00055D3B" w:rsidP="009C2138">
      <w:pPr>
        <w:pStyle w:val="BodyText"/>
        <w:rPr>
          <w:lang w:eastAsia="en-US"/>
        </w:rPr>
      </w:pPr>
      <w:r w:rsidRPr="005C5E32">
        <w:t xml:space="preserve">Expenditure </w:t>
      </w:r>
      <w:r w:rsidR="00C12604" w:rsidRPr="005C5E32">
        <w:t xml:space="preserve">on Kaipara Moana Remediation </w:t>
      </w:r>
      <w:r w:rsidRPr="005C5E32">
        <w:t xml:space="preserve">was lower than </w:t>
      </w:r>
      <w:r w:rsidR="00616007" w:rsidRPr="005C5E32">
        <w:t xml:space="preserve">the </w:t>
      </w:r>
      <w:r w:rsidRPr="005C5E32">
        <w:t xml:space="preserve">forecast. </w:t>
      </w:r>
      <w:r w:rsidR="00C12604" w:rsidRPr="005C5E32">
        <w:t>However, e</w:t>
      </w:r>
      <w:r w:rsidRPr="005C5E32">
        <w:t xml:space="preserve">xpenditure was in line with </w:t>
      </w:r>
      <w:r w:rsidR="00C12604" w:rsidRPr="005C5E32">
        <w:t xml:space="preserve">the programme’s </w:t>
      </w:r>
      <w:r w:rsidRPr="005C5E32">
        <w:t>2025/26 annual work plan.</w:t>
      </w:r>
    </w:p>
    <w:p w14:paraId="6BC1C6DD" w14:textId="41FC81FC" w:rsidR="005C297B" w:rsidRPr="005C5E32" w:rsidRDefault="00B82944" w:rsidP="008F787B">
      <w:pPr>
        <w:pStyle w:val="Heading5"/>
      </w:pPr>
      <w:r w:rsidRPr="005C5E32">
        <w:t xml:space="preserve">Disbursements to </w:t>
      </w:r>
      <w:r w:rsidR="007E6853" w:rsidRPr="005C5E32">
        <w:t>t</w:t>
      </w:r>
      <w:r w:rsidRPr="005C5E32">
        <w:t xml:space="preserve">erritorial </w:t>
      </w:r>
      <w:r w:rsidR="007E6853" w:rsidRPr="005C5E32">
        <w:t>l</w:t>
      </w:r>
      <w:r w:rsidRPr="005C5E32">
        <w:t xml:space="preserve">ocal </w:t>
      </w:r>
      <w:r w:rsidR="007E6853" w:rsidRPr="005C5E32">
        <w:t>a</w:t>
      </w:r>
      <w:r w:rsidRPr="005C5E32">
        <w:t>uthorities</w:t>
      </w:r>
    </w:p>
    <w:p w14:paraId="3DE9EA99" w14:textId="265D48B4" w:rsidR="00B82944" w:rsidRPr="005C5E32" w:rsidRDefault="00C12604" w:rsidP="008F787B">
      <w:pPr>
        <w:pStyle w:val="BodyText"/>
      </w:pPr>
      <w:r w:rsidRPr="005C5E32">
        <w:t>A</w:t>
      </w:r>
      <w:r w:rsidR="00B82944" w:rsidRPr="005C5E32">
        <w:t xml:space="preserve">ctual expenditure was lower than the revised budget because the disbursement to territorial authorities is dependent on the revenue collected </w:t>
      </w:r>
      <w:r w:rsidR="007E6853" w:rsidRPr="005C5E32">
        <w:t xml:space="preserve">during the year </w:t>
      </w:r>
      <w:r w:rsidR="00B82944" w:rsidRPr="005C5E32">
        <w:t xml:space="preserve">through the Waste Disposal Levy under the Waste Minimisation Act 2008. </w:t>
      </w:r>
      <w:r w:rsidRPr="005C5E32">
        <w:t xml:space="preserve">Levy </w:t>
      </w:r>
      <w:r w:rsidR="00B82944" w:rsidRPr="005C5E32">
        <w:t>revenue</w:t>
      </w:r>
      <w:r w:rsidR="00B82944" w:rsidRPr="005C5E32" w:rsidDel="007B276A">
        <w:t xml:space="preserve"> </w:t>
      </w:r>
      <w:r w:rsidR="00B82944" w:rsidRPr="005C5E32">
        <w:t>was lower than anticipated for the</w:t>
      </w:r>
      <w:r w:rsidR="00014177" w:rsidRPr="005C5E32">
        <w:t> </w:t>
      </w:r>
      <w:r w:rsidR="00B82944" w:rsidRPr="005C5E32">
        <w:t>year.</w:t>
      </w:r>
    </w:p>
    <w:p w14:paraId="1C70E905" w14:textId="48798CD5" w:rsidR="00480E72" w:rsidRPr="005C5E32" w:rsidRDefault="00B82944" w:rsidP="003B4A7F">
      <w:pPr>
        <w:pStyle w:val="BodyText"/>
      </w:pPr>
      <w:r w:rsidRPr="005C5E32">
        <w:t>The Waste Minimisation Act 2008 makes no provision for the return of a year-end surplus from the W</w:t>
      </w:r>
      <w:r w:rsidR="006E6378" w:rsidRPr="005C5E32">
        <w:t>aste Mini</w:t>
      </w:r>
      <w:r w:rsidR="00F64064" w:rsidRPr="005C5E32">
        <w:t xml:space="preserve">misation appropriation </w:t>
      </w:r>
      <w:r w:rsidRPr="005C5E32">
        <w:t>to the Crown</w:t>
      </w:r>
      <w:r w:rsidR="00C12604" w:rsidRPr="005C5E32">
        <w:t>. Instead</w:t>
      </w:r>
      <w:r w:rsidR="00804AE6" w:rsidRPr="005C5E32">
        <w:t>, a</w:t>
      </w:r>
      <w:r w:rsidRPr="005C5E32">
        <w:t xml:space="preserve">ny year-end surplus must remain in the </w:t>
      </w:r>
      <w:r w:rsidR="00596157" w:rsidRPr="005C5E32">
        <w:t>Waste Minimisation appropriation</w:t>
      </w:r>
      <w:r w:rsidRPr="005C5E32">
        <w:t>.</w:t>
      </w:r>
    </w:p>
    <w:p w14:paraId="4975476C" w14:textId="77777777" w:rsidR="001003F8" w:rsidRPr="005C5E32" w:rsidRDefault="001003F8" w:rsidP="00205186">
      <w:pPr>
        <w:pStyle w:val="Heading4"/>
        <w:spacing w:before="120" w:after="180"/>
      </w:pPr>
      <w:r w:rsidRPr="005C5E32">
        <w:lastRenderedPageBreak/>
        <w:t>Appropriation performance</w:t>
      </w:r>
    </w:p>
    <w:tbl>
      <w:tblPr>
        <w:tblStyle w:val="TableGrid"/>
        <w:tblW w:w="5000" w:type="pct"/>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2836"/>
        <w:gridCol w:w="1983"/>
        <w:gridCol w:w="1842"/>
        <w:gridCol w:w="1844"/>
      </w:tblGrid>
      <w:tr w:rsidR="001003F8" w:rsidRPr="005C5E32" w14:paraId="2C47AA16" w14:textId="77777777" w:rsidTr="006F6341">
        <w:trPr>
          <w:trHeight w:val="360"/>
          <w:tblHeader/>
        </w:trPr>
        <w:tc>
          <w:tcPr>
            <w:tcW w:w="1667" w:type="pct"/>
            <w:shd w:val="clear" w:color="auto" w:fill="1B556B" w:themeFill="text2"/>
          </w:tcPr>
          <w:p w14:paraId="3341D0DA" w14:textId="77777777" w:rsidR="001003F8" w:rsidRPr="005C5E32" w:rsidRDefault="001003F8" w:rsidP="003D0CC1">
            <w:pPr>
              <w:pStyle w:val="TableTextbold"/>
              <w:rPr>
                <w:color w:val="FFFFFF" w:themeColor="background1"/>
              </w:rPr>
            </w:pPr>
            <w:r w:rsidRPr="005C5E32">
              <w:rPr>
                <w:color w:val="FFFFFF" w:themeColor="background1"/>
              </w:rPr>
              <w:t>Performance measure</w:t>
            </w:r>
          </w:p>
        </w:tc>
        <w:tc>
          <w:tcPr>
            <w:tcW w:w="1166" w:type="pct"/>
            <w:shd w:val="clear" w:color="auto" w:fill="1B556B" w:themeFill="text2"/>
          </w:tcPr>
          <w:p w14:paraId="7EF61422" w14:textId="77777777" w:rsidR="001003F8" w:rsidRPr="005C5E32" w:rsidRDefault="001003F8" w:rsidP="003D0CC1">
            <w:pPr>
              <w:pStyle w:val="TableTextbold"/>
              <w:rPr>
                <w:color w:val="FFFFFF" w:themeColor="background1"/>
              </w:rPr>
            </w:pPr>
            <w:r w:rsidRPr="005C5E32">
              <w:rPr>
                <w:color w:val="FFFFFF" w:themeColor="background1"/>
              </w:rPr>
              <w:t>2024/25 performance</w:t>
            </w:r>
          </w:p>
        </w:tc>
        <w:tc>
          <w:tcPr>
            <w:tcW w:w="1083" w:type="pct"/>
            <w:shd w:val="clear" w:color="auto" w:fill="1B556B" w:themeFill="text2"/>
          </w:tcPr>
          <w:p w14:paraId="416F4D7E" w14:textId="77777777" w:rsidR="001003F8" w:rsidRPr="005C5E32" w:rsidRDefault="001003F8" w:rsidP="003D0CC1">
            <w:pPr>
              <w:pStyle w:val="TableTextbold"/>
              <w:rPr>
                <w:color w:val="FFFFFF" w:themeColor="background1"/>
              </w:rPr>
            </w:pPr>
            <w:r w:rsidRPr="005C5E32">
              <w:rPr>
                <w:color w:val="FFFFFF" w:themeColor="background1"/>
              </w:rPr>
              <w:t>2025/26 target</w:t>
            </w:r>
          </w:p>
        </w:tc>
        <w:tc>
          <w:tcPr>
            <w:tcW w:w="1083" w:type="pct"/>
            <w:shd w:val="clear" w:color="auto" w:fill="1B556B" w:themeFill="text2"/>
          </w:tcPr>
          <w:p w14:paraId="65FCBF66" w14:textId="77777777" w:rsidR="001003F8" w:rsidRPr="005C5E32" w:rsidRDefault="001003F8" w:rsidP="003D0CC1">
            <w:pPr>
              <w:pStyle w:val="TableTextbold"/>
              <w:rPr>
                <w:color w:val="FFFFFF" w:themeColor="background1"/>
              </w:rPr>
            </w:pPr>
            <w:r w:rsidRPr="005C5E32">
              <w:rPr>
                <w:color w:val="FFFFFF" w:themeColor="background1"/>
              </w:rPr>
              <w:t>2025/26 performance</w:t>
            </w:r>
          </w:p>
        </w:tc>
      </w:tr>
      <w:tr w:rsidR="001003F8" w:rsidRPr="005C5E32" w14:paraId="4C33160D" w14:textId="77777777" w:rsidTr="00117092">
        <w:trPr>
          <w:trHeight w:val="360"/>
        </w:trPr>
        <w:tc>
          <w:tcPr>
            <w:tcW w:w="1667" w:type="pct"/>
            <w:tcBorders>
              <w:bottom w:val="single" w:sz="4" w:space="0" w:color="1B556B"/>
            </w:tcBorders>
          </w:tcPr>
          <w:p w14:paraId="5454D566" w14:textId="77777777" w:rsidR="001003F8" w:rsidRPr="005C5E32" w:rsidRDefault="001003F8" w:rsidP="003D0CC1">
            <w:pPr>
              <w:pStyle w:val="TableText"/>
              <w:spacing w:after="0"/>
            </w:pPr>
            <w:r w:rsidRPr="005C5E32">
              <w:t>Funded projects achieve their stated objectives to improve ecosystem health, minimise waste, and remediate contaminated sites and vulnerable landfills</w:t>
            </w:r>
          </w:p>
          <w:p w14:paraId="558B87DD" w14:textId="356D5A35" w:rsidR="001003F8" w:rsidRPr="005C5E32" w:rsidRDefault="001003F8" w:rsidP="003D0CC1">
            <w:pPr>
              <w:pStyle w:val="Tablegreen"/>
              <w:rPr>
                <w:i/>
                <w:iCs/>
              </w:rPr>
            </w:pPr>
            <w:hyperlink w:anchor="_Note_8_–" w:history="1">
              <w:r w:rsidRPr="005C5E32">
                <w:rPr>
                  <w:rStyle w:val="Hyperlink"/>
                  <w:i/>
                  <w:iCs/>
                </w:rPr>
                <w:t>See note 8</w:t>
              </w:r>
            </w:hyperlink>
          </w:p>
        </w:tc>
        <w:tc>
          <w:tcPr>
            <w:tcW w:w="1166" w:type="pct"/>
            <w:tcBorders>
              <w:bottom w:val="single" w:sz="4" w:space="0" w:color="1B556B"/>
            </w:tcBorders>
          </w:tcPr>
          <w:p w14:paraId="362E18E1" w14:textId="104E7CA5" w:rsidR="001003F8" w:rsidRPr="005C5E32" w:rsidRDefault="001003F8" w:rsidP="003D0CC1">
            <w:pPr>
              <w:pStyle w:val="TableText"/>
            </w:pPr>
            <w:r w:rsidRPr="005C5E32">
              <w:t>96%</w:t>
            </w:r>
          </w:p>
        </w:tc>
        <w:tc>
          <w:tcPr>
            <w:tcW w:w="1083" w:type="pct"/>
            <w:tcBorders>
              <w:bottom w:val="single" w:sz="4" w:space="0" w:color="1B556B"/>
            </w:tcBorders>
          </w:tcPr>
          <w:p w14:paraId="217D51D2" w14:textId="77777777" w:rsidR="001003F8" w:rsidRPr="005C5E32" w:rsidRDefault="001003F8" w:rsidP="003D0CC1">
            <w:pPr>
              <w:pStyle w:val="TableText"/>
            </w:pPr>
            <w:r w:rsidRPr="005C5E32">
              <w:t>80%</w:t>
            </w:r>
          </w:p>
        </w:tc>
        <w:tc>
          <w:tcPr>
            <w:tcW w:w="1083" w:type="pct"/>
            <w:tcBorders>
              <w:bottom w:val="single" w:sz="4" w:space="0" w:color="1B556B"/>
            </w:tcBorders>
          </w:tcPr>
          <w:p w14:paraId="5FB8B636" w14:textId="1387ADBB" w:rsidR="001003F8" w:rsidRPr="005C5E32" w:rsidRDefault="002C1E43" w:rsidP="003D0CC1">
            <w:pPr>
              <w:pStyle w:val="TableText"/>
            </w:pPr>
            <w:r w:rsidRPr="005C5E32">
              <w:t>9</w:t>
            </w:r>
            <w:r w:rsidR="00326D9F" w:rsidRPr="005C5E32">
              <w:t>7</w:t>
            </w:r>
            <w:r w:rsidRPr="005C5E32">
              <w:t>%</w:t>
            </w:r>
          </w:p>
        </w:tc>
      </w:tr>
      <w:tr w:rsidR="001003F8" w:rsidRPr="005C5E32" w14:paraId="15D4771E" w14:textId="77777777" w:rsidTr="00117092">
        <w:trPr>
          <w:trHeight w:val="360"/>
        </w:trPr>
        <w:tc>
          <w:tcPr>
            <w:tcW w:w="5000" w:type="pct"/>
            <w:gridSpan w:val="4"/>
            <w:tcBorders>
              <w:bottom w:val="single" w:sz="8" w:space="0" w:color="1B556B"/>
            </w:tcBorders>
            <w:shd w:val="clear" w:color="auto" w:fill="D2DDE1" w:themeFill="background2"/>
          </w:tcPr>
          <w:p w14:paraId="5EE1C1CB" w14:textId="1991166B" w:rsidR="001003F8" w:rsidRPr="005C5E32" w:rsidRDefault="001003F8" w:rsidP="003D0CC1">
            <w:pPr>
              <w:pStyle w:val="TableText"/>
            </w:pPr>
            <w:r w:rsidRPr="005C5E32">
              <w:rPr>
                <w:b/>
                <w:bCs/>
              </w:rPr>
              <w:t>2025/26 commentary:</w:t>
            </w:r>
            <w:r w:rsidRPr="005C5E32">
              <w:t xml:space="preserve"> </w:t>
            </w:r>
            <w:r w:rsidR="00F97DB3" w:rsidRPr="005C5E32">
              <w:t>11</w:t>
            </w:r>
            <w:r w:rsidR="00326D9F" w:rsidRPr="005C5E32">
              <w:t>9</w:t>
            </w:r>
            <w:r w:rsidR="00F97DB3" w:rsidRPr="005C5E32">
              <w:t xml:space="preserve"> out of </w:t>
            </w:r>
            <w:r w:rsidR="00326D9F" w:rsidRPr="005C5E32">
              <w:t xml:space="preserve">121 </w:t>
            </w:r>
            <w:r w:rsidR="00F97DB3" w:rsidRPr="005C5E32">
              <w:t xml:space="preserve">projects have </w:t>
            </w:r>
            <w:r w:rsidR="00B64071" w:rsidRPr="005C5E32">
              <w:t xml:space="preserve">achieved </w:t>
            </w:r>
            <w:r w:rsidR="00F97DB3" w:rsidRPr="005C5E32">
              <w:t xml:space="preserve">or are on track to </w:t>
            </w:r>
            <w:r w:rsidR="00B64071" w:rsidRPr="005C5E32">
              <w:t xml:space="preserve">achieve </w:t>
            </w:r>
            <w:r w:rsidR="00F97DB3" w:rsidRPr="005C5E32">
              <w:t>their stated objectives.</w:t>
            </w:r>
            <w:r w:rsidR="00F97DB3" w:rsidRPr="005C5E32" w:rsidDel="00F97DB3">
              <w:t xml:space="preserve"> </w:t>
            </w:r>
            <w:r w:rsidRPr="005C5E32">
              <w:t xml:space="preserve">For more information about projects that have been publicly announced as receiving funding from the WMF </w:t>
            </w:r>
            <w:r w:rsidR="00C12604" w:rsidRPr="005C5E32">
              <w:t xml:space="preserve">or </w:t>
            </w:r>
            <w:r w:rsidRPr="005C5E32">
              <w:t>Plastics Innovation Fund, see the Ministry</w:t>
            </w:r>
            <w:r w:rsidR="000369F8" w:rsidRPr="005C5E32">
              <w:t>’</w:t>
            </w:r>
            <w:r w:rsidRPr="005C5E32">
              <w:t xml:space="preserve">s </w:t>
            </w:r>
            <w:hyperlink r:id="rId70">
              <w:r w:rsidRPr="005C5E32">
                <w:rPr>
                  <w:rStyle w:val="Hyperlink"/>
                  <w:rFonts w:cstheme="minorBidi"/>
                </w:rPr>
                <w:t>Waste Investments</w:t>
              </w:r>
            </w:hyperlink>
            <w:r w:rsidRPr="005C5E32">
              <w:t xml:space="preserve"> </w:t>
            </w:r>
            <w:r w:rsidR="00C12604" w:rsidRPr="005C5E32">
              <w:t xml:space="preserve">interactive </w:t>
            </w:r>
            <w:r w:rsidRPr="005C5E32">
              <w:t>webpage.</w:t>
            </w:r>
          </w:p>
        </w:tc>
      </w:tr>
      <w:tr w:rsidR="001003F8" w:rsidRPr="005C5E32" w14:paraId="59CE3EB7" w14:textId="77777777" w:rsidTr="007B631D">
        <w:trPr>
          <w:trHeight w:val="360"/>
        </w:trPr>
        <w:tc>
          <w:tcPr>
            <w:tcW w:w="1667" w:type="pct"/>
            <w:tcBorders>
              <w:top w:val="single" w:sz="8" w:space="0" w:color="1B556B"/>
              <w:bottom w:val="single" w:sz="4" w:space="0" w:color="1B556B"/>
            </w:tcBorders>
          </w:tcPr>
          <w:p w14:paraId="12EA82BB" w14:textId="77777777" w:rsidR="001003F8" w:rsidRPr="005C5E32" w:rsidRDefault="001003F8" w:rsidP="003D0CC1">
            <w:pPr>
              <w:pStyle w:val="TableText"/>
              <w:spacing w:after="0"/>
            </w:pPr>
            <w:r w:rsidRPr="005C5E32">
              <w:t>Progress implementation of the Waste and Resource Efficiency Strategy to support improved waste reduction and resource efficiency outcomes across the system</w:t>
            </w:r>
          </w:p>
          <w:p w14:paraId="49A608B0" w14:textId="569D8967" w:rsidR="001003F8" w:rsidRPr="005C5E32" w:rsidRDefault="001003F8">
            <w:pPr>
              <w:pStyle w:val="Tablegreen"/>
              <w:rPr>
                <w:i/>
              </w:rPr>
            </w:pPr>
            <w:hyperlink w:anchor="_Note_9_–" w:history="1">
              <w:r w:rsidRPr="005C5E32">
                <w:rPr>
                  <w:rStyle w:val="Hyperlink"/>
                  <w:i/>
                </w:rPr>
                <w:t>See note 9</w:t>
              </w:r>
            </w:hyperlink>
          </w:p>
        </w:tc>
        <w:tc>
          <w:tcPr>
            <w:tcW w:w="1166" w:type="pct"/>
            <w:tcBorders>
              <w:top w:val="single" w:sz="8" w:space="0" w:color="1B556B"/>
              <w:bottom w:val="single" w:sz="4" w:space="0" w:color="1B556B"/>
            </w:tcBorders>
          </w:tcPr>
          <w:p w14:paraId="01A83018" w14:textId="77777777" w:rsidR="001003F8" w:rsidRPr="005C5E32" w:rsidRDefault="001003F8" w:rsidP="003D0CC1">
            <w:pPr>
              <w:pStyle w:val="TableText"/>
            </w:pPr>
            <w:r w:rsidRPr="005C5E32">
              <w:t>New measure</w:t>
            </w:r>
          </w:p>
        </w:tc>
        <w:tc>
          <w:tcPr>
            <w:tcW w:w="1083" w:type="pct"/>
            <w:tcBorders>
              <w:top w:val="single" w:sz="8" w:space="0" w:color="1B556B"/>
              <w:bottom w:val="single" w:sz="4" w:space="0" w:color="1B556B"/>
            </w:tcBorders>
          </w:tcPr>
          <w:p w14:paraId="2C49A844" w14:textId="77777777" w:rsidR="001003F8" w:rsidRPr="005C5E32" w:rsidRDefault="001003F8" w:rsidP="003D0CC1">
            <w:pPr>
              <w:pStyle w:val="TableText"/>
            </w:pPr>
            <w:r w:rsidRPr="005C5E32">
              <w:t xml:space="preserve">Achieved </w:t>
            </w:r>
          </w:p>
        </w:tc>
        <w:tc>
          <w:tcPr>
            <w:tcW w:w="1083" w:type="pct"/>
            <w:tcBorders>
              <w:top w:val="single" w:sz="8" w:space="0" w:color="1B556B"/>
              <w:bottom w:val="single" w:sz="4" w:space="0" w:color="1B556B"/>
            </w:tcBorders>
          </w:tcPr>
          <w:p w14:paraId="20C8FE3D" w14:textId="77777777" w:rsidR="001003F8" w:rsidRPr="005C5E32" w:rsidRDefault="001003F8" w:rsidP="003D0CC1">
            <w:pPr>
              <w:pStyle w:val="TableText"/>
            </w:pPr>
            <w:r w:rsidRPr="005C5E32">
              <w:t>Partially achieved</w:t>
            </w:r>
          </w:p>
        </w:tc>
      </w:tr>
      <w:tr w:rsidR="001003F8" w:rsidRPr="005C5E32" w14:paraId="7E97C78B" w14:textId="77777777">
        <w:trPr>
          <w:trHeight w:val="360"/>
        </w:trPr>
        <w:tc>
          <w:tcPr>
            <w:tcW w:w="5000" w:type="pct"/>
            <w:gridSpan w:val="4"/>
            <w:tcBorders>
              <w:bottom w:val="single" w:sz="12" w:space="0" w:color="1B556B" w:themeColor="text2"/>
            </w:tcBorders>
            <w:shd w:val="clear" w:color="auto" w:fill="D2DDE1" w:themeFill="background2"/>
          </w:tcPr>
          <w:p w14:paraId="7832343A" w14:textId="77777777" w:rsidR="001003F8" w:rsidRPr="005C5E32" w:rsidRDefault="001003F8" w:rsidP="003D0CC1">
            <w:pPr>
              <w:pStyle w:val="TableText"/>
            </w:pPr>
            <w:r w:rsidRPr="005C5E32">
              <w:rPr>
                <w:b/>
              </w:rPr>
              <w:t>2025</w:t>
            </w:r>
            <w:r w:rsidRPr="005C5E32">
              <w:rPr>
                <w:b/>
                <w:bCs/>
              </w:rPr>
              <w:t>/26 commentary:</w:t>
            </w:r>
            <w:r w:rsidRPr="005C5E32">
              <w:t xml:space="preserve"> </w:t>
            </w:r>
            <w:r w:rsidRPr="005C5E32">
              <w:rPr>
                <w:rFonts w:cs="Calibri"/>
              </w:rPr>
              <w:t>Implementation of the work outlined in the</w:t>
            </w:r>
            <w:r w:rsidR="00433E9D" w:rsidRPr="005C5E32">
              <w:rPr>
                <w:rFonts w:cs="Calibri"/>
              </w:rPr>
              <w:t xml:space="preserve"> </w:t>
            </w:r>
            <w:hyperlink r:id="rId71" w:history="1">
              <w:r w:rsidR="00433E9D" w:rsidRPr="005C5E32">
                <w:rPr>
                  <w:rStyle w:val="Hyperlink"/>
                  <w:rFonts w:cs="Calibri"/>
                  <w:szCs w:val="22"/>
                </w:rPr>
                <w:t xml:space="preserve">Waste and </w:t>
              </w:r>
              <w:r w:rsidR="00433E9D" w:rsidRPr="005C5E32">
                <w:rPr>
                  <w:rStyle w:val="Hyperlink"/>
                  <w:rFonts w:cs="Calibri"/>
                </w:rPr>
                <w:t>resource efficiency work programme 2024 to 2026</w:t>
              </w:r>
            </w:hyperlink>
            <w:r w:rsidRPr="005C5E32" w:rsidDel="00501D00">
              <w:rPr>
                <w:rFonts w:cs="Calibri"/>
              </w:rPr>
              <w:t xml:space="preserve"> </w:t>
            </w:r>
            <w:r w:rsidRPr="005C5E32">
              <w:rPr>
                <w:rFonts w:cs="Calibri"/>
              </w:rPr>
              <w:t xml:space="preserve">is underway. Several initiatives have been completed, others are progressing as planned, and some have been delayed due to dependencies on </w:t>
            </w:r>
            <w:r w:rsidRPr="005C5E32">
              <w:t>legislative processes</w:t>
            </w:r>
            <w:r w:rsidR="00501D00" w:rsidRPr="005C5E32">
              <w:t xml:space="preserve"> and/or </w:t>
            </w:r>
            <w:r w:rsidRPr="005C5E32">
              <w:t>external delivery partners</w:t>
            </w:r>
            <w:r w:rsidR="00501D00" w:rsidRPr="005C5E32">
              <w:t>.</w:t>
            </w:r>
          </w:p>
          <w:p w14:paraId="5848DECA" w14:textId="454EDAA3" w:rsidR="00CE7291" w:rsidRPr="005C5E32" w:rsidRDefault="00CE7291" w:rsidP="003D0CC1">
            <w:pPr>
              <w:pStyle w:val="TableText"/>
            </w:pPr>
            <w:r w:rsidRPr="005C5E32">
              <w:t>Following publication of the Waste and Resource Efficiency Strategy in the 2024/25 financial year, the focus shifted to supporting and monitoring implementation across the system. This measure reflects progress towards embedding the Strategy and advancing its intended outcomes through coordinated implementation activities.</w:t>
            </w:r>
          </w:p>
        </w:tc>
      </w:tr>
    </w:tbl>
    <w:p w14:paraId="1FCF095F" w14:textId="77777777" w:rsidR="001003F8" w:rsidRPr="005C5E32" w:rsidRDefault="001003F8" w:rsidP="00787B70">
      <w:pPr>
        <w:pStyle w:val="Heading4"/>
        <w:spacing w:before="360"/>
      </w:pPr>
      <w:r w:rsidRPr="005C5E32">
        <w:t>Departmental output expenses</w:t>
      </w:r>
    </w:p>
    <w:p w14:paraId="64A74E50" w14:textId="77777777" w:rsidR="001003F8" w:rsidRPr="005C5E32" w:rsidRDefault="001003F8" w:rsidP="002F1C5A">
      <w:pPr>
        <w:pStyle w:val="Heading5"/>
        <w:spacing w:before="120" w:after="120"/>
      </w:pPr>
      <w:bookmarkStart w:id="150" w:name="_Environment_Work_Programme"/>
      <w:bookmarkEnd w:id="150"/>
      <w:r w:rsidRPr="005C5E32">
        <w:t>Environment Work Programme</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ayout w:type="fixed"/>
        <w:tblCellMar>
          <w:left w:w="85" w:type="dxa"/>
          <w:right w:w="85" w:type="dxa"/>
        </w:tblCellMar>
        <w:tblLook w:val="04A0" w:firstRow="1" w:lastRow="0" w:firstColumn="1" w:lastColumn="0" w:noHBand="0" w:noVBand="1"/>
      </w:tblPr>
      <w:tblGrid>
        <w:gridCol w:w="2835"/>
        <w:gridCol w:w="1985"/>
        <w:gridCol w:w="1843"/>
        <w:gridCol w:w="1842"/>
      </w:tblGrid>
      <w:tr w:rsidR="001003F8" w:rsidRPr="005C5E32" w14:paraId="30C3F1D2" w14:textId="77777777" w:rsidTr="006F6341">
        <w:trPr>
          <w:tblHeader/>
        </w:trPr>
        <w:tc>
          <w:tcPr>
            <w:tcW w:w="2835" w:type="dxa"/>
            <w:shd w:val="clear" w:color="auto" w:fill="1B556B" w:themeFill="text2"/>
          </w:tcPr>
          <w:p w14:paraId="017433E0" w14:textId="77777777" w:rsidR="001003F8" w:rsidRPr="005C5E32" w:rsidRDefault="001003F8" w:rsidP="003D0CC1">
            <w:pPr>
              <w:pStyle w:val="TableTextbold"/>
              <w:spacing w:before="40" w:after="40"/>
              <w:rPr>
                <w:color w:val="FFFFFF" w:themeColor="background1"/>
              </w:rPr>
            </w:pPr>
            <w:r w:rsidRPr="005C5E32">
              <w:rPr>
                <w:color w:val="FFFFFF" w:themeColor="background1"/>
              </w:rPr>
              <w:t>Performance measure</w:t>
            </w:r>
          </w:p>
        </w:tc>
        <w:tc>
          <w:tcPr>
            <w:tcW w:w="1985" w:type="dxa"/>
            <w:shd w:val="clear" w:color="auto" w:fill="1B556B" w:themeFill="text2"/>
          </w:tcPr>
          <w:p w14:paraId="61F6BF90" w14:textId="77777777" w:rsidR="001003F8" w:rsidRPr="005C5E32" w:rsidRDefault="001003F8" w:rsidP="003D0CC1">
            <w:pPr>
              <w:pStyle w:val="TableTextbold"/>
              <w:spacing w:before="40" w:after="40"/>
              <w:rPr>
                <w:color w:val="FFFFFF" w:themeColor="background1"/>
              </w:rPr>
            </w:pPr>
            <w:r w:rsidRPr="005C5E32">
              <w:rPr>
                <w:color w:val="FFFFFF" w:themeColor="background1"/>
              </w:rPr>
              <w:t>2024/25 performance</w:t>
            </w:r>
          </w:p>
        </w:tc>
        <w:tc>
          <w:tcPr>
            <w:tcW w:w="1843" w:type="dxa"/>
            <w:shd w:val="clear" w:color="auto" w:fill="1B556B" w:themeFill="text2"/>
          </w:tcPr>
          <w:p w14:paraId="521FD114"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target</w:t>
            </w:r>
          </w:p>
        </w:tc>
        <w:tc>
          <w:tcPr>
            <w:tcW w:w="1842" w:type="dxa"/>
            <w:shd w:val="clear" w:color="auto" w:fill="1B556B" w:themeFill="text2"/>
          </w:tcPr>
          <w:p w14:paraId="29A4C26F"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performance</w:t>
            </w:r>
          </w:p>
        </w:tc>
      </w:tr>
      <w:tr w:rsidR="001003F8" w:rsidRPr="005C5E32" w:rsidDel="00F10D5B" w14:paraId="4C18FAFA" w14:textId="77777777" w:rsidTr="006F6341">
        <w:tc>
          <w:tcPr>
            <w:tcW w:w="2835" w:type="dxa"/>
            <w:tcBorders>
              <w:bottom w:val="single" w:sz="4" w:space="0" w:color="1B556B" w:themeColor="text2"/>
            </w:tcBorders>
          </w:tcPr>
          <w:p w14:paraId="6820C26E" w14:textId="6E53C6DB" w:rsidR="001003F8" w:rsidRPr="005C5E32" w:rsidRDefault="001003F8">
            <w:pPr>
              <w:pStyle w:val="TableText"/>
              <w:spacing w:after="0"/>
            </w:pPr>
            <w:r w:rsidRPr="005C5E32">
              <w:t>Technical quality of advice papers (assessed by Ministry</w:t>
            </w:r>
            <w:r w:rsidR="000369F8" w:rsidRPr="005C5E32">
              <w:t>’</w:t>
            </w:r>
            <w:r w:rsidRPr="005C5E32">
              <w:t>s Quality Advice Assessment Panel)</w:t>
            </w:r>
          </w:p>
          <w:p w14:paraId="4BCFD831" w14:textId="62B844BD" w:rsidR="001003F8" w:rsidRPr="005C5E32" w:rsidRDefault="001003F8" w:rsidP="003D0CC1">
            <w:pPr>
              <w:pStyle w:val="Tablegreen"/>
              <w:rPr>
                <w:i/>
                <w:iCs/>
              </w:rPr>
            </w:pPr>
            <w:hyperlink w:anchor="_Note_1_–" w:history="1">
              <w:r w:rsidRPr="005C5E32">
                <w:rPr>
                  <w:rStyle w:val="Hyperlink"/>
                  <w:i/>
                  <w:iCs/>
                </w:rPr>
                <w:t>See note 1</w:t>
              </w:r>
            </w:hyperlink>
          </w:p>
        </w:tc>
        <w:tc>
          <w:tcPr>
            <w:tcW w:w="1985" w:type="dxa"/>
            <w:tcBorders>
              <w:bottom w:val="single" w:sz="4" w:space="0" w:color="1B556B" w:themeColor="text2"/>
            </w:tcBorders>
          </w:tcPr>
          <w:p w14:paraId="7FA5AEA8" w14:textId="41FB636D" w:rsidR="001003F8" w:rsidRPr="005C5E32" w:rsidRDefault="001003F8" w:rsidP="00B1143B">
            <w:pPr>
              <w:pStyle w:val="TableText"/>
              <w:spacing w:before="40" w:after="40" w:line="234" w:lineRule="atLeast"/>
            </w:pPr>
            <w:r w:rsidRPr="005C5E32">
              <w:t>Primary: 72% of papers scored at least 3.5 out of</w:t>
            </w:r>
            <w:r w:rsidR="006F6341" w:rsidRPr="005C5E32">
              <w:t> </w:t>
            </w:r>
            <w:r w:rsidRPr="005C5E32">
              <w:t>5</w:t>
            </w:r>
            <w:r w:rsidR="00501D00" w:rsidRPr="005C5E32">
              <w:t>.0</w:t>
            </w:r>
          </w:p>
          <w:p w14:paraId="122A6197" w14:textId="6BEABDB7" w:rsidR="001003F8" w:rsidRPr="005C5E32" w:rsidRDefault="001003F8" w:rsidP="00B1143B">
            <w:pPr>
              <w:pStyle w:val="TableText"/>
              <w:spacing w:before="40" w:after="40" w:line="234" w:lineRule="atLeast"/>
            </w:pPr>
            <w:r w:rsidRPr="005C5E32">
              <w:t>Secondary: 100% of papers scored at least 3.0 out of 5</w:t>
            </w:r>
            <w:r w:rsidR="00F25B02" w:rsidRPr="005C5E32">
              <w:t>.0</w:t>
            </w:r>
          </w:p>
        </w:tc>
        <w:tc>
          <w:tcPr>
            <w:tcW w:w="1843" w:type="dxa"/>
            <w:tcBorders>
              <w:bottom w:val="single" w:sz="4" w:space="0" w:color="1B556B" w:themeColor="text2"/>
            </w:tcBorders>
          </w:tcPr>
          <w:p w14:paraId="7EEE8963" w14:textId="0697544B" w:rsidR="001003F8" w:rsidRPr="005C5E32" w:rsidRDefault="001003F8" w:rsidP="00B1143B">
            <w:pPr>
              <w:pStyle w:val="TableText"/>
              <w:spacing w:before="40" w:after="40" w:line="234" w:lineRule="atLeast"/>
            </w:pPr>
            <w:r w:rsidRPr="005C5E32">
              <w:t>Primary: 70% of papers score at least 3.5 out of 5</w:t>
            </w:r>
            <w:r w:rsidR="00F25B02" w:rsidRPr="005C5E32">
              <w:t>.0</w:t>
            </w:r>
          </w:p>
          <w:p w14:paraId="20198943" w14:textId="0B0740EF" w:rsidR="001003F8" w:rsidRPr="005C5E32" w:rsidRDefault="001003F8" w:rsidP="00B1143B">
            <w:pPr>
              <w:pStyle w:val="TableText"/>
              <w:spacing w:before="40" w:after="40" w:line="234" w:lineRule="atLeast"/>
            </w:pPr>
            <w:r w:rsidRPr="005C5E32">
              <w:t>Secondary: 80% of papers score at least 3</w:t>
            </w:r>
            <w:r w:rsidR="006F6341" w:rsidRPr="005C5E32">
              <w:t> </w:t>
            </w:r>
            <w:r w:rsidRPr="005C5E32">
              <w:t>out of 5</w:t>
            </w:r>
            <w:r w:rsidR="00F25B02" w:rsidRPr="005C5E32">
              <w:t>.0</w:t>
            </w:r>
          </w:p>
        </w:tc>
        <w:tc>
          <w:tcPr>
            <w:tcW w:w="1842" w:type="dxa"/>
            <w:tcBorders>
              <w:bottom w:val="single" w:sz="4" w:space="0" w:color="1B556B" w:themeColor="text2"/>
            </w:tcBorders>
          </w:tcPr>
          <w:p w14:paraId="0EB39135" w14:textId="72745B81" w:rsidR="001003F8" w:rsidRPr="005C5E32" w:rsidRDefault="001003F8" w:rsidP="00B1143B">
            <w:pPr>
              <w:pStyle w:val="TableText"/>
              <w:spacing w:before="40" w:after="40" w:line="234" w:lineRule="atLeast"/>
            </w:pPr>
            <w:r w:rsidRPr="005C5E32">
              <w:t>Primary: 41% of papers scored at least 3.5 out of 5</w:t>
            </w:r>
            <w:r w:rsidR="00F25B02" w:rsidRPr="005C5E32">
              <w:t>.0</w:t>
            </w:r>
          </w:p>
          <w:p w14:paraId="19D644C5" w14:textId="4B18F8B0" w:rsidR="001003F8" w:rsidRPr="005C5E32" w:rsidDel="00F10D5B" w:rsidRDefault="001003F8" w:rsidP="00B1143B">
            <w:pPr>
              <w:pStyle w:val="TableText"/>
              <w:spacing w:before="40" w:after="40" w:line="234" w:lineRule="atLeast"/>
            </w:pPr>
            <w:r w:rsidRPr="005C5E32">
              <w:t>Secondary: 94% of papers scored at least 3.0 out of 5</w:t>
            </w:r>
            <w:r w:rsidR="00F25B02" w:rsidRPr="005C5E32">
              <w:t>.0</w:t>
            </w:r>
          </w:p>
        </w:tc>
      </w:tr>
      <w:tr w:rsidR="001003F8" w:rsidRPr="005C5E32" w:rsidDel="00F10D5B" w14:paraId="0F9082AE" w14:textId="77777777" w:rsidTr="006F6341">
        <w:tc>
          <w:tcPr>
            <w:tcW w:w="8505" w:type="dxa"/>
            <w:gridSpan w:val="4"/>
            <w:tcBorders>
              <w:bottom w:val="single" w:sz="4" w:space="0" w:color="1B556B" w:themeColor="text2"/>
            </w:tcBorders>
            <w:shd w:val="clear" w:color="auto" w:fill="D2DDE1" w:themeFill="background2"/>
          </w:tcPr>
          <w:p w14:paraId="2DC5B92D" w14:textId="0ED61A4D" w:rsidR="001003F8" w:rsidRPr="005C5E32" w:rsidRDefault="001003F8">
            <w:pPr>
              <w:pStyle w:val="TableText"/>
              <w:spacing w:before="40" w:after="40"/>
              <w:rPr>
                <w:iCs/>
                <w:szCs w:val="18"/>
              </w:rPr>
            </w:pPr>
            <w:r w:rsidRPr="005C5E32">
              <w:rPr>
                <w:b/>
                <w:bCs/>
              </w:rPr>
              <w:t xml:space="preserve">2025/26 commentary: </w:t>
            </w:r>
            <w:r w:rsidR="00D73A3D" w:rsidRPr="005C5E32">
              <w:rPr>
                <w:szCs w:val="18"/>
              </w:rPr>
              <w:t>The Quality Advice Assessment Panel reviewed 17 papers under this appropriation during the financial year.</w:t>
            </w:r>
            <w:r w:rsidR="00D73A3D" w:rsidRPr="005C5E32">
              <w:rPr>
                <w:b/>
              </w:rPr>
              <w:t xml:space="preserve"> </w:t>
            </w:r>
            <w:r w:rsidRPr="005C5E32">
              <w:rPr>
                <w:iCs/>
                <w:szCs w:val="18"/>
              </w:rPr>
              <w:t>The average policy quality score for all Waste Minimisation Administration papers decreased from 3.5 to 3.24, alongside decreases against the performance measures.</w:t>
            </w:r>
            <w:r w:rsidR="00F25B02" w:rsidRPr="005C5E32">
              <w:rPr>
                <w:iCs/>
                <w:szCs w:val="18"/>
              </w:rPr>
              <w:t xml:space="preserve"> </w:t>
            </w:r>
            <w:r w:rsidR="006269FB" w:rsidRPr="005C5E32">
              <w:rPr>
                <w:iCs/>
                <w:szCs w:val="18"/>
              </w:rPr>
              <w:t>Factors affecting p</w:t>
            </w:r>
            <w:r w:rsidRPr="005C5E32">
              <w:rPr>
                <w:iCs/>
                <w:szCs w:val="18"/>
              </w:rPr>
              <w:t xml:space="preserve">erformance </w:t>
            </w:r>
            <w:r w:rsidR="006269FB" w:rsidRPr="005C5E32">
              <w:rPr>
                <w:iCs/>
                <w:szCs w:val="18"/>
              </w:rPr>
              <w:t xml:space="preserve">related to </w:t>
            </w:r>
            <w:r w:rsidRPr="005C5E32">
              <w:rPr>
                <w:iCs/>
                <w:szCs w:val="18"/>
              </w:rPr>
              <w:t>the volume, pace and complexity of policy advice required during the year, including demands for specialist expertise across an expanded work programme.</w:t>
            </w:r>
          </w:p>
          <w:p w14:paraId="47CC9C2F" w14:textId="4FFA5D39" w:rsidR="001003F8" w:rsidRPr="005C5E32" w:rsidDel="00F10D5B" w:rsidRDefault="00F25B02" w:rsidP="003D0CC1">
            <w:pPr>
              <w:pStyle w:val="TableText"/>
              <w:spacing w:before="40" w:after="40"/>
            </w:pPr>
            <w:r w:rsidRPr="005C5E32">
              <w:rPr>
                <w:szCs w:val="18"/>
              </w:rPr>
              <w:t xml:space="preserve">See </w:t>
            </w:r>
            <w:hyperlink w:anchor="_Advice_and_support_1" w:history="1">
              <w:r w:rsidRPr="005C5E32">
                <w:rPr>
                  <w:rStyle w:val="Hyperlink"/>
                  <w:szCs w:val="22"/>
                </w:rPr>
                <w:t>Advice and support</w:t>
              </w:r>
            </w:hyperlink>
            <w:r w:rsidRPr="005C5E32">
              <w:rPr>
                <w:szCs w:val="18"/>
              </w:rPr>
              <w:t xml:space="preserve"> under Managing Climate Change in New Zealand for details on the Ministry’s </w:t>
            </w:r>
            <w:r w:rsidR="00D57F7D" w:rsidRPr="005C5E32">
              <w:rPr>
                <w:szCs w:val="18"/>
              </w:rPr>
              <w:t>q</w:t>
            </w:r>
            <w:r w:rsidRPr="005C5E32">
              <w:rPr>
                <w:szCs w:val="18"/>
              </w:rPr>
              <w:t xml:space="preserve">uality of </w:t>
            </w:r>
            <w:r w:rsidR="00D57F7D" w:rsidRPr="005C5E32">
              <w:rPr>
                <w:szCs w:val="18"/>
              </w:rPr>
              <w:t>a</w:t>
            </w:r>
            <w:r w:rsidRPr="005C5E32">
              <w:rPr>
                <w:szCs w:val="18"/>
              </w:rPr>
              <w:t xml:space="preserve">dvice </w:t>
            </w:r>
            <w:r w:rsidR="00D57F7D" w:rsidRPr="005C5E32">
              <w:rPr>
                <w:szCs w:val="18"/>
              </w:rPr>
              <w:t>p</w:t>
            </w:r>
            <w:r w:rsidRPr="005C5E32">
              <w:rPr>
                <w:szCs w:val="18"/>
              </w:rPr>
              <w:t>rogramme established in 2025/26</w:t>
            </w:r>
            <w:r w:rsidR="001003F8" w:rsidRPr="005C5E32">
              <w:rPr>
                <w:iCs/>
                <w:szCs w:val="18"/>
              </w:rPr>
              <w:t>.</w:t>
            </w:r>
          </w:p>
        </w:tc>
      </w:tr>
    </w:tbl>
    <w:p w14:paraId="35F20B41" w14:textId="77777777" w:rsidR="001003F8" w:rsidRPr="005C5E32" w:rsidRDefault="001003F8" w:rsidP="002E77F1">
      <w:pPr>
        <w:pStyle w:val="Heading5"/>
        <w:spacing w:after="120"/>
      </w:pPr>
      <w:bookmarkStart w:id="151" w:name="_Waste_Minimisation_Administration_1"/>
      <w:bookmarkEnd w:id="151"/>
      <w:r w:rsidRPr="005C5E32">
        <w:lastRenderedPageBreak/>
        <w:t>Waste Minimisation Administration</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ayout w:type="fixed"/>
        <w:tblCellMar>
          <w:left w:w="85" w:type="dxa"/>
          <w:right w:w="85" w:type="dxa"/>
        </w:tblCellMar>
        <w:tblLook w:val="04A0" w:firstRow="1" w:lastRow="0" w:firstColumn="1" w:lastColumn="0" w:noHBand="0" w:noVBand="1"/>
      </w:tblPr>
      <w:tblGrid>
        <w:gridCol w:w="3261"/>
        <w:gridCol w:w="1842"/>
        <w:gridCol w:w="1560"/>
        <w:gridCol w:w="1842"/>
      </w:tblGrid>
      <w:tr w:rsidR="001003F8" w:rsidRPr="005C5E32" w14:paraId="0EDAB1C1" w14:textId="77777777" w:rsidTr="00971452">
        <w:trPr>
          <w:tblHeader/>
        </w:trPr>
        <w:tc>
          <w:tcPr>
            <w:tcW w:w="3261" w:type="dxa"/>
            <w:shd w:val="clear" w:color="auto" w:fill="1B556B"/>
          </w:tcPr>
          <w:p w14:paraId="21A67F60" w14:textId="77777777" w:rsidR="001003F8" w:rsidRPr="005C5E32" w:rsidRDefault="001003F8" w:rsidP="00B1143B">
            <w:pPr>
              <w:pStyle w:val="TableTextbold"/>
              <w:keepNext/>
              <w:spacing w:before="40" w:after="40"/>
              <w:rPr>
                <w:color w:val="FFFFFF" w:themeColor="background1"/>
              </w:rPr>
            </w:pPr>
            <w:r w:rsidRPr="005C5E32">
              <w:rPr>
                <w:color w:val="FFFFFF" w:themeColor="background1"/>
              </w:rPr>
              <w:t>Performance measure</w:t>
            </w:r>
          </w:p>
        </w:tc>
        <w:tc>
          <w:tcPr>
            <w:tcW w:w="1842" w:type="dxa"/>
            <w:shd w:val="clear" w:color="auto" w:fill="1B556B"/>
          </w:tcPr>
          <w:p w14:paraId="0B7159A6" w14:textId="77777777" w:rsidR="001003F8" w:rsidRPr="005C5E32" w:rsidRDefault="001003F8" w:rsidP="00B1143B">
            <w:pPr>
              <w:pStyle w:val="TableTextbold"/>
              <w:keepNext/>
              <w:spacing w:before="40" w:after="40"/>
              <w:rPr>
                <w:color w:val="FFFFFF" w:themeColor="background1"/>
              </w:rPr>
            </w:pPr>
            <w:r w:rsidRPr="005C5E32">
              <w:rPr>
                <w:color w:val="FFFFFF" w:themeColor="background1"/>
              </w:rPr>
              <w:t>2024/25 performance</w:t>
            </w:r>
          </w:p>
        </w:tc>
        <w:tc>
          <w:tcPr>
            <w:tcW w:w="1560" w:type="dxa"/>
            <w:shd w:val="clear" w:color="auto" w:fill="1B556B"/>
          </w:tcPr>
          <w:p w14:paraId="1688EBA1" w14:textId="77777777" w:rsidR="001003F8" w:rsidRPr="005C5E32" w:rsidRDefault="001003F8" w:rsidP="00B1143B">
            <w:pPr>
              <w:pStyle w:val="TableTextbold"/>
              <w:keepNext/>
              <w:spacing w:before="40" w:after="40"/>
              <w:rPr>
                <w:color w:val="FFFFFF" w:themeColor="background1"/>
              </w:rPr>
            </w:pPr>
            <w:r w:rsidRPr="005C5E32">
              <w:rPr>
                <w:color w:val="FFFFFF" w:themeColor="background1"/>
              </w:rPr>
              <w:t>2025/26 target</w:t>
            </w:r>
          </w:p>
        </w:tc>
        <w:tc>
          <w:tcPr>
            <w:tcW w:w="1842" w:type="dxa"/>
            <w:shd w:val="clear" w:color="auto" w:fill="1B556B"/>
          </w:tcPr>
          <w:p w14:paraId="1DC44D6B" w14:textId="77777777" w:rsidR="001003F8" w:rsidRPr="005C5E32" w:rsidRDefault="001003F8" w:rsidP="00B1143B">
            <w:pPr>
              <w:pStyle w:val="TableTextbold"/>
              <w:keepNext/>
              <w:spacing w:before="40" w:after="40"/>
              <w:rPr>
                <w:color w:val="FFFFFF" w:themeColor="background1"/>
              </w:rPr>
            </w:pPr>
            <w:r w:rsidRPr="005C5E32">
              <w:rPr>
                <w:color w:val="FFFFFF" w:themeColor="background1"/>
              </w:rPr>
              <w:t>2025/26 performance</w:t>
            </w:r>
          </w:p>
        </w:tc>
      </w:tr>
      <w:tr w:rsidR="001003F8" w:rsidRPr="005C5E32" w14:paraId="652C56B9" w14:textId="77777777" w:rsidTr="00971452">
        <w:tc>
          <w:tcPr>
            <w:tcW w:w="3261" w:type="dxa"/>
            <w:tcBorders>
              <w:bottom w:val="single" w:sz="4" w:space="0" w:color="1B556B"/>
            </w:tcBorders>
          </w:tcPr>
          <w:p w14:paraId="76E1EF35" w14:textId="77777777" w:rsidR="001003F8" w:rsidRPr="005C5E32" w:rsidRDefault="001003F8" w:rsidP="00B1143B">
            <w:pPr>
              <w:pStyle w:val="TableText"/>
              <w:keepNext/>
              <w:spacing w:before="40" w:after="40"/>
            </w:pPr>
            <w:r w:rsidRPr="005C5E32">
              <w:t>Deeds are executed within six calendar months from the date the Ministry receives the signed confirmation of intention to proceed</w:t>
            </w:r>
          </w:p>
        </w:tc>
        <w:tc>
          <w:tcPr>
            <w:tcW w:w="1842" w:type="dxa"/>
            <w:tcBorders>
              <w:bottom w:val="single" w:sz="4" w:space="0" w:color="1B556B"/>
            </w:tcBorders>
          </w:tcPr>
          <w:p w14:paraId="042C44AF" w14:textId="40D9BE1A" w:rsidR="001003F8" w:rsidRPr="005C5E32" w:rsidRDefault="001003F8" w:rsidP="00B1143B">
            <w:pPr>
              <w:pStyle w:val="TableText"/>
              <w:keepNext/>
              <w:spacing w:before="40" w:after="40"/>
            </w:pPr>
            <w:r w:rsidRPr="005C5E32">
              <w:t>50%</w:t>
            </w:r>
          </w:p>
        </w:tc>
        <w:tc>
          <w:tcPr>
            <w:tcW w:w="1560" w:type="dxa"/>
            <w:tcBorders>
              <w:bottom w:val="single" w:sz="4" w:space="0" w:color="1B556B"/>
            </w:tcBorders>
          </w:tcPr>
          <w:p w14:paraId="3153A985" w14:textId="77777777" w:rsidR="001003F8" w:rsidRPr="005C5E32" w:rsidRDefault="001003F8" w:rsidP="00B1143B">
            <w:pPr>
              <w:pStyle w:val="TableText"/>
              <w:keepNext/>
              <w:spacing w:before="40" w:after="40"/>
            </w:pPr>
            <w:r w:rsidRPr="005C5E32">
              <w:t>80%</w:t>
            </w:r>
          </w:p>
        </w:tc>
        <w:tc>
          <w:tcPr>
            <w:tcW w:w="1842" w:type="dxa"/>
            <w:tcBorders>
              <w:bottom w:val="single" w:sz="4" w:space="0" w:color="1B556B"/>
            </w:tcBorders>
          </w:tcPr>
          <w:p w14:paraId="719B12C7" w14:textId="77777777" w:rsidR="001003F8" w:rsidRPr="005C5E32" w:rsidRDefault="001003F8" w:rsidP="00B1143B">
            <w:pPr>
              <w:pStyle w:val="TableText"/>
              <w:keepNext/>
              <w:spacing w:before="40" w:after="40"/>
            </w:pPr>
            <w:r w:rsidRPr="005C5E32">
              <w:t>50%</w:t>
            </w:r>
          </w:p>
        </w:tc>
      </w:tr>
      <w:tr w:rsidR="001003F8" w:rsidRPr="005C5E32" w14:paraId="0793F667" w14:textId="77777777" w:rsidTr="00727A92">
        <w:tc>
          <w:tcPr>
            <w:tcW w:w="8505" w:type="dxa"/>
            <w:gridSpan w:val="4"/>
            <w:tcBorders>
              <w:bottom w:val="single" w:sz="12" w:space="0" w:color="1B556B"/>
            </w:tcBorders>
            <w:shd w:val="clear" w:color="auto" w:fill="D2DDE1"/>
          </w:tcPr>
          <w:p w14:paraId="7107EFEA" w14:textId="6AB49E01" w:rsidR="001003F8" w:rsidRPr="005C5E32" w:rsidRDefault="001003F8" w:rsidP="00476EF6">
            <w:pPr>
              <w:pStyle w:val="TableText"/>
              <w:spacing w:before="40"/>
            </w:pPr>
            <w:r w:rsidRPr="005C5E32">
              <w:rPr>
                <w:b/>
                <w:bCs/>
              </w:rPr>
              <w:t>2025/26 commentary:</w:t>
            </w:r>
            <w:r w:rsidRPr="005C5E32">
              <w:t xml:space="preserve"> </w:t>
            </w:r>
            <w:r w:rsidR="00CF102B" w:rsidRPr="005C5E32">
              <w:t xml:space="preserve">Sixteen </w:t>
            </w:r>
            <w:r w:rsidRPr="005C5E32">
              <w:t xml:space="preserve">deeds were executed across the </w:t>
            </w:r>
            <w:r w:rsidR="00CD5FE9" w:rsidRPr="005C5E32">
              <w:t>WMF</w:t>
            </w:r>
            <w:r w:rsidRPr="005C5E32">
              <w:t xml:space="preserve"> and the </w:t>
            </w:r>
            <w:r w:rsidR="00CF102B" w:rsidRPr="005C5E32">
              <w:t>CSVLF</w:t>
            </w:r>
            <w:r w:rsidR="0077026A" w:rsidRPr="005C5E32">
              <w:t>.</w:t>
            </w:r>
            <w:r w:rsidRPr="005C5E32">
              <w:t xml:space="preserve"> </w:t>
            </w:r>
            <w:r w:rsidR="0077026A" w:rsidRPr="005C5E32">
              <w:t xml:space="preserve">Of these, </w:t>
            </w:r>
            <w:r w:rsidRPr="005C5E32">
              <w:t>eight were executed within six calendar months</w:t>
            </w:r>
            <w:r w:rsidR="0077026A" w:rsidRPr="005C5E32">
              <w:rPr>
                <w:rFonts w:asciiTheme="minorHAnsi" w:hAnsiTheme="minorHAnsi" w:cstheme="minorHAnsi"/>
              </w:rPr>
              <w:t>, while</w:t>
            </w:r>
            <w:r w:rsidRPr="005C5E32">
              <w:rPr>
                <w:rFonts w:asciiTheme="minorHAnsi" w:hAnsiTheme="minorHAnsi" w:cstheme="minorHAnsi"/>
              </w:rPr>
              <w:t xml:space="preserve"> </w:t>
            </w:r>
            <w:r w:rsidRPr="005C5E32">
              <w:t>seven took between six and nine months</w:t>
            </w:r>
            <w:r w:rsidRPr="005C5E32">
              <w:rPr>
                <w:rFonts w:asciiTheme="minorHAnsi" w:hAnsiTheme="minorHAnsi" w:cstheme="minorHAnsi"/>
              </w:rPr>
              <w:t xml:space="preserve"> and one </w:t>
            </w:r>
            <w:r w:rsidRPr="005C5E32">
              <w:t>took more than nine months to execute.</w:t>
            </w:r>
          </w:p>
          <w:p w14:paraId="588BD5BF" w14:textId="4115D6BB" w:rsidR="001003F8" w:rsidRPr="005C5E32" w:rsidRDefault="001003F8" w:rsidP="003D0CC1">
            <w:pPr>
              <w:pStyle w:val="TableText"/>
              <w:spacing w:before="40"/>
            </w:pPr>
            <w:r w:rsidRPr="005C5E32">
              <w:t>Delays were primarily due to additional time required to finalise project plans, budget revisions, co-funding arrangements, consent requirements and complex commercial arrangements. Internal and external review and sign-off processes also contributed to</w:t>
            </w:r>
            <w:r w:rsidR="007E3A4D" w:rsidRPr="005C5E32">
              <w:t xml:space="preserve"> the </w:t>
            </w:r>
            <w:r w:rsidRPr="005C5E32">
              <w:t>longer</w:t>
            </w:r>
            <w:r w:rsidR="007E3A4D" w:rsidRPr="005C5E32">
              <w:t>-</w:t>
            </w:r>
            <w:r w:rsidRPr="005C5E32">
              <w:t>than</w:t>
            </w:r>
            <w:r w:rsidR="007E3A4D" w:rsidRPr="005C5E32">
              <w:t>-</w:t>
            </w:r>
            <w:r w:rsidRPr="005C5E32">
              <w:t>anticipated</w:t>
            </w:r>
            <w:r w:rsidR="007E3A4D" w:rsidRPr="005C5E32">
              <w:t xml:space="preserve"> time involved in</w:t>
            </w:r>
            <w:r w:rsidRPr="005C5E32">
              <w:t xml:space="preserve"> execut</w:t>
            </w:r>
            <w:r w:rsidR="007E3A4D" w:rsidRPr="005C5E32">
              <w:t>ing deeds</w:t>
            </w:r>
            <w:r w:rsidRPr="005C5E32">
              <w:t>.</w:t>
            </w:r>
          </w:p>
        </w:tc>
      </w:tr>
      <w:tr w:rsidR="001003F8" w:rsidRPr="005C5E32" w14:paraId="0C3E3B2F" w14:textId="77777777" w:rsidTr="00971452">
        <w:tc>
          <w:tcPr>
            <w:tcW w:w="3261" w:type="dxa"/>
            <w:tcBorders>
              <w:top w:val="single" w:sz="12" w:space="0" w:color="1B556B"/>
              <w:bottom w:val="single" w:sz="4" w:space="0" w:color="1B556B"/>
            </w:tcBorders>
          </w:tcPr>
          <w:p w14:paraId="5260841D" w14:textId="77777777" w:rsidR="001003F8" w:rsidRPr="005C5E32" w:rsidRDefault="001003F8" w:rsidP="006F20F0">
            <w:pPr>
              <w:pStyle w:val="TableText"/>
              <w:spacing w:before="40"/>
            </w:pPr>
            <w:r w:rsidRPr="005C5E32">
              <w:t>Number of audits and site inspections of disposal facilities completed</w:t>
            </w:r>
          </w:p>
        </w:tc>
        <w:tc>
          <w:tcPr>
            <w:tcW w:w="1842" w:type="dxa"/>
            <w:tcBorders>
              <w:top w:val="single" w:sz="12" w:space="0" w:color="1B556B"/>
              <w:bottom w:val="single" w:sz="4" w:space="0" w:color="1B556B"/>
            </w:tcBorders>
          </w:tcPr>
          <w:p w14:paraId="6C719AF9" w14:textId="5001A50C" w:rsidR="001003F8" w:rsidRPr="005C5E32" w:rsidRDefault="001003F8">
            <w:pPr>
              <w:pStyle w:val="TableText"/>
              <w:spacing w:before="40" w:after="0"/>
            </w:pPr>
            <w:r w:rsidRPr="005C5E32">
              <w:t xml:space="preserve">93.75% </w:t>
            </w:r>
            <w:r w:rsidR="00E00EF8" w:rsidRPr="005C5E32">
              <w:t>(</w:t>
            </w:r>
            <w:r w:rsidRPr="005C5E32">
              <w:t>15 audits completed</w:t>
            </w:r>
            <w:r w:rsidR="00E00EF8" w:rsidRPr="005C5E32">
              <w:t>)</w:t>
            </w:r>
          </w:p>
          <w:p w14:paraId="591DD998" w14:textId="2BACF18C" w:rsidR="001003F8" w:rsidRPr="005C5E32" w:rsidRDefault="001003F8" w:rsidP="00E00EF8">
            <w:pPr>
              <w:pStyle w:val="TableText"/>
              <w:spacing w:before="40"/>
            </w:pPr>
            <w:r w:rsidRPr="005C5E32">
              <w:t xml:space="preserve">100% </w:t>
            </w:r>
            <w:r w:rsidR="00E00EF8" w:rsidRPr="005C5E32">
              <w:t>(</w:t>
            </w:r>
            <w:r w:rsidRPr="005C5E32">
              <w:t>76 inspections completed</w:t>
            </w:r>
            <w:r w:rsidR="00E00EF8" w:rsidRPr="005C5E32">
              <w:t>)</w:t>
            </w:r>
          </w:p>
        </w:tc>
        <w:tc>
          <w:tcPr>
            <w:tcW w:w="1560" w:type="dxa"/>
            <w:tcBorders>
              <w:top w:val="single" w:sz="12" w:space="0" w:color="1B556B"/>
              <w:bottom w:val="single" w:sz="4" w:space="0" w:color="1B556B"/>
            </w:tcBorders>
          </w:tcPr>
          <w:p w14:paraId="693191DB" w14:textId="6808454A" w:rsidR="001003F8" w:rsidRPr="005C5E32" w:rsidRDefault="001003F8" w:rsidP="007F2C2D">
            <w:pPr>
              <w:pStyle w:val="TableText"/>
              <w:spacing w:before="40" w:after="0"/>
            </w:pPr>
            <w:r w:rsidRPr="005C5E32">
              <w:t xml:space="preserve">100% of </w:t>
            </w:r>
            <w:r w:rsidR="00E00EF8" w:rsidRPr="005C5E32">
              <w:t>a</w:t>
            </w:r>
            <w:r w:rsidRPr="005C5E32">
              <w:t xml:space="preserve">nnual </w:t>
            </w:r>
            <w:r w:rsidR="00E00EF8" w:rsidRPr="005C5E32">
              <w:t>p</w:t>
            </w:r>
            <w:r w:rsidRPr="005C5E32">
              <w:t xml:space="preserve">rogramme </w:t>
            </w:r>
            <w:r w:rsidR="00E00EF8" w:rsidRPr="005C5E32">
              <w:t>g</w:t>
            </w:r>
            <w:r w:rsidRPr="005C5E32">
              <w:t>oal</w:t>
            </w:r>
            <w:r w:rsidR="00E00EF8" w:rsidRPr="005C5E32">
              <w:t xml:space="preserve"> (</w:t>
            </w:r>
            <w:r w:rsidRPr="005C5E32">
              <w:t>16</w:t>
            </w:r>
            <w:r w:rsidR="00BA4806" w:rsidRPr="005C5E32">
              <w:t> </w:t>
            </w:r>
            <w:r w:rsidRPr="005C5E32">
              <w:t>audits and 60</w:t>
            </w:r>
            <w:r w:rsidR="00BA4806" w:rsidRPr="005C5E32">
              <w:t> </w:t>
            </w:r>
            <w:r w:rsidRPr="005C5E32">
              <w:t>inspections</w:t>
            </w:r>
            <w:r w:rsidR="004004E4" w:rsidRPr="005C5E32">
              <w:t xml:space="preserve"> completed</w:t>
            </w:r>
            <w:r w:rsidR="00E00EF8" w:rsidRPr="005C5E32">
              <w:t>)</w:t>
            </w:r>
            <w:r w:rsidR="004004E4" w:rsidRPr="005C5E32">
              <w:t xml:space="preserve"> </w:t>
            </w:r>
          </w:p>
        </w:tc>
        <w:tc>
          <w:tcPr>
            <w:tcW w:w="1842" w:type="dxa"/>
            <w:tcBorders>
              <w:top w:val="single" w:sz="12" w:space="0" w:color="1B556B"/>
              <w:bottom w:val="single" w:sz="4" w:space="0" w:color="1B556B"/>
            </w:tcBorders>
          </w:tcPr>
          <w:p w14:paraId="34ADD7D8" w14:textId="4A592949" w:rsidR="001003F8" w:rsidRPr="005C5E32" w:rsidRDefault="001003F8" w:rsidP="003D0CC1">
            <w:pPr>
              <w:pStyle w:val="TableText"/>
              <w:spacing w:before="40"/>
            </w:pPr>
            <w:r w:rsidRPr="005C5E32">
              <w:t>100%</w:t>
            </w:r>
            <w:r w:rsidR="00E00EF8" w:rsidRPr="005C5E32">
              <w:t xml:space="preserve"> of annual programme goal (</w:t>
            </w:r>
            <w:r w:rsidRPr="005C5E32">
              <w:t>16</w:t>
            </w:r>
            <w:r w:rsidR="00BA4806" w:rsidRPr="005C5E32">
              <w:t> </w:t>
            </w:r>
            <w:r w:rsidRPr="005C5E32">
              <w:t xml:space="preserve">audits </w:t>
            </w:r>
            <w:r w:rsidR="00E00EF8" w:rsidRPr="005C5E32">
              <w:t>and 66</w:t>
            </w:r>
            <w:r w:rsidR="00BA4806" w:rsidRPr="005C5E32">
              <w:t> </w:t>
            </w:r>
            <w:r w:rsidR="00E00EF8" w:rsidRPr="005C5E32">
              <w:t>inspections</w:t>
            </w:r>
            <w:r w:rsidR="004004E4" w:rsidRPr="005C5E32">
              <w:t xml:space="preserve"> completed</w:t>
            </w:r>
            <w:r w:rsidR="00E00EF8" w:rsidRPr="005C5E32">
              <w:t>)</w:t>
            </w:r>
          </w:p>
        </w:tc>
      </w:tr>
      <w:tr w:rsidR="001003F8" w:rsidRPr="005C5E32" w14:paraId="74A5181B" w14:textId="77777777" w:rsidTr="00727A92">
        <w:tc>
          <w:tcPr>
            <w:tcW w:w="8505" w:type="dxa"/>
            <w:gridSpan w:val="4"/>
            <w:tcBorders>
              <w:bottom w:val="single" w:sz="12" w:space="0" w:color="1B556B"/>
            </w:tcBorders>
            <w:shd w:val="clear" w:color="auto" w:fill="D2DDE1"/>
          </w:tcPr>
          <w:p w14:paraId="4A713904" w14:textId="0C4C0337" w:rsidR="001003F8" w:rsidRPr="005C5E32" w:rsidRDefault="001003F8" w:rsidP="003D0CC1">
            <w:pPr>
              <w:pStyle w:val="TableText"/>
              <w:spacing w:after="40"/>
            </w:pPr>
            <w:r w:rsidRPr="005C5E32">
              <w:rPr>
                <w:b/>
                <w:bCs/>
              </w:rPr>
              <w:t>2025/26 commentary:</w:t>
            </w:r>
            <w:r w:rsidRPr="005C5E32">
              <w:t xml:space="preserve"> Standards are set out </w:t>
            </w:r>
            <w:r w:rsidR="007E3A4D" w:rsidRPr="005C5E32">
              <w:t>in line with the</w:t>
            </w:r>
            <w:r w:rsidRPr="005C5E32">
              <w:t xml:space="preserve"> annual audit programme, </w:t>
            </w:r>
            <w:r w:rsidR="001B362A" w:rsidRPr="005C5E32">
              <w:t>which establishes</w:t>
            </w:r>
            <w:r w:rsidRPr="005C5E32">
              <w:t xml:space="preserve"> best-practice risk-based target</w:t>
            </w:r>
            <w:r w:rsidR="001B362A" w:rsidRPr="005C5E32">
              <w:t>s</w:t>
            </w:r>
            <w:r w:rsidRPr="005C5E32">
              <w:t xml:space="preserve"> for audits and site inspections. The disposal facilities team prioritised inspections throughout 2025/26 to provide as much </w:t>
            </w:r>
            <w:r w:rsidR="000369F8" w:rsidRPr="005C5E32">
              <w:t>‘</w:t>
            </w:r>
            <w:r w:rsidRPr="005C5E32">
              <w:t>on the ground</w:t>
            </w:r>
            <w:r w:rsidR="000369F8" w:rsidRPr="005C5E32">
              <w:t>’</w:t>
            </w:r>
            <w:r w:rsidRPr="005C5E32">
              <w:t xml:space="preserve"> compliance coverage</w:t>
            </w:r>
            <w:r w:rsidRPr="005C5E32" w:rsidDel="00684BBC">
              <w:t xml:space="preserve"> </w:t>
            </w:r>
            <w:r w:rsidRPr="005C5E32">
              <w:t xml:space="preserve">of the expanded regulated waste sector as possible, focusing on </w:t>
            </w:r>
            <w:r w:rsidR="007A351E" w:rsidRPr="005C5E32">
              <w:t>C</w:t>
            </w:r>
            <w:r w:rsidRPr="005C5E32">
              <w:t xml:space="preserve">lass 3 </w:t>
            </w:r>
            <w:r w:rsidR="007A351E" w:rsidRPr="005C5E32">
              <w:t>and</w:t>
            </w:r>
            <w:r w:rsidRPr="005C5E32">
              <w:t xml:space="preserve"> 4 facilities as well as the potential emerging risk of </w:t>
            </w:r>
            <w:r w:rsidR="007A351E" w:rsidRPr="005C5E32">
              <w:t>C</w:t>
            </w:r>
            <w:r w:rsidRPr="005C5E32">
              <w:t>lass 5 facilities (</w:t>
            </w:r>
            <w:r w:rsidR="003A0439" w:rsidRPr="005C5E32">
              <w:t xml:space="preserve">which </w:t>
            </w:r>
            <w:r w:rsidRPr="005C5E32">
              <w:t>are non-levied</w:t>
            </w:r>
            <w:r w:rsidR="007A351E" w:rsidRPr="005C5E32">
              <w:t>,</w:t>
            </w:r>
            <w:r w:rsidRPr="005C5E32">
              <w:t xml:space="preserve"> but</w:t>
            </w:r>
            <w:r w:rsidR="003A0439" w:rsidRPr="005C5E32">
              <w:t xml:space="preserve"> still at</w:t>
            </w:r>
            <w:r w:rsidRPr="005C5E32">
              <w:t xml:space="preserve"> risk of receiving leviable waste). As a result, the team conducted 66 inspections (exceeding the target of 60) and 16 audits</w:t>
            </w:r>
            <w:r w:rsidR="00EF2361" w:rsidRPr="005C5E32">
              <w:t>,</w:t>
            </w:r>
            <w:r w:rsidRPr="005C5E32">
              <w:t xml:space="preserve"> to achieve 100% of the target.</w:t>
            </w:r>
          </w:p>
        </w:tc>
      </w:tr>
      <w:tr w:rsidR="001003F8" w:rsidRPr="005C5E32" w14:paraId="6B294279" w14:textId="77777777" w:rsidTr="00971452">
        <w:tc>
          <w:tcPr>
            <w:tcW w:w="3261" w:type="dxa"/>
            <w:tcBorders>
              <w:top w:val="single" w:sz="12" w:space="0" w:color="1B556B"/>
              <w:bottom w:val="single" w:sz="4" w:space="0" w:color="1B556B"/>
            </w:tcBorders>
          </w:tcPr>
          <w:p w14:paraId="7C9AB2D9" w14:textId="77777777" w:rsidR="001003F8" w:rsidRPr="005C5E32" w:rsidRDefault="001003F8" w:rsidP="003D0CC1">
            <w:pPr>
              <w:pStyle w:val="TableText"/>
            </w:pPr>
            <w:bookmarkStart w:id="152" w:name="_Toc109648969"/>
            <w:bookmarkStart w:id="153" w:name="_Toc110587650"/>
            <w:bookmarkStart w:id="154" w:name="_Toc111637881"/>
            <w:bookmarkStart w:id="155" w:name="_Toc112144603"/>
            <w:bookmarkStart w:id="156" w:name="_Toc136349052"/>
            <w:r w:rsidRPr="005C5E32">
              <w:t>Number of audits of territorial authorities completed</w:t>
            </w:r>
          </w:p>
        </w:tc>
        <w:tc>
          <w:tcPr>
            <w:tcW w:w="1842" w:type="dxa"/>
            <w:tcBorders>
              <w:top w:val="single" w:sz="12" w:space="0" w:color="1B556B"/>
              <w:bottom w:val="single" w:sz="4" w:space="0" w:color="1B556B"/>
            </w:tcBorders>
          </w:tcPr>
          <w:p w14:paraId="4A1A5CE0" w14:textId="0544093E" w:rsidR="001003F8" w:rsidRPr="005C5E32" w:rsidRDefault="001003F8" w:rsidP="00E02251">
            <w:pPr>
              <w:pStyle w:val="TableText"/>
              <w:spacing w:after="0"/>
            </w:pPr>
            <w:r w:rsidRPr="005C5E32">
              <w:t>50%</w:t>
            </w:r>
            <w:r w:rsidR="00EF2361" w:rsidRPr="005C5E32">
              <w:t xml:space="preserve"> of annual programme goal </w:t>
            </w:r>
            <w:r w:rsidR="004004E4" w:rsidRPr="005C5E32">
              <w:t>(</w:t>
            </w:r>
            <w:r w:rsidRPr="005C5E32">
              <w:t>3</w:t>
            </w:r>
            <w:r w:rsidR="00813447" w:rsidRPr="005C5E32">
              <w:t> </w:t>
            </w:r>
            <w:r w:rsidRPr="005C5E32">
              <w:t>territorial authority audits completed</w:t>
            </w:r>
            <w:r w:rsidR="004004E4" w:rsidRPr="005C5E32">
              <w:t>)</w:t>
            </w:r>
          </w:p>
        </w:tc>
        <w:tc>
          <w:tcPr>
            <w:tcW w:w="1560" w:type="dxa"/>
            <w:tcBorders>
              <w:top w:val="single" w:sz="12" w:space="0" w:color="1B556B"/>
              <w:bottom w:val="single" w:sz="4" w:space="0" w:color="1B556B"/>
            </w:tcBorders>
          </w:tcPr>
          <w:p w14:paraId="7069ECF1" w14:textId="33F88122" w:rsidR="001003F8" w:rsidRPr="005C5E32" w:rsidRDefault="001003F8" w:rsidP="00620A96">
            <w:pPr>
              <w:pStyle w:val="TableText"/>
              <w:spacing w:after="0"/>
            </w:pPr>
            <w:r w:rsidRPr="005C5E32">
              <w:t xml:space="preserve">100% of </w:t>
            </w:r>
            <w:r w:rsidR="004004E4" w:rsidRPr="005C5E32">
              <w:t>a</w:t>
            </w:r>
            <w:r w:rsidRPr="005C5E32">
              <w:t xml:space="preserve">nnual </w:t>
            </w:r>
            <w:r w:rsidR="004004E4" w:rsidRPr="005C5E32">
              <w:t>p</w:t>
            </w:r>
            <w:r w:rsidRPr="005C5E32">
              <w:t xml:space="preserve">rogramme </w:t>
            </w:r>
            <w:r w:rsidR="004004E4" w:rsidRPr="005C5E32">
              <w:t>g</w:t>
            </w:r>
            <w:r w:rsidRPr="005C5E32">
              <w:t>oal</w:t>
            </w:r>
            <w:r w:rsidR="004004E4" w:rsidRPr="005C5E32">
              <w:t xml:space="preserve"> (</w:t>
            </w:r>
            <w:r w:rsidRPr="005C5E32">
              <w:t xml:space="preserve">18 </w:t>
            </w:r>
            <w:r w:rsidRPr="005C5E32" w:rsidDel="002C52A9">
              <w:t>territorial authority</w:t>
            </w:r>
            <w:r w:rsidRPr="005C5E32">
              <w:t xml:space="preserve"> audits</w:t>
            </w:r>
            <w:r w:rsidR="004004E4" w:rsidRPr="005C5E32">
              <w:t xml:space="preserve"> completed)</w:t>
            </w:r>
          </w:p>
        </w:tc>
        <w:tc>
          <w:tcPr>
            <w:tcW w:w="1842" w:type="dxa"/>
            <w:tcBorders>
              <w:top w:val="single" w:sz="12" w:space="0" w:color="1B556B"/>
              <w:bottom w:val="single" w:sz="4" w:space="0" w:color="1B556B"/>
            </w:tcBorders>
          </w:tcPr>
          <w:p w14:paraId="4D9F1659" w14:textId="4C9CC857" w:rsidR="001003F8" w:rsidRPr="005C5E32" w:rsidRDefault="001003F8" w:rsidP="00B3326E">
            <w:pPr>
              <w:pStyle w:val="TableText"/>
            </w:pPr>
            <w:r w:rsidRPr="005C5E32">
              <w:t>50%</w:t>
            </w:r>
            <w:r w:rsidR="004004E4" w:rsidRPr="005C5E32">
              <w:t xml:space="preserve"> of annual programme goal (</w:t>
            </w:r>
            <w:r w:rsidRPr="005C5E32">
              <w:t>9</w:t>
            </w:r>
            <w:r w:rsidR="00813447" w:rsidRPr="005C5E32">
              <w:t> </w:t>
            </w:r>
            <w:r w:rsidRPr="005C5E32">
              <w:t>territorial authority audits completed</w:t>
            </w:r>
            <w:r w:rsidR="00B3326E" w:rsidRPr="005C5E32">
              <w:t>)</w:t>
            </w:r>
          </w:p>
        </w:tc>
      </w:tr>
      <w:tr w:rsidR="001003F8" w:rsidRPr="005C5E32" w14:paraId="6B9E61DD" w14:textId="77777777" w:rsidTr="00727A92">
        <w:tc>
          <w:tcPr>
            <w:tcW w:w="8505" w:type="dxa"/>
            <w:gridSpan w:val="4"/>
            <w:tcBorders>
              <w:top w:val="single" w:sz="4" w:space="0" w:color="1B556B"/>
              <w:bottom w:val="single" w:sz="12" w:space="0" w:color="1B556B"/>
            </w:tcBorders>
            <w:shd w:val="clear" w:color="auto" w:fill="D2DDE1"/>
          </w:tcPr>
          <w:p w14:paraId="28E81C9C" w14:textId="1DE53BCF" w:rsidR="001003F8" w:rsidRPr="005C5E32" w:rsidRDefault="001003F8" w:rsidP="003D0CC1">
            <w:pPr>
              <w:pStyle w:val="TableText"/>
              <w:spacing w:before="40" w:after="40"/>
            </w:pPr>
            <w:r w:rsidRPr="005C5E32">
              <w:rPr>
                <w:b/>
                <w:bCs/>
              </w:rPr>
              <w:t>2025/26 commentary:</w:t>
            </w:r>
            <w:r w:rsidRPr="005C5E32">
              <w:t xml:space="preserve"> Standards are set out </w:t>
            </w:r>
            <w:r w:rsidR="003A0439" w:rsidRPr="005C5E32">
              <w:t>in line with the</w:t>
            </w:r>
            <w:r w:rsidRPr="005C5E32">
              <w:t xml:space="preserve"> annual audit programme, </w:t>
            </w:r>
            <w:r w:rsidR="009F464D" w:rsidRPr="005C5E32">
              <w:t>which establishes</w:t>
            </w:r>
            <w:r w:rsidRPr="005C5E32">
              <w:t xml:space="preserve"> best-practice risk-based target</w:t>
            </w:r>
            <w:r w:rsidR="009F464D" w:rsidRPr="005C5E32">
              <w:t>s</w:t>
            </w:r>
            <w:r w:rsidRPr="005C5E32">
              <w:t xml:space="preserve"> for audits. Throughout 2024/25, the commissioning of a data cleanse project </w:t>
            </w:r>
            <w:r w:rsidR="00070CA9" w:rsidRPr="005C5E32">
              <w:t xml:space="preserve">for the territorial authority waste levy expenditure system </w:t>
            </w:r>
            <w:r w:rsidRPr="005C5E32">
              <w:t>consumed most of the small audit team</w:t>
            </w:r>
            <w:r w:rsidR="000369F8" w:rsidRPr="005C5E32">
              <w:t>’</w:t>
            </w:r>
            <w:r w:rsidRPr="005C5E32">
              <w:t>s capacity. For 2025/26</w:t>
            </w:r>
            <w:r w:rsidR="00312667" w:rsidRPr="005C5E32">
              <w:t>,</w:t>
            </w:r>
            <w:r w:rsidRPr="005C5E32">
              <w:t xml:space="preserve"> the target was adjusted to 18 </w:t>
            </w:r>
            <w:r w:rsidR="00312667" w:rsidRPr="005C5E32">
              <w:t xml:space="preserve">territorial authority </w:t>
            </w:r>
            <w:r w:rsidRPr="005C5E32">
              <w:t xml:space="preserve">audits per </w:t>
            </w:r>
            <w:r w:rsidR="00312667" w:rsidRPr="005C5E32">
              <w:t>year</w:t>
            </w:r>
            <w:r w:rsidRPr="005C5E32">
              <w:t xml:space="preserve">. It was acknowledged that this target </w:t>
            </w:r>
            <w:r w:rsidR="00312667" w:rsidRPr="005C5E32">
              <w:t>was an appropriate measure, year to year, but</w:t>
            </w:r>
            <w:r w:rsidR="003A0439" w:rsidRPr="005C5E32">
              <w:t xml:space="preserve"> that</w:t>
            </w:r>
            <w:r w:rsidR="00312667" w:rsidRPr="005C5E32">
              <w:t xml:space="preserve"> it </w:t>
            </w:r>
            <w:r w:rsidRPr="005C5E32">
              <w:t>would not be achieved in 2025/26. Q</w:t>
            </w:r>
            <w:r w:rsidR="003A0439" w:rsidRPr="005C5E32">
              <w:t xml:space="preserve">uarters </w:t>
            </w:r>
            <w:r w:rsidRPr="005C5E32">
              <w:t xml:space="preserve">1 and 2 of 2025/26 were consumed with compliance engagement and data verification ahead of </w:t>
            </w:r>
            <w:r w:rsidR="00312667" w:rsidRPr="005C5E32">
              <w:t>territorial authority</w:t>
            </w:r>
            <w:r w:rsidRPr="005C5E32">
              <w:t xml:space="preserve"> audits for the first submission of obligated reporting. Increased engagement across all 67 </w:t>
            </w:r>
            <w:r w:rsidR="00312667" w:rsidRPr="005C5E32">
              <w:t xml:space="preserve">territorial authorities </w:t>
            </w:r>
            <w:r w:rsidRPr="005C5E32">
              <w:t>has significantly improved the quality of data available to the Ministry for the new regulatory</w:t>
            </w:r>
            <w:r w:rsidR="009F464D" w:rsidRPr="005C5E32">
              <w:t xml:space="preserve"> regime of</w:t>
            </w:r>
            <w:r w:rsidRPr="005C5E32">
              <w:t xml:space="preserve"> obligat</w:t>
            </w:r>
            <w:r w:rsidR="009F464D" w:rsidRPr="005C5E32">
              <w:t>ed</w:t>
            </w:r>
            <w:r w:rsidRPr="005C5E32">
              <w:t xml:space="preserve"> levy spend. </w:t>
            </w:r>
            <w:r w:rsidR="00312667" w:rsidRPr="005C5E32">
              <w:t xml:space="preserve">Nine audits (50 percent of the goal) were achieved in </w:t>
            </w:r>
            <w:r w:rsidR="003A0439" w:rsidRPr="005C5E32">
              <w:t xml:space="preserve">quarters </w:t>
            </w:r>
            <w:r w:rsidRPr="005C5E32">
              <w:t xml:space="preserve">3 and 4. </w:t>
            </w:r>
          </w:p>
        </w:tc>
      </w:tr>
    </w:tbl>
    <w:p w14:paraId="361D4948" w14:textId="77777777" w:rsidR="001003F8" w:rsidRPr="005C5E32" w:rsidRDefault="001003F8" w:rsidP="003B4A7F">
      <w:pPr>
        <w:pStyle w:val="Heading4"/>
      </w:pPr>
      <w:bookmarkStart w:id="157" w:name="_Toc173852913"/>
      <w:bookmarkStart w:id="158" w:name="_Toc173931482"/>
      <w:bookmarkStart w:id="159" w:name="_Toc173932216"/>
      <w:r w:rsidRPr="005C5E32">
        <w:t>Non-departmental output expenses</w:t>
      </w:r>
    </w:p>
    <w:p w14:paraId="1C911B83" w14:textId="77777777" w:rsidR="001003F8" w:rsidRPr="005C5E32" w:rsidRDefault="001003F8" w:rsidP="002E77F1">
      <w:pPr>
        <w:pStyle w:val="Heading5"/>
        <w:spacing w:before="180" w:after="120"/>
        <w:rPr>
          <w:sz w:val="28"/>
        </w:rPr>
      </w:pPr>
      <w:r w:rsidRPr="005C5E32">
        <w:t>Contestable Waste Minimisation Fund</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3261"/>
        <w:gridCol w:w="1842"/>
        <w:gridCol w:w="1560"/>
        <w:gridCol w:w="1842"/>
      </w:tblGrid>
      <w:tr w:rsidR="001003F8" w:rsidRPr="005C5E32" w14:paraId="1E4521EC" w14:textId="77777777" w:rsidTr="003F38E7">
        <w:trPr>
          <w:tblHeader/>
        </w:trPr>
        <w:tc>
          <w:tcPr>
            <w:tcW w:w="3261" w:type="dxa"/>
            <w:shd w:val="clear" w:color="auto" w:fill="1B556B" w:themeFill="text2"/>
            <w:vAlign w:val="bottom"/>
          </w:tcPr>
          <w:p w14:paraId="05D92797" w14:textId="77777777" w:rsidR="001003F8" w:rsidRPr="005C5E32" w:rsidRDefault="001003F8" w:rsidP="008C19B4">
            <w:pPr>
              <w:pStyle w:val="TableTextbold"/>
              <w:spacing w:before="40" w:after="40"/>
              <w:rPr>
                <w:color w:val="FFFFFF" w:themeColor="background1"/>
              </w:rPr>
            </w:pPr>
            <w:r w:rsidRPr="005C5E32">
              <w:rPr>
                <w:color w:val="FFFFFF" w:themeColor="background1"/>
              </w:rPr>
              <w:t>Performance measure</w:t>
            </w:r>
          </w:p>
        </w:tc>
        <w:tc>
          <w:tcPr>
            <w:tcW w:w="1842" w:type="dxa"/>
            <w:shd w:val="clear" w:color="auto" w:fill="1B556B" w:themeFill="text2"/>
            <w:vAlign w:val="bottom"/>
          </w:tcPr>
          <w:p w14:paraId="76D08BC4" w14:textId="77777777" w:rsidR="001003F8" w:rsidRPr="005C5E32" w:rsidRDefault="001003F8" w:rsidP="008C19B4">
            <w:pPr>
              <w:pStyle w:val="TableTextbold"/>
              <w:spacing w:before="40" w:after="40"/>
              <w:rPr>
                <w:color w:val="FFFFFF" w:themeColor="background1"/>
              </w:rPr>
            </w:pPr>
            <w:r w:rsidRPr="005C5E32">
              <w:rPr>
                <w:color w:val="FFFFFF" w:themeColor="background1"/>
              </w:rPr>
              <w:t>2024/25 performance</w:t>
            </w:r>
          </w:p>
        </w:tc>
        <w:tc>
          <w:tcPr>
            <w:tcW w:w="1560" w:type="dxa"/>
            <w:shd w:val="clear" w:color="auto" w:fill="1B556B" w:themeFill="text2"/>
            <w:vAlign w:val="bottom"/>
          </w:tcPr>
          <w:p w14:paraId="398EDC15" w14:textId="77777777" w:rsidR="001003F8" w:rsidRPr="005C5E32" w:rsidRDefault="001003F8" w:rsidP="008C19B4">
            <w:pPr>
              <w:pStyle w:val="TableTextbold"/>
              <w:spacing w:before="40" w:after="40"/>
              <w:rPr>
                <w:color w:val="FFFFFF" w:themeColor="background1"/>
              </w:rPr>
            </w:pPr>
            <w:r w:rsidRPr="005C5E32">
              <w:rPr>
                <w:color w:val="FFFFFF" w:themeColor="background1"/>
              </w:rPr>
              <w:t>2025/26 target</w:t>
            </w:r>
          </w:p>
        </w:tc>
        <w:tc>
          <w:tcPr>
            <w:tcW w:w="1842" w:type="dxa"/>
            <w:shd w:val="clear" w:color="auto" w:fill="1B556B" w:themeFill="text2"/>
            <w:vAlign w:val="bottom"/>
          </w:tcPr>
          <w:p w14:paraId="389DF177" w14:textId="77777777" w:rsidR="001003F8" w:rsidRPr="005C5E32" w:rsidRDefault="001003F8" w:rsidP="008C19B4">
            <w:pPr>
              <w:pStyle w:val="TableTextbold"/>
              <w:spacing w:before="40" w:after="40"/>
              <w:rPr>
                <w:color w:val="FFFFFF" w:themeColor="background1"/>
              </w:rPr>
            </w:pPr>
            <w:r w:rsidRPr="005C5E32">
              <w:rPr>
                <w:color w:val="FFFFFF" w:themeColor="background1"/>
              </w:rPr>
              <w:t>2025/26 performance</w:t>
            </w:r>
          </w:p>
        </w:tc>
      </w:tr>
      <w:tr w:rsidR="001003F8" w:rsidRPr="005C5E32" w14:paraId="49C8EAB8" w14:textId="77777777" w:rsidTr="003F38E7">
        <w:tc>
          <w:tcPr>
            <w:tcW w:w="3261" w:type="dxa"/>
            <w:tcBorders>
              <w:bottom w:val="single" w:sz="4" w:space="0" w:color="1B556B" w:themeColor="text2"/>
            </w:tcBorders>
          </w:tcPr>
          <w:p w14:paraId="5D331D58" w14:textId="22F2DB23" w:rsidR="001003F8" w:rsidRPr="005C5E32" w:rsidRDefault="001003F8" w:rsidP="008C19B4">
            <w:pPr>
              <w:pStyle w:val="TableText"/>
              <w:spacing w:before="40" w:after="40"/>
            </w:pPr>
            <w:r w:rsidRPr="005C5E32">
              <w:t xml:space="preserve">Percentage of completed </w:t>
            </w:r>
            <w:r w:rsidRPr="005C5E32" w:rsidDel="00CD5FE9">
              <w:t>Waste Minimisation Fund</w:t>
            </w:r>
            <w:r w:rsidRPr="005C5E32">
              <w:t xml:space="preserve"> projects that have achieved a minimum of 80% of the stated objectives</w:t>
            </w:r>
          </w:p>
          <w:p w14:paraId="0CF9A52B" w14:textId="4FC5FB94" w:rsidR="001003F8" w:rsidRPr="005C5E32" w:rsidRDefault="001003F8" w:rsidP="008C19B4">
            <w:pPr>
              <w:pStyle w:val="Tablegreen"/>
              <w:spacing w:before="40" w:after="40"/>
              <w:rPr>
                <w:i/>
                <w:iCs/>
              </w:rPr>
            </w:pPr>
            <w:hyperlink w:anchor="_Note_10_–" w:history="1">
              <w:r w:rsidRPr="005C5E32">
                <w:rPr>
                  <w:rStyle w:val="Hyperlink"/>
                  <w:i/>
                  <w:iCs/>
                </w:rPr>
                <w:t>See note 10</w:t>
              </w:r>
            </w:hyperlink>
          </w:p>
        </w:tc>
        <w:tc>
          <w:tcPr>
            <w:tcW w:w="1842" w:type="dxa"/>
            <w:tcBorders>
              <w:bottom w:val="single" w:sz="4" w:space="0" w:color="1B556B" w:themeColor="text2"/>
            </w:tcBorders>
          </w:tcPr>
          <w:p w14:paraId="63FFFB9D" w14:textId="69F4AED4" w:rsidR="001003F8" w:rsidRPr="005C5E32" w:rsidRDefault="001003F8" w:rsidP="008C19B4">
            <w:pPr>
              <w:pStyle w:val="TableText"/>
              <w:spacing w:before="40" w:after="40"/>
            </w:pPr>
            <w:r w:rsidRPr="005C5E32">
              <w:t>83%</w:t>
            </w:r>
          </w:p>
        </w:tc>
        <w:tc>
          <w:tcPr>
            <w:tcW w:w="1560" w:type="dxa"/>
            <w:tcBorders>
              <w:bottom w:val="single" w:sz="4" w:space="0" w:color="1B556B" w:themeColor="text2"/>
            </w:tcBorders>
          </w:tcPr>
          <w:p w14:paraId="6E649352" w14:textId="77777777" w:rsidR="001003F8" w:rsidRPr="005C5E32" w:rsidRDefault="001003F8" w:rsidP="008C19B4">
            <w:pPr>
              <w:pStyle w:val="TableText"/>
              <w:spacing w:before="40" w:after="40"/>
            </w:pPr>
            <w:r w:rsidRPr="005C5E32">
              <w:t>80%</w:t>
            </w:r>
          </w:p>
        </w:tc>
        <w:tc>
          <w:tcPr>
            <w:tcW w:w="1842" w:type="dxa"/>
            <w:tcBorders>
              <w:bottom w:val="single" w:sz="4" w:space="0" w:color="1B556B" w:themeColor="text2"/>
            </w:tcBorders>
          </w:tcPr>
          <w:p w14:paraId="2374901A" w14:textId="77777777" w:rsidR="001003F8" w:rsidRPr="005C5E32" w:rsidRDefault="001003F8" w:rsidP="008C19B4">
            <w:pPr>
              <w:pStyle w:val="TableText"/>
              <w:spacing w:before="40" w:after="40"/>
            </w:pPr>
            <w:r w:rsidRPr="005C5E32">
              <w:t>87%</w:t>
            </w:r>
          </w:p>
        </w:tc>
      </w:tr>
      <w:tr w:rsidR="001003F8" w:rsidRPr="005C5E32" w14:paraId="5337978C" w14:textId="77777777" w:rsidTr="00DD0503">
        <w:tc>
          <w:tcPr>
            <w:tcW w:w="8505" w:type="dxa"/>
            <w:gridSpan w:val="4"/>
            <w:tcBorders>
              <w:bottom w:val="single" w:sz="12" w:space="0" w:color="1B556B" w:themeColor="text2"/>
            </w:tcBorders>
            <w:shd w:val="clear" w:color="auto" w:fill="D2DDE1" w:themeFill="background2"/>
          </w:tcPr>
          <w:p w14:paraId="3BE1744E" w14:textId="785C49DA" w:rsidR="001003F8" w:rsidRPr="005C5E32" w:rsidRDefault="001003F8" w:rsidP="008C19B4">
            <w:pPr>
              <w:pStyle w:val="TableText"/>
              <w:spacing w:before="40" w:after="40"/>
            </w:pPr>
            <w:r w:rsidRPr="005C5E32">
              <w:rPr>
                <w:b/>
                <w:bCs/>
              </w:rPr>
              <w:t xml:space="preserve">2025/26 commentary: </w:t>
            </w:r>
            <w:r w:rsidRPr="005C5E32">
              <w:t>Fifteen</w:t>
            </w:r>
            <w:r w:rsidRPr="005C5E32" w:rsidDel="00CD5FE9">
              <w:t xml:space="preserve"> WMF</w:t>
            </w:r>
            <w:r w:rsidR="00CD5FE9" w:rsidRPr="005C5E32">
              <w:t xml:space="preserve"> </w:t>
            </w:r>
            <w:r w:rsidRPr="005C5E32">
              <w:t xml:space="preserve">projects were completed, and </w:t>
            </w:r>
            <w:r w:rsidR="00B546D1" w:rsidRPr="005C5E32">
              <w:t xml:space="preserve">thirteen </w:t>
            </w:r>
            <w:r w:rsidRPr="005C5E32">
              <w:t xml:space="preserve">of them </w:t>
            </w:r>
            <w:r w:rsidR="006A6590" w:rsidRPr="005C5E32">
              <w:t xml:space="preserve">achieved </w:t>
            </w:r>
            <w:r w:rsidRPr="005C5E32">
              <w:t>100% of their objectives. Since 2022</w:t>
            </w:r>
            <w:r w:rsidR="00B546D1" w:rsidRPr="005C5E32">
              <w:t>,</w:t>
            </w:r>
            <w:r w:rsidRPr="005C5E32">
              <w:t xml:space="preserve"> the WMF</w:t>
            </w:r>
            <w:r w:rsidR="000369F8" w:rsidRPr="005C5E32">
              <w:t>’</w:t>
            </w:r>
            <w:r w:rsidRPr="005C5E32">
              <w:t xml:space="preserve">s primary focus </w:t>
            </w:r>
            <w:r w:rsidR="003A0439" w:rsidRPr="005C5E32">
              <w:t xml:space="preserve">has been on </w:t>
            </w:r>
            <w:r w:rsidRPr="005C5E32">
              <w:t xml:space="preserve">reducing landfill emissions from organic waste. </w:t>
            </w:r>
            <w:r w:rsidR="00AC5F39" w:rsidRPr="005C5E32">
              <w:t>For i</w:t>
            </w:r>
            <w:r w:rsidRPr="005C5E32">
              <w:t>nsights</w:t>
            </w:r>
            <w:r w:rsidR="00AC5F39" w:rsidRPr="005C5E32">
              <w:t>,</w:t>
            </w:r>
            <w:r w:rsidRPr="005C5E32">
              <w:t xml:space="preserve"> including forecast</w:t>
            </w:r>
            <w:r w:rsidR="00AC5F39" w:rsidRPr="005C5E32">
              <w:t>s for reduced</w:t>
            </w:r>
            <w:r w:rsidRPr="005C5E32">
              <w:t xml:space="preserve"> emissions</w:t>
            </w:r>
            <w:r w:rsidR="00AC5F39" w:rsidRPr="005C5E32">
              <w:t>,</w:t>
            </w:r>
            <w:r w:rsidRPr="005C5E32">
              <w:t xml:space="preserve"> </w:t>
            </w:r>
            <w:r w:rsidR="00AC5F39" w:rsidRPr="005C5E32">
              <w:t>see</w:t>
            </w:r>
            <w:r w:rsidR="0013097B" w:rsidRPr="005C5E32">
              <w:t xml:space="preserve"> the Ministry’s</w:t>
            </w:r>
            <w:r w:rsidRPr="005C5E32">
              <w:t xml:space="preserve"> </w:t>
            </w:r>
            <w:hyperlink r:id="rId72" w:history="1">
              <w:r w:rsidR="0013097B" w:rsidRPr="005C5E32">
                <w:rPr>
                  <w:rStyle w:val="Hyperlink"/>
                  <w:rFonts w:cstheme="minorBidi"/>
                  <w:szCs w:val="22"/>
                </w:rPr>
                <w:t>Waste investments snapshot</w:t>
              </w:r>
            </w:hyperlink>
            <w:r w:rsidR="0013097B" w:rsidRPr="005C5E32">
              <w:t xml:space="preserve"> webpage</w:t>
            </w:r>
            <w:r w:rsidRPr="005C5E32">
              <w:t>.</w:t>
            </w:r>
            <w:r w:rsidR="00D64965" w:rsidRPr="005C5E32">
              <w:t xml:space="preserve"> </w:t>
            </w:r>
          </w:p>
        </w:tc>
      </w:tr>
      <w:tr w:rsidR="001003F8" w:rsidRPr="005C5E32" w14:paraId="1B435B53" w14:textId="77777777" w:rsidTr="003F38E7">
        <w:tc>
          <w:tcPr>
            <w:tcW w:w="3261" w:type="dxa"/>
            <w:tcBorders>
              <w:top w:val="single" w:sz="12" w:space="0" w:color="1B556B" w:themeColor="text2"/>
              <w:bottom w:val="single" w:sz="4" w:space="0" w:color="1B556B" w:themeColor="text2"/>
            </w:tcBorders>
          </w:tcPr>
          <w:p w14:paraId="16BDAD14" w14:textId="77777777" w:rsidR="001003F8" w:rsidRPr="005C5E32" w:rsidRDefault="001003F8" w:rsidP="00DA3CD8">
            <w:pPr>
              <w:pStyle w:val="TableText"/>
              <w:keepNext/>
              <w:spacing w:before="40" w:after="40" w:line="234" w:lineRule="atLeast"/>
            </w:pPr>
            <w:r w:rsidRPr="005C5E32">
              <w:lastRenderedPageBreak/>
              <w:t>Percentage of completed Plastics Innovation Fund projects that have achieved a minimum of 80% of the stated objectives</w:t>
            </w:r>
          </w:p>
          <w:p w14:paraId="05A59C3B" w14:textId="59F676A0" w:rsidR="001003F8" w:rsidRPr="005C5E32" w:rsidRDefault="001003F8" w:rsidP="00DA3CD8">
            <w:pPr>
              <w:pStyle w:val="Tablegreen"/>
              <w:spacing w:before="40" w:after="40" w:line="234" w:lineRule="atLeast"/>
              <w:rPr>
                <w:i/>
                <w:iCs/>
              </w:rPr>
            </w:pPr>
            <w:hyperlink w:anchor="_Note_11_–" w:history="1">
              <w:r w:rsidRPr="005C5E32">
                <w:rPr>
                  <w:rStyle w:val="Hyperlink"/>
                  <w:i/>
                  <w:iCs/>
                </w:rPr>
                <w:t>See note 11</w:t>
              </w:r>
            </w:hyperlink>
          </w:p>
        </w:tc>
        <w:tc>
          <w:tcPr>
            <w:tcW w:w="1842" w:type="dxa"/>
            <w:tcBorders>
              <w:top w:val="single" w:sz="12" w:space="0" w:color="1B556B" w:themeColor="text2"/>
              <w:bottom w:val="single" w:sz="4" w:space="0" w:color="1B556B" w:themeColor="text2"/>
            </w:tcBorders>
          </w:tcPr>
          <w:p w14:paraId="3A3F8B00" w14:textId="442553F2" w:rsidR="001003F8" w:rsidRPr="005C5E32" w:rsidRDefault="001003F8" w:rsidP="00DA3CD8">
            <w:pPr>
              <w:pStyle w:val="TableText"/>
              <w:spacing w:before="40" w:after="40" w:line="234" w:lineRule="atLeast"/>
            </w:pPr>
            <w:r w:rsidRPr="005C5E32">
              <w:t>80%</w:t>
            </w:r>
          </w:p>
        </w:tc>
        <w:tc>
          <w:tcPr>
            <w:tcW w:w="1560" w:type="dxa"/>
            <w:tcBorders>
              <w:top w:val="single" w:sz="12" w:space="0" w:color="1B556B" w:themeColor="text2"/>
              <w:bottom w:val="single" w:sz="4" w:space="0" w:color="1B556B" w:themeColor="text2"/>
            </w:tcBorders>
          </w:tcPr>
          <w:p w14:paraId="32C452EC" w14:textId="77777777" w:rsidR="001003F8" w:rsidRPr="005C5E32" w:rsidRDefault="001003F8" w:rsidP="00DA3CD8">
            <w:pPr>
              <w:pStyle w:val="TableText"/>
              <w:spacing w:before="40" w:after="40" w:line="234" w:lineRule="atLeast"/>
            </w:pPr>
            <w:r w:rsidRPr="005C5E32">
              <w:t>80%</w:t>
            </w:r>
          </w:p>
        </w:tc>
        <w:tc>
          <w:tcPr>
            <w:tcW w:w="1842" w:type="dxa"/>
            <w:tcBorders>
              <w:top w:val="single" w:sz="12" w:space="0" w:color="1B556B" w:themeColor="text2"/>
              <w:bottom w:val="single" w:sz="4" w:space="0" w:color="1B556B" w:themeColor="text2"/>
            </w:tcBorders>
          </w:tcPr>
          <w:p w14:paraId="30ADEBFF" w14:textId="4806FE2A" w:rsidR="001003F8" w:rsidRPr="00D75F2A" w:rsidRDefault="00824295" w:rsidP="00DA3CD8">
            <w:pPr>
              <w:pStyle w:val="TableText"/>
              <w:spacing w:before="40" w:after="40" w:line="234" w:lineRule="atLeast"/>
            </w:pPr>
            <w:r w:rsidRPr="00B37B5C">
              <w:t>75</w:t>
            </w:r>
            <w:r w:rsidR="001003F8" w:rsidRPr="00B37B5C">
              <w:t>%</w:t>
            </w:r>
          </w:p>
        </w:tc>
      </w:tr>
      <w:tr w:rsidR="001003F8" w:rsidRPr="005C5E32" w14:paraId="351CE113" w14:textId="77777777" w:rsidTr="00DD0503">
        <w:tc>
          <w:tcPr>
            <w:tcW w:w="8505" w:type="dxa"/>
            <w:gridSpan w:val="4"/>
            <w:tcBorders>
              <w:bottom w:val="single" w:sz="12" w:space="0" w:color="1B556B" w:themeColor="text2"/>
            </w:tcBorders>
            <w:shd w:val="clear" w:color="auto" w:fill="D2DDE1" w:themeFill="background2"/>
          </w:tcPr>
          <w:p w14:paraId="02132FC9" w14:textId="2C19ABA8" w:rsidR="001003F8" w:rsidRPr="005C5E32" w:rsidRDefault="001003F8" w:rsidP="008C19B4">
            <w:pPr>
              <w:pStyle w:val="TableText"/>
              <w:spacing w:before="40" w:after="40"/>
              <w:rPr>
                <w:rFonts w:asciiTheme="minorHAnsi" w:hAnsiTheme="minorHAnsi" w:cstheme="minorBidi"/>
              </w:rPr>
            </w:pPr>
            <w:r w:rsidRPr="005C5E32">
              <w:rPr>
                <w:b/>
                <w:bCs/>
              </w:rPr>
              <w:t>2025/26 commentary</w:t>
            </w:r>
            <w:r w:rsidRPr="005C5E32">
              <w:rPr>
                <w:rFonts w:cs="Arial"/>
              </w:rPr>
              <w:t xml:space="preserve">: </w:t>
            </w:r>
            <w:r w:rsidRPr="005C5E32">
              <w:rPr>
                <w:rFonts w:cs="Arial"/>
                <w:szCs w:val="22"/>
              </w:rPr>
              <w:t>F</w:t>
            </w:r>
            <w:r w:rsidRPr="005C5E32">
              <w:rPr>
                <w:rFonts w:cs="Arial"/>
              </w:rPr>
              <w:t>our</w:t>
            </w:r>
            <w:r w:rsidRPr="005C5E32">
              <w:rPr>
                <w:rFonts w:cs="Arial"/>
                <w:szCs w:val="22"/>
              </w:rPr>
              <w:t xml:space="preserve"> Plastics Innovation Fund projects were completed, and </w:t>
            </w:r>
            <w:r w:rsidRPr="005C5E32">
              <w:rPr>
                <w:rFonts w:cs="Arial"/>
              </w:rPr>
              <w:t>three</w:t>
            </w:r>
            <w:r w:rsidRPr="005C5E32">
              <w:rPr>
                <w:rFonts w:cs="Arial"/>
                <w:szCs w:val="22"/>
              </w:rPr>
              <w:t xml:space="preserve"> of them </w:t>
            </w:r>
            <w:r w:rsidR="006A6590" w:rsidRPr="005C5E32">
              <w:rPr>
                <w:rFonts w:cs="Arial"/>
                <w:szCs w:val="22"/>
              </w:rPr>
              <w:t xml:space="preserve">achieved </w:t>
            </w:r>
            <w:r w:rsidRPr="005C5E32">
              <w:rPr>
                <w:rFonts w:cs="Arial"/>
                <w:szCs w:val="22"/>
              </w:rPr>
              <w:t>100% of their objectives</w:t>
            </w:r>
            <w:r w:rsidRPr="005C5E32">
              <w:rPr>
                <w:rFonts w:cs="Arial"/>
              </w:rPr>
              <w:t xml:space="preserve">. </w:t>
            </w:r>
            <w:r w:rsidR="00DB2E58" w:rsidRPr="005C5E32">
              <w:rPr>
                <w:rFonts w:cs="Arial"/>
              </w:rPr>
              <w:t xml:space="preserve">One project </w:t>
            </w:r>
            <w:r w:rsidR="006A6590" w:rsidRPr="005C5E32">
              <w:rPr>
                <w:rFonts w:cs="Arial"/>
              </w:rPr>
              <w:t>a</w:t>
            </w:r>
            <w:r w:rsidR="006A6590" w:rsidRPr="005C5E32">
              <w:rPr>
                <w:rFonts w:cs="Arial"/>
                <w:szCs w:val="22"/>
              </w:rPr>
              <w:t>chieved</w:t>
            </w:r>
            <w:r w:rsidR="00DB2E58" w:rsidRPr="005C5E32">
              <w:rPr>
                <w:rFonts w:cs="Arial"/>
              </w:rPr>
              <w:t xml:space="preserve"> two of its three objectives (67%)</w:t>
            </w:r>
            <w:r w:rsidR="00AC5F39" w:rsidRPr="005C5E32">
              <w:rPr>
                <w:rFonts w:cs="Arial"/>
              </w:rPr>
              <w:t xml:space="preserve">; it partially </w:t>
            </w:r>
            <w:r w:rsidR="006A6590" w:rsidRPr="005C5E32">
              <w:rPr>
                <w:rFonts w:cs="Arial"/>
              </w:rPr>
              <w:t>achieved</w:t>
            </w:r>
            <w:r w:rsidR="00DB2E58" w:rsidRPr="005C5E32">
              <w:rPr>
                <w:rFonts w:cs="Arial"/>
              </w:rPr>
              <w:t xml:space="preserve"> the third objective during the reporting period, </w:t>
            </w:r>
            <w:r w:rsidR="00AC5F39" w:rsidRPr="005C5E32">
              <w:rPr>
                <w:rFonts w:cs="Arial"/>
              </w:rPr>
              <w:t xml:space="preserve">but </w:t>
            </w:r>
            <w:r w:rsidR="00DB2E58" w:rsidRPr="005C5E32">
              <w:rPr>
                <w:rFonts w:cs="Arial"/>
              </w:rPr>
              <w:t xml:space="preserve">external factors influenced the pace </w:t>
            </w:r>
            <w:r w:rsidR="00EB77A4" w:rsidRPr="005C5E32">
              <w:rPr>
                <w:rFonts w:cs="Arial"/>
              </w:rPr>
              <w:t xml:space="preserve">at which it could realise </w:t>
            </w:r>
            <w:r w:rsidR="00DB2E58" w:rsidRPr="005C5E32">
              <w:rPr>
                <w:rFonts w:cs="Arial"/>
              </w:rPr>
              <w:t>benefit</w:t>
            </w:r>
            <w:r w:rsidR="00EB77A4" w:rsidRPr="005C5E32">
              <w:rPr>
                <w:rFonts w:cs="Arial"/>
              </w:rPr>
              <w:t>s</w:t>
            </w:r>
            <w:r w:rsidR="00DB2E58" w:rsidRPr="005C5E32">
              <w:rPr>
                <w:rFonts w:cs="Arial"/>
              </w:rPr>
              <w:t>. The project has established a strong foundation for continued progress, and the recipient has demonstrated a commitment to supporting ongoing uptake and maximising future outcomes.</w:t>
            </w:r>
          </w:p>
        </w:tc>
      </w:tr>
    </w:tbl>
    <w:p w14:paraId="2FF37271" w14:textId="777C7ACF" w:rsidR="001003F8" w:rsidRPr="005C5E32" w:rsidRDefault="001003F8" w:rsidP="002E77F1">
      <w:pPr>
        <w:pStyle w:val="Heading5"/>
        <w:spacing w:after="120"/>
        <w:rPr>
          <w:sz w:val="28"/>
        </w:rPr>
      </w:pPr>
      <w:r w:rsidRPr="005C5E32">
        <w:t>Environmental Investment Fund</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3261"/>
        <w:gridCol w:w="1842"/>
        <w:gridCol w:w="1560"/>
        <w:gridCol w:w="1842"/>
      </w:tblGrid>
      <w:tr w:rsidR="001003F8" w:rsidRPr="005C5E32" w14:paraId="5A319ED1" w14:textId="77777777" w:rsidTr="00B76396">
        <w:trPr>
          <w:tblHeader/>
        </w:trPr>
        <w:tc>
          <w:tcPr>
            <w:tcW w:w="3261" w:type="dxa"/>
            <w:shd w:val="clear" w:color="auto" w:fill="1B556B" w:themeFill="text2"/>
            <w:vAlign w:val="bottom"/>
          </w:tcPr>
          <w:p w14:paraId="297A300B" w14:textId="77777777" w:rsidR="001003F8" w:rsidRPr="005C5E32" w:rsidRDefault="001003F8" w:rsidP="003D0CC1">
            <w:pPr>
              <w:pStyle w:val="TableTextbold"/>
              <w:spacing w:before="40" w:after="40"/>
              <w:rPr>
                <w:color w:val="FFFFFF" w:themeColor="background1"/>
              </w:rPr>
            </w:pPr>
            <w:r w:rsidRPr="005C5E32">
              <w:rPr>
                <w:color w:val="FFFFFF" w:themeColor="background1"/>
              </w:rPr>
              <w:t>Performance measure</w:t>
            </w:r>
          </w:p>
        </w:tc>
        <w:tc>
          <w:tcPr>
            <w:tcW w:w="1842" w:type="dxa"/>
            <w:shd w:val="clear" w:color="auto" w:fill="1B556B" w:themeFill="text2"/>
            <w:vAlign w:val="bottom"/>
          </w:tcPr>
          <w:p w14:paraId="4F91EB6A" w14:textId="77777777" w:rsidR="001003F8" w:rsidRPr="005C5E32" w:rsidRDefault="001003F8" w:rsidP="003D0CC1">
            <w:pPr>
              <w:pStyle w:val="TableTextbold"/>
              <w:spacing w:before="40" w:after="40"/>
              <w:rPr>
                <w:color w:val="FFFFFF" w:themeColor="background1"/>
              </w:rPr>
            </w:pPr>
            <w:r w:rsidRPr="005C5E32">
              <w:rPr>
                <w:color w:val="FFFFFF" w:themeColor="background1"/>
              </w:rPr>
              <w:t>2024/25 performance</w:t>
            </w:r>
          </w:p>
        </w:tc>
        <w:tc>
          <w:tcPr>
            <w:tcW w:w="1560" w:type="dxa"/>
            <w:shd w:val="clear" w:color="auto" w:fill="1B556B" w:themeFill="text2"/>
            <w:vAlign w:val="bottom"/>
          </w:tcPr>
          <w:p w14:paraId="2C011E0C"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target</w:t>
            </w:r>
          </w:p>
        </w:tc>
        <w:tc>
          <w:tcPr>
            <w:tcW w:w="1842" w:type="dxa"/>
            <w:shd w:val="clear" w:color="auto" w:fill="1B556B" w:themeFill="text2"/>
            <w:vAlign w:val="bottom"/>
          </w:tcPr>
          <w:p w14:paraId="41EA7259"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performance</w:t>
            </w:r>
          </w:p>
        </w:tc>
      </w:tr>
      <w:tr w:rsidR="001003F8" w:rsidRPr="005C5E32" w14:paraId="3FD1601E" w14:textId="77777777" w:rsidTr="00B76396">
        <w:tc>
          <w:tcPr>
            <w:tcW w:w="3261" w:type="dxa"/>
            <w:tcBorders>
              <w:bottom w:val="single" w:sz="4" w:space="0" w:color="1B556B" w:themeColor="text2"/>
            </w:tcBorders>
          </w:tcPr>
          <w:p w14:paraId="3CA693A3" w14:textId="77777777" w:rsidR="001003F8" w:rsidRPr="005C5E32" w:rsidRDefault="001003F8" w:rsidP="00DA3CD8">
            <w:pPr>
              <w:pStyle w:val="TableText"/>
              <w:keepNext/>
              <w:spacing w:before="40" w:after="40" w:line="234" w:lineRule="atLeast"/>
              <w:rPr>
                <w:szCs w:val="18"/>
              </w:rPr>
            </w:pPr>
            <w:r w:rsidRPr="005C5E32">
              <w:rPr>
                <w:spacing w:val="-2"/>
                <w:szCs w:val="18"/>
              </w:rPr>
              <w:t>Percentage of completed contaminated</w:t>
            </w:r>
            <w:r w:rsidRPr="005C5E32">
              <w:rPr>
                <w:szCs w:val="18"/>
              </w:rPr>
              <w:t xml:space="preserve"> sites and vulnerable landfill projects that achieve stated objectives</w:t>
            </w:r>
          </w:p>
          <w:p w14:paraId="5D7ABAA4" w14:textId="229CF909" w:rsidR="001003F8" w:rsidRPr="005C5E32" w:rsidRDefault="001003F8" w:rsidP="00DA3CD8">
            <w:pPr>
              <w:pStyle w:val="Tablegreen"/>
              <w:spacing w:before="40" w:after="40" w:line="234" w:lineRule="atLeast"/>
              <w:rPr>
                <w:szCs w:val="18"/>
              </w:rPr>
            </w:pPr>
            <w:hyperlink w:anchor="_Note_12_–" w:history="1">
              <w:r w:rsidRPr="005C5E32">
                <w:rPr>
                  <w:rStyle w:val="Hyperlink"/>
                  <w:i/>
                  <w:iCs/>
                </w:rPr>
                <w:t>See note 12</w:t>
              </w:r>
            </w:hyperlink>
          </w:p>
        </w:tc>
        <w:tc>
          <w:tcPr>
            <w:tcW w:w="1842" w:type="dxa"/>
            <w:tcBorders>
              <w:bottom w:val="single" w:sz="4" w:space="0" w:color="1B556B" w:themeColor="text2"/>
            </w:tcBorders>
          </w:tcPr>
          <w:p w14:paraId="48570B08" w14:textId="77777777" w:rsidR="001003F8" w:rsidRPr="005C5E32" w:rsidRDefault="001003F8" w:rsidP="00DA3CD8">
            <w:pPr>
              <w:pStyle w:val="TableText"/>
              <w:spacing w:before="40" w:after="40" w:line="234" w:lineRule="atLeast"/>
              <w:rPr>
                <w:szCs w:val="18"/>
              </w:rPr>
            </w:pPr>
            <w:r w:rsidRPr="005C5E32">
              <w:rPr>
                <w:szCs w:val="18"/>
              </w:rPr>
              <w:t>100%</w:t>
            </w:r>
          </w:p>
        </w:tc>
        <w:tc>
          <w:tcPr>
            <w:tcW w:w="1560" w:type="dxa"/>
            <w:tcBorders>
              <w:bottom w:val="single" w:sz="4" w:space="0" w:color="1B556B" w:themeColor="text2"/>
            </w:tcBorders>
          </w:tcPr>
          <w:p w14:paraId="4E4F097F" w14:textId="77777777" w:rsidR="001003F8" w:rsidRPr="005C5E32" w:rsidRDefault="001003F8" w:rsidP="00DA3CD8">
            <w:pPr>
              <w:pStyle w:val="TableText"/>
              <w:spacing w:before="40" w:after="40" w:line="234" w:lineRule="atLeast"/>
              <w:rPr>
                <w:szCs w:val="18"/>
              </w:rPr>
            </w:pPr>
            <w:r w:rsidRPr="005C5E32">
              <w:rPr>
                <w:szCs w:val="18"/>
              </w:rPr>
              <w:t>100%</w:t>
            </w:r>
          </w:p>
        </w:tc>
        <w:tc>
          <w:tcPr>
            <w:tcW w:w="1842" w:type="dxa"/>
            <w:tcBorders>
              <w:bottom w:val="single" w:sz="4" w:space="0" w:color="1B556B" w:themeColor="text2"/>
            </w:tcBorders>
          </w:tcPr>
          <w:p w14:paraId="492C33F0" w14:textId="77777777" w:rsidR="001003F8" w:rsidRPr="005C5E32" w:rsidRDefault="001003F8" w:rsidP="00DA3CD8">
            <w:pPr>
              <w:pStyle w:val="TableText"/>
              <w:spacing w:before="40" w:after="40" w:line="234" w:lineRule="atLeast"/>
              <w:rPr>
                <w:szCs w:val="18"/>
              </w:rPr>
            </w:pPr>
            <w:r w:rsidRPr="005C5E32">
              <w:rPr>
                <w:szCs w:val="18"/>
              </w:rPr>
              <w:t>83%</w:t>
            </w:r>
          </w:p>
        </w:tc>
      </w:tr>
      <w:tr w:rsidR="001003F8" w:rsidRPr="005C5E32" w14:paraId="551D8190" w14:textId="77777777" w:rsidTr="00B76396">
        <w:tc>
          <w:tcPr>
            <w:tcW w:w="8505" w:type="dxa"/>
            <w:gridSpan w:val="4"/>
            <w:tcBorders>
              <w:bottom w:val="single" w:sz="4" w:space="0" w:color="1B556B" w:themeColor="text2"/>
            </w:tcBorders>
            <w:shd w:val="clear" w:color="auto" w:fill="D2DDE1" w:themeFill="background2"/>
          </w:tcPr>
          <w:p w14:paraId="5E61483F" w14:textId="7D43B646" w:rsidR="001003F8" w:rsidRPr="005C5E32" w:rsidDel="00052563" w:rsidRDefault="001003F8">
            <w:pPr>
              <w:pStyle w:val="TableText"/>
              <w:spacing w:before="40" w:after="40"/>
              <w:rPr>
                <w:szCs w:val="18"/>
              </w:rPr>
            </w:pPr>
            <w:r w:rsidRPr="005C5E32">
              <w:rPr>
                <w:b/>
                <w:bCs/>
                <w:szCs w:val="18"/>
              </w:rPr>
              <w:t xml:space="preserve">2025/26 commentary: </w:t>
            </w:r>
            <w:r w:rsidRPr="005C5E32">
              <w:rPr>
                <w:szCs w:val="18"/>
              </w:rPr>
              <w:t xml:space="preserve">Six contaminated sites and vulnerable landfill projects were completed. Five </w:t>
            </w:r>
            <w:r w:rsidR="006A6590" w:rsidRPr="005C5E32">
              <w:rPr>
                <w:szCs w:val="18"/>
              </w:rPr>
              <w:t xml:space="preserve">achieved </w:t>
            </w:r>
            <w:r w:rsidRPr="005C5E32">
              <w:rPr>
                <w:szCs w:val="18"/>
              </w:rPr>
              <w:t>100% of their objectives. One project achieved two of its objectives and partially achieved the third</w:t>
            </w:r>
            <w:r w:rsidR="0010136B" w:rsidRPr="005C5E32">
              <w:rPr>
                <w:szCs w:val="18"/>
              </w:rPr>
              <w:t>,</w:t>
            </w:r>
            <w:r w:rsidRPr="005C5E32">
              <w:rPr>
                <w:szCs w:val="18"/>
              </w:rPr>
              <w:t xml:space="preserve"> because an independent review of the report was not completed before the project closed.</w:t>
            </w:r>
            <w:r w:rsidRPr="005C5E32" w:rsidDel="00B32497">
              <w:rPr>
                <w:szCs w:val="18"/>
              </w:rPr>
              <w:t xml:space="preserve"> </w:t>
            </w:r>
            <w:r w:rsidRPr="005C5E32">
              <w:rPr>
                <w:szCs w:val="18"/>
              </w:rPr>
              <w:t xml:space="preserve">All the projects were originally awarded funding via the Contaminated Sites Remediation Fund, which has now been replaced by the </w:t>
            </w:r>
            <w:r w:rsidR="0010136B" w:rsidRPr="005C5E32">
              <w:rPr>
                <w:szCs w:val="18"/>
              </w:rPr>
              <w:t>CSVLF</w:t>
            </w:r>
            <w:r w:rsidRPr="005C5E32">
              <w:rPr>
                <w:szCs w:val="18"/>
              </w:rPr>
              <w:t>.</w:t>
            </w:r>
          </w:p>
        </w:tc>
      </w:tr>
      <w:tr w:rsidR="001003F8" w:rsidRPr="005C5E32" w14:paraId="4A25CEC6" w14:textId="77777777" w:rsidTr="00B76396">
        <w:tc>
          <w:tcPr>
            <w:tcW w:w="3261" w:type="dxa"/>
            <w:tcBorders>
              <w:bottom w:val="single" w:sz="4" w:space="0" w:color="1B556B" w:themeColor="text2"/>
            </w:tcBorders>
          </w:tcPr>
          <w:p w14:paraId="680041A2" w14:textId="77777777" w:rsidR="001003F8" w:rsidRPr="005C5E32" w:rsidRDefault="001003F8" w:rsidP="00DA3CD8">
            <w:pPr>
              <w:pStyle w:val="TableText"/>
              <w:spacing w:before="40" w:after="40" w:line="234" w:lineRule="atLeast"/>
              <w:rPr>
                <w:szCs w:val="18"/>
              </w:rPr>
            </w:pPr>
            <w:r w:rsidRPr="005C5E32">
              <w:rPr>
                <w:spacing w:val="-2"/>
                <w:szCs w:val="18"/>
              </w:rPr>
              <w:t>Percentage of Kaipara Moana Remediation</w:t>
            </w:r>
            <w:r w:rsidRPr="005C5E32">
              <w:rPr>
                <w:szCs w:val="18"/>
              </w:rPr>
              <w:t xml:space="preserve"> Programme projects that are on track to achieve their stated objectives</w:t>
            </w:r>
          </w:p>
          <w:p w14:paraId="6CE2D943" w14:textId="70EE37A4" w:rsidR="001003F8" w:rsidRPr="005C5E32" w:rsidRDefault="001003F8" w:rsidP="00DA3CD8">
            <w:pPr>
              <w:pStyle w:val="Tablegreen"/>
              <w:spacing w:before="40" w:after="40" w:line="234" w:lineRule="atLeast"/>
            </w:pPr>
            <w:hyperlink w:anchor="_Note_13_–" w:history="1">
              <w:r w:rsidRPr="005C5E32">
                <w:rPr>
                  <w:rStyle w:val="Hyperlink"/>
                  <w:i/>
                  <w:iCs/>
                </w:rPr>
                <w:t>See note 13</w:t>
              </w:r>
            </w:hyperlink>
            <w:r w:rsidRPr="005C5E32">
              <w:rPr>
                <w:i/>
                <w:iCs/>
              </w:rPr>
              <w:t xml:space="preserve"> </w:t>
            </w:r>
          </w:p>
        </w:tc>
        <w:tc>
          <w:tcPr>
            <w:tcW w:w="1842" w:type="dxa"/>
            <w:tcBorders>
              <w:bottom w:val="single" w:sz="4" w:space="0" w:color="1B556B" w:themeColor="text2"/>
            </w:tcBorders>
          </w:tcPr>
          <w:p w14:paraId="55B5D161" w14:textId="77777777" w:rsidR="001003F8" w:rsidRPr="005C5E32" w:rsidRDefault="001003F8" w:rsidP="00DA3CD8">
            <w:pPr>
              <w:pStyle w:val="TableText"/>
              <w:spacing w:before="40" w:after="40" w:line="234" w:lineRule="atLeast"/>
              <w:rPr>
                <w:szCs w:val="18"/>
              </w:rPr>
            </w:pPr>
            <w:r w:rsidRPr="005C5E32">
              <w:rPr>
                <w:szCs w:val="18"/>
              </w:rPr>
              <w:t>100%</w:t>
            </w:r>
          </w:p>
        </w:tc>
        <w:tc>
          <w:tcPr>
            <w:tcW w:w="1560" w:type="dxa"/>
            <w:tcBorders>
              <w:bottom w:val="single" w:sz="4" w:space="0" w:color="1B556B" w:themeColor="text2"/>
            </w:tcBorders>
          </w:tcPr>
          <w:p w14:paraId="3B2E61C3" w14:textId="77777777" w:rsidR="001003F8" w:rsidRPr="005C5E32" w:rsidRDefault="001003F8" w:rsidP="00DA3CD8">
            <w:pPr>
              <w:pStyle w:val="TableText"/>
              <w:spacing w:before="40" w:after="40" w:line="234" w:lineRule="atLeast"/>
              <w:rPr>
                <w:szCs w:val="18"/>
              </w:rPr>
            </w:pPr>
            <w:r w:rsidRPr="005C5E32">
              <w:rPr>
                <w:szCs w:val="18"/>
              </w:rPr>
              <w:t>80%</w:t>
            </w:r>
          </w:p>
        </w:tc>
        <w:tc>
          <w:tcPr>
            <w:tcW w:w="1842" w:type="dxa"/>
            <w:tcBorders>
              <w:bottom w:val="single" w:sz="4" w:space="0" w:color="1B556B" w:themeColor="text2"/>
            </w:tcBorders>
          </w:tcPr>
          <w:p w14:paraId="7D69426A" w14:textId="63011DE6" w:rsidR="001003F8" w:rsidRPr="005C5E32" w:rsidRDefault="00042D0C" w:rsidP="00DA3CD8">
            <w:pPr>
              <w:pStyle w:val="TableText"/>
              <w:spacing w:before="40" w:after="40" w:line="234" w:lineRule="atLeast"/>
              <w:rPr>
                <w:szCs w:val="18"/>
              </w:rPr>
            </w:pPr>
            <w:r w:rsidRPr="005C5E32">
              <w:t>100%</w:t>
            </w:r>
          </w:p>
        </w:tc>
      </w:tr>
      <w:tr w:rsidR="001003F8" w:rsidRPr="005C5E32" w14:paraId="1C2525FB" w14:textId="77777777" w:rsidTr="00B76396">
        <w:tc>
          <w:tcPr>
            <w:tcW w:w="8505" w:type="dxa"/>
            <w:gridSpan w:val="4"/>
            <w:tcBorders>
              <w:bottom w:val="single" w:sz="4" w:space="0" w:color="1B556B" w:themeColor="text2"/>
            </w:tcBorders>
            <w:shd w:val="clear" w:color="auto" w:fill="D2DDE1" w:themeFill="background2"/>
          </w:tcPr>
          <w:p w14:paraId="277A5BEC" w14:textId="11EB5ED6" w:rsidR="001003F8" w:rsidRPr="005C5E32" w:rsidRDefault="001003F8">
            <w:pPr>
              <w:pStyle w:val="TableText"/>
              <w:spacing w:before="40" w:after="40"/>
              <w:rPr>
                <w:b/>
                <w:bCs/>
              </w:rPr>
            </w:pPr>
            <w:r w:rsidRPr="005C5E32">
              <w:rPr>
                <w:b/>
              </w:rPr>
              <w:t xml:space="preserve">2025/26 commentary: </w:t>
            </w:r>
            <w:r w:rsidRPr="005C5E32">
              <w:t xml:space="preserve">The </w:t>
            </w:r>
            <w:r w:rsidR="00357B88" w:rsidRPr="005C5E32">
              <w:t xml:space="preserve">Kaipara Moana Remediation Programme is on track to </w:t>
            </w:r>
            <w:r w:rsidR="006A6590" w:rsidRPr="005C5E32">
              <w:t xml:space="preserve">achieve </w:t>
            </w:r>
            <w:r w:rsidRPr="005C5E32">
              <w:t>its stated objectives.</w:t>
            </w:r>
          </w:p>
        </w:tc>
      </w:tr>
      <w:tr w:rsidR="001003F8" w:rsidRPr="005C5E32" w14:paraId="5EEAD969" w14:textId="77777777" w:rsidTr="00B76396">
        <w:tc>
          <w:tcPr>
            <w:tcW w:w="3261" w:type="dxa"/>
            <w:tcBorders>
              <w:bottom w:val="single" w:sz="4" w:space="0" w:color="1B556B" w:themeColor="text2"/>
            </w:tcBorders>
          </w:tcPr>
          <w:p w14:paraId="582EDF54" w14:textId="77777777" w:rsidR="001003F8" w:rsidRPr="005C5E32" w:rsidRDefault="001003F8" w:rsidP="00DA3CD8">
            <w:pPr>
              <w:pStyle w:val="TableText"/>
              <w:spacing w:before="40" w:after="40" w:line="234" w:lineRule="atLeast"/>
              <w:rPr>
                <w:szCs w:val="18"/>
              </w:rPr>
            </w:pPr>
            <w:r w:rsidRPr="005C5E32">
              <w:rPr>
                <w:spacing w:val="-2"/>
                <w:szCs w:val="18"/>
              </w:rPr>
              <w:t>Percentage of Freshwater Improvemen</w:t>
            </w:r>
            <w:r w:rsidRPr="005C5E32">
              <w:rPr>
                <w:szCs w:val="18"/>
              </w:rPr>
              <w:t>t Fund projects that are on track to achieve their stated objectives</w:t>
            </w:r>
          </w:p>
          <w:p w14:paraId="193A8EDB" w14:textId="05D8AAF9" w:rsidR="001003F8" w:rsidRPr="005C5E32" w:rsidRDefault="00A3739C" w:rsidP="00DA3CD8">
            <w:pPr>
              <w:pStyle w:val="Tablegreen"/>
              <w:spacing w:before="40" w:after="40" w:line="234" w:lineRule="atLeast"/>
              <w:rPr>
                <w:i/>
              </w:rPr>
            </w:pPr>
            <w:hyperlink w:anchor="_Note_13_–" w:history="1">
              <w:r w:rsidRPr="005C5E32">
                <w:rPr>
                  <w:rStyle w:val="Hyperlink"/>
                  <w:i/>
                  <w:iCs/>
                </w:rPr>
                <w:t>See note 13</w:t>
              </w:r>
            </w:hyperlink>
          </w:p>
        </w:tc>
        <w:tc>
          <w:tcPr>
            <w:tcW w:w="1842" w:type="dxa"/>
            <w:tcBorders>
              <w:bottom w:val="single" w:sz="4" w:space="0" w:color="1B556B" w:themeColor="text2"/>
            </w:tcBorders>
          </w:tcPr>
          <w:p w14:paraId="76872C44" w14:textId="77777777" w:rsidR="001003F8" w:rsidRPr="005C5E32" w:rsidRDefault="001003F8" w:rsidP="00DA3CD8">
            <w:pPr>
              <w:pStyle w:val="TableText"/>
              <w:spacing w:before="40" w:after="40" w:line="234" w:lineRule="atLeast"/>
              <w:rPr>
                <w:szCs w:val="18"/>
              </w:rPr>
            </w:pPr>
            <w:r w:rsidRPr="005C5E32">
              <w:rPr>
                <w:szCs w:val="18"/>
              </w:rPr>
              <w:t>97%</w:t>
            </w:r>
          </w:p>
        </w:tc>
        <w:tc>
          <w:tcPr>
            <w:tcW w:w="1560" w:type="dxa"/>
            <w:tcBorders>
              <w:bottom w:val="single" w:sz="4" w:space="0" w:color="1B556B" w:themeColor="text2"/>
            </w:tcBorders>
          </w:tcPr>
          <w:p w14:paraId="3ABA1C32" w14:textId="77777777" w:rsidR="001003F8" w:rsidRPr="005C5E32" w:rsidRDefault="001003F8" w:rsidP="00DA3CD8">
            <w:pPr>
              <w:pStyle w:val="TableText"/>
              <w:spacing w:before="40" w:after="40" w:line="234" w:lineRule="atLeast"/>
              <w:rPr>
                <w:szCs w:val="18"/>
              </w:rPr>
            </w:pPr>
            <w:r w:rsidRPr="005C5E32">
              <w:rPr>
                <w:szCs w:val="18"/>
              </w:rPr>
              <w:t>80%</w:t>
            </w:r>
          </w:p>
        </w:tc>
        <w:tc>
          <w:tcPr>
            <w:tcW w:w="1842" w:type="dxa"/>
            <w:tcBorders>
              <w:bottom w:val="single" w:sz="4" w:space="0" w:color="1B556B" w:themeColor="text2"/>
            </w:tcBorders>
          </w:tcPr>
          <w:p w14:paraId="10D88ECC" w14:textId="04B48AEE" w:rsidR="001003F8" w:rsidRPr="005C5E32" w:rsidRDefault="00357B88" w:rsidP="00DA3CD8">
            <w:pPr>
              <w:pStyle w:val="TableText"/>
              <w:spacing w:before="40" w:after="40" w:line="234" w:lineRule="atLeast"/>
              <w:rPr>
                <w:szCs w:val="18"/>
              </w:rPr>
            </w:pPr>
            <w:r w:rsidRPr="005C5E32">
              <w:t>100%</w:t>
            </w:r>
          </w:p>
        </w:tc>
      </w:tr>
      <w:tr w:rsidR="001003F8" w:rsidRPr="00F27966" w14:paraId="0548B4D2" w14:textId="77777777" w:rsidTr="00B76396">
        <w:tc>
          <w:tcPr>
            <w:tcW w:w="8505" w:type="dxa"/>
            <w:gridSpan w:val="4"/>
            <w:tcBorders>
              <w:bottom w:val="single" w:sz="12" w:space="0" w:color="1B556B" w:themeColor="text2"/>
            </w:tcBorders>
            <w:shd w:val="clear" w:color="auto" w:fill="D2DDE1" w:themeFill="background2"/>
          </w:tcPr>
          <w:p w14:paraId="72A37EE9" w14:textId="55A0D470" w:rsidR="001003F8" w:rsidRPr="00F27966" w:rsidRDefault="001003F8" w:rsidP="008C19B4">
            <w:pPr>
              <w:pStyle w:val="TableText"/>
              <w:spacing w:before="40" w:after="40"/>
            </w:pPr>
            <w:r w:rsidRPr="00F27966">
              <w:rPr>
                <w:b/>
                <w:bCs/>
              </w:rPr>
              <w:t>2025/26 commentary:</w:t>
            </w:r>
            <w:r w:rsidRPr="00F27966" w:rsidDel="00B66DDC">
              <w:rPr>
                <w:b/>
                <w:bCs/>
              </w:rPr>
              <w:t xml:space="preserve"> </w:t>
            </w:r>
            <w:r w:rsidR="00DF6E11" w:rsidRPr="00F27966">
              <w:t xml:space="preserve">All 26 Freshwater Improvement Fund projects have </w:t>
            </w:r>
            <w:r w:rsidR="006A6590" w:rsidRPr="00F27966">
              <w:t xml:space="preserve">achieved </w:t>
            </w:r>
            <w:r w:rsidR="00DF6E11" w:rsidRPr="00F27966">
              <w:t xml:space="preserve">or are </w:t>
            </w:r>
            <w:r w:rsidR="00FB75A3" w:rsidRPr="00F27966">
              <w:t>on</w:t>
            </w:r>
            <w:r w:rsidR="00DF6E11" w:rsidRPr="00F27966">
              <w:t xml:space="preserve"> track to </w:t>
            </w:r>
            <w:r w:rsidR="006A6590" w:rsidRPr="00F27966">
              <w:t xml:space="preserve">achieve </w:t>
            </w:r>
            <w:r w:rsidR="00DF6E11" w:rsidRPr="00F27966">
              <w:t>their stated objectives.</w:t>
            </w:r>
          </w:p>
        </w:tc>
      </w:tr>
      <w:tr w:rsidR="001003F8" w:rsidRPr="005C5E32" w14:paraId="07A565B4" w14:textId="77777777" w:rsidTr="00B76396">
        <w:tc>
          <w:tcPr>
            <w:tcW w:w="3261" w:type="dxa"/>
            <w:tcBorders>
              <w:top w:val="single" w:sz="12" w:space="0" w:color="1B556B" w:themeColor="text2"/>
              <w:bottom w:val="single" w:sz="4" w:space="0" w:color="1B556B" w:themeColor="text2"/>
            </w:tcBorders>
          </w:tcPr>
          <w:p w14:paraId="514D9FA6" w14:textId="77777777" w:rsidR="001003F8" w:rsidRPr="005C5E32" w:rsidRDefault="001003F8" w:rsidP="00DA3CD8">
            <w:pPr>
              <w:pStyle w:val="TableText"/>
              <w:spacing w:before="40" w:after="40" w:line="234" w:lineRule="atLeast"/>
              <w:rPr>
                <w:szCs w:val="18"/>
              </w:rPr>
            </w:pPr>
            <w:r w:rsidRPr="005C5E32">
              <w:rPr>
                <w:szCs w:val="18"/>
              </w:rPr>
              <w:t>Percentage of Public Waterways and Ecosystem Restoration Fund projects that are on track to achieve their stated objectives</w:t>
            </w:r>
          </w:p>
          <w:p w14:paraId="29F28876" w14:textId="4E186D7C" w:rsidR="001003F8" w:rsidRPr="005C5E32" w:rsidRDefault="00A3739C" w:rsidP="00DA3CD8">
            <w:pPr>
              <w:pStyle w:val="Tablegreen"/>
              <w:spacing w:before="40" w:after="40" w:line="234" w:lineRule="atLeast"/>
              <w:rPr>
                <w:i/>
              </w:rPr>
            </w:pPr>
            <w:hyperlink w:anchor="_Note_13_–" w:history="1">
              <w:r w:rsidRPr="005C5E32">
                <w:rPr>
                  <w:rStyle w:val="Hyperlink"/>
                  <w:i/>
                  <w:iCs/>
                </w:rPr>
                <w:t>See note 13</w:t>
              </w:r>
            </w:hyperlink>
          </w:p>
        </w:tc>
        <w:tc>
          <w:tcPr>
            <w:tcW w:w="1842" w:type="dxa"/>
            <w:tcBorders>
              <w:top w:val="single" w:sz="12" w:space="0" w:color="1B556B" w:themeColor="text2"/>
              <w:bottom w:val="single" w:sz="4" w:space="0" w:color="1B556B" w:themeColor="text2"/>
            </w:tcBorders>
          </w:tcPr>
          <w:p w14:paraId="5869D295" w14:textId="77777777" w:rsidR="001003F8" w:rsidRPr="005C5E32" w:rsidRDefault="001003F8" w:rsidP="00DA3CD8">
            <w:pPr>
              <w:pStyle w:val="TableText"/>
              <w:spacing w:before="40" w:after="40" w:line="234" w:lineRule="atLeast"/>
              <w:rPr>
                <w:szCs w:val="18"/>
              </w:rPr>
            </w:pPr>
            <w:r w:rsidRPr="005C5E32">
              <w:rPr>
                <w:szCs w:val="18"/>
              </w:rPr>
              <w:t>100%</w:t>
            </w:r>
          </w:p>
        </w:tc>
        <w:tc>
          <w:tcPr>
            <w:tcW w:w="1560" w:type="dxa"/>
            <w:tcBorders>
              <w:top w:val="single" w:sz="12" w:space="0" w:color="1B556B" w:themeColor="text2"/>
              <w:bottom w:val="single" w:sz="4" w:space="0" w:color="1B556B" w:themeColor="text2"/>
            </w:tcBorders>
          </w:tcPr>
          <w:p w14:paraId="6EC0956A" w14:textId="77777777" w:rsidR="001003F8" w:rsidRPr="005C5E32" w:rsidRDefault="001003F8" w:rsidP="00DA3CD8">
            <w:pPr>
              <w:pStyle w:val="TableText"/>
              <w:spacing w:before="40" w:after="40" w:line="234" w:lineRule="atLeast"/>
              <w:rPr>
                <w:szCs w:val="18"/>
              </w:rPr>
            </w:pPr>
            <w:r w:rsidRPr="005C5E32">
              <w:rPr>
                <w:szCs w:val="18"/>
              </w:rPr>
              <w:t>80%</w:t>
            </w:r>
          </w:p>
        </w:tc>
        <w:tc>
          <w:tcPr>
            <w:tcW w:w="1842" w:type="dxa"/>
            <w:tcBorders>
              <w:top w:val="single" w:sz="12" w:space="0" w:color="1B556B" w:themeColor="text2"/>
              <w:bottom w:val="single" w:sz="4" w:space="0" w:color="1B556B" w:themeColor="text2"/>
            </w:tcBorders>
          </w:tcPr>
          <w:p w14:paraId="6D30E3F0" w14:textId="611A303E" w:rsidR="001003F8" w:rsidRPr="005C5E32" w:rsidRDefault="009A39BD" w:rsidP="00DA3CD8">
            <w:pPr>
              <w:pStyle w:val="TableText"/>
              <w:spacing w:before="40" w:after="40" w:line="234" w:lineRule="atLeast"/>
              <w:rPr>
                <w:szCs w:val="18"/>
              </w:rPr>
            </w:pPr>
            <w:r w:rsidRPr="005C5E32">
              <w:t>100%</w:t>
            </w:r>
          </w:p>
        </w:tc>
      </w:tr>
      <w:tr w:rsidR="001003F8" w:rsidRPr="005C5E32" w14:paraId="51EEF1F1" w14:textId="77777777" w:rsidTr="00B76396">
        <w:tc>
          <w:tcPr>
            <w:tcW w:w="8505" w:type="dxa"/>
            <w:gridSpan w:val="4"/>
            <w:tcBorders>
              <w:bottom w:val="single" w:sz="12" w:space="0" w:color="1B556B" w:themeColor="text2"/>
            </w:tcBorders>
            <w:shd w:val="clear" w:color="auto" w:fill="D2DDE1" w:themeFill="background2"/>
          </w:tcPr>
          <w:p w14:paraId="6F3B5313" w14:textId="380CADCD" w:rsidR="001003F8" w:rsidRPr="005C5E32" w:rsidRDefault="001003F8" w:rsidP="008C19B4">
            <w:pPr>
              <w:pStyle w:val="TableText"/>
              <w:spacing w:before="40" w:after="40"/>
              <w:rPr>
                <w:rFonts w:asciiTheme="minorHAnsi" w:hAnsiTheme="minorHAnsi" w:cstheme="minorBidi"/>
              </w:rPr>
            </w:pPr>
            <w:r w:rsidRPr="005C5E32">
              <w:rPr>
                <w:b/>
                <w:bCs/>
              </w:rPr>
              <w:t>2025/26 commentary</w:t>
            </w:r>
            <w:r w:rsidRPr="005C5E32">
              <w:rPr>
                <w:rFonts w:cs="Arial"/>
              </w:rPr>
              <w:t xml:space="preserve">: </w:t>
            </w:r>
            <w:r w:rsidRPr="005C5E32">
              <w:t xml:space="preserve">All </w:t>
            </w:r>
            <w:r w:rsidR="00897ABA" w:rsidRPr="005C5E32">
              <w:t xml:space="preserve">seven </w:t>
            </w:r>
            <w:r w:rsidR="00CF3815" w:rsidRPr="005C5E32">
              <w:t xml:space="preserve">Public Waterways and Ecosystem Restoration Fund projects have </w:t>
            </w:r>
            <w:r w:rsidR="00897ABA" w:rsidRPr="005C5E32">
              <w:t xml:space="preserve">achieved </w:t>
            </w:r>
            <w:r w:rsidR="00CF3815" w:rsidRPr="005C5E32">
              <w:t xml:space="preserve">or are on track to </w:t>
            </w:r>
            <w:r w:rsidR="00897ABA" w:rsidRPr="005C5E32">
              <w:t xml:space="preserve">achieve </w:t>
            </w:r>
            <w:r w:rsidR="00CF3815" w:rsidRPr="005C5E32">
              <w:t>their stated objectives.</w:t>
            </w:r>
          </w:p>
        </w:tc>
      </w:tr>
      <w:tr w:rsidR="001003F8" w:rsidRPr="005C5E32" w14:paraId="20C1A381" w14:textId="77777777" w:rsidTr="00B76396">
        <w:tc>
          <w:tcPr>
            <w:tcW w:w="3261" w:type="dxa"/>
            <w:tcBorders>
              <w:top w:val="single" w:sz="12" w:space="0" w:color="1B556B" w:themeColor="text2"/>
              <w:bottom w:val="single" w:sz="4" w:space="0" w:color="1B556B" w:themeColor="text2"/>
            </w:tcBorders>
          </w:tcPr>
          <w:p w14:paraId="56C49612" w14:textId="77777777" w:rsidR="001003F8" w:rsidRPr="005C5E32" w:rsidRDefault="001003F8" w:rsidP="00DA3CD8">
            <w:pPr>
              <w:pStyle w:val="TableText"/>
              <w:spacing w:before="40" w:after="40" w:line="234" w:lineRule="atLeast"/>
              <w:rPr>
                <w:szCs w:val="18"/>
              </w:rPr>
            </w:pPr>
            <w:r w:rsidRPr="005C5E32">
              <w:rPr>
                <w:szCs w:val="18"/>
              </w:rPr>
              <w:t>Percentage of At-Risk Catchment projects that are on track to achieve their stated objectives</w:t>
            </w:r>
          </w:p>
          <w:p w14:paraId="4EBE237A" w14:textId="45DAAE30" w:rsidR="001003F8" w:rsidRPr="005C5E32" w:rsidRDefault="00A3739C" w:rsidP="00DA3CD8">
            <w:pPr>
              <w:pStyle w:val="Tablegreen"/>
              <w:spacing w:before="40" w:after="40" w:line="234" w:lineRule="atLeast"/>
              <w:rPr>
                <w:i/>
              </w:rPr>
            </w:pPr>
            <w:hyperlink w:anchor="_Note_13_–" w:history="1">
              <w:r w:rsidRPr="005C5E32">
                <w:rPr>
                  <w:rStyle w:val="Hyperlink"/>
                  <w:i/>
                  <w:iCs/>
                </w:rPr>
                <w:t>See note 13</w:t>
              </w:r>
            </w:hyperlink>
          </w:p>
        </w:tc>
        <w:tc>
          <w:tcPr>
            <w:tcW w:w="1842" w:type="dxa"/>
            <w:tcBorders>
              <w:top w:val="single" w:sz="12" w:space="0" w:color="1B556B" w:themeColor="text2"/>
              <w:bottom w:val="single" w:sz="4" w:space="0" w:color="1B556B" w:themeColor="text2"/>
            </w:tcBorders>
          </w:tcPr>
          <w:p w14:paraId="6F63F195" w14:textId="77777777" w:rsidR="001003F8" w:rsidRPr="005C5E32" w:rsidRDefault="001003F8" w:rsidP="00DA3CD8">
            <w:pPr>
              <w:pStyle w:val="TableText"/>
              <w:spacing w:before="40" w:after="40" w:line="234" w:lineRule="atLeast"/>
              <w:rPr>
                <w:szCs w:val="18"/>
                <w:vertAlign w:val="superscript"/>
              </w:rPr>
            </w:pPr>
            <w:r w:rsidRPr="005C5E32">
              <w:rPr>
                <w:szCs w:val="18"/>
              </w:rPr>
              <w:t>100%</w:t>
            </w:r>
          </w:p>
        </w:tc>
        <w:tc>
          <w:tcPr>
            <w:tcW w:w="1560" w:type="dxa"/>
            <w:tcBorders>
              <w:top w:val="single" w:sz="12" w:space="0" w:color="1B556B" w:themeColor="text2"/>
              <w:bottom w:val="single" w:sz="4" w:space="0" w:color="1B556B" w:themeColor="text2"/>
            </w:tcBorders>
          </w:tcPr>
          <w:p w14:paraId="6837E167" w14:textId="77777777" w:rsidR="001003F8" w:rsidRPr="005C5E32" w:rsidRDefault="001003F8" w:rsidP="00DA3CD8">
            <w:pPr>
              <w:pStyle w:val="TableText"/>
              <w:spacing w:before="40" w:after="40" w:line="234" w:lineRule="atLeast"/>
              <w:rPr>
                <w:szCs w:val="18"/>
              </w:rPr>
            </w:pPr>
            <w:r w:rsidRPr="005C5E32">
              <w:rPr>
                <w:szCs w:val="18"/>
              </w:rPr>
              <w:t>80%</w:t>
            </w:r>
          </w:p>
        </w:tc>
        <w:tc>
          <w:tcPr>
            <w:tcW w:w="1842" w:type="dxa"/>
            <w:tcBorders>
              <w:top w:val="single" w:sz="12" w:space="0" w:color="1B556B" w:themeColor="text2"/>
              <w:bottom w:val="single" w:sz="4" w:space="0" w:color="1B556B" w:themeColor="text2"/>
            </w:tcBorders>
          </w:tcPr>
          <w:p w14:paraId="42CF2B6C" w14:textId="6A091378" w:rsidR="001003F8" w:rsidRPr="005C5E32" w:rsidRDefault="00AA153E" w:rsidP="00DA3CD8">
            <w:pPr>
              <w:pStyle w:val="TableText"/>
              <w:spacing w:before="40" w:after="40" w:line="234" w:lineRule="atLeast"/>
              <w:rPr>
                <w:szCs w:val="18"/>
              </w:rPr>
            </w:pPr>
            <w:r w:rsidRPr="005C5E32">
              <w:t>100%</w:t>
            </w:r>
          </w:p>
        </w:tc>
      </w:tr>
      <w:tr w:rsidR="001003F8" w:rsidRPr="005C5E32" w14:paraId="055D4F77" w14:textId="77777777" w:rsidTr="00B76396">
        <w:tc>
          <w:tcPr>
            <w:tcW w:w="8505" w:type="dxa"/>
            <w:gridSpan w:val="4"/>
            <w:tcBorders>
              <w:bottom w:val="single" w:sz="12" w:space="0" w:color="1B556B" w:themeColor="text2"/>
            </w:tcBorders>
            <w:shd w:val="clear" w:color="auto" w:fill="D2DDE1" w:themeFill="background2"/>
          </w:tcPr>
          <w:p w14:paraId="3FAA5A77" w14:textId="0067E2C4" w:rsidR="001003F8" w:rsidRPr="005C5E32" w:rsidRDefault="001003F8" w:rsidP="008C19B4">
            <w:pPr>
              <w:pStyle w:val="TableText"/>
              <w:spacing w:before="40" w:after="40"/>
              <w:rPr>
                <w:rFonts w:cs="Arial"/>
              </w:rPr>
            </w:pPr>
            <w:r w:rsidRPr="005C5E32">
              <w:rPr>
                <w:b/>
                <w:bCs/>
              </w:rPr>
              <w:t>2025/26 commentary</w:t>
            </w:r>
            <w:r w:rsidRPr="005C5E32">
              <w:rPr>
                <w:rFonts w:cs="Arial"/>
              </w:rPr>
              <w:t xml:space="preserve">: </w:t>
            </w:r>
            <w:r w:rsidRPr="005C5E32">
              <w:t xml:space="preserve">All </w:t>
            </w:r>
            <w:r w:rsidR="00897ABA" w:rsidRPr="005C5E32">
              <w:t xml:space="preserve">three </w:t>
            </w:r>
            <w:r w:rsidR="00D14B09" w:rsidRPr="005C5E32">
              <w:t>At</w:t>
            </w:r>
            <w:r w:rsidR="00897ABA" w:rsidRPr="005C5E32">
              <w:t>-</w:t>
            </w:r>
            <w:r w:rsidR="00D14B09" w:rsidRPr="005C5E32">
              <w:t xml:space="preserve">Risk Catchment Fund projects are on track to </w:t>
            </w:r>
            <w:r w:rsidR="00897ABA" w:rsidRPr="005C5E32">
              <w:t xml:space="preserve">achieve </w:t>
            </w:r>
            <w:r w:rsidR="00D14B09" w:rsidRPr="005C5E32">
              <w:t>their stated objectives.</w:t>
            </w:r>
          </w:p>
        </w:tc>
      </w:tr>
      <w:tr w:rsidR="001003F8" w:rsidRPr="005C5E32" w14:paraId="5B1DBEB4" w14:textId="77777777" w:rsidTr="00B76396">
        <w:tc>
          <w:tcPr>
            <w:tcW w:w="3261" w:type="dxa"/>
            <w:tcBorders>
              <w:top w:val="single" w:sz="12" w:space="0" w:color="1B556B" w:themeColor="text2"/>
              <w:bottom w:val="single" w:sz="4" w:space="0" w:color="1B556B" w:themeColor="text2"/>
            </w:tcBorders>
          </w:tcPr>
          <w:p w14:paraId="67BE3F9A" w14:textId="77777777" w:rsidR="001003F8" w:rsidRPr="005C5E32" w:rsidRDefault="001003F8" w:rsidP="00DA3CD8">
            <w:pPr>
              <w:pStyle w:val="TableText"/>
              <w:spacing w:before="40" w:after="40" w:line="234" w:lineRule="atLeast"/>
              <w:rPr>
                <w:szCs w:val="18"/>
              </w:rPr>
            </w:pPr>
            <w:r w:rsidRPr="005C5E32">
              <w:rPr>
                <w:szCs w:val="18"/>
              </w:rPr>
              <w:t>Percentage of Essential Freshwater Fund projects that are on track to achieve their stated objectives</w:t>
            </w:r>
          </w:p>
          <w:p w14:paraId="089AD9B4" w14:textId="446AF1AE" w:rsidR="001003F8" w:rsidRPr="005C5E32" w:rsidRDefault="00A3739C" w:rsidP="00DA3CD8">
            <w:pPr>
              <w:pStyle w:val="Tablegreen"/>
              <w:spacing w:before="40" w:after="40" w:line="234" w:lineRule="atLeast"/>
              <w:rPr>
                <w:i/>
              </w:rPr>
            </w:pPr>
            <w:hyperlink w:anchor="_Note_13_–" w:history="1">
              <w:r w:rsidRPr="005C5E32">
                <w:rPr>
                  <w:rStyle w:val="Hyperlink"/>
                  <w:i/>
                  <w:iCs/>
                </w:rPr>
                <w:t>See note 13</w:t>
              </w:r>
            </w:hyperlink>
          </w:p>
        </w:tc>
        <w:tc>
          <w:tcPr>
            <w:tcW w:w="1842" w:type="dxa"/>
            <w:tcBorders>
              <w:top w:val="single" w:sz="12" w:space="0" w:color="1B556B" w:themeColor="text2"/>
              <w:bottom w:val="single" w:sz="4" w:space="0" w:color="1B556B" w:themeColor="text2"/>
            </w:tcBorders>
          </w:tcPr>
          <w:p w14:paraId="379E914D" w14:textId="77777777" w:rsidR="001003F8" w:rsidRPr="005C5E32" w:rsidRDefault="001003F8" w:rsidP="00DA3CD8">
            <w:pPr>
              <w:pStyle w:val="TableText"/>
              <w:spacing w:before="40" w:after="40" w:line="234" w:lineRule="atLeast"/>
              <w:rPr>
                <w:szCs w:val="18"/>
                <w:vertAlign w:val="superscript"/>
              </w:rPr>
            </w:pPr>
            <w:r w:rsidRPr="005C5E32">
              <w:rPr>
                <w:szCs w:val="18"/>
              </w:rPr>
              <w:t>100%</w:t>
            </w:r>
          </w:p>
        </w:tc>
        <w:tc>
          <w:tcPr>
            <w:tcW w:w="1560" w:type="dxa"/>
            <w:tcBorders>
              <w:top w:val="single" w:sz="12" w:space="0" w:color="1B556B" w:themeColor="text2"/>
              <w:bottom w:val="single" w:sz="4" w:space="0" w:color="1B556B" w:themeColor="text2"/>
            </w:tcBorders>
          </w:tcPr>
          <w:p w14:paraId="593918AE" w14:textId="77777777" w:rsidR="001003F8" w:rsidRPr="005C5E32" w:rsidRDefault="001003F8" w:rsidP="00DA3CD8">
            <w:pPr>
              <w:pStyle w:val="TableText"/>
              <w:spacing w:before="40" w:after="40" w:line="234" w:lineRule="atLeast"/>
              <w:rPr>
                <w:szCs w:val="18"/>
              </w:rPr>
            </w:pPr>
            <w:r w:rsidRPr="005C5E32">
              <w:rPr>
                <w:szCs w:val="18"/>
              </w:rPr>
              <w:t>80%</w:t>
            </w:r>
          </w:p>
        </w:tc>
        <w:tc>
          <w:tcPr>
            <w:tcW w:w="1842" w:type="dxa"/>
            <w:tcBorders>
              <w:top w:val="single" w:sz="12" w:space="0" w:color="1B556B" w:themeColor="text2"/>
              <w:bottom w:val="single" w:sz="4" w:space="0" w:color="1B556B" w:themeColor="text2"/>
            </w:tcBorders>
          </w:tcPr>
          <w:p w14:paraId="7E749FA7" w14:textId="253DD409" w:rsidR="001003F8" w:rsidRPr="005C5E32" w:rsidRDefault="007637CD" w:rsidP="00DA3CD8">
            <w:pPr>
              <w:pStyle w:val="TableText"/>
              <w:spacing w:before="40" w:after="40" w:line="234" w:lineRule="atLeast"/>
              <w:rPr>
                <w:szCs w:val="18"/>
              </w:rPr>
            </w:pPr>
            <w:r w:rsidRPr="005C5E32">
              <w:t>98%</w:t>
            </w:r>
          </w:p>
        </w:tc>
      </w:tr>
      <w:tr w:rsidR="001003F8" w:rsidRPr="005C5E32" w14:paraId="27ACCDFF" w14:textId="77777777" w:rsidTr="00B76396">
        <w:tc>
          <w:tcPr>
            <w:tcW w:w="8505" w:type="dxa"/>
            <w:gridSpan w:val="4"/>
            <w:tcBorders>
              <w:bottom w:val="single" w:sz="12" w:space="0" w:color="1B556B" w:themeColor="text2"/>
            </w:tcBorders>
            <w:shd w:val="clear" w:color="auto" w:fill="D2DDE1" w:themeFill="background2"/>
          </w:tcPr>
          <w:p w14:paraId="1F29F51B" w14:textId="2545D3D2" w:rsidR="001003F8" w:rsidRPr="005C5E32" w:rsidRDefault="001003F8" w:rsidP="003D0CC1">
            <w:pPr>
              <w:pStyle w:val="TableText"/>
              <w:spacing w:before="40" w:after="40"/>
              <w:rPr>
                <w:rFonts w:cs="Arial"/>
              </w:rPr>
            </w:pPr>
            <w:r w:rsidRPr="005C5E32">
              <w:rPr>
                <w:b/>
                <w:bCs/>
              </w:rPr>
              <w:t>2025/26 commentary</w:t>
            </w:r>
            <w:r w:rsidRPr="005C5E32">
              <w:rPr>
                <w:rFonts w:cs="Arial"/>
              </w:rPr>
              <w:t xml:space="preserve">: </w:t>
            </w:r>
            <w:r w:rsidR="003E6792" w:rsidRPr="005C5E32">
              <w:t>O</w:t>
            </w:r>
            <w:r w:rsidR="007637CD" w:rsidRPr="005C5E32">
              <w:t>ut of</w:t>
            </w:r>
            <w:r w:rsidR="003E6792" w:rsidRPr="005C5E32">
              <w:t xml:space="preserve"> the</w:t>
            </w:r>
            <w:r w:rsidR="007637CD" w:rsidRPr="005C5E32">
              <w:t xml:space="preserve"> 65 Essential Freshwater Fund projects</w:t>
            </w:r>
            <w:r w:rsidR="003E6792" w:rsidRPr="005C5E32">
              <w:t>, 64</w:t>
            </w:r>
            <w:r w:rsidR="007637CD" w:rsidRPr="005C5E32">
              <w:t xml:space="preserve"> have </w:t>
            </w:r>
            <w:r w:rsidR="003E6792" w:rsidRPr="005C5E32">
              <w:t xml:space="preserve">achieved </w:t>
            </w:r>
            <w:r w:rsidR="007637CD" w:rsidRPr="005C5E32">
              <w:t xml:space="preserve">or are on track to </w:t>
            </w:r>
            <w:r w:rsidR="003E6792" w:rsidRPr="005C5E32">
              <w:t xml:space="preserve">achieve </w:t>
            </w:r>
            <w:r w:rsidR="007637CD" w:rsidRPr="005C5E32">
              <w:t>their stated objectives.</w:t>
            </w:r>
          </w:p>
        </w:tc>
      </w:tr>
    </w:tbl>
    <w:p w14:paraId="2B678A87" w14:textId="77777777" w:rsidR="001003F8" w:rsidRPr="005C5E32" w:rsidRDefault="001003F8" w:rsidP="004F2C50">
      <w:pPr>
        <w:pStyle w:val="Heading4"/>
        <w:spacing w:before="360"/>
      </w:pPr>
      <w:r w:rsidRPr="005C5E32">
        <w:lastRenderedPageBreak/>
        <w:t>Non-departmental other expenses</w:t>
      </w:r>
    </w:p>
    <w:p w14:paraId="3E3A1D2F" w14:textId="1BA1EB05" w:rsidR="001003F8" w:rsidRPr="005C5E32" w:rsidRDefault="001003F8" w:rsidP="002E77F1">
      <w:pPr>
        <w:pStyle w:val="Heading5"/>
        <w:spacing w:before="180" w:after="120"/>
      </w:pPr>
      <w:r w:rsidRPr="005C5E32" w:rsidDel="00581840">
        <w:t>W</w:t>
      </w:r>
      <w:r w:rsidRPr="005C5E32">
        <w:t>aste Disposal Levy disbursements to territorial local authorities</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3402"/>
        <w:gridCol w:w="1843"/>
        <w:gridCol w:w="1418"/>
        <w:gridCol w:w="1842"/>
      </w:tblGrid>
      <w:tr w:rsidR="001003F8" w:rsidRPr="005C5E32" w14:paraId="68271752" w14:textId="77777777" w:rsidTr="00D6004B">
        <w:trPr>
          <w:tblHeader/>
        </w:trPr>
        <w:tc>
          <w:tcPr>
            <w:tcW w:w="3402" w:type="dxa"/>
            <w:shd w:val="clear" w:color="auto" w:fill="1B556B"/>
            <w:vAlign w:val="bottom"/>
          </w:tcPr>
          <w:p w14:paraId="567E5A22" w14:textId="77777777" w:rsidR="001003F8" w:rsidRPr="005C5E32" w:rsidRDefault="001003F8" w:rsidP="003D0CC1">
            <w:pPr>
              <w:pStyle w:val="TableTextbold"/>
              <w:spacing w:before="40" w:after="40"/>
              <w:rPr>
                <w:color w:val="FFFFFF" w:themeColor="background1"/>
              </w:rPr>
            </w:pPr>
            <w:r w:rsidRPr="005C5E32">
              <w:rPr>
                <w:color w:val="FFFFFF" w:themeColor="background1"/>
              </w:rPr>
              <w:t>Performance measure</w:t>
            </w:r>
          </w:p>
        </w:tc>
        <w:tc>
          <w:tcPr>
            <w:tcW w:w="1843" w:type="dxa"/>
            <w:shd w:val="clear" w:color="auto" w:fill="1B556B"/>
            <w:vAlign w:val="bottom"/>
          </w:tcPr>
          <w:p w14:paraId="48549DD2" w14:textId="77777777" w:rsidR="001003F8" w:rsidRPr="005C5E32" w:rsidRDefault="001003F8" w:rsidP="003D0CC1">
            <w:pPr>
              <w:pStyle w:val="TableTextbold"/>
              <w:spacing w:before="40" w:after="40"/>
              <w:rPr>
                <w:color w:val="FFFFFF" w:themeColor="background1"/>
              </w:rPr>
            </w:pPr>
            <w:r w:rsidRPr="005C5E32">
              <w:rPr>
                <w:color w:val="FFFFFF" w:themeColor="background1"/>
              </w:rPr>
              <w:t>2024/25 performance</w:t>
            </w:r>
          </w:p>
        </w:tc>
        <w:tc>
          <w:tcPr>
            <w:tcW w:w="1418" w:type="dxa"/>
            <w:shd w:val="clear" w:color="auto" w:fill="1B556B"/>
            <w:vAlign w:val="bottom"/>
          </w:tcPr>
          <w:p w14:paraId="71376876"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target</w:t>
            </w:r>
          </w:p>
        </w:tc>
        <w:tc>
          <w:tcPr>
            <w:tcW w:w="1842" w:type="dxa"/>
            <w:shd w:val="clear" w:color="auto" w:fill="1B556B"/>
            <w:vAlign w:val="bottom"/>
          </w:tcPr>
          <w:p w14:paraId="75AF7BA3" w14:textId="77777777" w:rsidR="001003F8" w:rsidRPr="005C5E32" w:rsidRDefault="001003F8" w:rsidP="003D0CC1">
            <w:pPr>
              <w:pStyle w:val="TableTextbold"/>
              <w:spacing w:before="40" w:after="40"/>
              <w:rPr>
                <w:color w:val="FFFFFF" w:themeColor="background1"/>
              </w:rPr>
            </w:pPr>
            <w:r w:rsidRPr="005C5E32">
              <w:rPr>
                <w:color w:val="FFFFFF" w:themeColor="background1"/>
              </w:rPr>
              <w:t>2025/26 performance</w:t>
            </w:r>
          </w:p>
        </w:tc>
      </w:tr>
      <w:tr w:rsidR="001003F8" w:rsidRPr="005C5E32" w14:paraId="49A3C9BD" w14:textId="77777777" w:rsidTr="00D6004B">
        <w:tc>
          <w:tcPr>
            <w:tcW w:w="3402" w:type="dxa"/>
            <w:tcBorders>
              <w:bottom w:val="single" w:sz="4" w:space="0" w:color="1B556B"/>
            </w:tcBorders>
          </w:tcPr>
          <w:p w14:paraId="3EB68F6A" w14:textId="77777777" w:rsidR="001003F8" w:rsidRPr="005C5E32" w:rsidRDefault="001003F8" w:rsidP="003D0CC1">
            <w:pPr>
              <w:pStyle w:val="TableText"/>
              <w:spacing w:before="40" w:after="40"/>
            </w:pPr>
            <w:r w:rsidRPr="005C5E32">
              <w:t>Percentage of levy payments to qualifying territorial authorities paid on time</w:t>
            </w:r>
          </w:p>
        </w:tc>
        <w:tc>
          <w:tcPr>
            <w:tcW w:w="1843" w:type="dxa"/>
            <w:tcBorders>
              <w:bottom w:val="single" w:sz="4" w:space="0" w:color="1B556B"/>
            </w:tcBorders>
          </w:tcPr>
          <w:p w14:paraId="7CA89B30" w14:textId="77777777" w:rsidR="001003F8" w:rsidRPr="005C5E32" w:rsidRDefault="001003F8" w:rsidP="003D0CC1">
            <w:pPr>
              <w:pStyle w:val="TableText"/>
              <w:spacing w:before="40" w:after="40"/>
            </w:pPr>
            <w:r w:rsidRPr="005C5E32">
              <w:t>100%</w:t>
            </w:r>
          </w:p>
        </w:tc>
        <w:tc>
          <w:tcPr>
            <w:tcW w:w="1418" w:type="dxa"/>
            <w:tcBorders>
              <w:bottom w:val="single" w:sz="4" w:space="0" w:color="1B556B"/>
            </w:tcBorders>
          </w:tcPr>
          <w:p w14:paraId="6B567DCA" w14:textId="77777777" w:rsidR="001003F8" w:rsidRPr="005C5E32" w:rsidRDefault="001003F8" w:rsidP="003D0CC1">
            <w:pPr>
              <w:pStyle w:val="TableText"/>
              <w:spacing w:before="40" w:after="40"/>
            </w:pPr>
            <w:r w:rsidRPr="005C5E32">
              <w:t>100%</w:t>
            </w:r>
          </w:p>
        </w:tc>
        <w:tc>
          <w:tcPr>
            <w:tcW w:w="1842" w:type="dxa"/>
            <w:tcBorders>
              <w:bottom w:val="single" w:sz="4" w:space="0" w:color="1B556B"/>
            </w:tcBorders>
          </w:tcPr>
          <w:p w14:paraId="7024AA3D" w14:textId="56BF4CA3" w:rsidR="001003F8" w:rsidRPr="005C5E32" w:rsidRDefault="001003F8" w:rsidP="003D0CC1">
            <w:pPr>
              <w:pStyle w:val="TableText"/>
              <w:spacing w:before="40" w:after="40"/>
            </w:pPr>
            <w:r w:rsidRPr="005C5E32">
              <w:t>100%</w:t>
            </w:r>
          </w:p>
        </w:tc>
      </w:tr>
      <w:tr w:rsidR="001003F8" w:rsidRPr="005C5E32" w14:paraId="4BEAF288" w14:textId="77777777" w:rsidTr="00D6004B">
        <w:tc>
          <w:tcPr>
            <w:tcW w:w="8505" w:type="dxa"/>
            <w:gridSpan w:val="4"/>
            <w:tcBorders>
              <w:bottom w:val="single" w:sz="12" w:space="0" w:color="1B556B"/>
            </w:tcBorders>
            <w:shd w:val="clear" w:color="auto" w:fill="D2DDE1"/>
          </w:tcPr>
          <w:p w14:paraId="2B7F40F0" w14:textId="20D37121" w:rsidR="001003F8" w:rsidRPr="005C5E32" w:rsidRDefault="001003F8" w:rsidP="003D0CC1">
            <w:pPr>
              <w:pStyle w:val="TableText"/>
              <w:spacing w:before="40" w:after="40"/>
            </w:pPr>
            <w:r w:rsidRPr="005C5E32">
              <w:rPr>
                <w:b/>
                <w:bCs/>
              </w:rPr>
              <w:t>2025/26 commentary:</w:t>
            </w:r>
            <w:r w:rsidRPr="005C5E32">
              <w:t xml:space="preserve"> The measure is the percentage of eligible territorial authorities</w:t>
            </w:r>
            <w:r w:rsidRPr="005C5E32" w:rsidDel="004D3243">
              <w:t xml:space="preserve"> </w:t>
            </w:r>
            <w:r w:rsidRPr="005C5E32">
              <w:t>that had their share of the Waste Disposal Levy paid on time</w:t>
            </w:r>
            <w:r w:rsidR="004D3243" w:rsidRPr="005C5E32">
              <w:t>,</w:t>
            </w:r>
            <w:r w:rsidRPr="005C5E32">
              <w:t xml:space="preserve"> in accordance with </w:t>
            </w:r>
            <w:hyperlink r:id="rId73" w:anchor="DLM1154599" w:history="1">
              <w:r w:rsidRPr="005C5E32">
                <w:rPr>
                  <w:rStyle w:val="Hyperlink"/>
                  <w:rFonts w:cstheme="minorBidi"/>
                  <w:szCs w:val="22"/>
                </w:rPr>
                <w:t>section 31(1)</w:t>
              </w:r>
            </w:hyperlink>
            <w:r w:rsidRPr="005C5E32">
              <w:t xml:space="preserve"> of the Waste Minimisation Act 2008 and </w:t>
            </w:r>
            <w:hyperlink r:id="rId74" w:anchor="DLM2055774" w:history="1">
              <w:r w:rsidRPr="005C5E32">
                <w:rPr>
                  <w:rStyle w:val="Hyperlink"/>
                  <w:rFonts w:cstheme="minorBidi"/>
                  <w:szCs w:val="22"/>
                </w:rPr>
                <w:t>regulation 38</w:t>
              </w:r>
            </w:hyperlink>
            <w:r w:rsidRPr="005C5E32">
              <w:t xml:space="preserve"> of the </w:t>
            </w:r>
            <w:r w:rsidR="002E079A" w:rsidRPr="005C5E32">
              <w:t>Waste Minimisation (Calculation and Payment of Waste Disposal Levy) Regulations 2009</w:t>
            </w:r>
            <w:r w:rsidRPr="005C5E32">
              <w:t>. The agreed timeframe is</w:t>
            </w:r>
            <w:r w:rsidR="00DD54F6" w:rsidRPr="005C5E32">
              <w:t xml:space="preserve"> to make</w:t>
            </w:r>
            <w:r w:rsidRPr="005C5E32">
              <w:t xml:space="preserve"> quarterly payments in July, October, January and April. All</w:t>
            </w:r>
            <w:r w:rsidRPr="005C5E32" w:rsidDel="002E079A">
              <w:t xml:space="preserve"> </w:t>
            </w:r>
            <w:r w:rsidR="002E079A" w:rsidRPr="005C5E32">
              <w:t xml:space="preserve">territorial authorities </w:t>
            </w:r>
            <w:r w:rsidRPr="005C5E32">
              <w:t>paid in their Waste Disposal Levy disbursements. One levy was withheld for non-compliance.</w:t>
            </w:r>
            <w:r w:rsidRPr="005C5E32" w:rsidDel="00B32497">
              <w:t xml:space="preserve"> </w:t>
            </w:r>
          </w:p>
        </w:tc>
      </w:tr>
      <w:tr w:rsidR="001003F8" w:rsidRPr="005C5E32" w14:paraId="55B55B83" w14:textId="77777777" w:rsidTr="00D6004B">
        <w:tc>
          <w:tcPr>
            <w:tcW w:w="3402" w:type="dxa"/>
            <w:tcBorders>
              <w:bottom w:val="single" w:sz="4" w:space="0" w:color="1B556B"/>
            </w:tcBorders>
          </w:tcPr>
          <w:p w14:paraId="0F671FDB" w14:textId="77777777" w:rsidR="001003F8" w:rsidRPr="005C5E32" w:rsidRDefault="001003F8" w:rsidP="003D0CC1">
            <w:pPr>
              <w:pStyle w:val="TableText"/>
              <w:spacing w:before="40" w:after="40"/>
            </w:pPr>
            <w:r w:rsidRPr="005C5E32">
              <w:t>Percentage of levy payments withheld under section 33 of the Waste Minimisation Act 2008 due to territorial authorities not meeting their requirements</w:t>
            </w:r>
          </w:p>
        </w:tc>
        <w:tc>
          <w:tcPr>
            <w:tcW w:w="1843" w:type="dxa"/>
            <w:tcBorders>
              <w:bottom w:val="single" w:sz="4" w:space="0" w:color="1B556B"/>
            </w:tcBorders>
          </w:tcPr>
          <w:p w14:paraId="15838637" w14:textId="638B60A8" w:rsidR="001003F8" w:rsidRPr="005C5E32" w:rsidRDefault="001715EF" w:rsidP="003D0CC1">
            <w:pPr>
              <w:pStyle w:val="TableText"/>
              <w:spacing w:before="40" w:after="40"/>
            </w:pPr>
            <w:r w:rsidRPr="005C5E32">
              <w:t>0</w:t>
            </w:r>
            <w:r w:rsidR="001003F8" w:rsidRPr="005C5E32">
              <w:t>%</w:t>
            </w:r>
          </w:p>
        </w:tc>
        <w:tc>
          <w:tcPr>
            <w:tcW w:w="1418" w:type="dxa"/>
            <w:tcBorders>
              <w:bottom w:val="single" w:sz="4" w:space="0" w:color="1B556B"/>
            </w:tcBorders>
          </w:tcPr>
          <w:p w14:paraId="71C09F3B" w14:textId="77777777" w:rsidR="001003F8" w:rsidRPr="005C5E32" w:rsidRDefault="001003F8" w:rsidP="003D0CC1">
            <w:pPr>
              <w:pStyle w:val="TableText"/>
              <w:spacing w:before="40" w:after="40"/>
            </w:pPr>
            <w:r w:rsidRPr="005C5E32">
              <w:t>0%</w:t>
            </w:r>
          </w:p>
        </w:tc>
        <w:tc>
          <w:tcPr>
            <w:tcW w:w="1842" w:type="dxa"/>
            <w:tcBorders>
              <w:bottom w:val="single" w:sz="4" w:space="0" w:color="1B556B"/>
            </w:tcBorders>
          </w:tcPr>
          <w:p w14:paraId="05A99492" w14:textId="77777777" w:rsidR="001003F8" w:rsidRPr="005C5E32" w:rsidRDefault="001003F8" w:rsidP="003D0CC1">
            <w:pPr>
              <w:pStyle w:val="TableText"/>
              <w:spacing w:before="40" w:after="40"/>
            </w:pPr>
            <w:r w:rsidRPr="005C5E32">
              <w:t>0.37%</w:t>
            </w:r>
          </w:p>
        </w:tc>
      </w:tr>
      <w:tr w:rsidR="001003F8" w:rsidRPr="005C5E32" w14:paraId="58979E4A" w14:textId="77777777" w:rsidTr="00D6004B">
        <w:tc>
          <w:tcPr>
            <w:tcW w:w="8505" w:type="dxa"/>
            <w:gridSpan w:val="4"/>
            <w:tcBorders>
              <w:bottom w:val="single" w:sz="12" w:space="0" w:color="1B556B"/>
            </w:tcBorders>
            <w:shd w:val="clear" w:color="auto" w:fill="D2DDE1"/>
          </w:tcPr>
          <w:p w14:paraId="29848C74" w14:textId="7C9A7A47" w:rsidR="001003F8" w:rsidRPr="005C5E32" w:rsidRDefault="001003F8" w:rsidP="003D0CC1">
            <w:pPr>
              <w:pStyle w:val="TableText"/>
              <w:spacing w:before="40" w:after="40"/>
            </w:pPr>
            <w:r w:rsidRPr="005C5E32">
              <w:rPr>
                <w:b/>
                <w:bCs/>
              </w:rPr>
              <w:t>2025/26 commentary:</w:t>
            </w:r>
            <w:r w:rsidRPr="005C5E32">
              <w:t xml:space="preserve"> Out of 268 quarterly payments due to 67 territorial authorities during 2025/26, one payment was withheld under </w:t>
            </w:r>
            <w:hyperlink r:id="rId75" w:anchor="DLM1154604" w:history="1">
              <w:r w:rsidRPr="005C5E32">
                <w:rPr>
                  <w:rStyle w:val="Hyperlink"/>
                  <w:rFonts w:cstheme="minorBidi"/>
                  <w:szCs w:val="22"/>
                </w:rPr>
                <w:t>section 33</w:t>
              </w:r>
            </w:hyperlink>
            <w:r w:rsidRPr="005C5E32">
              <w:t xml:space="preserve"> of the Waste Minimisation Act 2008. The payment was withheld because </w:t>
            </w:r>
            <w:r w:rsidR="00253EE3" w:rsidRPr="005C5E32">
              <w:t xml:space="preserve">the territorial authority did not </w:t>
            </w:r>
            <w:r w:rsidR="003E6792" w:rsidRPr="005C5E32">
              <w:t xml:space="preserve">meet </w:t>
            </w:r>
            <w:r w:rsidRPr="005C5E32">
              <w:t xml:space="preserve">all legislative requirements </w:t>
            </w:r>
            <w:r w:rsidR="00C45A74" w:rsidRPr="005C5E32">
              <w:t xml:space="preserve">for </w:t>
            </w:r>
            <w:r w:rsidR="00DD54F6" w:rsidRPr="005C5E32">
              <w:t xml:space="preserve">its </w:t>
            </w:r>
            <w:r w:rsidRPr="005C5E32">
              <w:t xml:space="preserve">Waste Minimisation and Management Plan </w:t>
            </w:r>
            <w:r w:rsidR="00C45A74" w:rsidRPr="005C5E32">
              <w:t xml:space="preserve">by the legislated </w:t>
            </w:r>
            <w:r w:rsidRPr="005C5E32">
              <w:t>review date. The territorial authority subsequently became compliant, but the withheld payment could not be paid retrospectively.</w:t>
            </w:r>
          </w:p>
          <w:p w14:paraId="5D0D0C24" w14:textId="21513A84" w:rsidR="001003F8" w:rsidRPr="005C5E32" w:rsidRDefault="00CB41B7" w:rsidP="003D0CC1">
            <w:pPr>
              <w:pStyle w:val="TableText"/>
              <w:spacing w:before="40" w:after="40"/>
            </w:pPr>
            <w:r w:rsidRPr="005C5E32">
              <w:t xml:space="preserve"> The target for 2025/26 was revised from 100% to 0% to better reflect the intended performance outcome that no levy payments are withheld. The comparative result for 2024/25 has been restated on the same basis for comparability. Under the revised presentation, the 2024/25 result is reported as 0% rather than 100%.</w:t>
            </w:r>
          </w:p>
        </w:tc>
      </w:tr>
    </w:tbl>
    <w:p w14:paraId="4BA05539" w14:textId="77777777" w:rsidR="001003F8" w:rsidRPr="005C5E32" w:rsidRDefault="001003F8" w:rsidP="00AF7A58">
      <w:pPr>
        <w:pStyle w:val="Heading3"/>
        <w:spacing w:before="400"/>
        <w:rPr>
          <w:rFonts w:eastAsiaTheme="minorHAnsi"/>
          <w:lang w:eastAsia="en-US"/>
        </w:rPr>
      </w:pPr>
      <w:bookmarkStart w:id="160" w:name="_Departmental_Capital_Expenditure"/>
      <w:bookmarkEnd w:id="160"/>
      <w:r w:rsidRPr="005C5E32">
        <w:rPr>
          <w:rFonts w:eastAsiaTheme="minorHAnsi"/>
          <w:lang w:eastAsia="en-US"/>
        </w:rPr>
        <w:t>Departmental Capital Expenditure</w:t>
      </w:r>
      <w:bookmarkEnd w:id="152"/>
      <w:bookmarkEnd w:id="153"/>
      <w:bookmarkEnd w:id="154"/>
      <w:bookmarkEnd w:id="155"/>
      <w:bookmarkEnd w:id="156"/>
      <w:bookmarkEnd w:id="157"/>
      <w:bookmarkEnd w:id="158"/>
      <w:bookmarkEnd w:id="159"/>
    </w:p>
    <w:p w14:paraId="60F24B77" w14:textId="0BAB4B2E" w:rsidR="001003F8" w:rsidRPr="005C5E32" w:rsidRDefault="001003F8" w:rsidP="00AF7A58">
      <w:pPr>
        <w:pStyle w:val="BodyText"/>
        <w:keepNext/>
        <w:spacing w:after="240"/>
        <w:rPr>
          <w:lang w:eastAsia="en-US"/>
        </w:rPr>
      </w:pPr>
      <w:r w:rsidRPr="005C5E32">
        <w:rPr>
          <w:lang w:eastAsia="en-US"/>
        </w:rPr>
        <w:t>This appropriation is intended to achieve the renewal, upgrade and/or redesign of assets to support the Ministry</w:t>
      </w:r>
      <w:r w:rsidR="00D64965" w:rsidRPr="005C5E32">
        <w:rPr>
          <w:lang w:eastAsia="en-US"/>
        </w:rPr>
        <w:t xml:space="preserve"> </w:t>
      </w:r>
      <w:r w:rsidRPr="005C5E32" w:rsidDel="00C45A74">
        <w:rPr>
          <w:lang w:eastAsia="en-US"/>
        </w:rPr>
        <w:t>for the Environment</w:t>
      </w:r>
      <w:r w:rsidR="000369F8" w:rsidRPr="005C5E32" w:rsidDel="00C45A74">
        <w:rPr>
          <w:lang w:eastAsia="en-US"/>
        </w:rPr>
        <w:t>’</w:t>
      </w:r>
      <w:r w:rsidRPr="005C5E32" w:rsidDel="00C45A74">
        <w:rPr>
          <w:lang w:eastAsia="en-US"/>
        </w:rPr>
        <w:t xml:space="preserve">s </w:t>
      </w:r>
      <w:r w:rsidRPr="005C5E32">
        <w:rPr>
          <w:lang w:eastAsia="en-US"/>
        </w:rPr>
        <w:t>service delivery.</w:t>
      </w:r>
    </w:p>
    <w:tbl>
      <w:tblPr>
        <w:tblW w:w="8505" w:type="dxa"/>
        <w:tblBorders>
          <w:top w:val="single" w:sz="4" w:space="0" w:color="1B556B" w:themeColor="text2"/>
          <w:bottom w:val="single" w:sz="4" w:space="0" w:color="1B556B" w:themeColor="text2"/>
          <w:insideH w:val="single" w:sz="4" w:space="0" w:color="1B556B" w:themeColor="text2"/>
          <w:insideV w:val="single" w:sz="4" w:space="0" w:color="1B556B" w:themeColor="text2"/>
        </w:tblBorders>
        <w:tblLayout w:type="fixed"/>
        <w:tblCellMar>
          <w:left w:w="85" w:type="dxa"/>
          <w:right w:w="85" w:type="dxa"/>
        </w:tblCellMar>
        <w:tblLook w:val="01E0" w:firstRow="1" w:lastRow="1" w:firstColumn="1" w:lastColumn="1" w:noHBand="0" w:noVBand="0"/>
      </w:tblPr>
      <w:tblGrid>
        <w:gridCol w:w="3261"/>
        <w:gridCol w:w="992"/>
        <w:gridCol w:w="1417"/>
        <w:gridCol w:w="1417"/>
        <w:gridCol w:w="1418"/>
      </w:tblGrid>
      <w:tr w:rsidR="001003F8" w:rsidRPr="005C5E32" w14:paraId="7068C304" w14:textId="77777777" w:rsidTr="00974D52">
        <w:tc>
          <w:tcPr>
            <w:tcW w:w="3261" w:type="dxa"/>
            <w:shd w:val="clear" w:color="auto" w:fill="1B556B" w:themeFill="text2"/>
            <w:vAlign w:val="bottom"/>
          </w:tcPr>
          <w:p w14:paraId="4A45F350" w14:textId="77777777" w:rsidR="001003F8" w:rsidRPr="005C5E32" w:rsidRDefault="001003F8" w:rsidP="003D0CC1">
            <w:pPr>
              <w:pStyle w:val="TableTextbold"/>
              <w:keepNext/>
              <w:spacing w:before="40" w:after="40"/>
              <w:rPr>
                <w:color w:val="FFFFFF" w:themeColor="background1"/>
                <w:szCs w:val="18"/>
              </w:rPr>
            </w:pPr>
          </w:p>
        </w:tc>
        <w:tc>
          <w:tcPr>
            <w:tcW w:w="992" w:type="dxa"/>
            <w:shd w:val="clear" w:color="auto" w:fill="1B556B" w:themeFill="text2"/>
            <w:vAlign w:val="bottom"/>
          </w:tcPr>
          <w:p w14:paraId="78943128" w14:textId="77777777" w:rsidR="001003F8" w:rsidRPr="005C5E32" w:rsidRDefault="001003F8" w:rsidP="003D0CC1">
            <w:pPr>
              <w:pStyle w:val="TableTextbold"/>
              <w:keepNext/>
              <w:spacing w:before="40" w:after="40"/>
              <w:jc w:val="right"/>
              <w:rPr>
                <w:bCs/>
                <w:color w:val="FFFFFF" w:themeColor="background1"/>
                <w:szCs w:val="18"/>
              </w:rPr>
            </w:pPr>
            <w:r w:rsidRPr="005C5E32">
              <w:rPr>
                <w:bCs/>
                <w:color w:val="FFFFFF" w:themeColor="background1"/>
                <w:szCs w:val="18"/>
              </w:rPr>
              <w:t>2024/25</w:t>
            </w:r>
            <w:r w:rsidRPr="005C5E32">
              <w:rPr>
                <w:bCs/>
                <w:color w:val="FFFFFF" w:themeColor="background1"/>
                <w:szCs w:val="18"/>
              </w:rPr>
              <w:br/>
              <w:t>Actual</w:t>
            </w:r>
            <w:r w:rsidRPr="005C5E32">
              <w:rPr>
                <w:bCs/>
                <w:color w:val="FFFFFF" w:themeColor="background1"/>
                <w:szCs w:val="18"/>
              </w:rPr>
              <w:br/>
              <w:t>$000</w:t>
            </w:r>
          </w:p>
        </w:tc>
        <w:tc>
          <w:tcPr>
            <w:tcW w:w="1417" w:type="dxa"/>
            <w:shd w:val="clear" w:color="auto" w:fill="1B556B" w:themeFill="text2"/>
            <w:vAlign w:val="bottom"/>
          </w:tcPr>
          <w:p w14:paraId="682EB75A" w14:textId="77777777" w:rsidR="001003F8" w:rsidRPr="005C5E32" w:rsidRDefault="001003F8" w:rsidP="003D0CC1">
            <w:pPr>
              <w:pStyle w:val="TableTextbold"/>
              <w:keepNext/>
              <w:spacing w:before="40" w:after="40"/>
              <w:jc w:val="right"/>
              <w:rPr>
                <w:bCs/>
                <w:color w:val="FFFFFF" w:themeColor="background1"/>
                <w:szCs w:val="18"/>
              </w:rPr>
            </w:pPr>
            <w:r w:rsidRPr="005C5E32">
              <w:rPr>
                <w:bCs/>
                <w:color w:val="FFFFFF" w:themeColor="background1"/>
                <w:szCs w:val="18"/>
              </w:rPr>
              <w:t>2025/26</w:t>
            </w:r>
            <w:r w:rsidRPr="005C5E32">
              <w:rPr>
                <w:bCs/>
                <w:color w:val="FFFFFF" w:themeColor="background1"/>
                <w:szCs w:val="18"/>
              </w:rPr>
              <w:br/>
              <w:t>Budget</w:t>
            </w:r>
            <w:r w:rsidRPr="005C5E32">
              <w:rPr>
                <w:bCs/>
                <w:color w:val="FFFFFF" w:themeColor="background1"/>
                <w:szCs w:val="18"/>
              </w:rPr>
              <w:br/>
              <w:t>$000</w:t>
            </w:r>
          </w:p>
        </w:tc>
        <w:tc>
          <w:tcPr>
            <w:tcW w:w="1417" w:type="dxa"/>
            <w:shd w:val="clear" w:color="auto" w:fill="1B556B" w:themeFill="text2"/>
            <w:vAlign w:val="bottom"/>
          </w:tcPr>
          <w:p w14:paraId="633CE038" w14:textId="77777777" w:rsidR="001003F8" w:rsidRPr="005C5E32" w:rsidRDefault="001003F8" w:rsidP="003D0CC1">
            <w:pPr>
              <w:pStyle w:val="TableTextbold"/>
              <w:keepNext/>
              <w:spacing w:before="40" w:after="40"/>
              <w:jc w:val="right"/>
              <w:rPr>
                <w:bCs/>
                <w:color w:val="FFFFFF" w:themeColor="background1"/>
                <w:szCs w:val="18"/>
              </w:rPr>
            </w:pPr>
            <w:r w:rsidRPr="005C5E32">
              <w:rPr>
                <w:bCs/>
                <w:color w:val="FFFFFF" w:themeColor="background1"/>
                <w:szCs w:val="18"/>
              </w:rPr>
              <w:t>2025/26</w:t>
            </w:r>
            <w:r w:rsidRPr="005C5E32">
              <w:rPr>
                <w:bCs/>
                <w:color w:val="FFFFFF" w:themeColor="background1"/>
                <w:szCs w:val="18"/>
              </w:rPr>
              <w:br/>
              <w:t>Revised Budget</w:t>
            </w:r>
            <w:r w:rsidRPr="005C5E32">
              <w:rPr>
                <w:bCs/>
                <w:color w:val="FFFFFF" w:themeColor="background1"/>
                <w:szCs w:val="18"/>
              </w:rPr>
              <w:br/>
              <w:t>$000</w:t>
            </w:r>
          </w:p>
        </w:tc>
        <w:tc>
          <w:tcPr>
            <w:tcW w:w="1418" w:type="dxa"/>
            <w:tcBorders>
              <w:bottom w:val="single" w:sz="4" w:space="0" w:color="1B556B" w:themeColor="text2"/>
            </w:tcBorders>
            <w:shd w:val="clear" w:color="auto" w:fill="1B556B" w:themeFill="text2"/>
            <w:vAlign w:val="bottom"/>
          </w:tcPr>
          <w:p w14:paraId="3172AD18" w14:textId="77777777" w:rsidR="001003F8" w:rsidRPr="005C5E32" w:rsidRDefault="001003F8" w:rsidP="003D0CC1">
            <w:pPr>
              <w:pStyle w:val="TableTextbold"/>
              <w:keepNext/>
              <w:spacing w:before="40" w:after="40"/>
              <w:jc w:val="right"/>
              <w:rPr>
                <w:bCs/>
                <w:color w:val="FFFFFF" w:themeColor="background1"/>
                <w:szCs w:val="18"/>
              </w:rPr>
            </w:pPr>
            <w:r w:rsidRPr="005C5E32">
              <w:rPr>
                <w:bCs/>
                <w:color w:val="FFFFFF" w:themeColor="background1"/>
                <w:szCs w:val="18"/>
              </w:rPr>
              <w:t>2025/26</w:t>
            </w:r>
            <w:r w:rsidRPr="005C5E32">
              <w:rPr>
                <w:bCs/>
                <w:color w:val="FFFFFF" w:themeColor="background1"/>
                <w:szCs w:val="18"/>
              </w:rPr>
              <w:br/>
              <w:t>Actual</w:t>
            </w:r>
            <w:r w:rsidRPr="005C5E32">
              <w:rPr>
                <w:bCs/>
                <w:color w:val="FFFFFF" w:themeColor="background1"/>
                <w:szCs w:val="18"/>
              </w:rPr>
              <w:br/>
              <w:t>$000</w:t>
            </w:r>
          </w:p>
        </w:tc>
      </w:tr>
      <w:tr w:rsidR="001003F8" w:rsidRPr="005C5E32" w14:paraId="29F4A082" w14:textId="77777777" w:rsidTr="00974D52">
        <w:tc>
          <w:tcPr>
            <w:tcW w:w="3261" w:type="dxa"/>
          </w:tcPr>
          <w:p w14:paraId="0B15CCD9" w14:textId="77777777" w:rsidR="001003F8" w:rsidRPr="005C5E32" w:rsidRDefault="001003F8" w:rsidP="004411B2">
            <w:pPr>
              <w:pStyle w:val="TableText"/>
              <w:spacing w:before="40" w:after="40"/>
              <w:rPr>
                <w:szCs w:val="18"/>
              </w:rPr>
            </w:pPr>
            <w:r w:rsidRPr="005C5E32">
              <w:rPr>
                <w:szCs w:val="18"/>
              </w:rPr>
              <w:t>Property, plant and equipment</w:t>
            </w:r>
          </w:p>
        </w:tc>
        <w:tc>
          <w:tcPr>
            <w:tcW w:w="992" w:type="dxa"/>
          </w:tcPr>
          <w:p w14:paraId="5E605355" w14:textId="77777777" w:rsidR="001003F8" w:rsidRPr="005C5E32" w:rsidRDefault="001003F8" w:rsidP="004411B2">
            <w:pPr>
              <w:pStyle w:val="TableText"/>
              <w:spacing w:before="40" w:after="40"/>
              <w:jc w:val="right"/>
              <w:rPr>
                <w:szCs w:val="18"/>
              </w:rPr>
            </w:pPr>
            <w:r w:rsidRPr="005C5E32">
              <w:t>256</w:t>
            </w:r>
          </w:p>
        </w:tc>
        <w:tc>
          <w:tcPr>
            <w:tcW w:w="1417" w:type="dxa"/>
          </w:tcPr>
          <w:p w14:paraId="3069CE0E" w14:textId="6CB64447" w:rsidR="001003F8" w:rsidRPr="005C5E32" w:rsidRDefault="00B56990" w:rsidP="004411B2">
            <w:pPr>
              <w:pStyle w:val="TableText"/>
              <w:spacing w:before="40" w:after="40"/>
              <w:jc w:val="right"/>
              <w:rPr>
                <w:szCs w:val="18"/>
              </w:rPr>
            </w:pPr>
            <w:r w:rsidRPr="005C5E32">
              <w:rPr>
                <w:szCs w:val="18"/>
              </w:rPr>
              <w:t>300</w:t>
            </w:r>
          </w:p>
        </w:tc>
        <w:tc>
          <w:tcPr>
            <w:tcW w:w="1417" w:type="dxa"/>
          </w:tcPr>
          <w:p w14:paraId="6612B152" w14:textId="262BC56D" w:rsidR="001003F8" w:rsidRPr="005C5E32" w:rsidRDefault="00B56990" w:rsidP="004411B2">
            <w:pPr>
              <w:pStyle w:val="TableText"/>
              <w:spacing w:before="40" w:after="40"/>
              <w:jc w:val="right"/>
              <w:rPr>
                <w:szCs w:val="18"/>
              </w:rPr>
            </w:pPr>
            <w:r w:rsidRPr="005C5E32">
              <w:rPr>
                <w:szCs w:val="18"/>
              </w:rPr>
              <w:t>300</w:t>
            </w:r>
          </w:p>
        </w:tc>
        <w:tc>
          <w:tcPr>
            <w:tcW w:w="1418" w:type="dxa"/>
            <w:shd w:val="clear" w:color="auto" w:fill="D2DDE1" w:themeFill="background2"/>
          </w:tcPr>
          <w:p w14:paraId="76298681" w14:textId="779A594F" w:rsidR="001003F8" w:rsidRPr="005C5E32" w:rsidRDefault="00B56990" w:rsidP="004411B2">
            <w:pPr>
              <w:pStyle w:val="TableText"/>
              <w:spacing w:before="40" w:after="40"/>
              <w:jc w:val="right"/>
              <w:rPr>
                <w:szCs w:val="18"/>
              </w:rPr>
            </w:pPr>
            <w:r w:rsidRPr="005C5E32">
              <w:rPr>
                <w:szCs w:val="18"/>
              </w:rPr>
              <w:t>742</w:t>
            </w:r>
          </w:p>
        </w:tc>
      </w:tr>
      <w:tr w:rsidR="001003F8" w:rsidRPr="005C5E32" w14:paraId="20B97FF5" w14:textId="77777777" w:rsidTr="00974D52">
        <w:tc>
          <w:tcPr>
            <w:tcW w:w="3261" w:type="dxa"/>
          </w:tcPr>
          <w:p w14:paraId="28BE71B2" w14:textId="77777777" w:rsidR="001003F8" w:rsidRPr="005C5E32" w:rsidRDefault="001003F8" w:rsidP="004411B2">
            <w:pPr>
              <w:pStyle w:val="TableText"/>
              <w:spacing w:before="40" w:after="40"/>
              <w:rPr>
                <w:szCs w:val="18"/>
              </w:rPr>
            </w:pPr>
            <w:r w:rsidRPr="005C5E32">
              <w:rPr>
                <w:szCs w:val="18"/>
              </w:rPr>
              <w:t>Intangibles</w:t>
            </w:r>
          </w:p>
        </w:tc>
        <w:tc>
          <w:tcPr>
            <w:tcW w:w="992" w:type="dxa"/>
          </w:tcPr>
          <w:p w14:paraId="2D1C84AB" w14:textId="77777777" w:rsidR="001003F8" w:rsidRPr="005C5E32" w:rsidRDefault="001003F8" w:rsidP="004411B2">
            <w:pPr>
              <w:pStyle w:val="TableText"/>
              <w:spacing w:before="40" w:after="40"/>
              <w:jc w:val="right"/>
              <w:rPr>
                <w:szCs w:val="18"/>
              </w:rPr>
            </w:pPr>
            <w:r w:rsidRPr="005C5E32">
              <w:t>(32)</w:t>
            </w:r>
          </w:p>
        </w:tc>
        <w:tc>
          <w:tcPr>
            <w:tcW w:w="1417" w:type="dxa"/>
          </w:tcPr>
          <w:p w14:paraId="3A1A6724" w14:textId="39AC7574" w:rsidR="001003F8" w:rsidRPr="005C5E32" w:rsidRDefault="00B56990" w:rsidP="004411B2">
            <w:pPr>
              <w:pStyle w:val="TableText"/>
              <w:spacing w:before="40" w:after="40"/>
              <w:jc w:val="right"/>
              <w:rPr>
                <w:szCs w:val="18"/>
              </w:rPr>
            </w:pPr>
            <w:r w:rsidRPr="005C5E32">
              <w:rPr>
                <w:szCs w:val="18"/>
              </w:rPr>
              <w:t>500</w:t>
            </w:r>
          </w:p>
        </w:tc>
        <w:tc>
          <w:tcPr>
            <w:tcW w:w="1417" w:type="dxa"/>
          </w:tcPr>
          <w:p w14:paraId="21F3B3CF" w14:textId="69C8FA66" w:rsidR="001003F8" w:rsidRPr="005C5E32" w:rsidRDefault="00B56990" w:rsidP="004411B2">
            <w:pPr>
              <w:pStyle w:val="TableText"/>
              <w:spacing w:before="40" w:after="40"/>
              <w:jc w:val="right"/>
              <w:rPr>
                <w:szCs w:val="18"/>
              </w:rPr>
            </w:pPr>
            <w:r w:rsidRPr="005C5E32">
              <w:rPr>
                <w:szCs w:val="18"/>
              </w:rPr>
              <w:t>500</w:t>
            </w:r>
          </w:p>
        </w:tc>
        <w:tc>
          <w:tcPr>
            <w:tcW w:w="1418" w:type="dxa"/>
            <w:shd w:val="clear" w:color="auto" w:fill="D2DDE1" w:themeFill="background2"/>
          </w:tcPr>
          <w:p w14:paraId="1D45DCF9" w14:textId="6B1CCF07" w:rsidR="001003F8" w:rsidRPr="005C5E32" w:rsidRDefault="00B56990" w:rsidP="004411B2">
            <w:pPr>
              <w:pStyle w:val="TableText"/>
              <w:spacing w:before="40" w:after="40"/>
              <w:jc w:val="right"/>
              <w:rPr>
                <w:szCs w:val="18"/>
              </w:rPr>
            </w:pPr>
            <w:r w:rsidRPr="005C5E32">
              <w:rPr>
                <w:szCs w:val="18"/>
              </w:rPr>
              <w:t>8</w:t>
            </w:r>
          </w:p>
        </w:tc>
      </w:tr>
      <w:tr w:rsidR="001003F8" w:rsidRPr="005C5E32" w14:paraId="2ADFF22F" w14:textId="77777777" w:rsidTr="00974D52">
        <w:tc>
          <w:tcPr>
            <w:tcW w:w="3261" w:type="dxa"/>
          </w:tcPr>
          <w:p w14:paraId="076EA144" w14:textId="77777777" w:rsidR="001003F8" w:rsidRPr="005C5E32" w:rsidRDefault="001003F8" w:rsidP="009A5FEC">
            <w:pPr>
              <w:pStyle w:val="TableTextbold"/>
              <w:spacing w:before="40" w:after="40"/>
              <w:rPr>
                <w:szCs w:val="18"/>
              </w:rPr>
            </w:pPr>
            <w:r w:rsidRPr="005C5E32">
              <w:rPr>
                <w:szCs w:val="18"/>
              </w:rPr>
              <w:t>Total</w:t>
            </w:r>
          </w:p>
        </w:tc>
        <w:tc>
          <w:tcPr>
            <w:tcW w:w="992" w:type="dxa"/>
          </w:tcPr>
          <w:p w14:paraId="3A2D5737" w14:textId="77777777" w:rsidR="001003F8" w:rsidRPr="005C5E32" w:rsidRDefault="001003F8" w:rsidP="009A5FEC">
            <w:pPr>
              <w:pStyle w:val="TableTextbold"/>
              <w:spacing w:before="40" w:after="40"/>
              <w:jc w:val="right"/>
              <w:rPr>
                <w:szCs w:val="18"/>
              </w:rPr>
            </w:pPr>
            <w:r w:rsidRPr="005C5E32">
              <w:t>224</w:t>
            </w:r>
          </w:p>
        </w:tc>
        <w:tc>
          <w:tcPr>
            <w:tcW w:w="1417" w:type="dxa"/>
          </w:tcPr>
          <w:p w14:paraId="7877A494" w14:textId="43E850BA" w:rsidR="001003F8" w:rsidRPr="005C5E32" w:rsidRDefault="00B56990" w:rsidP="009A5FEC">
            <w:pPr>
              <w:pStyle w:val="TableTextbold"/>
              <w:spacing w:before="40" w:after="40"/>
              <w:jc w:val="right"/>
              <w:rPr>
                <w:szCs w:val="18"/>
              </w:rPr>
            </w:pPr>
            <w:r w:rsidRPr="005C5E32">
              <w:rPr>
                <w:szCs w:val="18"/>
              </w:rPr>
              <w:t>800</w:t>
            </w:r>
          </w:p>
        </w:tc>
        <w:tc>
          <w:tcPr>
            <w:tcW w:w="1417" w:type="dxa"/>
          </w:tcPr>
          <w:p w14:paraId="20F1CC89" w14:textId="78C8494F" w:rsidR="001003F8" w:rsidRPr="005C5E32" w:rsidRDefault="00B56990" w:rsidP="009A5FEC">
            <w:pPr>
              <w:pStyle w:val="TableTextbold"/>
              <w:spacing w:before="40" w:after="40"/>
              <w:jc w:val="right"/>
              <w:rPr>
                <w:szCs w:val="18"/>
              </w:rPr>
            </w:pPr>
            <w:r w:rsidRPr="005C5E32">
              <w:rPr>
                <w:szCs w:val="18"/>
              </w:rPr>
              <w:t>800</w:t>
            </w:r>
          </w:p>
        </w:tc>
        <w:tc>
          <w:tcPr>
            <w:tcW w:w="1418" w:type="dxa"/>
            <w:shd w:val="clear" w:color="auto" w:fill="D2DDE1" w:themeFill="background2"/>
          </w:tcPr>
          <w:p w14:paraId="77406687" w14:textId="252D2974" w:rsidR="001003F8" w:rsidRPr="005C5E32" w:rsidRDefault="00B56990" w:rsidP="009A5FEC">
            <w:pPr>
              <w:pStyle w:val="TableTextbold"/>
              <w:spacing w:before="40" w:after="40"/>
              <w:jc w:val="right"/>
              <w:rPr>
                <w:szCs w:val="18"/>
              </w:rPr>
            </w:pPr>
            <w:r w:rsidRPr="005C5E32">
              <w:rPr>
                <w:szCs w:val="18"/>
              </w:rPr>
              <w:t>750</w:t>
            </w:r>
          </w:p>
        </w:tc>
      </w:tr>
    </w:tbl>
    <w:p w14:paraId="24BAFA18" w14:textId="77777777" w:rsidR="001003F8" w:rsidRPr="005C5E32" w:rsidRDefault="001003F8" w:rsidP="003B4A7F">
      <w:pPr>
        <w:pStyle w:val="BodyText"/>
      </w:pP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3261"/>
        <w:gridCol w:w="1842"/>
        <w:gridCol w:w="1560"/>
        <w:gridCol w:w="1842"/>
      </w:tblGrid>
      <w:tr w:rsidR="001003F8" w:rsidRPr="005C5E32" w14:paraId="4A7E972F" w14:textId="77777777" w:rsidTr="00971452">
        <w:trPr>
          <w:tblHeader/>
        </w:trPr>
        <w:tc>
          <w:tcPr>
            <w:tcW w:w="1917" w:type="pct"/>
            <w:shd w:val="clear" w:color="auto" w:fill="1B556B" w:themeFill="text2"/>
          </w:tcPr>
          <w:p w14:paraId="7311350E" w14:textId="77777777" w:rsidR="001003F8" w:rsidRPr="005C5E32" w:rsidRDefault="001003F8" w:rsidP="003D0CC1">
            <w:pPr>
              <w:pStyle w:val="TableTextbold"/>
              <w:keepNext/>
              <w:rPr>
                <w:color w:val="FFFFFF" w:themeColor="background1"/>
              </w:rPr>
            </w:pPr>
            <w:r w:rsidRPr="005C5E32">
              <w:rPr>
                <w:color w:val="FFFFFF" w:themeColor="background1"/>
              </w:rPr>
              <w:t>Performance measure</w:t>
            </w:r>
          </w:p>
        </w:tc>
        <w:tc>
          <w:tcPr>
            <w:tcW w:w="1083" w:type="pct"/>
            <w:shd w:val="clear" w:color="auto" w:fill="1B556B" w:themeFill="text2"/>
          </w:tcPr>
          <w:p w14:paraId="762D59B0" w14:textId="77777777" w:rsidR="001003F8" w:rsidRPr="005C5E32" w:rsidRDefault="001003F8" w:rsidP="003D0CC1">
            <w:pPr>
              <w:pStyle w:val="TableTextbold"/>
              <w:keepNext/>
              <w:rPr>
                <w:color w:val="FFFFFF" w:themeColor="background1"/>
              </w:rPr>
            </w:pPr>
            <w:r w:rsidRPr="005C5E32">
              <w:rPr>
                <w:color w:val="FFFFFF" w:themeColor="background1"/>
              </w:rPr>
              <w:t>2024/25 performance</w:t>
            </w:r>
          </w:p>
        </w:tc>
        <w:tc>
          <w:tcPr>
            <w:tcW w:w="917" w:type="pct"/>
            <w:shd w:val="clear" w:color="auto" w:fill="1B556B" w:themeFill="text2"/>
          </w:tcPr>
          <w:p w14:paraId="44D69BAA" w14:textId="77777777" w:rsidR="001003F8" w:rsidRPr="005C5E32" w:rsidRDefault="001003F8" w:rsidP="003D0CC1">
            <w:pPr>
              <w:pStyle w:val="TableTextbold"/>
              <w:keepNext/>
              <w:rPr>
                <w:color w:val="FFFFFF" w:themeColor="background1"/>
              </w:rPr>
            </w:pPr>
            <w:r w:rsidRPr="005C5E32">
              <w:rPr>
                <w:color w:val="FFFFFF" w:themeColor="background1"/>
              </w:rPr>
              <w:t>2025/26 target</w:t>
            </w:r>
          </w:p>
        </w:tc>
        <w:tc>
          <w:tcPr>
            <w:tcW w:w="1083" w:type="pct"/>
            <w:shd w:val="clear" w:color="auto" w:fill="1B556B" w:themeFill="text2"/>
          </w:tcPr>
          <w:p w14:paraId="781EA3CB" w14:textId="77777777" w:rsidR="001003F8" w:rsidRPr="005C5E32" w:rsidRDefault="001003F8" w:rsidP="003D0CC1">
            <w:pPr>
              <w:pStyle w:val="TableTextbold"/>
              <w:keepNext/>
              <w:rPr>
                <w:color w:val="FFFFFF" w:themeColor="background1"/>
              </w:rPr>
            </w:pPr>
            <w:r w:rsidRPr="005C5E32">
              <w:rPr>
                <w:color w:val="FFFFFF" w:themeColor="background1"/>
              </w:rPr>
              <w:t>2025/26 performance</w:t>
            </w:r>
          </w:p>
        </w:tc>
      </w:tr>
      <w:tr w:rsidR="001003F8" w:rsidRPr="005C5E32" w14:paraId="4B84D52E" w14:textId="77777777" w:rsidTr="00971452">
        <w:tc>
          <w:tcPr>
            <w:tcW w:w="1917" w:type="pct"/>
            <w:tcBorders>
              <w:bottom w:val="single" w:sz="4" w:space="0" w:color="1B556B"/>
            </w:tcBorders>
          </w:tcPr>
          <w:p w14:paraId="757ACA66" w14:textId="2288B818" w:rsidR="001003F8" w:rsidRPr="005C5E32" w:rsidRDefault="001003F8" w:rsidP="004411B2">
            <w:pPr>
              <w:pStyle w:val="TableText"/>
              <w:keepNext/>
              <w:spacing w:before="40" w:after="40"/>
            </w:pPr>
            <w:r w:rsidRPr="005C5E32">
              <w:t>Expenditure is in accordance with the Ministry</w:t>
            </w:r>
            <w:r w:rsidR="000369F8" w:rsidRPr="005C5E32">
              <w:t>’</w:t>
            </w:r>
            <w:r w:rsidRPr="005C5E32">
              <w:t>s capital asset management plan</w:t>
            </w:r>
          </w:p>
        </w:tc>
        <w:tc>
          <w:tcPr>
            <w:tcW w:w="1083" w:type="pct"/>
            <w:tcBorders>
              <w:bottom w:val="single" w:sz="4" w:space="0" w:color="1B556B"/>
            </w:tcBorders>
          </w:tcPr>
          <w:p w14:paraId="02B3B394" w14:textId="77777777" w:rsidR="001003F8" w:rsidRPr="005C5E32" w:rsidRDefault="001003F8" w:rsidP="004411B2">
            <w:pPr>
              <w:pStyle w:val="TableText"/>
              <w:keepNext/>
              <w:spacing w:before="40" w:after="40"/>
            </w:pPr>
            <w:r w:rsidRPr="005C5E32">
              <w:t>Achieved</w:t>
            </w:r>
          </w:p>
        </w:tc>
        <w:tc>
          <w:tcPr>
            <w:tcW w:w="917" w:type="pct"/>
            <w:tcBorders>
              <w:bottom w:val="single" w:sz="4" w:space="0" w:color="1B556B"/>
            </w:tcBorders>
          </w:tcPr>
          <w:p w14:paraId="42FCE671" w14:textId="77777777" w:rsidR="001003F8" w:rsidRPr="005C5E32" w:rsidRDefault="001003F8" w:rsidP="004411B2">
            <w:pPr>
              <w:pStyle w:val="TableText"/>
              <w:keepNext/>
              <w:spacing w:before="40" w:after="40"/>
            </w:pPr>
            <w:r w:rsidRPr="005C5E32">
              <w:t>Achieved</w:t>
            </w:r>
          </w:p>
        </w:tc>
        <w:tc>
          <w:tcPr>
            <w:tcW w:w="1083" w:type="pct"/>
            <w:tcBorders>
              <w:bottom w:val="single" w:sz="4" w:space="0" w:color="1B556B"/>
            </w:tcBorders>
          </w:tcPr>
          <w:p w14:paraId="7B21674C" w14:textId="72D84813" w:rsidR="001003F8" w:rsidRPr="005C5E32" w:rsidRDefault="009A20A0" w:rsidP="004411B2">
            <w:pPr>
              <w:pStyle w:val="TableText"/>
              <w:keepNext/>
              <w:spacing w:before="40" w:after="40"/>
            </w:pPr>
            <w:r w:rsidRPr="005C5E32">
              <w:t>Achieved</w:t>
            </w:r>
          </w:p>
        </w:tc>
      </w:tr>
      <w:tr w:rsidR="001003F8" w:rsidRPr="005C5E32" w14:paraId="285BA6E5" w14:textId="77777777" w:rsidTr="00D6004B">
        <w:tc>
          <w:tcPr>
            <w:tcW w:w="5000" w:type="pct"/>
            <w:gridSpan w:val="4"/>
            <w:tcBorders>
              <w:bottom w:val="single" w:sz="12" w:space="0" w:color="1B556B"/>
            </w:tcBorders>
            <w:shd w:val="clear" w:color="auto" w:fill="D2DDE1"/>
          </w:tcPr>
          <w:p w14:paraId="41F3283E" w14:textId="7351489E" w:rsidR="001003F8" w:rsidRPr="005C5E32" w:rsidRDefault="001003F8" w:rsidP="004411B2">
            <w:pPr>
              <w:pStyle w:val="TableText"/>
              <w:spacing w:before="40" w:after="40"/>
              <w:rPr>
                <w:b/>
              </w:rPr>
            </w:pPr>
            <w:r w:rsidRPr="005C5E32">
              <w:rPr>
                <w:b/>
              </w:rPr>
              <w:t>2025/26 commentary:</w:t>
            </w:r>
            <w:r w:rsidRPr="005C5E32">
              <w:t xml:space="preserve"> </w:t>
            </w:r>
            <w:r w:rsidR="0037574D" w:rsidRPr="005C5E32">
              <w:t>All expenditure is within the Ministry</w:t>
            </w:r>
            <w:r w:rsidR="003E6792" w:rsidRPr="005C5E32">
              <w:t>’</w:t>
            </w:r>
            <w:r w:rsidR="0037574D" w:rsidRPr="005C5E32">
              <w:t xml:space="preserve">s capital asset management plan. </w:t>
            </w:r>
            <w:r w:rsidR="00034308" w:rsidRPr="005C5E32">
              <w:t>Most c</w:t>
            </w:r>
            <w:r w:rsidR="0037574D" w:rsidRPr="005C5E32">
              <w:t>apital expenditure relates to laptop</w:t>
            </w:r>
            <w:r w:rsidR="0090193D" w:rsidRPr="005C5E32">
              <w:t>s</w:t>
            </w:r>
            <w:r w:rsidR="0037574D" w:rsidRPr="005C5E32">
              <w:t xml:space="preserve"> and other minor </w:t>
            </w:r>
            <w:r w:rsidR="00DD54F6" w:rsidRPr="005C5E32">
              <w:t xml:space="preserve">purchases </w:t>
            </w:r>
            <w:r w:rsidR="00BF3570" w:rsidRPr="005C5E32">
              <w:t>of information and communications technology assets</w:t>
            </w:r>
            <w:r w:rsidR="0037574D" w:rsidRPr="005C5E32">
              <w:t>.</w:t>
            </w:r>
          </w:p>
        </w:tc>
      </w:tr>
    </w:tbl>
    <w:p w14:paraId="5F1E66E5" w14:textId="77777777" w:rsidR="001003F8" w:rsidRPr="005C5E32" w:rsidRDefault="001003F8" w:rsidP="002E77F1">
      <w:pPr>
        <w:pStyle w:val="Heading3"/>
        <w:rPr>
          <w:rFonts w:eastAsiaTheme="minorHAnsi"/>
          <w:lang w:eastAsia="en-US"/>
        </w:rPr>
      </w:pPr>
      <w:bookmarkStart w:id="161" w:name="_Climate_Change_Chief"/>
      <w:bookmarkStart w:id="162" w:name="_Toc136349049"/>
      <w:bookmarkStart w:id="163" w:name="_Toc173852914"/>
      <w:bookmarkStart w:id="164" w:name="_Toc173931483"/>
      <w:bookmarkStart w:id="165" w:name="_Toc173932217"/>
      <w:bookmarkStart w:id="166" w:name="_Ref241145017"/>
      <w:bookmarkStart w:id="167" w:name="_Ref241145022"/>
      <w:bookmarkStart w:id="168" w:name="_Toc109648970"/>
      <w:bookmarkStart w:id="169" w:name="_Toc110587651"/>
      <w:bookmarkStart w:id="170" w:name="_Toc111637882"/>
      <w:bookmarkStart w:id="171" w:name="_Toc112144604"/>
      <w:bookmarkStart w:id="172" w:name="_Toc136349053"/>
      <w:bookmarkEnd w:id="161"/>
      <w:r w:rsidRPr="005C5E32">
        <w:rPr>
          <w:rFonts w:eastAsiaTheme="minorHAnsi"/>
          <w:lang w:eastAsia="en-US"/>
        </w:rPr>
        <w:lastRenderedPageBreak/>
        <w:t>Climate Change Chief Executives Board</w:t>
      </w:r>
      <w:bookmarkEnd w:id="162"/>
      <w:bookmarkEnd w:id="163"/>
      <w:bookmarkEnd w:id="164"/>
      <w:bookmarkEnd w:id="165"/>
      <w:bookmarkEnd w:id="166"/>
      <w:bookmarkEnd w:id="167"/>
    </w:p>
    <w:p w14:paraId="2C5E58E0" w14:textId="77777777" w:rsidR="001003F8" w:rsidRPr="005C5E32" w:rsidRDefault="001003F8" w:rsidP="002E77F1">
      <w:pPr>
        <w:pStyle w:val="Heading4"/>
        <w:spacing w:before="120"/>
      </w:pPr>
      <w:bookmarkStart w:id="173" w:name="_Ref237442333"/>
      <w:r w:rsidRPr="005C5E32">
        <w:t>Departmental output expenses</w:t>
      </w:r>
      <w:bookmarkEnd w:id="173"/>
    </w:p>
    <w:p w14:paraId="3A84629E" w14:textId="53747B87" w:rsidR="001003F8" w:rsidRPr="005C5E32" w:rsidRDefault="001003F8" w:rsidP="00F27966">
      <w:pPr>
        <w:pStyle w:val="BodyText"/>
        <w:keepLines/>
        <w:spacing w:after="240"/>
        <w:rPr>
          <w:lang w:eastAsia="en-US"/>
        </w:rPr>
      </w:pPr>
      <w:r w:rsidRPr="005C5E32">
        <w:rPr>
          <w:lang w:eastAsia="en-US"/>
        </w:rPr>
        <w:t>This appropriation is intended to support the Climate Change Chief Executives Board to</w:t>
      </w:r>
      <w:r w:rsidRPr="005C5E32" w:rsidDel="008D23EA">
        <w:rPr>
          <w:lang w:eastAsia="en-US"/>
        </w:rPr>
        <w:t xml:space="preserve"> </w:t>
      </w:r>
      <w:r w:rsidRPr="005C5E32">
        <w:rPr>
          <w:lang w:eastAsia="en-US"/>
        </w:rPr>
        <w:t>provide strategic climate advice to Ministers</w:t>
      </w:r>
      <w:r w:rsidRPr="005C5E32" w:rsidDel="008D23EA">
        <w:rPr>
          <w:lang w:eastAsia="en-US"/>
        </w:rPr>
        <w:t xml:space="preserve">; </w:t>
      </w:r>
      <w:r w:rsidRPr="005C5E32">
        <w:rPr>
          <w:lang w:eastAsia="en-US"/>
        </w:rPr>
        <w:t>monitor and report on progress against the Government</w:t>
      </w:r>
      <w:r w:rsidR="000369F8" w:rsidRPr="005C5E32">
        <w:rPr>
          <w:lang w:eastAsia="en-US"/>
        </w:rPr>
        <w:t>’</w:t>
      </w:r>
      <w:r w:rsidRPr="005C5E32">
        <w:rPr>
          <w:lang w:eastAsia="en-US"/>
        </w:rPr>
        <w:t>s climate change goals and targets, including advice on any course correction required</w:t>
      </w:r>
      <w:r w:rsidRPr="005C5E32" w:rsidDel="008D23EA">
        <w:rPr>
          <w:lang w:eastAsia="en-US"/>
        </w:rPr>
        <w:t xml:space="preserve">; and </w:t>
      </w:r>
      <w:r w:rsidRPr="005C5E32">
        <w:rPr>
          <w:lang w:eastAsia="en-US"/>
        </w:rPr>
        <w:t>provide advice on the direction, effectiveness and successful implementation of New Zealand</w:t>
      </w:r>
      <w:r w:rsidR="000369F8" w:rsidRPr="005C5E32">
        <w:rPr>
          <w:lang w:eastAsia="en-US"/>
        </w:rPr>
        <w:t>’</w:t>
      </w:r>
      <w:r w:rsidRPr="005C5E32">
        <w:rPr>
          <w:lang w:eastAsia="en-US"/>
        </w:rPr>
        <w:t>s emissions reduction and national adaptation plan</w:t>
      </w:r>
      <w:r w:rsidRPr="005C5E32" w:rsidDel="009E43DD">
        <w:rPr>
          <w:lang w:eastAsia="en-US"/>
        </w:rPr>
        <w:t>s</w:t>
      </w:r>
      <w:r w:rsidRPr="005C5E32">
        <w:rPr>
          <w:lang w:eastAsia="en-US"/>
        </w:rPr>
        <w:t>.</w:t>
      </w:r>
    </w:p>
    <w:tbl>
      <w:tblPr>
        <w:tblW w:w="8505" w:type="dxa"/>
        <w:tblBorders>
          <w:top w:val="single" w:sz="4" w:space="0" w:color="1B556B" w:themeColor="text2"/>
          <w:bottom w:val="single" w:sz="4" w:space="0" w:color="1B556B" w:themeColor="text2"/>
          <w:insideH w:val="single" w:sz="4" w:space="0" w:color="1B556B" w:themeColor="text2"/>
          <w:insideV w:val="single" w:sz="4" w:space="0" w:color="1B556B" w:themeColor="text2"/>
        </w:tblBorders>
        <w:tblLayout w:type="fixed"/>
        <w:tblCellMar>
          <w:left w:w="85" w:type="dxa"/>
          <w:right w:w="85" w:type="dxa"/>
        </w:tblCellMar>
        <w:tblLook w:val="01E0" w:firstRow="1" w:lastRow="1" w:firstColumn="1" w:lastColumn="1" w:noHBand="0" w:noVBand="0"/>
      </w:tblPr>
      <w:tblGrid>
        <w:gridCol w:w="3304"/>
        <w:gridCol w:w="1195"/>
        <w:gridCol w:w="1195"/>
        <w:gridCol w:w="1616"/>
        <w:gridCol w:w="1195"/>
      </w:tblGrid>
      <w:tr w:rsidR="001003F8" w:rsidRPr="005C5E32" w14:paraId="136CE289" w14:textId="77777777" w:rsidTr="006C65C1">
        <w:tc>
          <w:tcPr>
            <w:tcW w:w="2666" w:type="dxa"/>
            <w:shd w:val="clear" w:color="auto" w:fill="1B556B" w:themeFill="text2"/>
            <w:vAlign w:val="bottom"/>
          </w:tcPr>
          <w:p w14:paraId="03C807B1" w14:textId="77777777" w:rsidR="001003F8" w:rsidRPr="005C5E32" w:rsidRDefault="001003F8" w:rsidP="003D0CC1">
            <w:pPr>
              <w:pStyle w:val="TableTextbold"/>
              <w:spacing w:before="40" w:after="40"/>
              <w:rPr>
                <w:color w:val="FFFFFF" w:themeColor="background1"/>
                <w:szCs w:val="18"/>
              </w:rPr>
            </w:pPr>
          </w:p>
        </w:tc>
        <w:tc>
          <w:tcPr>
            <w:tcW w:w="964" w:type="dxa"/>
            <w:shd w:val="clear" w:color="auto" w:fill="1B556B" w:themeFill="text2"/>
            <w:vAlign w:val="bottom"/>
          </w:tcPr>
          <w:p w14:paraId="2BDBBEEF" w14:textId="77777777" w:rsidR="001003F8" w:rsidRPr="005C5E32" w:rsidRDefault="001003F8" w:rsidP="003D0CC1">
            <w:pPr>
              <w:pStyle w:val="TableTextbold"/>
              <w:spacing w:before="40" w:after="40"/>
              <w:jc w:val="right"/>
              <w:rPr>
                <w:bCs/>
                <w:color w:val="FFFFFF" w:themeColor="background1"/>
                <w:szCs w:val="18"/>
              </w:rPr>
            </w:pPr>
            <w:r w:rsidRPr="005C5E32">
              <w:rPr>
                <w:bCs/>
                <w:color w:val="FFFFFF" w:themeColor="background1"/>
                <w:szCs w:val="18"/>
              </w:rPr>
              <w:t>2024/25</w:t>
            </w:r>
            <w:r w:rsidRPr="005C5E32">
              <w:rPr>
                <w:bCs/>
                <w:color w:val="FFFFFF" w:themeColor="background1"/>
                <w:szCs w:val="18"/>
              </w:rPr>
              <w:br/>
              <w:t>Actual</w:t>
            </w:r>
            <w:r w:rsidRPr="005C5E32">
              <w:rPr>
                <w:bCs/>
                <w:color w:val="FFFFFF" w:themeColor="background1"/>
                <w:szCs w:val="18"/>
              </w:rPr>
              <w:br/>
              <w:t>$000</w:t>
            </w:r>
          </w:p>
        </w:tc>
        <w:tc>
          <w:tcPr>
            <w:tcW w:w="964" w:type="dxa"/>
            <w:shd w:val="clear" w:color="auto" w:fill="1B556B" w:themeFill="text2"/>
            <w:vAlign w:val="bottom"/>
          </w:tcPr>
          <w:p w14:paraId="2838A20E" w14:textId="77777777" w:rsidR="001003F8" w:rsidRPr="005C5E32" w:rsidRDefault="001003F8" w:rsidP="003D0CC1">
            <w:pPr>
              <w:pStyle w:val="TableTextbold"/>
              <w:spacing w:before="40" w:after="40"/>
              <w:jc w:val="right"/>
              <w:rPr>
                <w:bCs/>
                <w:color w:val="FFFFFF" w:themeColor="background1"/>
                <w:szCs w:val="18"/>
              </w:rPr>
            </w:pPr>
            <w:r w:rsidRPr="005C5E32">
              <w:rPr>
                <w:bCs/>
                <w:color w:val="FFFFFF" w:themeColor="background1"/>
                <w:szCs w:val="18"/>
              </w:rPr>
              <w:t>2025/26</w:t>
            </w:r>
            <w:r w:rsidRPr="005C5E32">
              <w:rPr>
                <w:bCs/>
                <w:color w:val="FFFFFF" w:themeColor="background1"/>
                <w:szCs w:val="18"/>
              </w:rPr>
              <w:br/>
              <w:t>Budget</w:t>
            </w:r>
            <w:r w:rsidRPr="005C5E32">
              <w:rPr>
                <w:bCs/>
                <w:color w:val="FFFFFF" w:themeColor="background1"/>
                <w:szCs w:val="18"/>
              </w:rPr>
              <w:br/>
              <w:t>$000</w:t>
            </w:r>
          </w:p>
        </w:tc>
        <w:tc>
          <w:tcPr>
            <w:tcW w:w="1304" w:type="dxa"/>
            <w:shd w:val="clear" w:color="auto" w:fill="1B556B" w:themeFill="text2"/>
            <w:vAlign w:val="bottom"/>
          </w:tcPr>
          <w:p w14:paraId="1FADB4A7" w14:textId="77777777" w:rsidR="001003F8" w:rsidRPr="005C5E32" w:rsidRDefault="001003F8" w:rsidP="003D0CC1">
            <w:pPr>
              <w:pStyle w:val="TableTextbold"/>
              <w:spacing w:before="40" w:after="40"/>
              <w:jc w:val="right"/>
              <w:rPr>
                <w:bCs/>
                <w:color w:val="FFFFFF" w:themeColor="background1"/>
                <w:szCs w:val="18"/>
              </w:rPr>
            </w:pPr>
            <w:r w:rsidRPr="005C5E32">
              <w:rPr>
                <w:bCs/>
                <w:color w:val="FFFFFF" w:themeColor="background1"/>
                <w:szCs w:val="18"/>
              </w:rPr>
              <w:t>2025/26</w:t>
            </w:r>
            <w:r w:rsidRPr="005C5E32">
              <w:rPr>
                <w:bCs/>
                <w:color w:val="FFFFFF" w:themeColor="background1"/>
                <w:szCs w:val="18"/>
              </w:rPr>
              <w:br/>
              <w:t>Revised Budget</w:t>
            </w:r>
            <w:r w:rsidRPr="005C5E32">
              <w:rPr>
                <w:bCs/>
                <w:color w:val="FFFFFF" w:themeColor="background1"/>
                <w:szCs w:val="18"/>
              </w:rPr>
              <w:br/>
              <w:t>$000</w:t>
            </w:r>
          </w:p>
        </w:tc>
        <w:tc>
          <w:tcPr>
            <w:tcW w:w="964" w:type="dxa"/>
            <w:tcBorders>
              <w:bottom w:val="single" w:sz="4" w:space="0" w:color="1B556B" w:themeColor="text2"/>
            </w:tcBorders>
            <w:shd w:val="clear" w:color="auto" w:fill="1B556B" w:themeFill="text2"/>
            <w:vAlign w:val="bottom"/>
          </w:tcPr>
          <w:p w14:paraId="65F81BAB" w14:textId="77777777" w:rsidR="001003F8" w:rsidRPr="005C5E32" w:rsidRDefault="001003F8" w:rsidP="003D0CC1">
            <w:pPr>
              <w:pStyle w:val="TableTextbold"/>
              <w:spacing w:before="40" w:after="40"/>
              <w:jc w:val="right"/>
              <w:rPr>
                <w:bCs/>
                <w:color w:val="FFFFFF" w:themeColor="background1"/>
                <w:szCs w:val="18"/>
              </w:rPr>
            </w:pPr>
            <w:r w:rsidRPr="005C5E32">
              <w:rPr>
                <w:bCs/>
                <w:color w:val="FFFFFF" w:themeColor="background1"/>
                <w:szCs w:val="18"/>
              </w:rPr>
              <w:t>2025/26</w:t>
            </w:r>
            <w:r w:rsidRPr="005C5E32">
              <w:rPr>
                <w:bCs/>
                <w:color w:val="FFFFFF" w:themeColor="background1"/>
                <w:szCs w:val="18"/>
              </w:rPr>
              <w:br/>
              <w:t>Actual</w:t>
            </w:r>
            <w:r w:rsidRPr="005C5E32">
              <w:rPr>
                <w:bCs/>
                <w:color w:val="FFFFFF" w:themeColor="background1"/>
                <w:szCs w:val="18"/>
              </w:rPr>
              <w:br/>
              <w:t>$000</w:t>
            </w:r>
          </w:p>
        </w:tc>
      </w:tr>
      <w:tr w:rsidR="001003F8" w:rsidRPr="005C5E32" w14:paraId="01178A00" w14:textId="77777777" w:rsidTr="006C65C1">
        <w:tc>
          <w:tcPr>
            <w:tcW w:w="2666" w:type="dxa"/>
          </w:tcPr>
          <w:p w14:paraId="533B63A1" w14:textId="77777777" w:rsidR="001003F8" w:rsidRPr="005C5E32" w:rsidRDefault="001003F8" w:rsidP="00C649F8">
            <w:pPr>
              <w:pStyle w:val="TableTextbold"/>
              <w:spacing w:before="40" w:after="0"/>
              <w:rPr>
                <w:szCs w:val="18"/>
              </w:rPr>
            </w:pPr>
            <w:r w:rsidRPr="005C5E32">
              <w:rPr>
                <w:szCs w:val="18"/>
              </w:rPr>
              <w:t>Revenue</w:t>
            </w:r>
          </w:p>
          <w:p w14:paraId="286A0ABB" w14:textId="77777777" w:rsidR="001003F8" w:rsidRPr="005C5E32" w:rsidRDefault="001003F8" w:rsidP="00C649F8">
            <w:pPr>
              <w:pStyle w:val="TableText"/>
              <w:spacing w:before="0" w:after="40"/>
              <w:rPr>
                <w:szCs w:val="18"/>
              </w:rPr>
            </w:pPr>
            <w:r w:rsidRPr="005C5E32">
              <w:rPr>
                <w:szCs w:val="18"/>
              </w:rPr>
              <w:t>Crown</w:t>
            </w:r>
          </w:p>
        </w:tc>
        <w:tc>
          <w:tcPr>
            <w:tcW w:w="964" w:type="dxa"/>
            <w:vAlign w:val="bottom"/>
          </w:tcPr>
          <w:p w14:paraId="072A695A" w14:textId="77777777" w:rsidR="001003F8" w:rsidRPr="00371B2F" w:rsidRDefault="001003F8" w:rsidP="00C649F8">
            <w:pPr>
              <w:pStyle w:val="TableText"/>
              <w:spacing w:before="40" w:after="40"/>
              <w:jc w:val="right"/>
              <w:rPr>
                <w:szCs w:val="18"/>
              </w:rPr>
            </w:pPr>
            <w:r w:rsidRPr="00371B2F">
              <w:rPr>
                <w:szCs w:val="18"/>
              </w:rPr>
              <w:t>3,754</w:t>
            </w:r>
          </w:p>
        </w:tc>
        <w:tc>
          <w:tcPr>
            <w:tcW w:w="964" w:type="dxa"/>
            <w:vAlign w:val="bottom"/>
          </w:tcPr>
          <w:p w14:paraId="011844C4" w14:textId="3C60B5ED" w:rsidR="001003F8" w:rsidRPr="00371B2F" w:rsidRDefault="00EB3315" w:rsidP="00C649F8">
            <w:pPr>
              <w:pStyle w:val="TableText"/>
              <w:spacing w:before="40" w:after="40"/>
              <w:jc w:val="right"/>
              <w:rPr>
                <w:szCs w:val="18"/>
              </w:rPr>
            </w:pPr>
            <w:r w:rsidRPr="00371B2F">
              <w:rPr>
                <w:szCs w:val="18"/>
              </w:rPr>
              <w:t>3,742</w:t>
            </w:r>
          </w:p>
        </w:tc>
        <w:tc>
          <w:tcPr>
            <w:tcW w:w="1304" w:type="dxa"/>
            <w:vAlign w:val="bottom"/>
          </w:tcPr>
          <w:p w14:paraId="1B12C6FB" w14:textId="60BD6F05" w:rsidR="001003F8" w:rsidRPr="00371B2F" w:rsidRDefault="009D1BBB" w:rsidP="00C649F8">
            <w:pPr>
              <w:pStyle w:val="TableText"/>
              <w:spacing w:before="40" w:after="40"/>
              <w:jc w:val="right"/>
              <w:rPr>
                <w:szCs w:val="18"/>
              </w:rPr>
            </w:pPr>
            <w:r w:rsidRPr="00371B2F">
              <w:rPr>
                <w:szCs w:val="18"/>
              </w:rPr>
              <w:t>3,242</w:t>
            </w:r>
          </w:p>
        </w:tc>
        <w:tc>
          <w:tcPr>
            <w:tcW w:w="964" w:type="dxa"/>
            <w:shd w:val="clear" w:color="auto" w:fill="D2DDE1" w:themeFill="background2"/>
            <w:vAlign w:val="bottom"/>
          </w:tcPr>
          <w:p w14:paraId="3A68525E" w14:textId="21BAB491" w:rsidR="001003F8" w:rsidRPr="00371B2F" w:rsidRDefault="009D1BBB" w:rsidP="00C649F8">
            <w:pPr>
              <w:pStyle w:val="TableText"/>
              <w:spacing w:before="40" w:after="40"/>
              <w:jc w:val="right"/>
              <w:rPr>
                <w:szCs w:val="18"/>
              </w:rPr>
            </w:pPr>
            <w:r w:rsidRPr="00371B2F">
              <w:rPr>
                <w:szCs w:val="18"/>
              </w:rPr>
              <w:t>3,</w:t>
            </w:r>
            <w:r w:rsidR="001E0C6F" w:rsidRPr="00371B2F">
              <w:rPr>
                <w:szCs w:val="18"/>
              </w:rPr>
              <w:t>242</w:t>
            </w:r>
          </w:p>
        </w:tc>
      </w:tr>
      <w:tr w:rsidR="001003F8" w:rsidRPr="005C5E32" w14:paraId="7C7981E9" w14:textId="77777777" w:rsidTr="006C65C1">
        <w:tc>
          <w:tcPr>
            <w:tcW w:w="2666" w:type="dxa"/>
          </w:tcPr>
          <w:p w14:paraId="7F15D061" w14:textId="77777777" w:rsidR="001003F8" w:rsidRPr="005C5E32" w:rsidRDefault="001003F8" w:rsidP="00172DD0">
            <w:pPr>
              <w:pStyle w:val="TableText"/>
              <w:spacing w:before="40" w:after="40"/>
              <w:rPr>
                <w:szCs w:val="18"/>
              </w:rPr>
            </w:pPr>
            <w:r w:rsidRPr="005C5E32">
              <w:rPr>
                <w:szCs w:val="18"/>
              </w:rPr>
              <w:t>Departmental</w:t>
            </w:r>
          </w:p>
        </w:tc>
        <w:tc>
          <w:tcPr>
            <w:tcW w:w="964" w:type="dxa"/>
          </w:tcPr>
          <w:p w14:paraId="02E803CB" w14:textId="77777777" w:rsidR="001003F8" w:rsidRPr="005C5E32" w:rsidRDefault="001003F8" w:rsidP="00172DD0">
            <w:pPr>
              <w:pStyle w:val="TableText"/>
              <w:spacing w:before="40" w:after="40"/>
              <w:jc w:val="right"/>
              <w:rPr>
                <w:szCs w:val="18"/>
              </w:rPr>
            </w:pPr>
            <w:r w:rsidRPr="005C5E32">
              <w:t>–</w:t>
            </w:r>
          </w:p>
        </w:tc>
        <w:tc>
          <w:tcPr>
            <w:tcW w:w="964" w:type="dxa"/>
          </w:tcPr>
          <w:p w14:paraId="19E626A4" w14:textId="01960E54" w:rsidR="001003F8" w:rsidRPr="005C5E32" w:rsidRDefault="001E0C6F" w:rsidP="00172DD0">
            <w:pPr>
              <w:pStyle w:val="TableText"/>
              <w:spacing w:before="40" w:after="40"/>
              <w:jc w:val="right"/>
              <w:rPr>
                <w:szCs w:val="18"/>
              </w:rPr>
            </w:pPr>
            <w:r w:rsidRPr="005C5E32">
              <w:rPr>
                <w:color w:val="414042"/>
                <w:szCs w:val="18"/>
              </w:rPr>
              <w:t>–</w:t>
            </w:r>
          </w:p>
        </w:tc>
        <w:tc>
          <w:tcPr>
            <w:tcW w:w="1304" w:type="dxa"/>
          </w:tcPr>
          <w:p w14:paraId="2D651548" w14:textId="29723BD0" w:rsidR="001003F8" w:rsidRPr="005C5E32" w:rsidRDefault="000E6C3F" w:rsidP="00172DD0">
            <w:pPr>
              <w:pStyle w:val="TableText"/>
              <w:spacing w:before="40" w:after="40"/>
              <w:jc w:val="right"/>
              <w:rPr>
                <w:szCs w:val="18"/>
              </w:rPr>
            </w:pPr>
            <w:r w:rsidRPr="005C5E32">
              <w:rPr>
                <w:color w:val="414042"/>
                <w:szCs w:val="18"/>
              </w:rPr>
              <w:t>–</w:t>
            </w:r>
          </w:p>
        </w:tc>
        <w:tc>
          <w:tcPr>
            <w:tcW w:w="964" w:type="dxa"/>
            <w:shd w:val="clear" w:color="auto" w:fill="D2DDE1" w:themeFill="background2"/>
          </w:tcPr>
          <w:p w14:paraId="19EE4260" w14:textId="2DFB2E49" w:rsidR="001003F8" w:rsidRPr="005C5E32" w:rsidRDefault="00CD7867" w:rsidP="00172DD0">
            <w:pPr>
              <w:pStyle w:val="TableText"/>
              <w:spacing w:before="40" w:after="40"/>
              <w:jc w:val="right"/>
              <w:rPr>
                <w:szCs w:val="18"/>
              </w:rPr>
            </w:pPr>
            <w:r w:rsidRPr="005C5E32">
              <w:rPr>
                <w:color w:val="414042"/>
                <w:szCs w:val="18"/>
              </w:rPr>
              <w:t>–</w:t>
            </w:r>
          </w:p>
        </w:tc>
      </w:tr>
      <w:tr w:rsidR="001003F8" w:rsidRPr="005C5E32" w14:paraId="2F017B33" w14:textId="77777777" w:rsidTr="006C65C1">
        <w:tc>
          <w:tcPr>
            <w:tcW w:w="2666" w:type="dxa"/>
          </w:tcPr>
          <w:p w14:paraId="5C79D57B" w14:textId="77777777" w:rsidR="001003F8" w:rsidRPr="005C5E32" w:rsidRDefault="001003F8" w:rsidP="00172DD0">
            <w:pPr>
              <w:pStyle w:val="TableText"/>
              <w:spacing w:before="40" w:after="40"/>
              <w:rPr>
                <w:szCs w:val="18"/>
              </w:rPr>
            </w:pPr>
            <w:r w:rsidRPr="005C5E32">
              <w:rPr>
                <w:szCs w:val="18"/>
              </w:rPr>
              <w:t>Other</w:t>
            </w:r>
          </w:p>
        </w:tc>
        <w:tc>
          <w:tcPr>
            <w:tcW w:w="964" w:type="dxa"/>
          </w:tcPr>
          <w:p w14:paraId="48FFCA0B" w14:textId="77777777" w:rsidR="001003F8" w:rsidRPr="005C5E32" w:rsidRDefault="001003F8" w:rsidP="00172DD0">
            <w:pPr>
              <w:pStyle w:val="TableText"/>
              <w:spacing w:before="40" w:after="40"/>
              <w:jc w:val="right"/>
              <w:rPr>
                <w:szCs w:val="18"/>
              </w:rPr>
            </w:pPr>
            <w:r w:rsidRPr="005C5E32">
              <w:t>–</w:t>
            </w:r>
          </w:p>
        </w:tc>
        <w:tc>
          <w:tcPr>
            <w:tcW w:w="964" w:type="dxa"/>
          </w:tcPr>
          <w:p w14:paraId="17F6D33A" w14:textId="7AB2325D" w:rsidR="001003F8" w:rsidRPr="005C5E32" w:rsidRDefault="001E0C6F" w:rsidP="00172DD0">
            <w:pPr>
              <w:pStyle w:val="TableText"/>
              <w:spacing w:before="40" w:after="40"/>
              <w:jc w:val="right"/>
              <w:rPr>
                <w:szCs w:val="18"/>
              </w:rPr>
            </w:pPr>
            <w:r w:rsidRPr="005C5E32">
              <w:rPr>
                <w:color w:val="414042"/>
                <w:szCs w:val="18"/>
              </w:rPr>
              <w:t>–</w:t>
            </w:r>
          </w:p>
        </w:tc>
        <w:tc>
          <w:tcPr>
            <w:tcW w:w="1304" w:type="dxa"/>
          </w:tcPr>
          <w:p w14:paraId="731219A1" w14:textId="3E364499" w:rsidR="001003F8" w:rsidRPr="005C5E32" w:rsidRDefault="000E6C3F" w:rsidP="00172DD0">
            <w:pPr>
              <w:pStyle w:val="TableText"/>
              <w:spacing w:before="40" w:after="40"/>
              <w:jc w:val="right"/>
              <w:rPr>
                <w:szCs w:val="18"/>
              </w:rPr>
            </w:pPr>
            <w:r w:rsidRPr="005C5E32">
              <w:rPr>
                <w:color w:val="414042"/>
                <w:szCs w:val="18"/>
              </w:rPr>
              <w:t>–</w:t>
            </w:r>
          </w:p>
        </w:tc>
        <w:tc>
          <w:tcPr>
            <w:tcW w:w="964" w:type="dxa"/>
            <w:shd w:val="clear" w:color="auto" w:fill="D2DDE1" w:themeFill="background2"/>
          </w:tcPr>
          <w:p w14:paraId="186E3339" w14:textId="6A739843" w:rsidR="001003F8" w:rsidRPr="005C5E32" w:rsidRDefault="00CD7867" w:rsidP="00172DD0">
            <w:pPr>
              <w:pStyle w:val="TableText"/>
              <w:spacing w:before="40" w:after="40"/>
              <w:jc w:val="right"/>
              <w:rPr>
                <w:szCs w:val="18"/>
              </w:rPr>
            </w:pPr>
            <w:r w:rsidRPr="005C5E32">
              <w:rPr>
                <w:color w:val="414042"/>
                <w:szCs w:val="18"/>
              </w:rPr>
              <w:t>–</w:t>
            </w:r>
          </w:p>
        </w:tc>
      </w:tr>
      <w:tr w:rsidR="001003F8" w:rsidRPr="005C5E32" w14:paraId="198F1403" w14:textId="77777777" w:rsidTr="006C65C1">
        <w:tc>
          <w:tcPr>
            <w:tcW w:w="2666" w:type="dxa"/>
          </w:tcPr>
          <w:p w14:paraId="66E00D25" w14:textId="77777777" w:rsidR="001003F8" w:rsidRPr="005C5E32" w:rsidRDefault="001003F8" w:rsidP="00C649F8">
            <w:pPr>
              <w:pStyle w:val="TableTextbold"/>
              <w:spacing w:before="40" w:after="40"/>
              <w:rPr>
                <w:szCs w:val="18"/>
              </w:rPr>
            </w:pPr>
            <w:r w:rsidRPr="005C5E32">
              <w:rPr>
                <w:szCs w:val="18"/>
              </w:rPr>
              <w:t>Total revenue</w:t>
            </w:r>
          </w:p>
        </w:tc>
        <w:tc>
          <w:tcPr>
            <w:tcW w:w="964" w:type="dxa"/>
          </w:tcPr>
          <w:p w14:paraId="3C65386E" w14:textId="77777777" w:rsidR="001003F8" w:rsidRPr="005C5E32" w:rsidRDefault="001003F8" w:rsidP="00C649F8">
            <w:pPr>
              <w:pStyle w:val="TableTextbold"/>
              <w:spacing w:before="40" w:after="40"/>
              <w:jc w:val="right"/>
              <w:rPr>
                <w:szCs w:val="18"/>
              </w:rPr>
            </w:pPr>
            <w:r w:rsidRPr="005C5E32">
              <w:t>3,754</w:t>
            </w:r>
          </w:p>
        </w:tc>
        <w:tc>
          <w:tcPr>
            <w:tcW w:w="964" w:type="dxa"/>
          </w:tcPr>
          <w:p w14:paraId="1232B4B2" w14:textId="6227C80A" w:rsidR="001003F8" w:rsidRPr="005C5E32" w:rsidRDefault="00EB3315" w:rsidP="00C649F8">
            <w:pPr>
              <w:pStyle w:val="TableTextbold"/>
              <w:spacing w:before="40" w:after="40"/>
              <w:jc w:val="right"/>
              <w:rPr>
                <w:szCs w:val="18"/>
              </w:rPr>
            </w:pPr>
            <w:r w:rsidRPr="00EB3315">
              <w:rPr>
                <w:szCs w:val="18"/>
              </w:rPr>
              <w:t>3,742</w:t>
            </w:r>
          </w:p>
        </w:tc>
        <w:tc>
          <w:tcPr>
            <w:tcW w:w="1304" w:type="dxa"/>
          </w:tcPr>
          <w:p w14:paraId="3E4AD73F" w14:textId="31A5ECD3" w:rsidR="001003F8" w:rsidRPr="005C5E32" w:rsidRDefault="000E6C3F" w:rsidP="00C649F8">
            <w:pPr>
              <w:pStyle w:val="TableTextbold"/>
              <w:spacing w:before="40" w:after="40"/>
              <w:jc w:val="right"/>
              <w:rPr>
                <w:szCs w:val="18"/>
              </w:rPr>
            </w:pPr>
            <w:r w:rsidRPr="005C5E32">
              <w:rPr>
                <w:szCs w:val="18"/>
              </w:rPr>
              <w:t>3,242</w:t>
            </w:r>
          </w:p>
        </w:tc>
        <w:tc>
          <w:tcPr>
            <w:tcW w:w="964" w:type="dxa"/>
            <w:shd w:val="clear" w:color="auto" w:fill="D2DDE1" w:themeFill="background2"/>
          </w:tcPr>
          <w:p w14:paraId="583069C5" w14:textId="746EC635" w:rsidR="001003F8" w:rsidRPr="005C5E32" w:rsidRDefault="00CD7867" w:rsidP="00C649F8">
            <w:pPr>
              <w:pStyle w:val="TableTextbold"/>
              <w:spacing w:before="40" w:after="40"/>
              <w:jc w:val="right"/>
              <w:rPr>
                <w:szCs w:val="18"/>
              </w:rPr>
            </w:pPr>
            <w:r w:rsidRPr="005C5E32">
              <w:rPr>
                <w:szCs w:val="18"/>
              </w:rPr>
              <w:t>3,242</w:t>
            </w:r>
          </w:p>
        </w:tc>
      </w:tr>
      <w:tr w:rsidR="001003F8" w:rsidRPr="005C5E32" w14:paraId="5D728E9A" w14:textId="77777777" w:rsidTr="006C65C1">
        <w:trPr>
          <w:trHeight w:val="70"/>
        </w:trPr>
        <w:tc>
          <w:tcPr>
            <w:tcW w:w="2666" w:type="dxa"/>
          </w:tcPr>
          <w:p w14:paraId="20FF732F" w14:textId="77777777" w:rsidR="001003F8" w:rsidRPr="005C5E32" w:rsidRDefault="001003F8" w:rsidP="00C649F8">
            <w:pPr>
              <w:pStyle w:val="TableTextbold"/>
              <w:spacing w:before="40" w:after="40"/>
              <w:rPr>
                <w:szCs w:val="18"/>
              </w:rPr>
            </w:pPr>
            <w:r w:rsidRPr="005C5E32">
              <w:rPr>
                <w:szCs w:val="18"/>
              </w:rPr>
              <w:t>Total expenses</w:t>
            </w:r>
          </w:p>
        </w:tc>
        <w:tc>
          <w:tcPr>
            <w:tcW w:w="964" w:type="dxa"/>
          </w:tcPr>
          <w:p w14:paraId="02F29F7B" w14:textId="77777777" w:rsidR="001003F8" w:rsidRPr="005C5E32" w:rsidRDefault="001003F8" w:rsidP="00C649F8">
            <w:pPr>
              <w:pStyle w:val="TableTextbold"/>
              <w:spacing w:before="40" w:after="40"/>
              <w:jc w:val="right"/>
              <w:rPr>
                <w:szCs w:val="18"/>
              </w:rPr>
            </w:pPr>
            <w:r w:rsidRPr="005C5E32">
              <w:t>3,484</w:t>
            </w:r>
          </w:p>
        </w:tc>
        <w:tc>
          <w:tcPr>
            <w:tcW w:w="964" w:type="dxa"/>
          </w:tcPr>
          <w:p w14:paraId="30DCD726" w14:textId="2B321328" w:rsidR="001003F8" w:rsidRPr="005C5E32" w:rsidRDefault="00EB3315" w:rsidP="00C649F8">
            <w:pPr>
              <w:pStyle w:val="TableTextbold"/>
              <w:spacing w:before="40" w:after="40"/>
              <w:jc w:val="right"/>
              <w:rPr>
                <w:szCs w:val="18"/>
              </w:rPr>
            </w:pPr>
            <w:r w:rsidRPr="00EB3315">
              <w:rPr>
                <w:szCs w:val="18"/>
              </w:rPr>
              <w:t>3,742</w:t>
            </w:r>
          </w:p>
        </w:tc>
        <w:tc>
          <w:tcPr>
            <w:tcW w:w="1304" w:type="dxa"/>
          </w:tcPr>
          <w:p w14:paraId="23369FC1" w14:textId="31A057CC" w:rsidR="001003F8" w:rsidRPr="005C5E32" w:rsidRDefault="000E6C3F" w:rsidP="00C649F8">
            <w:pPr>
              <w:pStyle w:val="TableTextbold"/>
              <w:spacing w:before="40" w:after="40"/>
              <w:jc w:val="right"/>
              <w:rPr>
                <w:szCs w:val="18"/>
              </w:rPr>
            </w:pPr>
            <w:r w:rsidRPr="005C5E32">
              <w:rPr>
                <w:szCs w:val="18"/>
              </w:rPr>
              <w:t>3,242</w:t>
            </w:r>
          </w:p>
        </w:tc>
        <w:tc>
          <w:tcPr>
            <w:tcW w:w="964" w:type="dxa"/>
            <w:shd w:val="clear" w:color="auto" w:fill="D2DDE1" w:themeFill="background2"/>
          </w:tcPr>
          <w:p w14:paraId="019B7C85" w14:textId="205259F7" w:rsidR="001003F8" w:rsidRPr="005C5E32" w:rsidRDefault="00CD7867" w:rsidP="00C649F8">
            <w:pPr>
              <w:pStyle w:val="TableTextbold"/>
              <w:spacing w:before="40" w:after="40"/>
              <w:jc w:val="right"/>
              <w:rPr>
                <w:szCs w:val="18"/>
              </w:rPr>
            </w:pPr>
            <w:r w:rsidRPr="005C5E32">
              <w:rPr>
                <w:szCs w:val="18"/>
              </w:rPr>
              <w:t>2,694</w:t>
            </w:r>
          </w:p>
        </w:tc>
      </w:tr>
      <w:tr w:rsidR="001003F8" w:rsidRPr="005C5E32" w14:paraId="0CC03468" w14:textId="77777777" w:rsidTr="006C65C1">
        <w:tc>
          <w:tcPr>
            <w:tcW w:w="2666" w:type="dxa"/>
          </w:tcPr>
          <w:p w14:paraId="0ED5922D" w14:textId="0985C521" w:rsidR="001003F8" w:rsidRPr="005C5E32" w:rsidRDefault="001003F8" w:rsidP="00C649F8">
            <w:pPr>
              <w:pStyle w:val="TableTextbold"/>
              <w:spacing w:before="40" w:after="40"/>
              <w:rPr>
                <w:szCs w:val="18"/>
              </w:rPr>
            </w:pPr>
            <w:r w:rsidRPr="005C5E32">
              <w:rPr>
                <w:szCs w:val="18"/>
              </w:rPr>
              <w:t>Net surplus</w:t>
            </w:r>
            <w:r w:rsidR="003C7748">
              <w:rPr>
                <w:szCs w:val="18"/>
              </w:rPr>
              <w:t>/</w:t>
            </w:r>
            <w:r w:rsidRPr="005C5E32">
              <w:rPr>
                <w:szCs w:val="18"/>
              </w:rPr>
              <w:t>(deficit)</w:t>
            </w:r>
          </w:p>
        </w:tc>
        <w:tc>
          <w:tcPr>
            <w:tcW w:w="964" w:type="dxa"/>
            <w:vAlign w:val="bottom"/>
          </w:tcPr>
          <w:p w14:paraId="32556EDD" w14:textId="77777777" w:rsidR="001003F8" w:rsidRPr="005C5E32" w:rsidRDefault="001003F8" w:rsidP="00C649F8">
            <w:pPr>
              <w:pStyle w:val="TableTextbold"/>
              <w:spacing w:before="40" w:after="40"/>
              <w:jc w:val="right"/>
              <w:rPr>
                <w:szCs w:val="18"/>
              </w:rPr>
            </w:pPr>
            <w:r w:rsidRPr="005C5E32">
              <w:rPr>
                <w:color w:val="414042"/>
                <w:szCs w:val="18"/>
              </w:rPr>
              <w:t>270</w:t>
            </w:r>
          </w:p>
        </w:tc>
        <w:tc>
          <w:tcPr>
            <w:tcW w:w="964" w:type="dxa"/>
            <w:vAlign w:val="bottom"/>
          </w:tcPr>
          <w:p w14:paraId="128AD5B3" w14:textId="1242DECA" w:rsidR="001003F8" w:rsidRPr="005C5E32" w:rsidRDefault="001E0C6F" w:rsidP="00C649F8">
            <w:pPr>
              <w:pStyle w:val="TableTextbold"/>
              <w:spacing w:before="40" w:after="40"/>
              <w:jc w:val="right"/>
              <w:rPr>
                <w:szCs w:val="18"/>
              </w:rPr>
            </w:pPr>
            <w:r w:rsidRPr="005C5E32">
              <w:rPr>
                <w:color w:val="414042"/>
                <w:szCs w:val="18"/>
              </w:rPr>
              <w:t>–</w:t>
            </w:r>
          </w:p>
        </w:tc>
        <w:tc>
          <w:tcPr>
            <w:tcW w:w="1304" w:type="dxa"/>
            <w:vAlign w:val="bottom"/>
          </w:tcPr>
          <w:p w14:paraId="7334FD74" w14:textId="576495A6" w:rsidR="001003F8" w:rsidRPr="005C5E32" w:rsidRDefault="000E6C3F" w:rsidP="00C649F8">
            <w:pPr>
              <w:pStyle w:val="TableTextbold"/>
              <w:spacing w:before="40" w:after="40"/>
              <w:jc w:val="right"/>
              <w:rPr>
                <w:szCs w:val="18"/>
              </w:rPr>
            </w:pPr>
            <w:r w:rsidRPr="005C5E32">
              <w:rPr>
                <w:color w:val="414042"/>
                <w:szCs w:val="18"/>
              </w:rPr>
              <w:t>–</w:t>
            </w:r>
          </w:p>
        </w:tc>
        <w:tc>
          <w:tcPr>
            <w:tcW w:w="964" w:type="dxa"/>
            <w:shd w:val="clear" w:color="auto" w:fill="D2DDE1" w:themeFill="background2"/>
            <w:vAlign w:val="bottom"/>
          </w:tcPr>
          <w:p w14:paraId="52EC4BA4" w14:textId="39D392C9" w:rsidR="001003F8" w:rsidRPr="005C5E32" w:rsidRDefault="00CD7867" w:rsidP="00C649F8">
            <w:pPr>
              <w:pStyle w:val="TableTextbold"/>
              <w:spacing w:before="40" w:after="40"/>
              <w:jc w:val="right"/>
              <w:rPr>
                <w:szCs w:val="18"/>
              </w:rPr>
            </w:pPr>
            <w:r w:rsidRPr="005C5E32">
              <w:rPr>
                <w:szCs w:val="18"/>
              </w:rPr>
              <w:t>548</w:t>
            </w:r>
          </w:p>
        </w:tc>
      </w:tr>
    </w:tbl>
    <w:p w14:paraId="0E769C81" w14:textId="3172D62D" w:rsidR="000043C6" w:rsidRPr="005C5E32" w:rsidRDefault="000043C6" w:rsidP="00D6004B">
      <w:pPr>
        <w:pStyle w:val="BodyText"/>
        <w:spacing w:before="240"/>
      </w:pPr>
      <w:r w:rsidRPr="005C5E32">
        <w:t>At Mains Estimates, the 2025/26 budget for this output class was $3.742 million. During the year, this appropriation decreased by $500,000 to $3.242 million for 2025/26</w:t>
      </w:r>
      <w:r w:rsidR="009E43DD" w:rsidRPr="005C5E32">
        <w:t>,</w:t>
      </w:r>
      <w:r w:rsidRPr="005C5E32">
        <w:t xml:space="preserve"> due to a fiscally neutral transfer to the Departmental Output Expense: Improving New Zealand</w:t>
      </w:r>
      <w:r w:rsidR="000369F8" w:rsidRPr="005C5E32">
        <w:t>’</w:t>
      </w:r>
      <w:r w:rsidRPr="005C5E32">
        <w:t xml:space="preserve">s Environment to meet increased provision of service costs related to staffing needs for </w:t>
      </w:r>
      <w:r w:rsidR="009E43DD" w:rsidRPr="005C5E32">
        <w:t>r</w:t>
      </w:r>
      <w:r w:rsidRPr="005C5E32">
        <w:t xml:space="preserve">esource </w:t>
      </w:r>
      <w:r w:rsidR="009E43DD" w:rsidRPr="005C5E32">
        <w:t>m</w:t>
      </w:r>
      <w:r w:rsidRPr="005C5E32">
        <w:t>anagement reform implementation work.</w:t>
      </w:r>
    </w:p>
    <w:p w14:paraId="5A5DE738" w14:textId="3231D28C" w:rsidR="001003F8" w:rsidRPr="00F27966" w:rsidRDefault="001003F8" w:rsidP="00F27966">
      <w:pPr>
        <w:pStyle w:val="BodyText"/>
        <w:spacing w:after="240"/>
        <w:rPr>
          <w:spacing w:val="-2"/>
        </w:rPr>
      </w:pPr>
      <w:r w:rsidRPr="00F27966">
        <w:rPr>
          <w:spacing w:val="-2"/>
        </w:rPr>
        <w:t xml:space="preserve">Actual expenditure for </w:t>
      </w:r>
      <w:r w:rsidR="000043C6" w:rsidRPr="00F27966">
        <w:rPr>
          <w:spacing w:val="-2"/>
        </w:rPr>
        <w:t>2025/26</w:t>
      </w:r>
      <w:r w:rsidRPr="00F27966">
        <w:rPr>
          <w:spacing w:val="-2"/>
        </w:rPr>
        <w:t xml:space="preserve"> was lower than the revised budget. This represents cost savings.</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3261"/>
        <w:gridCol w:w="1983"/>
        <w:gridCol w:w="1419"/>
        <w:gridCol w:w="1842"/>
      </w:tblGrid>
      <w:tr w:rsidR="001003F8" w:rsidRPr="005C5E32" w14:paraId="76CF7657" w14:textId="77777777" w:rsidTr="006C65C1">
        <w:trPr>
          <w:tblHeader/>
        </w:trPr>
        <w:tc>
          <w:tcPr>
            <w:tcW w:w="1917" w:type="pct"/>
            <w:shd w:val="clear" w:color="auto" w:fill="1B556B" w:themeFill="text2"/>
          </w:tcPr>
          <w:p w14:paraId="5F7C3877" w14:textId="77777777" w:rsidR="001003F8" w:rsidRPr="005C5E32" w:rsidRDefault="001003F8" w:rsidP="003D0CC1">
            <w:pPr>
              <w:pStyle w:val="TableTextbold"/>
              <w:rPr>
                <w:color w:val="FFFFFF" w:themeColor="background1"/>
              </w:rPr>
            </w:pPr>
            <w:r w:rsidRPr="005C5E32">
              <w:rPr>
                <w:color w:val="FFFFFF" w:themeColor="background1"/>
              </w:rPr>
              <w:t>Performance measure</w:t>
            </w:r>
          </w:p>
        </w:tc>
        <w:tc>
          <w:tcPr>
            <w:tcW w:w="1166" w:type="pct"/>
            <w:shd w:val="clear" w:color="auto" w:fill="1B556B" w:themeFill="text2"/>
          </w:tcPr>
          <w:p w14:paraId="3B8F275D" w14:textId="77777777" w:rsidR="001003F8" w:rsidRPr="005C5E32" w:rsidRDefault="001003F8" w:rsidP="003D0CC1">
            <w:pPr>
              <w:pStyle w:val="TableTextbold"/>
              <w:rPr>
                <w:color w:val="FFFFFF" w:themeColor="background1"/>
              </w:rPr>
            </w:pPr>
            <w:r w:rsidRPr="005C5E32">
              <w:rPr>
                <w:color w:val="FFFFFF" w:themeColor="background1"/>
              </w:rPr>
              <w:t>2024/25 performance</w:t>
            </w:r>
          </w:p>
        </w:tc>
        <w:tc>
          <w:tcPr>
            <w:tcW w:w="834" w:type="pct"/>
            <w:shd w:val="clear" w:color="auto" w:fill="1B556B" w:themeFill="text2"/>
          </w:tcPr>
          <w:p w14:paraId="7DE5F778" w14:textId="77777777" w:rsidR="001003F8" w:rsidRPr="005C5E32" w:rsidRDefault="001003F8" w:rsidP="003D0CC1">
            <w:pPr>
              <w:pStyle w:val="TableTextbold"/>
              <w:rPr>
                <w:color w:val="FFFFFF" w:themeColor="background1"/>
              </w:rPr>
            </w:pPr>
            <w:r w:rsidRPr="005C5E32">
              <w:rPr>
                <w:color w:val="FFFFFF" w:themeColor="background1"/>
              </w:rPr>
              <w:t>2025/26 target</w:t>
            </w:r>
          </w:p>
        </w:tc>
        <w:tc>
          <w:tcPr>
            <w:tcW w:w="1083" w:type="pct"/>
            <w:shd w:val="clear" w:color="auto" w:fill="1B556B" w:themeFill="text2"/>
          </w:tcPr>
          <w:p w14:paraId="7A53AAE1" w14:textId="77777777" w:rsidR="001003F8" w:rsidRPr="005C5E32" w:rsidRDefault="001003F8" w:rsidP="003D0CC1">
            <w:pPr>
              <w:pStyle w:val="TableTextbold"/>
              <w:rPr>
                <w:color w:val="FFFFFF" w:themeColor="background1"/>
              </w:rPr>
            </w:pPr>
            <w:r w:rsidRPr="005C5E32">
              <w:rPr>
                <w:color w:val="FFFFFF" w:themeColor="background1"/>
              </w:rPr>
              <w:t>2025/26 performance</w:t>
            </w:r>
          </w:p>
        </w:tc>
      </w:tr>
      <w:tr w:rsidR="001003F8" w:rsidRPr="005C5E32" w14:paraId="61A123ED" w14:textId="77777777" w:rsidTr="006C65C1">
        <w:tc>
          <w:tcPr>
            <w:tcW w:w="1917" w:type="pct"/>
            <w:tcBorders>
              <w:bottom w:val="single" w:sz="4" w:space="0" w:color="1B556B" w:themeColor="text2"/>
            </w:tcBorders>
          </w:tcPr>
          <w:p w14:paraId="0FFBEA82" w14:textId="5D8F7DFE" w:rsidR="001003F8" w:rsidRPr="005C5E32" w:rsidRDefault="001003F8" w:rsidP="004411B2">
            <w:pPr>
              <w:pStyle w:val="TableText"/>
              <w:spacing w:before="40" w:after="40"/>
            </w:pPr>
            <w:r w:rsidRPr="005C5E32">
              <w:t>Progress reporting on the delivery of the Government</w:t>
            </w:r>
            <w:r w:rsidR="000369F8" w:rsidRPr="005C5E32">
              <w:t>’</w:t>
            </w:r>
            <w:r w:rsidRPr="005C5E32">
              <w:t>s climate change goals and targets is delivered on time</w:t>
            </w:r>
          </w:p>
          <w:p w14:paraId="4E603D4A" w14:textId="7C65E271" w:rsidR="001003F8" w:rsidRPr="005C5E32" w:rsidRDefault="00C87019" w:rsidP="004411B2">
            <w:pPr>
              <w:pStyle w:val="Tablegreen"/>
              <w:spacing w:before="40" w:after="40"/>
              <w:rPr>
                <w:i/>
                <w:iCs/>
              </w:rPr>
            </w:pPr>
            <w:hyperlink w:anchor="_Note_14_–" w:history="1">
              <w:r w:rsidRPr="00C87019">
                <w:rPr>
                  <w:rStyle w:val="Hyperlink"/>
                  <w:i/>
                  <w:iCs/>
                </w:rPr>
                <w:t>See note 14</w:t>
              </w:r>
            </w:hyperlink>
          </w:p>
        </w:tc>
        <w:tc>
          <w:tcPr>
            <w:tcW w:w="1166" w:type="pct"/>
            <w:tcBorders>
              <w:bottom w:val="single" w:sz="4" w:space="0" w:color="1B556B" w:themeColor="text2"/>
            </w:tcBorders>
          </w:tcPr>
          <w:p w14:paraId="1BD12BD6" w14:textId="10AE2946" w:rsidR="001003F8" w:rsidRPr="005C5E32" w:rsidRDefault="001003F8" w:rsidP="004411B2">
            <w:pPr>
              <w:pStyle w:val="TableText"/>
              <w:spacing w:before="40" w:after="40"/>
            </w:pPr>
            <w:r w:rsidRPr="005C5E32">
              <w:t>100%</w:t>
            </w:r>
          </w:p>
        </w:tc>
        <w:tc>
          <w:tcPr>
            <w:tcW w:w="834" w:type="pct"/>
            <w:tcBorders>
              <w:bottom w:val="single" w:sz="4" w:space="0" w:color="1B556B" w:themeColor="text2"/>
            </w:tcBorders>
          </w:tcPr>
          <w:p w14:paraId="428B712E" w14:textId="77777777" w:rsidR="001003F8" w:rsidRPr="005C5E32" w:rsidRDefault="001003F8" w:rsidP="004411B2">
            <w:pPr>
              <w:pStyle w:val="TableText"/>
              <w:spacing w:before="40" w:after="40"/>
            </w:pPr>
            <w:r w:rsidRPr="005C5E32">
              <w:t>100%</w:t>
            </w:r>
          </w:p>
        </w:tc>
        <w:tc>
          <w:tcPr>
            <w:tcW w:w="1083" w:type="pct"/>
            <w:tcBorders>
              <w:bottom w:val="single" w:sz="4" w:space="0" w:color="1B556B" w:themeColor="text2"/>
            </w:tcBorders>
          </w:tcPr>
          <w:p w14:paraId="7A81D3A4" w14:textId="77777777" w:rsidR="001003F8" w:rsidRPr="005C5E32" w:rsidRDefault="001003F8" w:rsidP="004411B2">
            <w:pPr>
              <w:pStyle w:val="TableText"/>
              <w:spacing w:before="40" w:after="40"/>
            </w:pPr>
            <w:r w:rsidRPr="005C5E32">
              <w:t>100%</w:t>
            </w:r>
          </w:p>
        </w:tc>
      </w:tr>
      <w:tr w:rsidR="001003F8" w:rsidRPr="005C5E32" w14:paraId="672AF2FE" w14:textId="77777777" w:rsidTr="00D6004B">
        <w:tc>
          <w:tcPr>
            <w:tcW w:w="5000" w:type="pct"/>
            <w:gridSpan w:val="4"/>
            <w:tcBorders>
              <w:bottom w:val="single" w:sz="12" w:space="0" w:color="1B556B" w:themeColor="text2"/>
            </w:tcBorders>
            <w:shd w:val="clear" w:color="auto" w:fill="D2DDE1" w:themeFill="background2"/>
          </w:tcPr>
          <w:p w14:paraId="7DEC23EB" w14:textId="224D1AC7" w:rsidR="001003F8" w:rsidRPr="005C5E32" w:rsidRDefault="001003F8" w:rsidP="003D0CC1">
            <w:pPr>
              <w:pStyle w:val="TableText"/>
            </w:pPr>
            <w:r w:rsidRPr="005C5E32">
              <w:rPr>
                <w:b/>
                <w:bCs/>
              </w:rPr>
              <w:t>2025/26 commentary:</w:t>
            </w:r>
            <w:r w:rsidRPr="005C5E32" w:rsidDel="008D58DB">
              <w:t xml:space="preserve"> </w:t>
            </w:r>
            <w:r w:rsidRPr="005C5E32">
              <w:t xml:space="preserve">Progress reporting has been undertaken quarterly through Target 9 reporting, with New Zealand currently on track to meet the first and second emissions budgets. </w:t>
            </w:r>
            <w:r w:rsidR="00181513" w:rsidRPr="005C5E32">
              <w:t xml:space="preserve">Delivery ‘on time’ refers to delivery of progress reports in accordance with the Government’s agreed reporting schedule, including any formally agreed revised timeframes, or statutory deadlines, where applicable. </w:t>
            </w:r>
            <w:r w:rsidRPr="005C5E32">
              <w:t>For more information, see</w:t>
            </w:r>
            <w:r w:rsidRPr="005C5E32" w:rsidDel="00043F60">
              <w:t xml:space="preserve"> </w:t>
            </w:r>
            <w:r w:rsidRPr="005C5E32">
              <w:t xml:space="preserve">the </w:t>
            </w:r>
            <w:r w:rsidR="00E47799" w:rsidRPr="005C5E32">
              <w:rPr>
                <w:rFonts w:asciiTheme="minorHAnsi" w:hAnsiTheme="minorHAnsi" w:cstheme="minorHAnsi"/>
                <w:szCs w:val="18"/>
              </w:rPr>
              <w:t xml:space="preserve">Ministry’s </w:t>
            </w:r>
            <w:hyperlink r:id="rId76" w:history="1">
              <w:r w:rsidR="00E47799" w:rsidRPr="005C5E32">
                <w:rPr>
                  <w:rStyle w:val="Hyperlink"/>
                  <w:szCs w:val="18"/>
                </w:rPr>
                <w:t>Government Target 9 quarterly reporting</w:t>
              </w:r>
            </w:hyperlink>
            <w:r w:rsidR="00E47799" w:rsidRPr="005C5E32">
              <w:rPr>
                <w:rFonts w:asciiTheme="minorHAnsi" w:hAnsiTheme="minorHAnsi" w:cstheme="minorHAnsi"/>
                <w:szCs w:val="18"/>
              </w:rPr>
              <w:t xml:space="preserve"> webpage or the </w:t>
            </w:r>
            <w:r w:rsidR="00187194" w:rsidRPr="005C5E32">
              <w:rPr>
                <w:rFonts w:asciiTheme="minorHAnsi" w:hAnsiTheme="minorHAnsi" w:cstheme="minorHAnsi"/>
                <w:szCs w:val="18"/>
              </w:rPr>
              <w:t>DPMC’s</w:t>
            </w:r>
            <w:r w:rsidR="00E47799" w:rsidRPr="005C5E32">
              <w:rPr>
                <w:rFonts w:asciiTheme="minorHAnsi" w:hAnsiTheme="minorHAnsi" w:cstheme="minorHAnsi"/>
                <w:szCs w:val="18"/>
              </w:rPr>
              <w:t xml:space="preserve"> </w:t>
            </w:r>
            <w:hyperlink r:id="rId77" w:history="1">
              <w:r w:rsidR="00E47799" w:rsidRPr="005C5E32">
                <w:rPr>
                  <w:rStyle w:val="Hyperlink"/>
                  <w:rFonts w:asciiTheme="minorHAnsi" w:hAnsiTheme="minorHAnsi" w:cstheme="minorHAnsi"/>
                  <w:szCs w:val="18"/>
                </w:rPr>
                <w:t>Government Targets Quarterly Reports</w:t>
              </w:r>
            </w:hyperlink>
            <w:r w:rsidR="00E47799" w:rsidRPr="005C5E32">
              <w:t xml:space="preserve"> webpage</w:t>
            </w:r>
            <w:r w:rsidRPr="005C5E32">
              <w:t>.</w:t>
            </w:r>
          </w:p>
        </w:tc>
      </w:tr>
    </w:tbl>
    <w:p w14:paraId="33711585" w14:textId="77777777" w:rsidR="00D6004B" w:rsidRPr="005C5E32" w:rsidRDefault="001003F8" w:rsidP="00955C14">
      <w:pPr>
        <w:pStyle w:val="BodyText"/>
        <w:spacing w:before="240"/>
        <w:rPr>
          <w:lang w:eastAsia="en-US"/>
        </w:rPr>
      </w:pPr>
      <w:bookmarkStart w:id="174" w:name="endsection"/>
      <w:r w:rsidRPr="005C5E32">
        <w:rPr>
          <w:lang w:eastAsia="en-US"/>
        </w:rPr>
        <w:t xml:space="preserve">This report </w:t>
      </w:r>
      <w:bookmarkEnd w:id="174"/>
      <w:r w:rsidRPr="005C5E32">
        <w:rPr>
          <w:lang w:eastAsia="en-US"/>
        </w:rPr>
        <w:t xml:space="preserve">includes the </w:t>
      </w:r>
      <w:hyperlink w:anchor="_Climate_Change_Chief_1" w:history="1">
        <w:r w:rsidR="00034308" w:rsidRPr="005C5E32">
          <w:rPr>
            <w:rStyle w:val="Hyperlink"/>
            <w:lang w:eastAsia="en-US"/>
          </w:rPr>
          <w:t>Climate Change Chief Executives Board Annual Report 2025/26</w:t>
        </w:r>
      </w:hyperlink>
      <w:r w:rsidRPr="005C5E32">
        <w:rPr>
          <w:lang w:eastAsia="en-US"/>
        </w:rPr>
        <w:t>, which discusses the Board</w:t>
      </w:r>
      <w:r w:rsidR="000369F8" w:rsidRPr="005C5E32">
        <w:rPr>
          <w:lang w:eastAsia="en-US"/>
        </w:rPr>
        <w:t>’</w:t>
      </w:r>
      <w:r w:rsidRPr="005C5E32">
        <w:rPr>
          <w:lang w:eastAsia="en-US"/>
        </w:rPr>
        <w:t xml:space="preserve">s performance against its strategic intentions. </w:t>
      </w:r>
      <w:bookmarkStart w:id="175" w:name="_Toc173852916"/>
      <w:bookmarkStart w:id="176" w:name="_Toc173931485"/>
      <w:bookmarkEnd w:id="168"/>
      <w:bookmarkEnd w:id="169"/>
      <w:bookmarkEnd w:id="170"/>
      <w:bookmarkEnd w:id="171"/>
      <w:bookmarkEnd w:id="172"/>
    </w:p>
    <w:p w14:paraId="51998C95" w14:textId="44E229F9" w:rsidR="001003F8" w:rsidRPr="005C5E32" w:rsidRDefault="001003F8" w:rsidP="00955C14">
      <w:pPr>
        <w:pStyle w:val="BodyText"/>
        <w:spacing w:before="240"/>
      </w:pPr>
      <w:r w:rsidRPr="005C5E32">
        <w:br w:type="page"/>
      </w:r>
    </w:p>
    <w:p w14:paraId="0AB30C5F" w14:textId="77777777" w:rsidR="001003F8" w:rsidRPr="005C5E32" w:rsidRDefault="001003F8" w:rsidP="003B4A7F">
      <w:pPr>
        <w:pStyle w:val="Heading2"/>
      </w:pPr>
      <w:bookmarkStart w:id="177" w:name="_Notes_to_year-end"/>
      <w:bookmarkStart w:id="178" w:name="_Toc207017392"/>
      <w:bookmarkStart w:id="179" w:name="_Toc210136379"/>
      <w:bookmarkStart w:id="180" w:name="_Toc240445567"/>
      <w:bookmarkEnd w:id="177"/>
      <w:r w:rsidRPr="005C5E32">
        <w:rPr>
          <w:lang w:eastAsia="en-US"/>
        </w:rPr>
        <w:lastRenderedPageBreak/>
        <w:t xml:space="preserve">Notes to </w:t>
      </w:r>
      <w:bookmarkEnd w:id="175"/>
      <w:bookmarkEnd w:id="176"/>
      <w:r w:rsidRPr="005C5E32">
        <w:rPr>
          <w:lang w:eastAsia="en-US"/>
        </w:rPr>
        <w:t>y</w:t>
      </w:r>
      <w:r w:rsidRPr="005C5E32">
        <w:t>ear-end performance information on appropriations</w:t>
      </w:r>
      <w:bookmarkEnd w:id="178"/>
      <w:bookmarkEnd w:id="179"/>
      <w:bookmarkEnd w:id="180"/>
    </w:p>
    <w:p w14:paraId="11EE3CA1" w14:textId="6AFE150A" w:rsidR="001003F8" w:rsidRPr="005C5E32" w:rsidRDefault="001003F8">
      <w:pPr>
        <w:pStyle w:val="BodyText"/>
        <w:rPr>
          <w:lang w:eastAsia="en-US"/>
        </w:rPr>
      </w:pPr>
      <w:r w:rsidRPr="005C5E32">
        <w:rPr>
          <w:lang w:eastAsia="en-US"/>
        </w:rPr>
        <w:t>The service performance information on pages</w:t>
      </w:r>
      <w:r w:rsidR="00C109A7" w:rsidRPr="005C5E32">
        <w:rPr>
          <w:lang w:eastAsia="en-US"/>
        </w:rPr>
        <w:t xml:space="preserve"> </w:t>
      </w:r>
      <w:r w:rsidR="007177D8" w:rsidRPr="00B74443">
        <w:rPr>
          <w:lang w:eastAsia="en-US"/>
        </w:rPr>
        <w:t>3</w:t>
      </w:r>
      <w:r w:rsidR="00C27EED" w:rsidRPr="00B74443">
        <w:rPr>
          <w:lang w:eastAsia="en-US"/>
        </w:rPr>
        <w:t>3</w:t>
      </w:r>
      <w:r w:rsidR="00C804BD" w:rsidRPr="00B74443">
        <w:rPr>
          <w:lang w:eastAsia="en-US"/>
        </w:rPr>
        <w:t xml:space="preserve"> to </w:t>
      </w:r>
      <w:r w:rsidR="006C2E59">
        <w:rPr>
          <w:lang w:eastAsia="en-US"/>
        </w:rPr>
        <w:t>52</w:t>
      </w:r>
      <w:r w:rsidRPr="00B74443">
        <w:rPr>
          <w:lang w:eastAsia="en-US"/>
        </w:rPr>
        <w:t xml:space="preserve"> </w:t>
      </w:r>
      <w:r w:rsidRPr="005C5E32">
        <w:rPr>
          <w:lang w:eastAsia="en-US"/>
        </w:rPr>
        <w:t xml:space="preserve">has been prepared in accordance with </w:t>
      </w:r>
      <w:r w:rsidR="000915C5" w:rsidRPr="005C5E32">
        <w:rPr>
          <w:lang w:eastAsia="en-US"/>
        </w:rPr>
        <w:t xml:space="preserve">the </w:t>
      </w:r>
      <w:hyperlink r:id="rId78" w:history="1">
        <w:r w:rsidR="000915C5" w:rsidRPr="001B6077">
          <w:rPr>
            <w:rStyle w:val="Hyperlink"/>
            <w:i/>
            <w:iCs/>
            <w:spacing w:val="-2"/>
          </w:rPr>
          <w:t>Service Performance Reporting Standard (PBE FRS 48)</w:t>
        </w:r>
        <w:r w:rsidRPr="001B6077">
          <w:rPr>
            <w:rStyle w:val="Hyperlink"/>
            <w:lang w:eastAsia="en-US"/>
          </w:rPr>
          <w:t>.</w:t>
        </w:r>
      </w:hyperlink>
    </w:p>
    <w:p w14:paraId="7B98B517" w14:textId="409ECB52" w:rsidR="001003F8" w:rsidRPr="005C5E32" w:rsidRDefault="001003F8">
      <w:pPr>
        <w:pStyle w:val="BodyText"/>
        <w:rPr>
          <w:lang w:eastAsia="en-US"/>
        </w:rPr>
      </w:pPr>
      <w:r w:rsidRPr="005C5E32">
        <w:rPr>
          <w:lang w:eastAsia="en-US"/>
        </w:rPr>
        <w:t xml:space="preserve">In preparing performance information to demonstrate what the Ministry achieved from the use of its appropriations during the year, </w:t>
      </w:r>
      <w:r w:rsidR="008371A0" w:rsidRPr="005C5E32">
        <w:rPr>
          <w:lang w:eastAsia="en-US"/>
        </w:rPr>
        <w:t xml:space="preserve">we have made </w:t>
      </w:r>
      <w:r w:rsidRPr="005C5E32">
        <w:rPr>
          <w:lang w:eastAsia="en-US"/>
        </w:rPr>
        <w:t xml:space="preserve">several key judgements about the aspects of service performance to report against, the selection of appropriate and meaningful performance measures, and how to measure performance and/or targets. </w:t>
      </w:r>
    </w:p>
    <w:p w14:paraId="2C6833EF" w14:textId="2721E1B3" w:rsidR="001003F8" w:rsidRPr="005C5E32" w:rsidRDefault="001003F8">
      <w:pPr>
        <w:pStyle w:val="BodyText"/>
        <w:rPr>
          <w:lang w:eastAsia="en-US"/>
        </w:rPr>
      </w:pPr>
      <w:r w:rsidRPr="005C5E32">
        <w:rPr>
          <w:lang w:eastAsia="en-US"/>
        </w:rPr>
        <w:t>The selection of performance measures is based on the Ministry</w:t>
      </w:r>
      <w:r w:rsidR="000369F8" w:rsidRPr="005C5E32">
        <w:rPr>
          <w:lang w:eastAsia="en-US"/>
        </w:rPr>
        <w:t>’</w:t>
      </w:r>
      <w:r w:rsidRPr="005C5E32">
        <w:rPr>
          <w:lang w:eastAsia="en-US"/>
        </w:rPr>
        <w:t xml:space="preserve">s purpose, strategic outcomes and strategic priorities as provided in the </w:t>
      </w:r>
      <w:hyperlink r:id="rId79" w:history="1">
        <w:r w:rsidR="008371A0" w:rsidRPr="005C5E32">
          <w:rPr>
            <w:rStyle w:val="Hyperlink"/>
            <w:i/>
            <w:iCs/>
          </w:rPr>
          <w:t>Strategic Intentions 2025–2029</w:t>
        </w:r>
      </w:hyperlink>
      <w:r w:rsidRPr="005C5E32">
        <w:rPr>
          <w:lang w:eastAsia="en-US"/>
        </w:rPr>
        <w:t xml:space="preserve">. </w:t>
      </w:r>
      <w:r w:rsidR="00EE4971" w:rsidRPr="005C5E32">
        <w:t>We have also consider</w:t>
      </w:r>
      <w:r w:rsidR="00C37AB5" w:rsidRPr="005C5E32">
        <w:t>ed</w:t>
      </w:r>
      <w:r w:rsidR="00EE4971" w:rsidRPr="005C5E32">
        <w:t xml:space="preserve"> the areas of the Ministry’s performance most likely to interest the public and the Government</w:t>
      </w:r>
      <w:r w:rsidRPr="005C5E32">
        <w:rPr>
          <w:lang w:eastAsia="en-US"/>
        </w:rPr>
        <w:t xml:space="preserve">. </w:t>
      </w:r>
      <w:r w:rsidR="002869FE" w:rsidRPr="005C5E32">
        <w:rPr>
          <w:lang w:eastAsia="en-US"/>
        </w:rPr>
        <w:t>The Chief Executive and other members of the Executive Leadership Team made d</w:t>
      </w:r>
      <w:r w:rsidRPr="005C5E32">
        <w:rPr>
          <w:lang w:eastAsia="en-US"/>
        </w:rPr>
        <w:t xml:space="preserve">ecisions about </w:t>
      </w:r>
      <w:r w:rsidR="002869FE" w:rsidRPr="005C5E32">
        <w:rPr>
          <w:lang w:eastAsia="en-US"/>
        </w:rPr>
        <w:t xml:space="preserve">what </w:t>
      </w:r>
      <w:r w:rsidRPr="005C5E32">
        <w:rPr>
          <w:lang w:eastAsia="en-US"/>
        </w:rPr>
        <w:t>service performance information to present</w:t>
      </w:r>
      <w:r w:rsidR="00EE4971" w:rsidRPr="005C5E32">
        <w:rPr>
          <w:lang w:eastAsia="en-US"/>
        </w:rPr>
        <w:t>,</w:t>
      </w:r>
      <w:r w:rsidRPr="005C5E32">
        <w:rPr>
          <w:lang w:eastAsia="en-US"/>
        </w:rPr>
        <w:t xml:space="preserve"> in consultation with the relevant appropriation Ministers.</w:t>
      </w:r>
    </w:p>
    <w:p w14:paraId="349D25FA" w14:textId="2F31C689" w:rsidR="001003F8" w:rsidRPr="005C5E32" w:rsidRDefault="001003F8">
      <w:pPr>
        <w:pStyle w:val="BodyText"/>
        <w:rPr>
          <w:lang w:eastAsia="en-US"/>
        </w:rPr>
      </w:pPr>
      <w:r w:rsidRPr="005C5E32">
        <w:rPr>
          <w:lang w:eastAsia="en-US"/>
        </w:rPr>
        <w:t>Th</w:t>
      </w:r>
      <w:r w:rsidR="002869FE" w:rsidRPr="005C5E32">
        <w:rPr>
          <w:lang w:eastAsia="en-US"/>
        </w:rPr>
        <w:t>is</w:t>
      </w:r>
      <w:r w:rsidRPr="005C5E32">
        <w:rPr>
          <w:lang w:eastAsia="en-US"/>
        </w:rPr>
        <w:t xml:space="preserve"> performance information on appropriations should be read together with</w:t>
      </w:r>
      <w:r w:rsidR="00340B0A" w:rsidRPr="005C5E32">
        <w:rPr>
          <w:lang w:eastAsia="en-US"/>
        </w:rPr>
        <w:t xml:space="preserve"> the </w:t>
      </w:r>
      <w:hyperlink w:anchor="_Progress_on_our" w:history="1">
        <w:r w:rsidR="00340B0A" w:rsidRPr="005C5E32">
          <w:rPr>
            <w:rStyle w:val="Hyperlink"/>
            <w:lang w:eastAsia="en-US"/>
          </w:rPr>
          <w:t>Progress on</w:t>
        </w:r>
        <w:r w:rsidR="00974370" w:rsidRPr="005C5E32">
          <w:rPr>
            <w:rStyle w:val="Hyperlink"/>
            <w:lang w:eastAsia="en-US"/>
          </w:rPr>
          <w:t> </w:t>
        </w:r>
        <w:r w:rsidR="00340B0A" w:rsidRPr="005C5E32">
          <w:rPr>
            <w:rStyle w:val="Hyperlink"/>
            <w:lang w:eastAsia="en-US"/>
          </w:rPr>
          <w:t>our strategic intentions</w:t>
        </w:r>
      </w:hyperlink>
      <w:r w:rsidR="00340B0A" w:rsidRPr="005C5E32">
        <w:rPr>
          <w:lang w:eastAsia="en-US"/>
        </w:rPr>
        <w:t xml:space="preserve"> section</w:t>
      </w:r>
      <w:r w:rsidRPr="005C5E32">
        <w:rPr>
          <w:lang w:eastAsia="en-US"/>
        </w:rPr>
        <w:t xml:space="preserve"> to understand the Ministry</w:t>
      </w:r>
      <w:r w:rsidR="000369F8" w:rsidRPr="005C5E32">
        <w:rPr>
          <w:lang w:eastAsia="en-US"/>
        </w:rPr>
        <w:t>’</w:t>
      </w:r>
      <w:r w:rsidRPr="005C5E32">
        <w:rPr>
          <w:lang w:eastAsia="en-US"/>
        </w:rPr>
        <w:t>s non-financial performance for</w:t>
      </w:r>
      <w:r w:rsidR="005B5D19" w:rsidRPr="005C5E32">
        <w:rPr>
          <w:lang w:eastAsia="en-US"/>
        </w:rPr>
        <w:t> </w:t>
      </w:r>
      <w:r w:rsidRPr="005C5E32">
        <w:rPr>
          <w:lang w:eastAsia="en-US"/>
        </w:rPr>
        <w:t>the year.</w:t>
      </w:r>
    </w:p>
    <w:p w14:paraId="5FD88668" w14:textId="77777777" w:rsidR="001003F8" w:rsidRPr="005C5E32" w:rsidRDefault="001003F8" w:rsidP="00966CD6">
      <w:pPr>
        <w:pStyle w:val="Heading4"/>
        <w:rPr>
          <w:lang w:eastAsia="en-US"/>
        </w:rPr>
      </w:pPr>
      <w:bookmarkStart w:id="181" w:name="_Note_1_–"/>
      <w:bookmarkEnd w:id="181"/>
      <w:r w:rsidRPr="005C5E32">
        <w:rPr>
          <w:lang w:eastAsia="en-US"/>
        </w:rPr>
        <w:t>Note 1 – Technical quality of advice</w:t>
      </w:r>
    </w:p>
    <w:p w14:paraId="10A9244B" w14:textId="45A98C77" w:rsidR="001003F8" w:rsidRPr="005C5E32" w:rsidRDefault="001003F8">
      <w:pPr>
        <w:pStyle w:val="BodyText"/>
        <w:rPr>
          <w:lang w:eastAsia="en-US"/>
        </w:rPr>
      </w:pPr>
      <w:r w:rsidRPr="005C5E32">
        <w:rPr>
          <w:lang w:eastAsia="en-US"/>
        </w:rPr>
        <w:t>The assessment of the</w:t>
      </w:r>
      <w:r w:rsidR="002869FE" w:rsidRPr="005C5E32">
        <w:rPr>
          <w:lang w:eastAsia="en-US"/>
        </w:rPr>
        <w:t xml:space="preserve"> Ministry’s</w:t>
      </w:r>
      <w:r w:rsidRPr="005C5E32">
        <w:rPr>
          <w:lang w:eastAsia="en-US"/>
        </w:rPr>
        <w:t xml:space="preserve"> technical quality of advice is drawn from papers reviewed by</w:t>
      </w:r>
      <w:r w:rsidR="00974370" w:rsidRPr="005C5E32">
        <w:rPr>
          <w:lang w:eastAsia="en-US"/>
        </w:rPr>
        <w:t> </w:t>
      </w:r>
      <w:r w:rsidRPr="005C5E32">
        <w:rPr>
          <w:lang w:eastAsia="en-US"/>
        </w:rPr>
        <w:t>an independent Quality Assessment Panel using</w:t>
      </w:r>
      <w:r w:rsidR="00E57389" w:rsidRPr="005C5E32">
        <w:rPr>
          <w:lang w:eastAsia="en-US"/>
        </w:rPr>
        <w:t xml:space="preserve"> DPMC</w:t>
      </w:r>
      <w:r w:rsidRPr="005C5E32">
        <w:rPr>
          <w:lang w:eastAsia="en-US"/>
        </w:rPr>
        <w:t xml:space="preserve"> </w:t>
      </w:r>
      <w:r w:rsidR="00171702" w:rsidRPr="005C5E32">
        <w:t>criteria</w:t>
      </w:r>
      <w:r w:rsidR="00171702" w:rsidRPr="005C5E32">
        <w:rPr>
          <w:lang w:eastAsia="en-US"/>
        </w:rPr>
        <w:t xml:space="preserve">, </w:t>
      </w:r>
      <w:r w:rsidR="002869FE" w:rsidRPr="005C5E32">
        <w:rPr>
          <w:lang w:eastAsia="en-US"/>
        </w:rPr>
        <w:t xml:space="preserve">which are </w:t>
      </w:r>
      <w:r w:rsidR="00171702" w:rsidRPr="005C5E32">
        <w:rPr>
          <w:lang w:eastAsia="en-US"/>
        </w:rPr>
        <w:t xml:space="preserve">available on </w:t>
      </w:r>
      <w:r w:rsidR="00E20CC6" w:rsidRPr="005C5E32">
        <w:rPr>
          <w:lang w:eastAsia="en-US"/>
        </w:rPr>
        <w:t xml:space="preserve">its </w:t>
      </w:r>
      <w:hyperlink r:id="rId80" w:history="1">
        <w:r w:rsidR="00E20CC6" w:rsidRPr="005C5E32">
          <w:rPr>
            <w:rStyle w:val="Hyperlink"/>
            <w:lang w:eastAsia="en-US"/>
          </w:rPr>
          <w:t>Policy quality</w:t>
        </w:r>
      </w:hyperlink>
      <w:r w:rsidR="00E20CC6" w:rsidRPr="005C5E32">
        <w:rPr>
          <w:lang w:eastAsia="en-US"/>
        </w:rPr>
        <w:t xml:space="preserve"> webpage</w:t>
      </w:r>
      <w:r w:rsidRPr="005C5E32">
        <w:rPr>
          <w:lang w:eastAsia="en-US"/>
        </w:rPr>
        <w:t xml:space="preserve">. Each paper is assessed against these criteria, and the results inform </w:t>
      </w:r>
      <w:r w:rsidR="00E57389" w:rsidRPr="005C5E32">
        <w:rPr>
          <w:lang w:eastAsia="en-US"/>
        </w:rPr>
        <w:t>its</w:t>
      </w:r>
      <w:r w:rsidR="00974370" w:rsidRPr="005C5E32">
        <w:rPr>
          <w:lang w:eastAsia="en-US"/>
        </w:rPr>
        <w:t> </w:t>
      </w:r>
      <w:r w:rsidRPr="005C5E32">
        <w:rPr>
          <w:lang w:eastAsia="en-US"/>
        </w:rPr>
        <w:t xml:space="preserve">final grading. Policy advice assessments are scored on a scale of 1 </w:t>
      </w:r>
      <w:r w:rsidR="002869FE" w:rsidRPr="005C5E32">
        <w:rPr>
          <w:lang w:eastAsia="en-US"/>
        </w:rPr>
        <w:t xml:space="preserve">(meaning ‘unacceptable’) </w:t>
      </w:r>
      <w:r w:rsidRPr="005C5E32">
        <w:rPr>
          <w:lang w:eastAsia="en-US"/>
        </w:rPr>
        <w:t>to 5</w:t>
      </w:r>
      <w:r w:rsidR="002869FE" w:rsidRPr="005C5E32">
        <w:rPr>
          <w:lang w:eastAsia="en-US"/>
        </w:rPr>
        <w:t xml:space="preserve"> (meaning</w:t>
      </w:r>
      <w:r w:rsidRPr="005C5E32">
        <w:rPr>
          <w:lang w:eastAsia="en-US"/>
        </w:rPr>
        <w:t xml:space="preserve"> </w:t>
      </w:r>
      <w:r w:rsidR="002D470F" w:rsidRPr="005C5E32">
        <w:rPr>
          <w:lang w:eastAsia="en-US"/>
        </w:rPr>
        <w:t>‘</w:t>
      </w:r>
      <w:r w:rsidRPr="005C5E32">
        <w:rPr>
          <w:lang w:eastAsia="en-US"/>
        </w:rPr>
        <w:t>outstanding</w:t>
      </w:r>
      <w:r w:rsidR="002D470F" w:rsidRPr="005C5E32">
        <w:rPr>
          <w:lang w:eastAsia="en-US"/>
        </w:rPr>
        <w:t>’</w:t>
      </w:r>
      <w:r w:rsidR="002869FE" w:rsidRPr="005C5E32">
        <w:rPr>
          <w:lang w:eastAsia="en-US"/>
        </w:rPr>
        <w:t>)</w:t>
      </w:r>
      <w:r w:rsidRPr="005C5E32">
        <w:rPr>
          <w:lang w:eastAsia="en-US"/>
        </w:rPr>
        <w:t>.</w:t>
      </w:r>
    </w:p>
    <w:p w14:paraId="2C5E744C" w14:textId="2AFD6622" w:rsidR="00C7375A" w:rsidRPr="005C5E32" w:rsidRDefault="003C2D1D">
      <w:pPr>
        <w:pStyle w:val="BodyText"/>
        <w:rPr>
          <w:lang w:eastAsia="en-US"/>
        </w:rPr>
      </w:pPr>
      <w:r w:rsidRPr="005C5E32">
        <w:rPr>
          <w:lang w:eastAsia="en-US"/>
        </w:rPr>
        <w:t xml:space="preserve">The Ministry historically used two targets for measurement. </w:t>
      </w:r>
      <w:r w:rsidR="00E57389" w:rsidRPr="005C5E32">
        <w:rPr>
          <w:lang w:eastAsia="en-US"/>
        </w:rPr>
        <w:t>We</w:t>
      </w:r>
      <w:r w:rsidR="001003F8" w:rsidRPr="005C5E32">
        <w:rPr>
          <w:lang w:eastAsia="en-US"/>
        </w:rPr>
        <w:t xml:space="preserve"> deliberately set a higher score as the primary target – </w:t>
      </w:r>
      <w:r w:rsidR="006957EA" w:rsidRPr="005C5E32">
        <w:rPr>
          <w:lang w:eastAsia="en-US"/>
        </w:rPr>
        <w:t xml:space="preserve">that is, </w:t>
      </w:r>
      <w:r w:rsidR="001003F8" w:rsidRPr="005C5E32">
        <w:rPr>
          <w:lang w:eastAsia="en-US"/>
        </w:rPr>
        <w:t>for 70</w:t>
      </w:r>
      <w:r w:rsidR="00E20CC6" w:rsidRPr="005C5E32">
        <w:rPr>
          <w:lang w:eastAsia="en-US"/>
        </w:rPr>
        <w:t xml:space="preserve"> percent</w:t>
      </w:r>
      <w:r w:rsidR="001003F8" w:rsidRPr="005C5E32">
        <w:rPr>
          <w:lang w:eastAsia="en-US"/>
        </w:rPr>
        <w:t xml:space="preserve"> of papers to achieve a score of at least 3.5 out of 5.0</w:t>
      </w:r>
      <w:r w:rsidR="00E57389" w:rsidRPr="005C5E32">
        <w:rPr>
          <w:lang w:eastAsia="en-US"/>
        </w:rPr>
        <w:t xml:space="preserve"> –</w:t>
      </w:r>
      <w:r w:rsidR="002869FE" w:rsidRPr="005C5E32">
        <w:rPr>
          <w:lang w:eastAsia="en-US"/>
        </w:rPr>
        <w:t xml:space="preserve"> </w:t>
      </w:r>
      <w:r w:rsidR="005A5897" w:rsidRPr="005C5E32">
        <w:rPr>
          <w:lang w:eastAsia="en-US"/>
        </w:rPr>
        <w:t xml:space="preserve">as a </w:t>
      </w:r>
      <w:r w:rsidR="002869FE" w:rsidRPr="005C5E32">
        <w:rPr>
          <w:lang w:eastAsia="en-US"/>
        </w:rPr>
        <w:t xml:space="preserve">‘stretch’ </w:t>
      </w:r>
      <w:r w:rsidR="005A5897" w:rsidRPr="005C5E32">
        <w:rPr>
          <w:lang w:eastAsia="en-US"/>
        </w:rPr>
        <w:t xml:space="preserve">goal to drive excellence. </w:t>
      </w:r>
      <w:r w:rsidR="002869FE" w:rsidRPr="005C5E32">
        <w:rPr>
          <w:lang w:eastAsia="en-US"/>
        </w:rPr>
        <w:t xml:space="preserve">We set a </w:t>
      </w:r>
      <w:r w:rsidR="001003F8" w:rsidRPr="005C5E32">
        <w:rPr>
          <w:lang w:eastAsia="en-US"/>
        </w:rPr>
        <w:t>secondary target (for 80</w:t>
      </w:r>
      <w:r w:rsidR="006957EA" w:rsidRPr="005C5E32">
        <w:rPr>
          <w:lang w:eastAsia="en-US"/>
        </w:rPr>
        <w:t xml:space="preserve"> percent</w:t>
      </w:r>
      <w:r w:rsidR="001003F8" w:rsidRPr="005C5E32">
        <w:rPr>
          <w:lang w:eastAsia="en-US"/>
        </w:rPr>
        <w:t xml:space="preserve"> of papers to </w:t>
      </w:r>
      <w:r w:rsidR="001003F8" w:rsidRPr="005C5E32">
        <w:rPr>
          <w:spacing w:val="-2"/>
          <w:lang w:eastAsia="en-US"/>
        </w:rPr>
        <w:t xml:space="preserve">achieve a score of at least 3.0 out of 5.0) </w:t>
      </w:r>
      <w:r w:rsidR="00C7375A" w:rsidRPr="005C5E32">
        <w:rPr>
          <w:spacing w:val="-2"/>
          <w:lang w:eastAsia="en-US"/>
        </w:rPr>
        <w:t xml:space="preserve">as a </w:t>
      </w:r>
      <w:r w:rsidR="002869FE" w:rsidRPr="005C5E32">
        <w:rPr>
          <w:spacing w:val="-2"/>
          <w:lang w:eastAsia="en-US"/>
        </w:rPr>
        <w:t xml:space="preserve">‘minimum’ </w:t>
      </w:r>
      <w:r w:rsidR="00C7375A" w:rsidRPr="005C5E32">
        <w:rPr>
          <w:spacing w:val="-2"/>
          <w:lang w:eastAsia="en-US"/>
        </w:rPr>
        <w:t>quality standard</w:t>
      </w:r>
      <w:r w:rsidR="002869FE" w:rsidRPr="005C5E32">
        <w:rPr>
          <w:spacing w:val="-2"/>
          <w:lang w:eastAsia="en-US"/>
        </w:rPr>
        <w:t>, which</w:t>
      </w:r>
      <w:r w:rsidR="00C7375A" w:rsidRPr="005C5E32">
        <w:rPr>
          <w:spacing w:val="-2"/>
          <w:lang w:eastAsia="en-US"/>
        </w:rPr>
        <w:t xml:space="preserve"> </w:t>
      </w:r>
      <w:r w:rsidR="001003F8" w:rsidRPr="005C5E32">
        <w:rPr>
          <w:spacing w:val="-2"/>
          <w:lang w:eastAsia="en-US"/>
        </w:rPr>
        <w:t>is in line with</w:t>
      </w:r>
      <w:r w:rsidR="00A2022F" w:rsidRPr="005C5E32">
        <w:rPr>
          <w:spacing w:val="-2"/>
          <w:lang w:eastAsia="en-US"/>
        </w:rPr>
        <w:t> </w:t>
      </w:r>
      <w:r w:rsidR="001003F8" w:rsidRPr="005C5E32">
        <w:rPr>
          <w:spacing w:val="-2"/>
          <w:lang w:eastAsia="en-US"/>
        </w:rPr>
        <w:t>the primary targets of other agencies.</w:t>
      </w:r>
      <w:r w:rsidR="001003F8" w:rsidRPr="005C5E32">
        <w:rPr>
          <w:lang w:eastAsia="en-US"/>
        </w:rPr>
        <w:t xml:space="preserve"> </w:t>
      </w:r>
      <w:r w:rsidR="00C7375A" w:rsidRPr="005C5E32">
        <w:rPr>
          <w:lang w:eastAsia="en-US"/>
        </w:rPr>
        <w:t>Both targets are assessed from the same selection of papers.</w:t>
      </w:r>
    </w:p>
    <w:p w14:paraId="43E202EC" w14:textId="19BFA783" w:rsidR="001003F8" w:rsidRPr="005C5E32" w:rsidRDefault="001003F8">
      <w:pPr>
        <w:pStyle w:val="BodyText"/>
        <w:rPr>
          <w:lang w:eastAsia="en-US"/>
        </w:rPr>
      </w:pPr>
      <w:r w:rsidRPr="005C5E32">
        <w:rPr>
          <w:lang w:eastAsia="en-US"/>
        </w:rPr>
        <w:t xml:space="preserve">The Quality Assessment Panel meets up to 10 times per year, assessing 10 papers </w:t>
      </w:r>
      <w:r w:rsidR="002869FE" w:rsidRPr="005C5E32">
        <w:rPr>
          <w:lang w:eastAsia="en-US"/>
        </w:rPr>
        <w:t>at each</w:t>
      </w:r>
      <w:r w:rsidR="00A2022F" w:rsidRPr="005C5E32">
        <w:rPr>
          <w:lang w:eastAsia="en-US"/>
        </w:rPr>
        <w:t> </w:t>
      </w:r>
      <w:r w:rsidRPr="005C5E32">
        <w:rPr>
          <w:lang w:eastAsia="en-US"/>
        </w:rPr>
        <w:t>meeting</w:t>
      </w:r>
      <w:r w:rsidR="002869FE" w:rsidRPr="005C5E32">
        <w:rPr>
          <w:lang w:eastAsia="en-US"/>
        </w:rPr>
        <w:t>. The papers assessed come from</w:t>
      </w:r>
      <w:r w:rsidRPr="005C5E32">
        <w:rPr>
          <w:lang w:eastAsia="en-US"/>
        </w:rPr>
        <w:t xml:space="preserve"> a random</w:t>
      </w:r>
      <w:r w:rsidRPr="005C5E32" w:rsidDel="003F22D4">
        <w:rPr>
          <w:lang w:eastAsia="en-US"/>
        </w:rPr>
        <w:t xml:space="preserve"> </w:t>
      </w:r>
      <w:r w:rsidRPr="005C5E32">
        <w:rPr>
          <w:lang w:eastAsia="en-US"/>
        </w:rPr>
        <w:t xml:space="preserve">selection of briefing notes and </w:t>
      </w:r>
      <w:r w:rsidR="006957EA" w:rsidRPr="005C5E32">
        <w:rPr>
          <w:lang w:eastAsia="en-US"/>
        </w:rPr>
        <w:t>C</w:t>
      </w:r>
      <w:r w:rsidRPr="005C5E32">
        <w:rPr>
          <w:lang w:eastAsia="en-US"/>
        </w:rPr>
        <w:t>abinet</w:t>
      </w:r>
      <w:r w:rsidR="00A2022F" w:rsidRPr="005C5E32">
        <w:rPr>
          <w:lang w:eastAsia="en-US"/>
        </w:rPr>
        <w:t> </w:t>
      </w:r>
      <w:r w:rsidRPr="005C5E32">
        <w:rPr>
          <w:lang w:eastAsia="en-US"/>
        </w:rPr>
        <w:t>papers.</w:t>
      </w:r>
    </w:p>
    <w:p w14:paraId="509701FB" w14:textId="77777777" w:rsidR="001003F8" w:rsidRPr="005C5E32" w:rsidRDefault="001003F8" w:rsidP="00B14EFF">
      <w:pPr>
        <w:pStyle w:val="Heading4"/>
        <w:rPr>
          <w:lang w:eastAsia="en-US"/>
        </w:rPr>
      </w:pPr>
      <w:bookmarkStart w:id="182" w:name="_Note_2_–"/>
      <w:bookmarkEnd w:id="182"/>
      <w:r w:rsidRPr="005C5E32">
        <w:rPr>
          <w:lang w:eastAsia="en-US"/>
        </w:rPr>
        <w:t>Note 2 – Collaborate with pan-Māori groups</w:t>
      </w:r>
    </w:p>
    <w:p w14:paraId="4C33E9C0" w14:textId="0878CC33" w:rsidR="001003F8" w:rsidRPr="005C5E32" w:rsidRDefault="001003F8">
      <w:pPr>
        <w:pStyle w:val="BodyText"/>
        <w:rPr>
          <w:rFonts w:cs="Calibri"/>
        </w:rPr>
      </w:pPr>
      <w:r w:rsidRPr="005C5E32">
        <w:rPr>
          <w:rFonts w:cs="Calibri"/>
          <w:lang w:eastAsia="en-US"/>
        </w:rPr>
        <w:t>This measure relates to the development and implementation of joint work programmes with Pou Take Āhuarangi (the Climate Pou of the National Iwi Chairs Forum) and Te Tai Kaha Māori Collective (</w:t>
      </w:r>
      <w:r w:rsidRPr="005C5E32">
        <w:rPr>
          <w:rFonts w:cs="Calibri"/>
        </w:rPr>
        <w:t>a collective of Māori organisations</w:t>
      </w:r>
      <w:r w:rsidR="00AA256A" w:rsidRPr="005C5E32">
        <w:rPr>
          <w:rFonts w:cs="Calibri"/>
        </w:rPr>
        <w:t>, comprising</w:t>
      </w:r>
      <w:r w:rsidRPr="005C5E32">
        <w:rPr>
          <w:rFonts w:cs="Calibri"/>
        </w:rPr>
        <w:t xml:space="preserve"> the Federation of Māori Authorities, the New Zealand Māori Council, and Ngā Kaiārahi o Te Mana o te Wai Māori).</w:t>
      </w:r>
    </w:p>
    <w:p w14:paraId="7E9B5658" w14:textId="779525E2" w:rsidR="001003F8" w:rsidRPr="005C5E32" w:rsidRDefault="001003F8">
      <w:pPr>
        <w:pStyle w:val="BodyText"/>
        <w:rPr>
          <w:rFonts w:cs="Calibri"/>
          <w:lang w:eastAsia="en-US"/>
        </w:rPr>
      </w:pPr>
      <w:r w:rsidRPr="005C5E32">
        <w:rPr>
          <w:rFonts w:cs="Calibri"/>
          <w:lang w:eastAsia="en-US"/>
        </w:rPr>
        <w:t>The joint work programmes comprise activities and deliverables that Pou Take Āhuarangi and</w:t>
      </w:r>
      <w:r w:rsidR="00A2022F" w:rsidRPr="005C5E32">
        <w:rPr>
          <w:rFonts w:cs="Calibri"/>
          <w:lang w:eastAsia="en-US"/>
        </w:rPr>
        <w:t> </w:t>
      </w:r>
      <w:r w:rsidRPr="005C5E32">
        <w:rPr>
          <w:rFonts w:cs="Calibri"/>
          <w:lang w:eastAsia="en-US"/>
        </w:rPr>
        <w:t xml:space="preserve">Te Tai Kaha Māori Collective implement, </w:t>
      </w:r>
      <w:r w:rsidR="00F256B3" w:rsidRPr="005C5E32">
        <w:rPr>
          <w:rFonts w:cs="Calibri"/>
          <w:lang w:eastAsia="en-US"/>
        </w:rPr>
        <w:t xml:space="preserve">and </w:t>
      </w:r>
      <w:r w:rsidR="007147DF" w:rsidRPr="005C5E32">
        <w:rPr>
          <w:rFonts w:cs="Calibri"/>
          <w:lang w:eastAsia="en-US"/>
        </w:rPr>
        <w:t xml:space="preserve">that </w:t>
      </w:r>
      <w:r w:rsidRPr="005C5E32">
        <w:rPr>
          <w:rFonts w:cs="Calibri"/>
          <w:lang w:eastAsia="en-US"/>
        </w:rPr>
        <w:t>the Ministry supports through deeds of</w:t>
      </w:r>
      <w:r w:rsidR="00A2022F" w:rsidRPr="005C5E32">
        <w:rPr>
          <w:rFonts w:cs="Calibri"/>
          <w:lang w:eastAsia="en-US"/>
        </w:rPr>
        <w:t> </w:t>
      </w:r>
      <w:r w:rsidRPr="005C5E32">
        <w:rPr>
          <w:rFonts w:cs="Calibri"/>
          <w:lang w:eastAsia="en-US"/>
        </w:rPr>
        <w:t xml:space="preserve">funding. The assessment of achievement is measured by quarterly reporting. </w:t>
      </w:r>
    </w:p>
    <w:p w14:paraId="284C67E1" w14:textId="140E5CDF" w:rsidR="001003F8" w:rsidRPr="005C5E32" w:rsidRDefault="001003F8">
      <w:pPr>
        <w:pStyle w:val="BodyText"/>
        <w:rPr>
          <w:rFonts w:cs="Calibri"/>
          <w:lang w:eastAsia="en-US"/>
        </w:rPr>
      </w:pPr>
      <w:r w:rsidRPr="005C5E32">
        <w:rPr>
          <w:rFonts w:cs="Calibri"/>
          <w:lang w:eastAsia="en-US"/>
        </w:rPr>
        <w:lastRenderedPageBreak/>
        <w:t>This measure is aligned to the Ministry</w:t>
      </w:r>
      <w:r w:rsidR="000369F8" w:rsidRPr="005C5E32">
        <w:rPr>
          <w:rFonts w:cs="Calibri"/>
          <w:lang w:eastAsia="en-US"/>
        </w:rPr>
        <w:t>’</w:t>
      </w:r>
      <w:r w:rsidRPr="005C5E32">
        <w:rPr>
          <w:rFonts w:cs="Calibri"/>
          <w:lang w:eastAsia="en-US"/>
        </w:rPr>
        <w:t>s strategic outcome of upholding te Tiriti and</w:t>
      </w:r>
      <w:r w:rsidR="00A2022F" w:rsidRPr="005C5E32">
        <w:rPr>
          <w:rFonts w:cs="Calibri"/>
          <w:lang w:eastAsia="en-US"/>
        </w:rPr>
        <w:t xml:space="preserve"> </w:t>
      </w:r>
      <w:r w:rsidRPr="005C5E32">
        <w:rPr>
          <w:rFonts w:cs="Calibri"/>
          <w:lang w:eastAsia="en-US"/>
        </w:rPr>
        <w:t>strengthening the Māori–Crown relationship.</w:t>
      </w:r>
    </w:p>
    <w:p w14:paraId="1639EA99" w14:textId="16C1EC2D" w:rsidR="001003F8" w:rsidRPr="005C5E32" w:rsidRDefault="001003F8" w:rsidP="00B14EFF">
      <w:pPr>
        <w:pStyle w:val="Heading4"/>
        <w:rPr>
          <w:lang w:eastAsia="en-US"/>
        </w:rPr>
      </w:pPr>
      <w:bookmarkStart w:id="183" w:name="_Note_3_–"/>
      <w:bookmarkEnd w:id="183"/>
      <w:r w:rsidRPr="005C5E32">
        <w:rPr>
          <w:lang w:eastAsia="en-US"/>
        </w:rPr>
        <w:t xml:space="preserve">Note 3 – Quality of </w:t>
      </w:r>
      <w:r w:rsidR="006568ED" w:rsidRPr="005C5E32">
        <w:rPr>
          <w:lang w:eastAsia="en-US"/>
        </w:rPr>
        <w:t>r</w:t>
      </w:r>
      <w:r w:rsidRPr="005C5E32">
        <w:rPr>
          <w:lang w:eastAsia="en-US"/>
        </w:rPr>
        <w:t xml:space="preserve">egulatory </w:t>
      </w:r>
      <w:r w:rsidR="006568ED" w:rsidRPr="005C5E32">
        <w:rPr>
          <w:lang w:eastAsia="en-US"/>
        </w:rPr>
        <w:t>i</w:t>
      </w:r>
      <w:r w:rsidRPr="005C5E32">
        <w:rPr>
          <w:lang w:eastAsia="en-US"/>
        </w:rPr>
        <w:t xml:space="preserve">mpact </w:t>
      </w:r>
      <w:r w:rsidR="006568ED" w:rsidRPr="005C5E32">
        <w:rPr>
          <w:lang w:eastAsia="en-US"/>
        </w:rPr>
        <w:t>s</w:t>
      </w:r>
      <w:r w:rsidRPr="005C5E32">
        <w:rPr>
          <w:lang w:eastAsia="en-US"/>
        </w:rPr>
        <w:t>tatements</w:t>
      </w:r>
    </w:p>
    <w:p w14:paraId="46E9AA7A" w14:textId="1FC38EFB" w:rsidR="001003F8" w:rsidRPr="005C5E32" w:rsidRDefault="001003F8">
      <w:pPr>
        <w:pStyle w:val="BodyText"/>
        <w:rPr>
          <w:lang w:eastAsia="en-US"/>
        </w:rPr>
      </w:pPr>
      <w:r w:rsidRPr="005C5E32">
        <w:rPr>
          <w:lang w:eastAsia="en-US"/>
        </w:rPr>
        <w:t>This measure assesses the quality of regulatory impact statements</w:t>
      </w:r>
      <w:r w:rsidRPr="005C5E32" w:rsidDel="00A3067B">
        <w:rPr>
          <w:lang w:eastAsia="en-US"/>
        </w:rPr>
        <w:t xml:space="preserve"> </w:t>
      </w:r>
      <w:r w:rsidRPr="005C5E32">
        <w:rPr>
          <w:lang w:eastAsia="en-US"/>
        </w:rPr>
        <w:t xml:space="preserve">against criteria </w:t>
      </w:r>
      <w:r w:rsidR="000451AF" w:rsidRPr="005C5E32">
        <w:rPr>
          <w:lang w:eastAsia="en-US"/>
        </w:rPr>
        <w:t xml:space="preserve">that </w:t>
      </w:r>
      <w:r w:rsidRPr="005C5E32">
        <w:rPr>
          <w:lang w:eastAsia="en-US"/>
        </w:rPr>
        <w:t>the</w:t>
      </w:r>
      <w:r w:rsidR="00390544" w:rsidRPr="005C5E32">
        <w:rPr>
          <w:lang w:eastAsia="en-US"/>
        </w:rPr>
        <w:t> </w:t>
      </w:r>
      <w:r w:rsidRPr="005C5E32">
        <w:rPr>
          <w:lang w:eastAsia="en-US"/>
        </w:rPr>
        <w:t>Ministry for Regulation</w:t>
      </w:r>
      <w:r w:rsidR="000451AF" w:rsidRPr="005C5E32">
        <w:rPr>
          <w:lang w:eastAsia="en-US"/>
        </w:rPr>
        <w:t xml:space="preserve"> sets</w:t>
      </w:r>
      <w:r w:rsidR="00D57DF3" w:rsidRPr="005C5E32">
        <w:rPr>
          <w:lang w:eastAsia="en-US"/>
        </w:rPr>
        <w:t>,</w:t>
      </w:r>
      <w:r w:rsidR="000451AF" w:rsidRPr="005C5E32">
        <w:rPr>
          <w:lang w:eastAsia="en-US"/>
        </w:rPr>
        <w:t xml:space="preserve"> which are</w:t>
      </w:r>
      <w:r w:rsidR="00D57DF3" w:rsidRPr="005C5E32">
        <w:rPr>
          <w:lang w:eastAsia="en-US"/>
        </w:rPr>
        <w:t xml:space="preserve"> </w:t>
      </w:r>
      <w:r w:rsidR="00064606" w:rsidRPr="005C5E32">
        <w:rPr>
          <w:lang w:eastAsia="en-US"/>
        </w:rPr>
        <w:t xml:space="preserve">available on its </w:t>
      </w:r>
      <w:hyperlink r:id="rId81" w:history="1">
        <w:r w:rsidR="00064606" w:rsidRPr="005C5E32">
          <w:rPr>
            <w:rStyle w:val="Hyperlink"/>
            <w:lang w:eastAsia="en-US"/>
          </w:rPr>
          <w:t>Regulatory Impact Analysis (RIA)</w:t>
        </w:r>
      </w:hyperlink>
      <w:r w:rsidR="00064606" w:rsidRPr="005C5E32">
        <w:rPr>
          <w:lang w:eastAsia="en-US"/>
        </w:rPr>
        <w:t xml:space="preserve"> webpage</w:t>
      </w:r>
      <w:r w:rsidRPr="005C5E32">
        <w:rPr>
          <w:lang w:eastAsia="en-US"/>
        </w:rPr>
        <w:t>. These criteria evaluate the clarity and robustness of the problem definition, the analysis of policy options and the assessment of impacts.</w:t>
      </w:r>
      <w:r w:rsidR="00D64965" w:rsidRPr="005C5E32">
        <w:rPr>
          <w:lang w:eastAsia="en-US"/>
        </w:rPr>
        <w:t xml:space="preserve"> </w:t>
      </w:r>
    </w:p>
    <w:p w14:paraId="7C527A6F" w14:textId="6684CD41" w:rsidR="00394643" w:rsidRPr="005C5E32" w:rsidRDefault="000451AF">
      <w:pPr>
        <w:pStyle w:val="BodyText"/>
        <w:spacing w:before="0"/>
        <w:rPr>
          <w:lang w:eastAsia="en-US"/>
        </w:rPr>
      </w:pPr>
      <w:r w:rsidRPr="005C5E32">
        <w:rPr>
          <w:lang w:eastAsia="en-US"/>
        </w:rPr>
        <w:t xml:space="preserve">In providing its </w:t>
      </w:r>
      <w:r w:rsidR="001003F8" w:rsidRPr="005C5E32">
        <w:rPr>
          <w:lang w:eastAsia="en-US"/>
        </w:rPr>
        <w:t>assessment of the quality of regulatory impact statements</w:t>
      </w:r>
      <w:r w:rsidRPr="005C5E32">
        <w:rPr>
          <w:lang w:eastAsia="en-US"/>
        </w:rPr>
        <w:t xml:space="preserve">, </w:t>
      </w:r>
      <w:r w:rsidR="001003F8" w:rsidRPr="005C5E32">
        <w:rPr>
          <w:lang w:eastAsia="en-US"/>
        </w:rPr>
        <w:t xml:space="preserve">the Ministry </w:t>
      </w:r>
      <w:r w:rsidR="003B4270" w:rsidRPr="005C5E32">
        <w:rPr>
          <w:lang w:eastAsia="en-US"/>
        </w:rPr>
        <w:t>drew</w:t>
      </w:r>
      <w:r w:rsidR="001003F8" w:rsidRPr="005C5E32">
        <w:rPr>
          <w:lang w:eastAsia="en-US"/>
        </w:rPr>
        <w:t xml:space="preserve"> from papers reviewed by an independent panel. The panel provide</w:t>
      </w:r>
      <w:r w:rsidR="003B4270" w:rsidRPr="005C5E32">
        <w:rPr>
          <w:lang w:eastAsia="en-US"/>
        </w:rPr>
        <w:t>d</w:t>
      </w:r>
      <w:r w:rsidR="001003F8" w:rsidRPr="005C5E32">
        <w:rPr>
          <w:lang w:eastAsia="en-US"/>
        </w:rPr>
        <w:t xml:space="preserve"> a final </w:t>
      </w:r>
      <w:r w:rsidR="00D0708C" w:rsidRPr="005C5E32">
        <w:rPr>
          <w:lang w:eastAsia="en-US"/>
        </w:rPr>
        <w:t>quality assurance</w:t>
      </w:r>
      <w:r w:rsidR="001003F8" w:rsidRPr="005C5E32">
        <w:rPr>
          <w:lang w:eastAsia="en-US"/>
        </w:rPr>
        <w:t xml:space="preserve"> statement, which include</w:t>
      </w:r>
      <w:r w:rsidR="003B4270" w:rsidRPr="005C5E32">
        <w:rPr>
          <w:lang w:eastAsia="en-US"/>
        </w:rPr>
        <w:t>d</w:t>
      </w:r>
      <w:r w:rsidR="001003F8" w:rsidRPr="005C5E32">
        <w:rPr>
          <w:lang w:eastAsia="en-US"/>
        </w:rPr>
        <w:t xml:space="preserve"> a summary assessment and an associated overall rating (</w:t>
      </w:r>
      <w:r w:rsidR="00D0708C" w:rsidRPr="005C5E32">
        <w:rPr>
          <w:lang w:eastAsia="en-US"/>
        </w:rPr>
        <w:t>that is,</w:t>
      </w:r>
      <w:r w:rsidR="001003F8" w:rsidRPr="005C5E32">
        <w:rPr>
          <w:lang w:eastAsia="en-US"/>
        </w:rPr>
        <w:t xml:space="preserve"> </w:t>
      </w:r>
      <w:r w:rsidR="000369F8" w:rsidRPr="005C5E32">
        <w:rPr>
          <w:lang w:eastAsia="en-US"/>
        </w:rPr>
        <w:t>‘</w:t>
      </w:r>
      <w:r w:rsidR="001003F8" w:rsidRPr="005C5E32">
        <w:rPr>
          <w:lang w:eastAsia="en-US"/>
        </w:rPr>
        <w:t>meets</w:t>
      </w:r>
      <w:r w:rsidR="000369F8" w:rsidRPr="005C5E32">
        <w:rPr>
          <w:lang w:eastAsia="en-US"/>
        </w:rPr>
        <w:t>’</w:t>
      </w:r>
      <w:r w:rsidR="001003F8" w:rsidRPr="005C5E32">
        <w:rPr>
          <w:lang w:eastAsia="en-US"/>
        </w:rPr>
        <w:t xml:space="preserve">, </w:t>
      </w:r>
      <w:r w:rsidR="000369F8" w:rsidRPr="005C5E32">
        <w:rPr>
          <w:lang w:eastAsia="en-US"/>
        </w:rPr>
        <w:t>‘</w:t>
      </w:r>
      <w:r w:rsidR="001003F8" w:rsidRPr="005C5E32">
        <w:rPr>
          <w:lang w:eastAsia="en-US"/>
        </w:rPr>
        <w:t>partially meets</w:t>
      </w:r>
      <w:r w:rsidR="000369F8" w:rsidRPr="005C5E32">
        <w:rPr>
          <w:lang w:eastAsia="en-US"/>
        </w:rPr>
        <w:t>’</w:t>
      </w:r>
      <w:r w:rsidR="001003F8" w:rsidRPr="005C5E32">
        <w:rPr>
          <w:lang w:eastAsia="en-US"/>
        </w:rPr>
        <w:t xml:space="preserve"> or </w:t>
      </w:r>
      <w:r w:rsidR="000369F8" w:rsidRPr="005C5E32">
        <w:rPr>
          <w:lang w:eastAsia="en-US"/>
        </w:rPr>
        <w:t>‘</w:t>
      </w:r>
      <w:r w:rsidR="001003F8" w:rsidRPr="005C5E32">
        <w:rPr>
          <w:lang w:eastAsia="en-US"/>
        </w:rPr>
        <w:t>does not meet</w:t>
      </w:r>
      <w:r w:rsidR="000369F8" w:rsidRPr="005C5E32">
        <w:rPr>
          <w:lang w:eastAsia="en-US"/>
        </w:rPr>
        <w:t>’</w:t>
      </w:r>
      <w:r w:rsidR="001003F8" w:rsidRPr="005C5E32">
        <w:rPr>
          <w:lang w:eastAsia="en-US"/>
        </w:rPr>
        <w:t xml:space="preserve"> the criteria).</w:t>
      </w:r>
    </w:p>
    <w:p w14:paraId="0D3DDB52" w14:textId="4CA82254" w:rsidR="001003F8" w:rsidRPr="005C5E32" w:rsidRDefault="00394643">
      <w:pPr>
        <w:pStyle w:val="BodyText"/>
        <w:spacing w:before="0"/>
        <w:rPr>
          <w:lang w:eastAsia="en-US"/>
        </w:rPr>
      </w:pPr>
      <w:r w:rsidRPr="005C5E32">
        <w:rPr>
          <w:lang w:eastAsia="en-US"/>
        </w:rPr>
        <w:t xml:space="preserve">The Ministry has historically used two targets for measurement. </w:t>
      </w:r>
      <w:r w:rsidR="000451AF" w:rsidRPr="005C5E32">
        <w:rPr>
          <w:lang w:eastAsia="en-US"/>
        </w:rPr>
        <w:t>It</w:t>
      </w:r>
      <w:r w:rsidRPr="005C5E32">
        <w:rPr>
          <w:lang w:eastAsia="en-US"/>
        </w:rPr>
        <w:t xml:space="preserve"> deliberately set a higher score as the primary target – </w:t>
      </w:r>
      <w:r w:rsidR="00C91F3F" w:rsidRPr="005C5E32">
        <w:rPr>
          <w:lang w:eastAsia="en-US"/>
        </w:rPr>
        <w:t xml:space="preserve">that is, </w:t>
      </w:r>
      <w:r w:rsidRPr="005C5E32">
        <w:rPr>
          <w:lang w:eastAsia="en-US"/>
        </w:rPr>
        <w:t xml:space="preserve">for </w:t>
      </w:r>
      <w:r w:rsidR="001C07A2" w:rsidRPr="005C5E32">
        <w:rPr>
          <w:lang w:eastAsia="en-US"/>
        </w:rPr>
        <w:t>9</w:t>
      </w:r>
      <w:r w:rsidRPr="005C5E32">
        <w:rPr>
          <w:lang w:eastAsia="en-US"/>
        </w:rPr>
        <w:t>0</w:t>
      </w:r>
      <w:r w:rsidR="000451AF" w:rsidRPr="005C5E32">
        <w:rPr>
          <w:lang w:eastAsia="en-US"/>
        </w:rPr>
        <w:t xml:space="preserve"> percent</w:t>
      </w:r>
      <w:r w:rsidRPr="005C5E32">
        <w:rPr>
          <w:lang w:eastAsia="en-US"/>
        </w:rPr>
        <w:t xml:space="preserve"> of papers to </w:t>
      </w:r>
      <w:r w:rsidR="005B2BE9" w:rsidRPr="005C5E32">
        <w:rPr>
          <w:lang w:eastAsia="en-US"/>
        </w:rPr>
        <w:t>partially</w:t>
      </w:r>
      <w:r w:rsidR="00C4173D" w:rsidRPr="005C5E32">
        <w:rPr>
          <w:lang w:eastAsia="en-US"/>
        </w:rPr>
        <w:t xml:space="preserve"> or fully </w:t>
      </w:r>
      <w:r w:rsidR="00F6454E" w:rsidRPr="005C5E32">
        <w:rPr>
          <w:lang w:eastAsia="en-US"/>
        </w:rPr>
        <w:t>achieve</w:t>
      </w:r>
      <w:r w:rsidR="00C4173D" w:rsidRPr="005C5E32">
        <w:rPr>
          <w:lang w:eastAsia="en-US"/>
        </w:rPr>
        <w:t xml:space="preserve"> the criteria</w:t>
      </w:r>
      <w:r w:rsidR="000451AF" w:rsidRPr="005C5E32">
        <w:rPr>
          <w:lang w:eastAsia="en-US"/>
        </w:rPr>
        <w:t xml:space="preserve"> –</w:t>
      </w:r>
      <w:r w:rsidRPr="005C5E32">
        <w:rPr>
          <w:lang w:eastAsia="en-US"/>
        </w:rPr>
        <w:t xml:space="preserve"> as a </w:t>
      </w:r>
      <w:r w:rsidR="000451AF" w:rsidRPr="005C5E32">
        <w:rPr>
          <w:lang w:eastAsia="en-US"/>
        </w:rPr>
        <w:t xml:space="preserve">‘stretch’ </w:t>
      </w:r>
      <w:r w:rsidRPr="005C5E32">
        <w:rPr>
          <w:lang w:eastAsia="en-US"/>
        </w:rPr>
        <w:t xml:space="preserve">goal to drive excellence. </w:t>
      </w:r>
      <w:r w:rsidR="000451AF" w:rsidRPr="005C5E32">
        <w:rPr>
          <w:lang w:eastAsia="en-US"/>
        </w:rPr>
        <w:t xml:space="preserve">It set a </w:t>
      </w:r>
      <w:r w:rsidRPr="005C5E32">
        <w:rPr>
          <w:lang w:eastAsia="en-US"/>
        </w:rPr>
        <w:t xml:space="preserve">secondary target (for </w:t>
      </w:r>
      <w:r w:rsidR="00B50DB6" w:rsidRPr="005C5E32">
        <w:rPr>
          <w:lang w:eastAsia="en-US"/>
        </w:rPr>
        <w:t>7</w:t>
      </w:r>
      <w:r w:rsidRPr="005C5E32">
        <w:rPr>
          <w:lang w:eastAsia="en-US"/>
        </w:rPr>
        <w:t>0</w:t>
      </w:r>
      <w:r w:rsidR="000451AF" w:rsidRPr="005C5E32">
        <w:rPr>
          <w:lang w:eastAsia="en-US"/>
        </w:rPr>
        <w:t xml:space="preserve"> percent</w:t>
      </w:r>
      <w:r w:rsidRPr="005C5E32">
        <w:rPr>
          <w:lang w:eastAsia="en-US"/>
        </w:rPr>
        <w:t xml:space="preserve"> of papers to </w:t>
      </w:r>
      <w:r w:rsidR="00F6454E" w:rsidRPr="005C5E32">
        <w:rPr>
          <w:lang w:eastAsia="en-US"/>
        </w:rPr>
        <w:t xml:space="preserve">fully </w:t>
      </w:r>
      <w:r w:rsidRPr="005C5E32">
        <w:rPr>
          <w:lang w:eastAsia="en-US"/>
        </w:rPr>
        <w:t xml:space="preserve">achieve </w:t>
      </w:r>
      <w:r w:rsidR="00F6454E" w:rsidRPr="005C5E32">
        <w:rPr>
          <w:lang w:eastAsia="en-US"/>
        </w:rPr>
        <w:t>the criteria</w:t>
      </w:r>
      <w:r w:rsidRPr="005C5E32">
        <w:rPr>
          <w:lang w:eastAsia="en-US"/>
        </w:rPr>
        <w:t xml:space="preserve">) as a </w:t>
      </w:r>
      <w:r w:rsidR="000451AF" w:rsidRPr="005C5E32">
        <w:rPr>
          <w:lang w:eastAsia="en-US"/>
        </w:rPr>
        <w:t xml:space="preserve">‘minimum’ </w:t>
      </w:r>
      <w:r w:rsidRPr="005C5E32">
        <w:rPr>
          <w:lang w:eastAsia="en-US"/>
        </w:rPr>
        <w:t xml:space="preserve">quality standard </w:t>
      </w:r>
      <w:r w:rsidR="000451AF" w:rsidRPr="005C5E32">
        <w:rPr>
          <w:lang w:eastAsia="en-US"/>
        </w:rPr>
        <w:t xml:space="preserve">that </w:t>
      </w:r>
      <w:r w:rsidRPr="005C5E32">
        <w:rPr>
          <w:lang w:eastAsia="en-US"/>
        </w:rPr>
        <w:t xml:space="preserve">is in line with the primary targets of other agencies. </w:t>
      </w:r>
      <w:r w:rsidR="003B4270" w:rsidRPr="005C5E32">
        <w:rPr>
          <w:lang w:eastAsia="en-US"/>
        </w:rPr>
        <w:t>It assessed b</w:t>
      </w:r>
      <w:r w:rsidRPr="005C5E32">
        <w:rPr>
          <w:lang w:eastAsia="en-US"/>
        </w:rPr>
        <w:t>oth targets from the same selection of papers.</w:t>
      </w:r>
    </w:p>
    <w:p w14:paraId="191399D4" w14:textId="77777777" w:rsidR="001003F8" w:rsidRPr="005C5E32" w:rsidRDefault="001003F8" w:rsidP="00B14EFF">
      <w:pPr>
        <w:pStyle w:val="Heading4"/>
        <w:rPr>
          <w:lang w:eastAsia="en-US"/>
        </w:rPr>
      </w:pPr>
      <w:bookmarkStart w:id="184" w:name="_Note_4_–"/>
      <w:bookmarkEnd w:id="184"/>
      <w:r w:rsidRPr="005C5E32">
        <w:rPr>
          <w:lang w:eastAsia="en-US"/>
        </w:rPr>
        <w:t>Note 4 – Ministerial satisfaction surveys</w:t>
      </w:r>
    </w:p>
    <w:p w14:paraId="6A892353" w14:textId="1925AB59" w:rsidR="002870DF" w:rsidRPr="005C5E32" w:rsidRDefault="00F3525B">
      <w:pPr>
        <w:pStyle w:val="BodyText"/>
        <w:rPr>
          <w:lang w:eastAsia="en-US"/>
        </w:rPr>
      </w:pPr>
      <w:r w:rsidRPr="005C5E32">
        <w:t xml:space="preserve">This measure uses the common Ministerial Policy Satisfaction Survey to assess the satisfaction </w:t>
      </w:r>
      <w:r w:rsidRPr="005C5E32">
        <w:rPr>
          <w:spacing w:val="-2"/>
        </w:rPr>
        <w:t>of Ministers with the advice service. The survey questions are prepared by DPMC.</w:t>
      </w:r>
      <w:r w:rsidR="009E05E6" w:rsidRPr="005C5E32">
        <w:rPr>
          <w:spacing w:val="-2"/>
        </w:rPr>
        <w:t xml:space="preserve"> </w:t>
      </w:r>
      <w:r w:rsidR="00BA4B4B" w:rsidRPr="005C5E32">
        <w:rPr>
          <w:spacing w:val="-2"/>
        </w:rPr>
        <w:t>The reported</w:t>
      </w:r>
      <w:r w:rsidR="00BA4B4B" w:rsidRPr="005C5E32">
        <w:t xml:space="preserve"> result is based on responses from Ministers and Associate Ministers responsible for</w:t>
      </w:r>
      <w:r w:rsidR="00390544" w:rsidRPr="005C5E32">
        <w:t xml:space="preserve"> </w:t>
      </w:r>
      <w:r w:rsidR="009E05E6" w:rsidRPr="005C5E32">
        <w:t>portfolios administered by the Ministry for the Environment</w:t>
      </w:r>
      <w:r w:rsidRPr="005C5E32">
        <w:t>,</w:t>
      </w:r>
      <w:r w:rsidR="00BA4B4B" w:rsidRPr="005C5E32">
        <w:t xml:space="preserve"> invited to participate in the common Ministerial Satisfaction Survey.</w:t>
      </w:r>
    </w:p>
    <w:p w14:paraId="6740C079" w14:textId="7179EA84" w:rsidR="001003F8" w:rsidRPr="005C5E32" w:rsidRDefault="001003F8">
      <w:pPr>
        <w:pStyle w:val="BodyText"/>
        <w:rPr>
          <w:lang w:eastAsia="en-US"/>
        </w:rPr>
      </w:pPr>
      <w:r w:rsidRPr="005C5E32">
        <w:rPr>
          <w:lang w:eastAsia="en-US"/>
        </w:rPr>
        <w:t>The Ministry calculate</w:t>
      </w:r>
      <w:r w:rsidR="003B4270" w:rsidRPr="005C5E32">
        <w:rPr>
          <w:lang w:eastAsia="en-US"/>
        </w:rPr>
        <w:t>d</w:t>
      </w:r>
      <w:r w:rsidRPr="005C5E32">
        <w:rPr>
          <w:lang w:eastAsia="en-US"/>
        </w:rPr>
        <w:t xml:space="preserve"> the ministerial satisfaction score according to guidance</w:t>
      </w:r>
      <w:r w:rsidR="00422D48" w:rsidRPr="005C5E32">
        <w:rPr>
          <w:lang w:eastAsia="en-US"/>
        </w:rPr>
        <w:t xml:space="preserve"> available on</w:t>
      </w:r>
      <w:r w:rsidR="005B5D19" w:rsidRPr="005C5E32">
        <w:rPr>
          <w:lang w:eastAsia="en-US"/>
        </w:rPr>
        <w:t> </w:t>
      </w:r>
      <w:r w:rsidR="00422D48" w:rsidRPr="005C5E32">
        <w:rPr>
          <w:lang w:eastAsia="en-US"/>
        </w:rPr>
        <w:t xml:space="preserve">the DPMC’s webpage, </w:t>
      </w:r>
      <w:hyperlink r:id="rId82" w:history="1">
        <w:r w:rsidR="00422D48" w:rsidRPr="005C5E32">
          <w:rPr>
            <w:rStyle w:val="Hyperlink"/>
            <w:lang w:eastAsia="en-US"/>
          </w:rPr>
          <w:t>Guide to the Ministerial Policy Satisfaction Survey</w:t>
        </w:r>
      </w:hyperlink>
      <w:r w:rsidR="00422D48" w:rsidRPr="005C5E32">
        <w:rPr>
          <w:lang w:eastAsia="en-US"/>
        </w:rPr>
        <w:t xml:space="preserve">, which </w:t>
      </w:r>
      <w:r w:rsidR="003B4270" w:rsidRPr="005C5E32">
        <w:rPr>
          <w:lang w:eastAsia="en-US"/>
        </w:rPr>
        <w:t>all</w:t>
      </w:r>
      <w:r w:rsidRPr="005C5E32">
        <w:rPr>
          <w:lang w:eastAsia="en-US"/>
        </w:rPr>
        <w:t xml:space="preserve"> public service agencies</w:t>
      </w:r>
      <w:r w:rsidR="003B4270" w:rsidRPr="005C5E32">
        <w:rPr>
          <w:lang w:eastAsia="en-US"/>
        </w:rPr>
        <w:t xml:space="preserve"> use</w:t>
      </w:r>
      <w:r w:rsidRPr="005C5E32">
        <w:rPr>
          <w:lang w:eastAsia="en-US"/>
        </w:rPr>
        <w:t xml:space="preserve">. Satisfaction is measured on a scale from 1 </w:t>
      </w:r>
      <w:r w:rsidR="003B4270" w:rsidRPr="005C5E32">
        <w:rPr>
          <w:lang w:eastAsia="en-US"/>
        </w:rPr>
        <w:t xml:space="preserve">(meaning </w:t>
      </w:r>
      <w:r w:rsidR="002D470F" w:rsidRPr="005C5E32">
        <w:rPr>
          <w:lang w:eastAsia="en-US"/>
        </w:rPr>
        <w:t>‘</w:t>
      </w:r>
      <w:r w:rsidRPr="005C5E32">
        <w:rPr>
          <w:lang w:eastAsia="en-US"/>
        </w:rPr>
        <w:t>never met expectations</w:t>
      </w:r>
      <w:r w:rsidR="002D470F" w:rsidRPr="005C5E32">
        <w:rPr>
          <w:lang w:eastAsia="en-US"/>
        </w:rPr>
        <w:t>’</w:t>
      </w:r>
      <w:r w:rsidR="003B4270" w:rsidRPr="005C5E32">
        <w:rPr>
          <w:lang w:eastAsia="en-US"/>
        </w:rPr>
        <w:t>) to</w:t>
      </w:r>
      <w:r w:rsidRPr="005C5E32">
        <w:rPr>
          <w:lang w:eastAsia="en-US"/>
        </w:rPr>
        <w:t xml:space="preserve"> 5 </w:t>
      </w:r>
      <w:r w:rsidR="003B4270" w:rsidRPr="005C5E32">
        <w:rPr>
          <w:lang w:eastAsia="en-US"/>
        </w:rPr>
        <w:t xml:space="preserve">(meaning </w:t>
      </w:r>
      <w:r w:rsidR="002D470F" w:rsidRPr="005C5E32">
        <w:rPr>
          <w:lang w:eastAsia="en-US"/>
        </w:rPr>
        <w:t>‘</w:t>
      </w:r>
      <w:r w:rsidRPr="005C5E32">
        <w:rPr>
          <w:lang w:eastAsia="en-US"/>
        </w:rPr>
        <w:t>always exceeded expectations</w:t>
      </w:r>
      <w:r w:rsidR="002D470F" w:rsidRPr="005C5E32">
        <w:rPr>
          <w:lang w:eastAsia="en-US"/>
        </w:rPr>
        <w:t>’</w:t>
      </w:r>
      <w:r w:rsidR="003B4270" w:rsidRPr="005C5E32">
        <w:rPr>
          <w:lang w:eastAsia="en-US"/>
        </w:rPr>
        <w:t>)</w:t>
      </w:r>
      <w:r w:rsidRPr="005C5E32">
        <w:rPr>
          <w:lang w:eastAsia="en-US"/>
        </w:rPr>
        <w:t>.</w:t>
      </w:r>
    </w:p>
    <w:p w14:paraId="3A24CDA1" w14:textId="77777777" w:rsidR="001003F8" w:rsidRPr="005C5E32" w:rsidRDefault="001003F8" w:rsidP="00906E66">
      <w:pPr>
        <w:pStyle w:val="Heading4"/>
      </w:pPr>
      <w:bookmarkStart w:id="185" w:name="_Note_5_–"/>
      <w:bookmarkEnd w:id="185"/>
      <w:r w:rsidRPr="005C5E32">
        <w:rPr>
          <w:lang w:eastAsia="en-US"/>
        </w:rPr>
        <w:t xml:space="preserve">Note 5 – </w:t>
      </w:r>
      <w:r w:rsidRPr="005C5E32">
        <w:t>Environmental reports</w:t>
      </w:r>
    </w:p>
    <w:p w14:paraId="30F17401" w14:textId="17DFAC53" w:rsidR="001003F8" w:rsidRPr="005C5E32" w:rsidRDefault="001003F8" w:rsidP="006C0AD3">
      <w:pPr>
        <w:pStyle w:val="BodyText"/>
        <w:rPr>
          <w:lang w:eastAsia="en-US"/>
        </w:rPr>
      </w:pPr>
      <w:r w:rsidRPr="005C5E32">
        <w:rPr>
          <w:lang w:eastAsia="en-US"/>
        </w:rPr>
        <w:t xml:space="preserve">Environmental reports required under the </w:t>
      </w:r>
      <w:r w:rsidR="00B72B0D" w:rsidRPr="005C5E32">
        <w:t>Environmental Reporting Act 2015</w:t>
      </w:r>
      <w:r w:rsidRPr="005C5E32">
        <w:rPr>
          <w:lang w:eastAsia="en-US"/>
        </w:rPr>
        <w:t xml:space="preserve"> comprise periodic domain reports covering key environmental systems (air, atmosphere and climate, freshwater, land, and marine)</w:t>
      </w:r>
      <w:r w:rsidR="00B72B0D" w:rsidRPr="005C5E32">
        <w:rPr>
          <w:lang w:eastAsia="en-US"/>
        </w:rPr>
        <w:t>.</w:t>
      </w:r>
      <w:r w:rsidR="00D64965" w:rsidRPr="005C5E32">
        <w:rPr>
          <w:lang w:eastAsia="en-US"/>
        </w:rPr>
        <w:t xml:space="preserve"> </w:t>
      </w:r>
      <w:hyperlink r:id="rId83" w:anchor="DLM5941160" w:history="1">
        <w:r w:rsidR="00B72B0D" w:rsidRPr="005C5E32">
          <w:rPr>
            <w:rStyle w:val="Hyperlink"/>
            <w:lang w:eastAsia="en-US"/>
          </w:rPr>
          <w:t>Section 12</w:t>
        </w:r>
      </w:hyperlink>
      <w:r w:rsidR="00B72B0D" w:rsidRPr="005C5E32">
        <w:rPr>
          <w:lang w:eastAsia="en-US"/>
        </w:rPr>
        <w:t xml:space="preserve"> of the Act requires </w:t>
      </w:r>
      <w:r w:rsidR="000327AA" w:rsidRPr="005C5E32">
        <w:rPr>
          <w:lang w:eastAsia="en-US"/>
        </w:rPr>
        <w:t xml:space="preserve">a </w:t>
      </w:r>
      <w:r w:rsidR="00B72B0D" w:rsidRPr="005C5E32">
        <w:rPr>
          <w:lang w:eastAsia="en-US"/>
        </w:rPr>
        <w:t>domain report to be published every six months</w:t>
      </w:r>
      <w:r w:rsidR="00BE7ED8" w:rsidRPr="005C5E32">
        <w:rPr>
          <w:lang w:eastAsia="en-US"/>
        </w:rPr>
        <w:t xml:space="preserve">, </w:t>
      </w:r>
      <w:r w:rsidR="007E023C" w:rsidRPr="005C5E32">
        <w:rPr>
          <w:lang w:eastAsia="en-US"/>
        </w:rPr>
        <w:t xml:space="preserve">with the </w:t>
      </w:r>
      <w:r w:rsidRPr="005C5E32">
        <w:rPr>
          <w:lang w:eastAsia="en-US"/>
        </w:rPr>
        <w:t>result</w:t>
      </w:r>
      <w:r w:rsidR="007E023C" w:rsidRPr="005C5E32">
        <w:rPr>
          <w:lang w:eastAsia="en-US"/>
        </w:rPr>
        <w:t xml:space="preserve"> that</w:t>
      </w:r>
      <w:r w:rsidRPr="005C5E32">
        <w:rPr>
          <w:lang w:eastAsia="en-US"/>
        </w:rPr>
        <w:t xml:space="preserve"> each </w:t>
      </w:r>
      <w:r w:rsidRPr="005C5E32">
        <w:t>domain</w:t>
      </w:r>
      <w:r w:rsidRPr="005C5E32">
        <w:rPr>
          <w:lang w:eastAsia="en-US"/>
        </w:rPr>
        <w:t xml:space="preserve"> </w:t>
      </w:r>
      <w:r w:rsidR="007E023C" w:rsidRPr="005C5E32">
        <w:rPr>
          <w:lang w:eastAsia="en-US"/>
        </w:rPr>
        <w:t xml:space="preserve">is </w:t>
      </w:r>
      <w:r w:rsidRPr="005C5E32">
        <w:rPr>
          <w:lang w:eastAsia="en-US"/>
        </w:rPr>
        <w:t>reported on every three years</w:t>
      </w:r>
      <w:r w:rsidR="00BE7ED8" w:rsidRPr="005C5E32">
        <w:rPr>
          <w:lang w:eastAsia="en-US"/>
        </w:rPr>
        <w:t>. In addition,</w:t>
      </w:r>
      <w:r w:rsidR="00D64965" w:rsidRPr="005C5E32">
        <w:rPr>
          <w:lang w:eastAsia="en-US"/>
        </w:rPr>
        <w:t xml:space="preserve"> </w:t>
      </w:r>
      <w:r w:rsidRPr="005C5E32">
        <w:rPr>
          <w:lang w:eastAsia="en-US"/>
        </w:rPr>
        <w:t xml:space="preserve">a </w:t>
      </w:r>
      <w:r w:rsidR="00BE7ED8" w:rsidRPr="005C5E32">
        <w:rPr>
          <w:lang w:eastAsia="en-US"/>
        </w:rPr>
        <w:t xml:space="preserve">three-yearly </w:t>
      </w:r>
      <w:r w:rsidRPr="005C5E32">
        <w:rPr>
          <w:lang w:eastAsia="en-US"/>
        </w:rPr>
        <w:t>synthesis report provide</w:t>
      </w:r>
      <w:r w:rsidR="00BE7ED8" w:rsidRPr="005C5E32">
        <w:rPr>
          <w:lang w:eastAsia="en-US"/>
        </w:rPr>
        <w:t>s</w:t>
      </w:r>
      <w:r w:rsidRPr="005C5E32">
        <w:rPr>
          <w:lang w:eastAsia="en-US"/>
        </w:rPr>
        <w:t xml:space="preserve"> an integrated assessment of the state of New Zealand</w:t>
      </w:r>
      <w:r w:rsidR="000369F8" w:rsidRPr="005C5E32">
        <w:rPr>
          <w:lang w:eastAsia="en-US"/>
        </w:rPr>
        <w:t>’</w:t>
      </w:r>
      <w:r w:rsidRPr="005C5E32">
        <w:rPr>
          <w:lang w:eastAsia="en-US"/>
        </w:rPr>
        <w:t>s environment.</w:t>
      </w:r>
    </w:p>
    <w:p w14:paraId="39FC0E06" w14:textId="00C84CBC" w:rsidR="001003F8" w:rsidRPr="005C5E32" w:rsidRDefault="000327AA">
      <w:pPr>
        <w:pStyle w:val="BodyText"/>
        <w:rPr>
          <w:lang w:eastAsia="en-US"/>
        </w:rPr>
      </w:pPr>
      <w:r w:rsidRPr="005C5E32">
        <w:rPr>
          <w:lang w:eastAsia="en-US"/>
        </w:rPr>
        <w:t>For t</w:t>
      </w:r>
      <w:r w:rsidR="001003F8" w:rsidRPr="005C5E32">
        <w:rPr>
          <w:lang w:eastAsia="en-US"/>
        </w:rPr>
        <w:t xml:space="preserve">he </w:t>
      </w:r>
      <w:r w:rsidR="007E023C" w:rsidRPr="005C5E32">
        <w:rPr>
          <w:lang w:eastAsia="en-US"/>
        </w:rPr>
        <w:t xml:space="preserve">latest </w:t>
      </w:r>
      <w:r w:rsidR="001003F8" w:rsidRPr="005C5E32">
        <w:rPr>
          <w:lang w:eastAsia="en-US"/>
        </w:rPr>
        <w:t>reports</w:t>
      </w:r>
      <w:r w:rsidRPr="005C5E32">
        <w:rPr>
          <w:lang w:eastAsia="en-US"/>
        </w:rPr>
        <w:t>, see</w:t>
      </w:r>
      <w:r w:rsidR="001003F8" w:rsidRPr="005C5E32">
        <w:rPr>
          <w:lang w:eastAsia="en-US"/>
        </w:rPr>
        <w:t xml:space="preserve"> the Ministry</w:t>
      </w:r>
      <w:r w:rsidR="00782254" w:rsidRPr="005C5E32">
        <w:rPr>
          <w:lang w:eastAsia="en-US"/>
        </w:rPr>
        <w:t>’s</w:t>
      </w:r>
      <w:r w:rsidR="001003F8" w:rsidRPr="005C5E32">
        <w:rPr>
          <w:lang w:eastAsia="en-US"/>
        </w:rPr>
        <w:t xml:space="preserve"> </w:t>
      </w:r>
      <w:hyperlink r:id="rId84" w:history="1">
        <w:r w:rsidR="001003F8" w:rsidRPr="005C5E32">
          <w:rPr>
            <w:rStyle w:val="Hyperlink"/>
            <w:lang w:eastAsia="en-US"/>
          </w:rPr>
          <w:t>Environmental reporting</w:t>
        </w:r>
      </w:hyperlink>
      <w:r w:rsidR="00782254" w:rsidRPr="005C5E32">
        <w:t xml:space="preserve"> webpage</w:t>
      </w:r>
      <w:r w:rsidR="001003F8" w:rsidRPr="005C5E32">
        <w:rPr>
          <w:lang w:eastAsia="en-US"/>
        </w:rPr>
        <w:t>.</w:t>
      </w:r>
    </w:p>
    <w:p w14:paraId="15B2D6D9" w14:textId="77777777" w:rsidR="001003F8" w:rsidRPr="005C5E32" w:rsidRDefault="001003F8" w:rsidP="004A438F">
      <w:pPr>
        <w:pStyle w:val="Heading4"/>
      </w:pPr>
      <w:bookmarkStart w:id="186" w:name="_Note_6_–"/>
      <w:bookmarkEnd w:id="186"/>
      <w:r w:rsidRPr="005C5E32">
        <w:rPr>
          <w:lang w:eastAsia="en-US"/>
        </w:rPr>
        <w:t xml:space="preserve">Note 6 – </w:t>
      </w:r>
      <w:r w:rsidRPr="005C5E32">
        <w:t>Tyrewise Regulated Product Stewardship scheme</w:t>
      </w:r>
    </w:p>
    <w:p w14:paraId="08E8EE12" w14:textId="75DCDEC5" w:rsidR="001003F8" w:rsidRPr="005C5E32" w:rsidRDefault="001003F8">
      <w:pPr>
        <w:pStyle w:val="BodyText"/>
        <w:rPr>
          <w:lang w:eastAsia="en-US"/>
        </w:rPr>
      </w:pPr>
      <w:r w:rsidRPr="005C5E32">
        <w:rPr>
          <w:spacing w:val="-2"/>
        </w:rPr>
        <w:t>For the 2025/26 financial year, this measure captures data from 1 April 2025 to 31 March 2026</w:t>
      </w:r>
      <w:r w:rsidRPr="005C5E32">
        <w:t xml:space="preserve">. </w:t>
      </w:r>
      <w:r w:rsidRPr="005C5E32">
        <w:rPr>
          <w:lang w:eastAsia="en-US"/>
        </w:rPr>
        <w:t>For</w:t>
      </w:r>
      <w:r w:rsidR="00A41D3B" w:rsidRPr="005C5E32">
        <w:rPr>
          <w:lang w:eastAsia="en-US"/>
        </w:rPr>
        <w:t xml:space="preserve"> </w:t>
      </w:r>
      <w:r w:rsidRPr="005C5E32">
        <w:rPr>
          <w:lang w:eastAsia="en-US"/>
        </w:rPr>
        <w:t xml:space="preserve">the 2024/25 financial year, data </w:t>
      </w:r>
      <w:r w:rsidR="00782254" w:rsidRPr="005C5E32">
        <w:rPr>
          <w:lang w:eastAsia="en-US"/>
        </w:rPr>
        <w:t xml:space="preserve">were </w:t>
      </w:r>
      <w:r w:rsidRPr="005C5E32">
        <w:rPr>
          <w:lang w:eastAsia="en-US"/>
        </w:rPr>
        <w:t xml:space="preserve">captured from 1 September 2024 to 31 March 2025, </w:t>
      </w:r>
      <w:r w:rsidRPr="005C5E32">
        <w:rPr>
          <w:spacing w:val="-2"/>
          <w:lang w:eastAsia="en-US"/>
        </w:rPr>
        <w:t>as the scheme only became operational (</w:t>
      </w:r>
      <w:r w:rsidR="00782254" w:rsidRPr="005C5E32">
        <w:rPr>
          <w:spacing w:val="-2"/>
          <w:lang w:eastAsia="en-US"/>
        </w:rPr>
        <w:t>that is,</w:t>
      </w:r>
      <w:r w:rsidRPr="005C5E32">
        <w:rPr>
          <w:spacing w:val="-2"/>
          <w:lang w:eastAsia="en-US"/>
        </w:rPr>
        <w:t xml:space="preserve"> began collecting tyres) from 1</w:t>
      </w:r>
      <w:r w:rsidR="00D64965" w:rsidRPr="005C5E32">
        <w:rPr>
          <w:spacing w:val="-2"/>
          <w:lang w:eastAsia="en-US"/>
        </w:rPr>
        <w:t xml:space="preserve"> </w:t>
      </w:r>
      <w:r w:rsidRPr="005C5E32">
        <w:rPr>
          <w:spacing w:val="-2"/>
          <w:lang w:eastAsia="en-US"/>
        </w:rPr>
        <w:t>September 2024</w:t>
      </w:r>
      <w:r w:rsidRPr="005C5E32">
        <w:rPr>
          <w:lang w:eastAsia="en-US"/>
        </w:rPr>
        <w:t>.</w:t>
      </w:r>
    </w:p>
    <w:p w14:paraId="6B01D498" w14:textId="64DABB56" w:rsidR="001003F8" w:rsidRPr="005C5E32" w:rsidRDefault="001003F8" w:rsidP="00227203">
      <w:pPr>
        <w:pStyle w:val="BodyText"/>
        <w:spacing w:after="100"/>
        <w:rPr>
          <w:lang w:eastAsia="en-US"/>
        </w:rPr>
      </w:pPr>
      <w:r w:rsidRPr="005C5E32">
        <w:rPr>
          <w:lang w:eastAsia="en-US"/>
        </w:rPr>
        <w:lastRenderedPageBreak/>
        <w:t xml:space="preserve">Tyre tonnage </w:t>
      </w:r>
      <w:r w:rsidR="007D51D9" w:rsidRPr="005C5E32">
        <w:rPr>
          <w:lang w:eastAsia="en-US"/>
        </w:rPr>
        <w:t>information, which</w:t>
      </w:r>
      <w:r w:rsidR="000327AA" w:rsidRPr="005C5E32">
        <w:rPr>
          <w:lang w:eastAsia="en-US"/>
        </w:rPr>
        <w:t xml:space="preserve"> the Tyrewise scheme</w:t>
      </w:r>
      <w:r w:rsidRPr="005C5E32">
        <w:rPr>
          <w:lang w:eastAsia="en-US"/>
        </w:rPr>
        <w:t xml:space="preserve"> report</w:t>
      </w:r>
      <w:r w:rsidR="000327AA" w:rsidRPr="005C5E32">
        <w:rPr>
          <w:lang w:eastAsia="en-US"/>
        </w:rPr>
        <w:t>s</w:t>
      </w:r>
      <w:r w:rsidRPr="005C5E32">
        <w:rPr>
          <w:lang w:eastAsia="en-US"/>
        </w:rPr>
        <w:t xml:space="preserve"> to the Ministry quarterly</w:t>
      </w:r>
      <w:r w:rsidR="007D51D9" w:rsidRPr="005C5E32">
        <w:rPr>
          <w:lang w:eastAsia="en-US"/>
        </w:rPr>
        <w:t>,</w:t>
      </w:r>
      <w:r w:rsidR="00D64965" w:rsidRPr="005C5E32">
        <w:rPr>
          <w:lang w:eastAsia="en-US"/>
        </w:rPr>
        <w:t xml:space="preserve"> </w:t>
      </w:r>
      <w:r w:rsidRPr="005C5E32">
        <w:rPr>
          <w:lang w:eastAsia="en-US"/>
        </w:rPr>
        <w:t xml:space="preserve">comes from the Tyrewise app, which is used to log collections, transportations and processing. The data collected through the app go through various checks and confirmations. </w:t>
      </w:r>
    </w:p>
    <w:p w14:paraId="4045C3EE" w14:textId="7EF9A662" w:rsidR="001003F8" w:rsidRPr="005C5E32" w:rsidRDefault="001003F8" w:rsidP="00227203">
      <w:pPr>
        <w:pStyle w:val="BodyText"/>
        <w:spacing w:after="100"/>
        <w:rPr>
          <w:lang w:eastAsia="en-US"/>
        </w:rPr>
      </w:pPr>
      <w:r w:rsidRPr="005C5E32">
        <w:rPr>
          <w:lang w:eastAsia="en-US"/>
        </w:rPr>
        <w:t xml:space="preserve">This performance measure captures end-of-life tyres that are </w:t>
      </w:r>
      <w:r w:rsidR="000327AA" w:rsidRPr="005C5E32">
        <w:rPr>
          <w:lang w:eastAsia="en-US"/>
        </w:rPr>
        <w:t xml:space="preserve">both </w:t>
      </w:r>
      <w:r w:rsidRPr="005C5E32">
        <w:rPr>
          <w:lang w:eastAsia="en-US"/>
        </w:rPr>
        <w:t>collected and transported. The tyre tonnage collected and transported reflects the volume of tyres collected that are accepted by, and in scope of</w:t>
      </w:r>
      <w:r w:rsidR="007D51D9" w:rsidRPr="005C5E32">
        <w:rPr>
          <w:lang w:eastAsia="en-US"/>
        </w:rPr>
        <w:t>,</w:t>
      </w:r>
      <w:r w:rsidRPr="005C5E32">
        <w:rPr>
          <w:lang w:eastAsia="en-US"/>
        </w:rPr>
        <w:t xml:space="preserve"> the scheme. </w:t>
      </w:r>
      <w:r w:rsidR="000327AA" w:rsidRPr="005C5E32">
        <w:rPr>
          <w:lang w:eastAsia="en-US"/>
        </w:rPr>
        <w:t xml:space="preserve">If the focus was on </w:t>
      </w:r>
      <w:r w:rsidRPr="005C5E32">
        <w:rPr>
          <w:lang w:eastAsia="en-US"/>
        </w:rPr>
        <w:t>collection numbers only</w:t>
      </w:r>
      <w:r w:rsidR="000327AA" w:rsidRPr="005C5E32">
        <w:rPr>
          <w:lang w:eastAsia="en-US"/>
        </w:rPr>
        <w:t>, data could include</w:t>
      </w:r>
      <w:r w:rsidRPr="005C5E32">
        <w:rPr>
          <w:lang w:eastAsia="en-US"/>
        </w:rPr>
        <w:t xml:space="preserve"> tyres that </w:t>
      </w:r>
      <w:r w:rsidR="00D64CC3" w:rsidRPr="005C5E32">
        <w:rPr>
          <w:lang w:eastAsia="en-US"/>
        </w:rPr>
        <w:t xml:space="preserve">are not </w:t>
      </w:r>
      <w:r w:rsidRPr="005C5E32">
        <w:rPr>
          <w:lang w:eastAsia="en-US"/>
        </w:rPr>
        <w:t xml:space="preserve">in scope of the scheme or </w:t>
      </w:r>
      <w:r w:rsidR="000327AA" w:rsidRPr="005C5E32">
        <w:rPr>
          <w:lang w:eastAsia="en-US"/>
        </w:rPr>
        <w:t xml:space="preserve">that the scheme </w:t>
      </w:r>
      <w:r w:rsidRPr="005C5E32">
        <w:rPr>
          <w:lang w:eastAsia="en-US"/>
        </w:rPr>
        <w:t>reject</w:t>
      </w:r>
      <w:r w:rsidR="000327AA" w:rsidRPr="005C5E32">
        <w:rPr>
          <w:lang w:eastAsia="en-US"/>
        </w:rPr>
        <w:t>s</w:t>
      </w:r>
      <w:r w:rsidRPr="005C5E32">
        <w:rPr>
          <w:lang w:eastAsia="en-US"/>
        </w:rPr>
        <w:t>.</w:t>
      </w:r>
      <w:r w:rsidR="00D64965" w:rsidRPr="005C5E32">
        <w:rPr>
          <w:lang w:eastAsia="en-US"/>
        </w:rPr>
        <w:t xml:space="preserve"> </w:t>
      </w:r>
    </w:p>
    <w:p w14:paraId="4F7A4CEA" w14:textId="77777777" w:rsidR="001003F8" w:rsidRPr="005C5E32" w:rsidRDefault="001003F8" w:rsidP="00C60342">
      <w:pPr>
        <w:pStyle w:val="Heading4"/>
      </w:pPr>
      <w:bookmarkStart w:id="187" w:name="_Note_7_–"/>
      <w:bookmarkEnd w:id="187"/>
      <w:r w:rsidRPr="005C5E32">
        <w:rPr>
          <w:lang w:eastAsia="en-US"/>
        </w:rPr>
        <w:t xml:space="preserve">Note 7 – </w:t>
      </w:r>
      <w:r w:rsidRPr="005C5E32">
        <w:t>Auto Stewardship New Zealand milestones</w:t>
      </w:r>
    </w:p>
    <w:p w14:paraId="21E5837A" w14:textId="2683DA02" w:rsidR="001003F8" w:rsidRPr="005C5E32" w:rsidRDefault="001003F8" w:rsidP="00227203">
      <w:pPr>
        <w:pStyle w:val="BodyText"/>
        <w:spacing w:after="100"/>
        <w:rPr>
          <w:lang w:eastAsia="en-US"/>
        </w:rPr>
      </w:pPr>
      <w:r w:rsidRPr="005C5E32">
        <w:rPr>
          <w:lang w:eastAsia="en-US"/>
        </w:rPr>
        <w:t>The target for Auto Stewardship New Zealand to achieve 80</w:t>
      </w:r>
      <w:r w:rsidR="00D64CC3" w:rsidRPr="005C5E32">
        <w:rPr>
          <w:lang w:eastAsia="en-US"/>
        </w:rPr>
        <w:t xml:space="preserve"> percent</w:t>
      </w:r>
      <w:r w:rsidRPr="005C5E32" w:rsidDel="004C1073">
        <w:rPr>
          <w:lang w:eastAsia="en-US"/>
        </w:rPr>
        <w:t xml:space="preserve"> </w:t>
      </w:r>
      <w:r w:rsidRPr="005C5E32">
        <w:rPr>
          <w:lang w:eastAsia="en-US"/>
        </w:rPr>
        <w:t>of the milestones agreed</w:t>
      </w:r>
      <w:r w:rsidR="00A41D3B" w:rsidRPr="005C5E32">
        <w:rPr>
          <w:lang w:eastAsia="en-US"/>
        </w:rPr>
        <w:t> </w:t>
      </w:r>
      <w:r w:rsidRPr="005C5E32">
        <w:rPr>
          <w:lang w:eastAsia="en-US"/>
        </w:rPr>
        <w:t xml:space="preserve">with the Ministry for the Tyrewise </w:t>
      </w:r>
      <w:r w:rsidR="00D64CC3" w:rsidRPr="005C5E32">
        <w:rPr>
          <w:lang w:eastAsia="en-US"/>
        </w:rPr>
        <w:t>s</w:t>
      </w:r>
      <w:r w:rsidRPr="005C5E32">
        <w:rPr>
          <w:lang w:eastAsia="en-US"/>
        </w:rPr>
        <w:t>cheme reflect</w:t>
      </w:r>
      <w:r w:rsidR="00A46907" w:rsidRPr="005C5E32">
        <w:rPr>
          <w:lang w:eastAsia="en-US"/>
        </w:rPr>
        <w:t>ed</w:t>
      </w:r>
      <w:r w:rsidRPr="005C5E32">
        <w:rPr>
          <w:lang w:eastAsia="en-US"/>
        </w:rPr>
        <w:t xml:space="preserve"> the Ministry</w:t>
      </w:r>
      <w:r w:rsidR="000369F8" w:rsidRPr="005C5E32">
        <w:rPr>
          <w:lang w:eastAsia="en-US"/>
        </w:rPr>
        <w:t>’</w:t>
      </w:r>
      <w:r w:rsidRPr="005C5E32">
        <w:rPr>
          <w:lang w:eastAsia="en-US"/>
        </w:rPr>
        <w:t>s tolerance level for</w:t>
      </w:r>
      <w:r w:rsidR="00A41D3B" w:rsidRPr="005C5E32">
        <w:rPr>
          <w:lang w:eastAsia="en-US"/>
        </w:rPr>
        <w:t> </w:t>
      </w:r>
      <w:r w:rsidRPr="005C5E32">
        <w:rPr>
          <w:lang w:eastAsia="en-US"/>
        </w:rPr>
        <w:t xml:space="preserve">milestone delivery. </w:t>
      </w:r>
    </w:p>
    <w:p w14:paraId="7CF1AA52" w14:textId="4D71F05B" w:rsidR="001003F8" w:rsidRPr="005C5E32" w:rsidRDefault="001003F8" w:rsidP="00227203">
      <w:pPr>
        <w:pStyle w:val="BodyText"/>
        <w:spacing w:after="100"/>
        <w:rPr>
          <w:lang w:eastAsia="en-US"/>
        </w:rPr>
      </w:pPr>
      <w:r w:rsidRPr="005C5E32">
        <w:rPr>
          <w:lang w:eastAsia="en-US"/>
        </w:rPr>
        <w:t>This target acknowledges t</w:t>
      </w:r>
      <w:r w:rsidR="000327AA" w:rsidRPr="005C5E32">
        <w:rPr>
          <w:lang w:eastAsia="en-US"/>
        </w:rPr>
        <w:t>hat</w:t>
      </w:r>
      <w:r w:rsidR="00751708" w:rsidRPr="005C5E32">
        <w:rPr>
          <w:lang w:eastAsia="en-US"/>
        </w:rPr>
        <w:t xml:space="preserve"> the </w:t>
      </w:r>
      <w:r w:rsidRPr="005C5E32">
        <w:rPr>
          <w:lang w:eastAsia="en-US"/>
        </w:rPr>
        <w:t>scheme</w:t>
      </w:r>
      <w:r w:rsidR="000327AA" w:rsidRPr="005C5E32">
        <w:rPr>
          <w:lang w:eastAsia="en-US"/>
        </w:rPr>
        <w:t xml:space="preserve"> is in its early stages </w:t>
      </w:r>
      <w:r w:rsidR="00731BDA" w:rsidRPr="005C5E32">
        <w:rPr>
          <w:lang w:eastAsia="en-US"/>
        </w:rPr>
        <w:t>of</w:t>
      </w:r>
      <w:r w:rsidRPr="005C5E32">
        <w:rPr>
          <w:lang w:eastAsia="en-US"/>
        </w:rPr>
        <w:t xml:space="preserve"> implementation, its performance data</w:t>
      </w:r>
      <w:r w:rsidR="00731BDA" w:rsidRPr="005C5E32">
        <w:rPr>
          <w:lang w:eastAsia="en-US"/>
        </w:rPr>
        <w:t xml:space="preserve"> are evolving</w:t>
      </w:r>
      <w:r w:rsidRPr="005C5E32">
        <w:rPr>
          <w:lang w:eastAsia="en-US"/>
        </w:rPr>
        <w:t xml:space="preserve"> and market fluctuations</w:t>
      </w:r>
      <w:r w:rsidR="00731BDA" w:rsidRPr="005C5E32">
        <w:rPr>
          <w:lang w:eastAsia="en-US"/>
        </w:rPr>
        <w:t xml:space="preserve"> may occur</w:t>
      </w:r>
      <w:r w:rsidRPr="005C5E32">
        <w:rPr>
          <w:lang w:eastAsia="en-US"/>
        </w:rPr>
        <w:t xml:space="preserve">. It provides a realistic benchmark that supports flexibility while maintaining overall programme integrity. </w:t>
      </w:r>
      <w:r w:rsidR="00731BDA" w:rsidRPr="005C5E32">
        <w:rPr>
          <w:lang w:eastAsia="en-US"/>
        </w:rPr>
        <w:t>For m</w:t>
      </w:r>
      <w:r w:rsidRPr="005C5E32">
        <w:rPr>
          <w:lang w:eastAsia="en-US"/>
        </w:rPr>
        <w:t xml:space="preserve">ilestone reports </w:t>
      </w:r>
      <w:r w:rsidR="00731BDA" w:rsidRPr="005C5E32">
        <w:rPr>
          <w:lang w:eastAsia="en-US"/>
        </w:rPr>
        <w:t xml:space="preserve">on </w:t>
      </w:r>
      <w:r w:rsidRPr="005C5E32">
        <w:rPr>
          <w:lang w:eastAsia="en-US"/>
        </w:rPr>
        <w:t xml:space="preserve">the Tyrewise </w:t>
      </w:r>
      <w:r w:rsidR="00751708" w:rsidRPr="005C5E32">
        <w:rPr>
          <w:lang w:eastAsia="en-US"/>
        </w:rPr>
        <w:t>s</w:t>
      </w:r>
      <w:r w:rsidRPr="005C5E32">
        <w:rPr>
          <w:lang w:eastAsia="en-US"/>
        </w:rPr>
        <w:t>cheme</w:t>
      </w:r>
      <w:r w:rsidR="00731BDA" w:rsidRPr="005C5E32">
        <w:rPr>
          <w:lang w:eastAsia="en-US"/>
        </w:rPr>
        <w:t>, see</w:t>
      </w:r>
      <w:r w:rsidRPr="005C5E32">
        <w:rPr>
          <w:lang w:eastAsia="en-US"/>
        </w:rPr>
        <w:t xml:space="preserve"> the</w:t>
      </w:r>
      <w:r w:rsidR="00751708" w:rsidRPr="005C5E32">
        <w:rPr>
          <w:lang w:eastAsia="en-US"/>
        </w:rPr>
        <w:t xml:space="preserve"> Tyrewise </w:t>
      </w:r>
      <w:hyperlink r:id="rId85" w:history="1">
        <w:r w:rsidR="00751708" w:rsidRPr="005C5E32">
          <w:rPr>
            <w:rStyle w:val="Hyperlink"/>
            <w:lang w:eastAsia="en-US"/>
          </w:rPr>
          <w:t>Reports</w:t>
        </w:r>
      </w:hyperlink>
      <w:r w:rsidR="00751708" w:rsidRPr="005C5E32">
        <w:rPr>
          <w:lang w:eastAsia="en-US"/>
        </w:rPr>
        <w:t xml:space="preserve"> webpage.</w:t>
      </w:r>
    </w:p>
    <w:p w14:paraId="5AA8D267" w14:textId="052D351D" w:rsidR="001D7A33" w:rsidRPr="005C5E32" w:rsidRDefault="00F21812" w:rsidP="00227203">
      <w:pPr>
        <w:pStyle w:val="BodyText"/>
        <w:spacing w:after="100"/>
        <w:rPr>
          <w:lang w:eastAsia="en-US"/>
        </w:rPr>
      </w:pPr>
      <w:r w:rsidRPr="005C5E32">
        <w:rPr>
          <w:lang w:eastAsia="en-US"/>
        </w:rPr>
        <w:t xml:space="preserve">Rather than covering the Ministry’s 2025/26 financial year, </w:t>
      </w:r>
      <w:r w:rsidR="001D7A33" w:rsidRPr="005C5E32">
        <w:rPr>
          <w:lang w:eastAsia="en-US"/>
        </w:rPr>
        <w:t>this measure capture</w:t>
      </w:r>
      <w:r w:rsidR="004825FE" w:rsidRPr="005C5E32">
        <w:rPr>
          <w:lang w:eastAsia="en-US"/>
        </w:rPr>
        <w:t>d</w:t>
      </w:r>
      <w:r w:rsidR="001D7A33" w:rsidRPr="005C5E32">
        <w:rPr>
          <w:lang w:eastAsia="en-US"/>
        </w:rPr>
        <w:t xml:space="preserve"> milestone delivery for the period 1 April 2025 to 31 March 2026, consistent with the Tyrewise </w:t>
      </w:r>
      <w:r w:rsidR="00751708" w:rsidRPr="005C5E32">
        <w:rPr>
          <w:lang w:eastAsia="en-US"/>
        </w:rPr>
        <w:t>s</w:t>
      </w:r>
      <w:r w:rsidR="001D7A33" w:rsidRPr="005C5E32">
        <w:rPr>
          <w:lang w:eastAsia="en-US"/>
        </w:rPr>
        <w:t>cheme</w:t>
      </w:r>
      <w:r w:rsidR="00A46907" w:rsidRPr="005C5E32">
        <w:rPr>
          <w:lang w:eastAsia="en-US"/>
        </w:rPr>
        <w:t>’s</w:t>
      </w:r>
      <w:r w:rsidR="001D7A33" w:rsidRPr="005C5E32">
        <w:rPr>
          <w:lang w:eastAsia="en-US"/>
        </w:rPr>
        <w:t xml:space="preserve"> financial year. </w:t>
      </w:r>
      <w:r w:rsidR="00A46907" w:rsidRPr="005C5E32">
        <w:rPr>
          <w:lang w:eastAsia="en-US"/>
        </w:rPr>
        <w:t xml:space="preserve">By reporting </w:t>
      </w:r>
      <w:r w:rsidR="001D7A33" w:rsidRPr="005C5E32">
        <w:rPr>
          <w:lang w:eastAsia="en-US"/>
        </w:rPr>
        <w:t xml:space="preserve">on the </w:t>
      </w:r>
      <w:r w:rsidR="00751708" w:rsidRPr="005C5E32">
        <w:rPr>
          <w:lang w:eastAsia="en-US"/>
        </w:rPr>
        <w:t>s</w:t>
      </w:r>
      <w:r w:rsidR="001D7A33" w:rsidRPr="005C5E32">
        <w:rPr>
          <w:lang w:eastAsia="en-US"/>
        </w:rPr>
        <w:t>cheme</w:t>
      </w:r>
      <w:r w:rsidR="000369F8" w:rsidRPr="005C5E32">
        <w:rPr>
          <w:lang w:eastAsia="en-US"/>
        </w:rPr>
        <w:t>’</w:t>
      </w:r>
      <w:r w:rsidR="001D7A33" w:rsidRPr="005C5E32">
        <w:rPr>
          <w:lang w:eastAsia="en-US"/>
        </w:rPr>
        <w:t>s financial year</w:t>
      </w:r>
      <w:r w:rsidR="00A46907" w:rsidRPr="005C5E32">
        <w:rPr>
          <w:lang w:eastAsia="en-US"/>
        </w:rPr>
        <w:t>,</w:t>
      </w:r>
      <w:r w:rsidR="00751708" w:rsidRPr="005C5E32">
        <w:rPr>
          <w:lang w:eastAsia="en-US"/>
        </w:rPr>
        <w:t xml:space="preserve"> </w:t>
      </w:r>
      <w:r w:rsidR="001D7A33" w:rsidRPr="005C5E32">
        <w:rPr>
          <w:lang w:eastAsia="en-US"/>
        </w:rPr>
        <w:t xml:space="preserve">the Ministry </w:t>
      </w:r>
      <w:r w:rsidR="004825FE" w:rsidRPr="005C5E32">
        <w:rPr>
          <w:lang w:eastAsia="en-US"/>
        </w:rPr>
        <w:t xml:space="preserve">could </w:t>
      </w:r>
      <w:r w:rsidR="001D7A33" w:rsidRPr="005C5E32">
        <w:rPr>
          <w:lang w:eastAsia="en-US"/>
        </w:rPr>
        <w:t xml:space="preserve">assess and report a complete year of </w:t>
      </w:r>
      <w:r w:rsidR="00751708" w:rsidRPr="005C5E32">
        <w:rPr>
          <w:lang w:eastAsia="en-US"/>
        </w:rPr>
        <w:t>s</w:t>
      </w:r>
      <w:r w:rsidR="001D7A33" w:rsidRPr="005C5E32">
        <w:rPr>
          <w:lang w:eastAsia="en-US"/>
        </w:rPr>
        <w:t>cheme performance</w:t>
      </w:r>
      <w:r w:rsidR="00E66F5D" w:rsidRPr="005C5E32">
        <w:rPr>
          <w:lang w:eastAsia="en-US"/>
        </w:rPr>
        <w:t>,</w:t>
      </w:r>
      <w:r w:rsidR="001D7A33" w:rsidRPr="005C5E32">
        <w:rPr>
          <w:lang w:eastAsia="en-US"/>
        </w:rPr>
        <w:t xml:space="preserve"> align</w:t>
      </w:r>
      <w:r w:rsidR="00E45323" w:rsidRPr="005C5E32">
        <w:rPr>
          <w:lang w:eastAsia="en-US"/>
        </w:rPr>
        <w:t>ing</w:t>
      </w:r>
      <w:r w:rsidR="001D7A33" w:rsidRPr="005C5E32">
        <w:rPr>
          <w:lang w:eastAsia="en-US"/>
        </w:rPr>
        <w:t xml:space="preserve"> with the reporting period </w:t>
      </w:r>
      <w:r w:rsidR="00E66F5D" w:rsidRPr="005C5E32">
        <w:rPr>
          <w:lang w:eastAsia="en-US"/>
        </w:rPr>
        <w:t>in the s</w:t>
      </w:r>
      <w:r w:rsidR="001D7A33" w:rsidRPr="005C5E32">
        <w:rPr>
          <w:lang w:eastAsia="en-US"/>
        </w:rPr>
        <w:t>cheme</w:t>
      </w:r>
      <w:r w:rsidR="000369F8" w:rsidRPr="005C5E32">
        <w:rPr>
          <w:lang w:eastAsia="en-US"/>
        </w:rPr>
        <w:t>’</w:t>
      </w:r>
      <w:r w:rsidR="001D7A33" w:rsidRPr="005C5E32">
        <w:rPr>
          <w:lang w:eastAsia="en-US"/>
        </w:rPr>
        <w:t>s annual report. Th</w:t>
      </w:r>
      <w:r w:rsidR="00A46907" w:rsidRPr="005C5E32">
        <w:rPr>
          <w:lang w:eastAsia="en-US"/>
        </w:rPr>
        <w:t>e advantage of this</w:t>
      </w:r>
      <w:r w:rsidR="001D7A33" w:rsidRPr="005C5E32">
        <w:rPr>
          <w:lang w:eastAsia="en-US"/>
        </w:rPr>
        <w:t xml:space="preserve"> approach</w:t>
      </w:r>
      <w:r w:rsidR="00A46907" w:rsidRPr="005C5E32">
        <w:rPr>
          <w:lang w:eastAsia="en-US"/>
        </w:rPr>
        <w:t xml:space="preserve"> is that it</w:t>
      </w:r>
      <w:r w:rsidR="001D7A33" w:rsidRPr="005C5E32">
        <w:rPr>
          <w:lang w:eastAsia="en-US"/>
        </w:rPr>
        <w:t xml:space="preserve"> avoid</w:t>
      </w:r>
      <w:r w:rsidR="002B374C" w:rsidRPr="005C5E32">
        <w:rPr>
          <w:lang w:eastAsia="en-US"/>
        </w:rPr>
        <w:t>ed</w:t>
      </w:r>
      <w:r w:rsidR="001D7A33" w:rsidRPr="005C5E32">
        <w:rPr>
          <w:lang w:eastAsia="en-US"/>
        </w:rPr>
        <w:t xml:space="preserve"> combining performance results from two different reporting periods</w:t>
      </w:r>
      <w:r w:rsidR="00A46907" w:rsidRPr="005C5E32">
        <w:rPr>
          <w:lang w:eastAsia="en-US"/>
        </w:rPr>
        <w:t xml:space="preserve"> for the scheme</w:t>
      </w:r>
      <w:r w:rsidR="00E66F5D" w:rsidRPr="005C5E32">
        <w:rPr>
          <w:lang w:eastAsia="en-US"/>
        </w:rPr>
        <w:t>.</w:t>
      </w:r>
    </w:p>
    <w:p w14:paraId="5E20052C" w14:textId="584F5230" w:rsidR="001003F8" w:rsidRPr="005C5E32" w:rsidRDefault="001003F8" w:rsidP="00F70CB1">
      <w:pPr>
        <w:pStyle w:val="Heading4"/>
        <w:rPr>
          <w:lang w:eastAsia="en-US"/>
        </w:rPr>
      </w:pPr>
      <w:bookmarkStart w:id="188" w:name="_Note_8_–"/>
      <w:bookmarkEnd w:id="188"/>
      <w:r w:rsidRPr="005C5E32">
        <w:t>Note 8</w:t>
      </w:r>
      <w:r w:rsidRPr="005C5E32">
        <w:rPr>
          <w:lang w:eastAsia="en-US"/>
        </w:rPr>
        <w:t xml:space="preserve"> – </w:t>
      </w:r>
      <w:r w:rsidR="003D0FD3" w:rsidRPr="005C5E32">
        <w:rPr>
          <w:lang w:eastAsia="en-US"/>
        </w:rPr>
        <w:t xml:space="preserve">Projects funded by the </w:t>
      </w:r>
      <w:r w:rsidRPr="005C5E32">
        <w:rPr>
          <w:lang w:eastAsia="en-US"/>
        </w:rPr>
        <w:t xml:space="preserve">Waste </w:t>
      </w:r>
      <w:r w:rsidR="00804AE6" w:rsidRPr="005C5E32">
        <w:rPr>
          <w:lang w:eastAsia="en-US"/>
        </w:rPr>
        <w:t>D</w:t>
      </w:r>
      <w:r w:rsidRPr="005C5E32">
        <w:rPr>
          <w:lang w:eastAsia="en-US"/>
        </w:rPr>
        <w:t xml:space="preserve">isposal </w:t>
      </w:r>
      <w:r w:rsidR="00804AE6" w:rsidRPr="005C5E32">
        <w:rPr>
          <w:lang w:eastAsia="en-US"/>
        </w:rPr>
        <w:t>L</w:t>
      </w:r>
      <w:r w:rsidRPr="005C5E32">
        <w:rPr>
          <w:lang w:eastAsia="en-US"/>
        </w:rPr>
        <w:t xml:space="preserve">evy </w:t>
      </w:r>
    </w:p>
    <w:p w14:paraId="0D734CB8" w14:textId="76829589" w:rsidR="001003F8" w:rsidRPr="005C5E32" w:rsidRDefault="001003F8">
      <w:pPr>
        <w:pStyle w:val="BodyText"/>
      </w:pPr>
      <w:r w:rsidRPr="005C5E32">
        <w:t xml:space="preserve">This measure reflects the collective impact of a diverse set of projects funded under the </w:t>
      </w:r>
      <w:r w:rsidR="00E656FE" w:rsidRPr="005C5E32">
        <w:t>MCA</w:t>
      </w:r>
      <w:r w:rsidRPr="005C5E32">
        <w:t xml:space="preserve">, spanning multiple environmental domains including freshwater, waste and contaminated land. Each project is assessed against its own stated objectives, which vary by fund and initiative. See </w:t>
      </w:r>
      <w:hyperlink w:anchor="_Note_10_–" w:history="1">
        <w:r w:rsidRPr="005C5E32">
          <w:rPr>
            <w:rStyle w:val="Hyperlink"/>
          </w:rPr>
          <w:t xml:space="preserve">note </w:t>
        </w:r>
        <w:r w:rsidR="00345FD4" w:rsidRPr="005C5E32">
          <w:rPr>
            <w:rStyle w:val="Hyperlink"/>
          </w:rPr>
          <w:t>10</w:t>
        </w:r>
      </w:hyperlink>
      <w:r w:rsidRPr="005C5E32">
        <w:t xml:space="preserve"> for the waste investment assessment method and </w:t>
      </w:r>
      <w:hyperlink w:anchor="_Note_13_–" w:history="1">
        <w:r w:rsidRPr="005C5E32">
          <w:rPr>
            <w:rStyle w:val="Hyperlink"/>
          </w:rPr>
          <w:t xml:space="preserve">note </w:t>
        </w:r>
        <w:r w:rsidR="006C48A3" w:rsidRPr="005C5E32">
          <w:rPr>
            <w:rStyle w:val="Hyperlink"/>
          </w:rPr>
          <w:t>13</w:t>
        </w:r>
      </w:hyperlink>
      <w:r w:rsidRPr="005C5E32">
        <w:t xml:space="preserve"> for the environment investment assessment method.</w:t>
      </w:r>
    </w:p>
    <w:p w14:paraId="1B52D941" w14:textId="7511A7DB" w:rsidR="001003F8" w:rsidRPr="005C5E32" w:rsidRDefault="001003F8" w:rsidP="0077281E">
      <w:pPr>
        <w:pStyle w:val="Heading4"/>
        <w:rPr>
          <w:lang w:eastAsia="en-US"/>
        </w:rPr>
      </w:pPr>
      <w:bookmarkStart w:id="189" w:name="_Note_9_–"/>
      <w:bookmarkStart w:id="190" w:name="_Ref204601380"/>
      <w:bookmarkEnd w:id="189"/>
      <w:r w:rsidRPr="005C5E32">
        <w:t xml:space="preserve">Note 9 </w:t>
      </w:r>
      <w:r w:rsidRPr="005C5E32">
        <w:rPr>
          <w:lang w:eastAsia="en-US"/>
        </w:rPr>
        <w:t>– Implementation of the Waste and Resource Efficiency</w:t>
      </w:r>
      <w:r w:rsidR="00227203" w:rsidRPr="005C5E32">
        <w:rPr>
          <w:lang w:eastAsia="en-US"/>
        </w:rPr>
        <w:t> </w:t>
      </w:r>
      <w:r w:rsidRPr="005C5E32">
        <w:rPr>
          <w:lang w:eastAsia="en-US"/>
        </w:rPr>
        <w:t xml:space="preserve">Strategy </w:t>
      </w:r>
    </w:p>
    <w:p w14:paraId="5465651C" w14:textId="3FB42023" w:rsidR="001003F8" w:rsidRPr="005C5E32" w:rsidRDefault="002B374C">
      <w:pPr>
        <w:pStyle w:val="BodyText"/>
      </w:pPr>
      <w:r w:rsidRPr="005C5E32">
        <w:t>The Ministry</w:t>
      </w:r>
      <w:r w:rsidR="00DB3871" w:rsidRPr="005C5E32">
        <w:t xml:space="preserve"> assess</w:t>
      </w:r>
      <w:r w:rsidR="00A46907" w:rsidRPr="005C5E32">
        <w:t>ed</w:t>
      </w:r>
      <w:r w:rsidR="00DB3871" w:rsidRPr="005C5E32">
        <w:t xml:space="preserve"> p</w:t>
      </w:r>
      <w:r w:rsidR="001003F8" w:rsidRPr="005C5E32">
        <w:t xml:space="preserve">rogress against this measure by considering the status of key initiatives within the </w:t>
      </w:r>
      <w:hyperlink r:id="rId86" w:history="1">
        <w:r w:rsidR="00F751C5" w:rsidRPr="005C5E32">
          <w:rPr>
            <w:rStyle w:val="Hyperlink"/>
            <w:rFonts w:cs="Calibri"/>
          </w:rPr>
          <w:t>Waste and resource efficiency work programme 2024 to 2026</w:t>
        </w:r>
      </w:hyperlink>
      <w:r w:rsidR="001003F8" w:rsidRPr="005C5E32">
        <w:t xml:space="preserve">. </w:t>
      </w:r>
      <w:r w:rsidRPr="005C5E32">
        <w:t>We determined i</w:t>
      </w:r>
      <w:r w:rsidR="001003F8" w:rsidRPr="005C5E32">
        <w:t>nitiative status by assessing delivery against agreed milestones and timeframes, delivery of planned outputs or interim benefits, and any material delivery risks or constraints.</w:t>
      </w:r>
    </w:p>
    <w:p w14:paraId="50E4BC7C" w14:textId="34CC0D3E" w:rsidR="001003F8" w:rsidRPr="005C5E32" w:rsidRDefault="001003F8">
      <w:pPr>
        <w:pStyle w:val="BodyText"/>
      </w:pPr>
      <w:r w:rsidRPr="005C5E32">
        <w:t>The assessment also consider</w:t>
      </w:r>
      <w:r w:rsidR="002B374C" w:rsidRPr="005C5E32">
        <w:t>ed</w:t>
      </w:r>
      <w:r w:rsidRPr="005C5E32">
        <w:t xml:space="preserve"> significant dependencies that may affect delivery, including reliance on other agencies, legislative processes, external delivery partners, and specialist capability or capacity.</w:t>
      </w:r>
    </w:p>
    <w:p w14:paraId="721FCEAA" w14:textId="0E18E9BC" w:rsidR="001003F8" w:rsidRPr="005C5E32" w:rsidRDefault="001003F8" w:rsidP="0077281E">
      <w:pPr>
        <w:pStyle w:val="Heading4"/>
        <w:rPr>
          <w:lang w:eastAsia="en-US"/>
        </w:rPr>
      </w:pPr>
      <w:bookmarkStart w:id="191" w:name="_Note_10_–"/>
      <w:bookmarkEnd w:id="191"/>
      <w:r w:rsidRPr="005C5E32">
        <w:t>Note 10</w:t>
      </w:r>
      <w:r w:rsidRPr="005C5E32">
        <w:rPr>
          <w:lang w:eastAsia="en-US"/>
        </w:rPr>
        <w:t xml:space="preserve"> – Completion of Waste Minimisation Fund project objectives</w:t>
      </w:r>
    </w:p>
    <w:p w14:paraId="494845FF" w14:textId="49263AA2" w:rsidR="001003F8" w:rsidRPr="005C5E32" w:rsidRDefault="001003F8">
      <w:pPr>
        <w:pStyle w:val="BodyText"/>
      </w:pPr>
      <w:r w:rsidRPr="005C5E32">
        <w:t>All projects have objectives agreed and stated in their deed of funding.</w:t>
      </w:r>
      <w:r w:rsidR="00D64965" w:rsidRPr="005C5E32">
        <w:t xml:space="preserve"> </w:t>
      </w:r>
      <w:r w:rsidR="00E00C44" w:rsidRPr="005C5E32">
        <w:t>We measured p</w:t>
      </w:r>
      <w:r w:rsidRPr="005C5E32">
        <w:t>rogress towards objectives throughout the project using milestone reports</w:t>
      </w:r>
      <w:r w:rsidR="007C7EFD" w:rsidRPr="005C5E32">
        <w:t>,</w:t>
      </w:r>
      <w:r w:rsidRPr="005C5E32">
        <w:t xml:space="preserve"> and at project completion using recipient reporting via the Ministry</w:t>
      </w:r>
      <w:r w:rsidR="000369F8" w:rsidRPr="005C5E32">
        <w:t>’</w:t>
      </w:r>
      <w:r w:rsidRPr="005C5E32">
        <w:t xml:space="preserve">s Funds Management System. </w:t>
      </w:r>
      <w:r w:rsidR="002B374C" w:rsidRPr="005C5E32">
        <w:t>We counted o</w:t>
      </w:r>
      <w:r w:rsidRPr="005C5E32">
        <w:t xml:space="preserve">nly fully </w:t>
      </w:r>
      <w:r w:rsidRPr="005C5E32">
        <w:lastRenderedPageBreak/>
        <w:t>met objectives as achieved for the purpose of this measure</w:t>
      </w:r>
      <w:r w:rsidR="002B374C" w:rsidRPr="005C5E32">
        <w:t>, whereas o</w:t>
      </w:r>
      <w:r w:rsidRPr="005C5E32">
        <w:t xml:space="preserve">bjectives not met or partially met </w:t>
      </w:r>
      <w:r w:rsidR="002B374C" w:rsidRPr="005C5E32">
        <w:t xml:space="preserve">were </w:t>
      </w:r>
      <w:r w:rsidRPr="005C5E32">
        <w:t xml:space="preserve">considered </w:t>
      </w:r>
      <w:r w:rsidR="002B374C" w:rsidRPr="005C5E32">
        <w:t>to be</w:t>
      </w:r>
      <w:r w:rsidR="00E00C44" w:rsidRPr="005C5E32">
        <w:t xml:space="preserve"> not</w:t>
      </w:r>
      <w:r w:rsidR="002B374C" w:rsidRPr="005C5E32">
        <w:t xml:space="preserve"> </w:t>
      </w:r>
      <w:r w:rsidRPr="005C5E32">
        <w:t xml:space="preserve">achieved. If a recipient </w:t>
      </w:r>
      <w:r w:rsidR="002B374C" w:rsidRPr="005C5E32">
        <w:t xml:space="preserve">withdrew </w:t>
      </w:r>
      <w:r w:rsidRPr="005C5E32">
        <w:t>due to factors beyond the Ministry</w:t>
      </w:r>
      <w:r w:rsidR="000369F8" w:rsidRPr="005C5E32">
        <w:t>’</w:t>
      </w:r>
      <w:r w:rsidRPr="005C5E32">
        <w:t>s control,</w:t>
      </w:r>
      <w:r w:rsidR="002B374C" w:rsidRPr="005C5E32">
        <w:t xml:space="preserve"> we considered the</w:t>
      </w:r>
      <w:r w:rsidRPr="005C5E32">
        <w:t xml:space="preserve"> project</w:t>
      </w:r>
      <w:r w:rsidR="002B374C" w:rsidRPr="005C5E32">
        <w:t xml:space="preserve"> to be</w:t>
      </w:r>
      <w:r w:rsidRPr="005C5E32">
        <w:t xml:space="preserve"> partially completed, and </w:t>
      </w:r>
      <w:r w:rsidR="002B374C" w:rsidRPr="005C5E32">
        <w:t xml:space="preserve">counted </w:t>
      </w:r>
      <w:r w:rsidRPr="005C5E32">
        <w:t xml:space="preserve">only objectives that the Ministry contributed </w:t>
      </w:r>
      <w:r w:rsidR="002B374C" w:rsidRPr="005C5E32">
        <w:t xml:space="preserve">to </w:t>
      </w:r>
      <w:r w:rsidRPr="005C5E32">
        <w:t>financially.</w:t>
      </w:r>
      <w:bookmarkEnd w:id="190"/>
      <w:r w:rsidRPr="005C5E32">
        <w:t xml:space="preserve"> </w:t>
      </w:r>
    </w:p>
    <w:p w14:paraId="74B21363" w14:textId="77777777" w:rsidR="001003F8" w:rsidRPr="005C5E32" w:rsidRDefault="001003F8" w:rsidP="0077281E">
      <w:pPr>
        <w:pStyle w:val="Heading4"/>
      </w:pPr>
      <w:bookmarkStart w:id="192" w:name="_Note_11_–"/>
      <w:bookmarkEnd w:id="192"/>
      <w:r w:rsidRPr="005C5E32">
        <w:t>Note 11</w:t>
      </w:r>
      <w:r w:rsidRPr="005C5E32">
        <w:rPr>
          <w:lang w:eastAsia="en-US"/>
        </w:rPr>
        <w:t xml:space="preserve"> – Completion of Plastics Innovation Fund project objectives</w:t>
      </w:r>
    </w:p>
    <w:p w14:paraId="6E9EAF4E" w14:textId="22AA6C64" w:rsidR="001003F8" w:rsidRPr="005C5E32" w:rsidRDefault="00E00C44">
      <w:pPr>
        <w:pStyle w:val="BodyText"/>
      </w:pPr>
      <w:r w:rsidRPr="005C5E32">
        <w:t xml:space="preserve">Our approach to assessment </w:t>
      </w:r>
      <w:r w:rsidR="001003F8" w:rsidRPr="005C5E32">
        <w:t xml:space="preserve">of project objectives for the Plastics Innovation Fund </w:t>
      </w:r>
      <w:r w:rsidRPr="005C5E32">
        <w:t xml:space="preserve">was </w:t>
      </w:r>
      <w:r w:rsidR="001003F8" w:rsidRPr="005C5E32">
        <w:t xml:space="preserve">the same as </w:t>
      </w:r>
      <w:r w:rsidRPr="005C5E32">
        <w:t xml:space="preserve">our </w:t>
      </w:r>
      <w:r w:rsidR="001003F8" w:rsidRPr="005C5E32">
        <w:t xml:space="preserve">approach to the </w:t>
      </w:r>
      <w:r w:rsidR="00CD5FE9" w:rsidRPr="005C5E32">
        <w:t>WMF</w:t>
      </w:r>
      <w:r w:rsidR="001003F8" w:rsidRPr="005C5E32">
        <w:t xml:space="preserve"> (</w:t>
      </w:r>
      <w:r w:rsidR="002E6FC9" w:rsidRPr="005C5E32">
        <w:t>see</w:t>
      </w:r>
      <w:r w:rsidR="001003F8" w:rsidRPr="005C5E32">
        <w:t xml:space="preserve"> </w:t>
      </w:r>
      <w:hyperlink w:anchor="_Note_10_–" w:history="1">
        <w:r w:rsidR="001003F8" w:rsidRPr="005C5E32">
          <w:rPr>
            <w:rStyle w:val="Hyperlink"/>
          </w:rPr>
          <w:t>note 10</w:t>
        </w:r>
      </w:hyperlink>
      <w:r w:rsidR="001003F8" w:rsidRPr="005C5E32">
        <w:t xml:space="preserve">). </w:t>
      </w:r>
    </w:p>
    <w:p w14:paraId="394555DD" w14:textId="5363BD84" w:rsidR="009B5781" w:rsidRPr="005C5E32" w:rsidRDefault="001003F8" w:rsidP="0077281E">
      <w:pPr>
        <w:pStyle w:val="Heading4"/>
      </w:pPr>
      <w:bookmarkStart w:id="193" w:name="_Note_12_–"/>
      <w:bookmarkEnd w:id="193"/>
      <w:r w:rsidRPr="005C5E32">
        <w:t>Note 12</w:t>
      </w:r>
      <w:r w:rsidRPr="005C5E32">
        <w:rPr>
          <w:lang w:eastAsia="en-US"/>
        </w:rPr>
        <w:t xml:space="preserve"> – Completion of Contaminated Sites and Vulnerable Landfill</w:t>
      </w:r>
      <w:r w:rsidR="00227203" w:rsidRPr="005C5E32">
        <w:rPr>
          <w:lang w:eastAsia="en-US"/>
        </w:rPr>
        <w:t> </w:t>
      </w:r>
      <w:r w:rsidRPr="005C5E32">
        <w:rPr>
          <w:lang w:eastAsia="en-US"/>
        </w:rPr>
        <w:t>Fund project objectives</w:t>
      </w:r>
      <w:r w:rsidRPr="005C5E32">
        <w:t xml:space="preserve"> </w:t>
      </w:r>
    </w:p>
    <w:p w14:paraId="58B8245E" w14:textId="01753A30" w:rsidR="001003F8" w:rsidRPr="005C5E32" w:rsidRDefault="001003F8" w:rsidP="009B5781">
      <w:pPr>
        <w:pStyle w:val="BodyText"/>
      </w:pPr>
      <w:r w:rsidRPr="005C5E32">
        <w:t xml:space="preserve">Project objectives </w:t>
      </w:r>
      <w:r w:rsidR="002E6FC9" w:rsidRPr="005C5E32">
        <w:t xml:space="preserve">were </w:t>
      </w:r>
      <w:r w:rsidRPr="005C5E32">
        <w:t>set on a project-by-project basis and captured in the funding agreement with the funding recipient. During project delivery and at project completion, funding recipients provide</w:t>
      </w:r>
      <w:r w:rsidR="002E6FC9" w:rsidRPr="005C5E32">
        <w:t>d</w:t>
      </w:r>
      <w:r w:rsidRPr="005C5E32">
        <w:t xml:space="preserve"> relevant reporting for the Ministry to verify that</w:t>
      </w:r>
      <w:r w:rsidR="002E6FC9" w:rsidRPr="005C5E32">
        <w:t xml:space="preserve"> they met</w:t>
      </w:r>
      <w:r w:rsidRPr="005C5E32">
        <w:t xml:space="preserve"> project objectives. This include</w:t>
      </w:r>
      <w:r w:rsidR="002E6FC9" w:rsidRPr="005C5E32">
        <w:t>d</w:t>
      </w:r>
      <w:r w:rsidRPr="005C5E32">
        <w:t xml:space="preserve"> standard reporting prepared by suitably qualified and experienced practitioners in contaminated land, and in accordance with the Ministry</w:t>
      </w:r>
      <w:r w:rsidR="000369F8" w:rsidRPr="005C5E32">
        <w:t>’</w:t>
      </w:r>
      <w:r w:rsidRPr="005C5E32">
        <w:t xml:space="preserve">s </w:t>
      </w:r>
      <w:hyperlink r:id="rId87" w:history="1">
        <w:r w:rsidRPr="005C5E32">
          <w:rPr>
            <w:rStyle w:val="Hyperlink"/>
            <w:i/>
            <w:iCs/>
          </w:rPr>
          <w:t>Contaminated land management guidelines No 1</w:t>
        </w:r>
      </w:hyperlink>
      <w:r w:rsidRPr="005C5E32">
        <w:t xml:space="preserve"> and </w:t>
      </w:r>
      <w:hyperlink r:id="rId88" w:history="1">
        <w:r w:rsidRPr="005C5E32">
          <w:rPr>
            <w:rStyle w:val="Hyperlink"/>
            <w:i/>
            <w:iCs/>
          </w:rPr>
          <w:t>Contaminated land management guidelines No 5</w:t>
        </w:r>
      </w:hyperlink>
      <w:r w:rsidRPr="005C5E32">
        <w:t>. Project closure reports or letters formalise</w:t>
      </w:r>
      <w:r w:rsidR="002E6FC9" w:rsidRPr="005C5E32">
        <w:t>d</w:t>
      </w:r>
      <w:r w:rsidRPr="005C5E32">
        <w:t xml:space="preserve"> whether a project</w:t>
      </w:r>
      <w:r w:rsidR="000369F8" w:rsidRPr="005C5E32">
        <w:t>’</w:t>
      </w:r>
      <w:r w:rsidRPr="005C5E32">
        <w:t xml:space="preserve">s objectives </w:t>
      </w:r>
      <w:r w:rsidR="002E6FC9" w:rsidRPr="005C5E32">
        <w:t>were</w:t>
      </w:r>
      <w:r w:rsidRPr="005C5E32">
        <w:t xml:space="preserve"> achieved.</w:t>
      </w:r>
    </w:p>
    <w:p w14:paraId="2B580CAE" w14:textId="1463E754" w:rsidR="001003F8" w:rsidRPr="005C5E32" w:rsidRDefault="001003F8" w:rsidP="0077281E">
      <w:pPr>
        <w:pStyle w:val="Heading4"/>
      </w:pPr>
      <w:bookmarkStart w:id="194" w:name="_Note_13_–"/>
      <w:bookmarkEnd w:id="194"/>
      <w:r w:rsidRPr="005C5E32">
        <w:t xml:space="preserve">Note 13 – </w:t>
      </w:r>
      <w:r w:rsidR="009F1BB0" w:rsidRPr="005C5E32">
        <w:t>Tracking</w:t>
      </w:r>
      <w:r w:rsidRPr="005C5E32">
        <w:t xml:space="preserve"> of project objectives for multiple Freshwater Funds within the Environmental Investment Fund</w:t>
      </w:r>
    </w:p>
    <w:p w14:paraId="3B8C72D6" w14:textId="0AFCB25B" w:rsidR="001003F8" w:rsidRPr="005C5E32" w:rsidRDefault="001003F8">
      <w:pPr>
        <w:pStyle w:val="BodyText"/>
      </w:pPr>
      <w:r w:rsidRPr="005C5E32">
        <w:t>Projects are assessed regularly to determine whether they remain</w:t>
      </w:r>
      <w:r w:rsidR="002E6FC9" w:rsidRPr="005C5E32">
        <w:t>ed</w:t>
      </w:r>
      <w:r w:rsidRPr="005C5E32">
        <w:t xml:space="preserve"> on track to achieve their stated objectives. </w:t>
      </w:r>
      <w:r w:rsidR="002E6FC9" w:rsidRPr="005C5E32">
        <w:t>U</w:t>
      </w:r>
      <w:r w:rsidR="00F970D7" w:rsidRPr="005C5E32">
        <w:t>sing the Project Health framework</w:t>
      </w:r>
      <w:r w:rsidR="002E6FC9" w:rsidRPr="005C5E32">
        <w:t>,</w:t>
      </w:r>
      <w:r w:rsidR="00F970D7" w:rsidRPr="005C5E32">
        <w:t xml:space="preserve"> </w:t>
      </w:r>
      <w:r w:rsidR="002E6FC9" w:rsidRPr="005C5E32">
        <w:t>i</w:t>
      </w:r>
      <w:r w:rsidR="00F970D7" w:rsidRPr="005C5E32">
        <w:t xml:space="preserve">nvestment </w:t>
      </w:r>
      <w:r w:rsidR="00BF698A" w:rsidRPr="005C5E32">
        <w:t>m</w:t>
      </w:r>
      <w:r w:rsidR="00F970D7" w:rsidRPr="005C5E32">
        <w:t>anagers</w:t>
      </w:r>
      <w:r w:rsidRPr="005C5E32">
        <w:t xml:space="preserve"> interpret</w:t>
      </w:r>
      <w:r w:rsidR="002E6FC9" w:rsidRPr="005C5E32">
        <w:t>ed</w:t>
      </w:r>
      <w:r w:rsidRPr="005C5E32">
        <w:t xml:space="preserve"> regular project updates to assess whether </w:t>
      </w:r>
      <w:r w:rsidR="00BF698A" w:rsidRPr="005C5E32">
        <w:t xml:space="preserve">a project </w:t>
      </w:r>
      <w:r w:rsidR="002E6FC9" w:rsidRPr="005C5E32">
        <w:t>was</w:t>
      </w:r>
      <w:r w:rsidR="00BF698A" w:rsidRPr="005C5E32">
        <w:t xml:space="preserve"> likely to meet its </w:t>
      </w:r>
      <w:r w:rsidRPr="005C5E32">
        <w:t>objectives.</w:t>
      </w:r>
      <w:r w:rsidR="00F970D7" w:rsidRPr="005C5E32">
        <w:t xml:space="preserve"> </w:t>
      </w:r>
    </w:p>
    <w:p w14:paraId="7E48F087" w14:textId="4C6634EF" w:rsidR="00F970D7" w:rsidRPr="005C5E32" w:rsidRDefault="002E6FC9" w:rsidP="00F970D7">
      <w:pPr>
        <w:pStyle w:val="BodyText"/>
      </w:pPr>
      <w:r w:rsidRPr="005C5E32">
        <w:t>The Ministry’s Funds Management System captured a</w:t>
      </w:r>
      <w:r w:rsidR="00F970D7" w:rsidRPr="005C5E32">
        <w:t>ssessment data in a structured format. Analysts provide</w:t>
      </w:r>
      <w:r w:rsidRPr="005C5E32">
        <w:t>d</w:t>
      </w:r>
      <w:r w:rsidR="00F970D7" w:rsidRPr="005C5E32">
        <w:t xml:space="preserve"> commentary and context alongside each assessment. The</w:t>
      </w:r>
      <w:r w:rsidR="00BF698A" w:rsidRPr="005C5E32">
        <w:t xml:space="preserve"> Fund Manager</w:t>
      </w:r>
      <w:r w:rsidR="00F970D7" w:rsidRPr="005C5E32">
        <w:t xml:space="preserve"> review</w:t>
      </w:r>
      <w:r w:rsidRPr="005C5E32">
        <w:t>ed</w:t>
      </w:r>
      <w:r w:rsidR="00F970D7" w:rsidRPr="005C5E32">
        <w:t xml:space="preserve"> and endorse</w:t>
      </w:r>
      <w:r w:rsidRPr="005C5E32">
        <w:t>d</w:t>
      </w:r>
      <w:r w:rsidR="00F970D7" w:rsidRPr="005C5E32">
        <w:t xml:space="preserve"> the</w:t>
      </w:r>
      <w:r w:rsidR="00BF698A" w:rsidRPr="005C5E32">
        <w:t>se assessments</w:t>
      </w:r>
      <w:r w:rsidR="00F970D7" w:rsidRPr="005C5E32">
        <w:t xml:space="preserve"> before the</w:t>
      </w:r>
      <w:r w:rsidR="00BF698A" w:rsidRPr="005C5E32">
        <w:t xml:space="preserve"> General Manager sign</w:t>
      </w:r>
      <w:r w:rsidRPr="005C5E32">
        <w:t>ed</w:t>
      </w:r>
      <w:r w:rsidR="00BF698A" w:rsidRPr="005C5E32">
        <w:t xml:space="preserve"> off the</w:t>
      </w:r>
      <w:r w:rsidR="00F970D7" w:rsidRPr="005C5E32">
        <w:t xml:space="preserve"> results. </w:t>
      </w:r>
    </w:p>
    <w:p w14:paraId="23CED1ED" w14:textId="29DBDEB2" w:rsidR="001003F8" w:rsidRPr="005C5E32" w:rsidRDefault="001003F8">
      <w:pPr>
        <w:pStyle w:val="BodyText"/>
      </w:pPr>
      <w:r w:rsidRPr="005C5E32">
        <w:t xml:space="preserve">Where a project </w:t>
      </w:r>
      <w:r w:rsidR="002E6FC9" w:rsidRPr="005C5E32">
        <w:t xml:space="preserve">was </w:t>
      </w:r>
      <w:r w:rsidRPr="005C5E32">
        <w:t xml:space="preserve">not on track, mitigation actions </w:t>
      </w:r>
      <w:r w:rsidR="002E6FC9" w:rsidRPr="005C5E32">
        <w:t xml:space="preserve">were </w:t>
      </w:r>
      <w:r w:rsidRPr="005C5E32">
        <w:t>identified and implemented to support successful delivery.</w:t>
      </w:r>
    </w:p>
    <w:p w14:paraId="50582D44" w14:textId="6D063C71" w:rsidR="001003F8" w:rsidRPr="005C5E32" w:rsidRDefault="001003F8" w:rsidP="0077281E">
      <w:pPr>
        <w:pStyle w:val="Heading4"/>
      </w:pPr>
      <w:bookmarkStart w:id="195" w:name="_Note_14_–"/>
      <w:bookmarkEnd w:id="195"/>
      <w:r w:rsidRPr="005C5E32">
        <w:t>Note 14 – Progress reporting on the Government</w:t>
      </w:r>
      <w:r w:rsidR="000369F8" w:rsidRPr="005C5E32">
        <w:t>’</w:t>
      </w:r>
      <w:r w:rsidRPr="005C5E32">
        <w:t>s climate change</w:t>
      </w:r>
      <w:r w:rsidR="00227203" w:rsidRPr="005C5E32">
        <w:t> </w:t>
      </w:r>
      <w:r w:rsidRPr="005C5E32">
        <w:t>goals</w:t>
      </w:r>
    </w:p>
    <w:p w14:paraId="61CD5E12" w14:textId="3C4E70D6" w:rsidR="001003F8" w:rsidRPr="005C5E32" w:rsidRDefault="001003F8">
      <w:pPr>
        <w:pStyle w:val="BodyText"/>
      </w:pPr>
      <w:r w:rsidRPr="005C5E32">
        <w:t>For more information, see the DPMC</w:t>
      </w:r>
      <w:r w:rsidR="00771231" w:rsidRPr="005C5E32">
        <w:t>’s</w:t>
      </w:r>
      <w:r w:rsidRPr="005C5E32">
        <w:t xml:space="preserve"> </w:t>
      </w:r>
      <w:hyperlink r:id="rId89" w:history="1">
        <w:r w:rsidRPr="005C5E32">
          <w:rPr>
            <w:rStyle w:val="Hyperlink"/>
          </w:rPr>
          <w:t>Government Targets Quarterly Reports</w:t>
        </w:r>
      </w:hyperlink>
      <w:r w:rsidRPr="005C5E32">
        <w:t xml:space="preserve"> </w:t>
      </w:r>
      <w:r w:rsidR="000A27C4" w:rsidRPr="005C5E32">
        <w:t xml:space="preserve">webpage </w:t>
      </w:r>
      <w:r w:rsidRPr="005C5E32">
        <w:t xml:space="preserve">and </w:t>
      </w:r>
      <w:r w:rsidRPr="005C5E32">
        <w:rPr>
          <w:spacing w:val="-2"/>
        </w:rPr>
        <w:t xml:space="preserve">the </w:t>
      </w:r>
      <w:hyperlink r:id="rId90" w:history="1">
        <w:r w:rsidRPr="005C5E32">
          <w:rPr>
            <w:rStyle w:val="Hyperlink"/>
            <w:i/>
            <w:iCs/>
            <w:spacing w:val="-2"/>
          </w:rPr>
          <w:t xml:space="preserve">Climate Change Chief Executives Board </w:t>
        </w:r>
        <w:r w:rsidR="000A27C4" w:rsidRPr="005C5E32">
          <w:rPr>
            <w:rStyle w:val="Hyperlink"/>
            <w:i/>
            <w:iCs/>
            <w:spacing w:val="-2"/>
          </w:rPr>
          <w:t>S</w:t>
        </w:r>
        <w:r w:rsidRPr="005C5E32">
          <w:rPr>
            <w:rStyle w:val="Hyperlink"/>
            <w:i/>
            <w:iCs/>
            <w:spacing w:val="-2"/>
          </w:rPr>
          <w:t>tatement of intent 2023</w:t>
        </w:r>
        <w:r w:rsidR="000A27C4" w:rsidRPr="005C5E32">
          <w:rPr>
            <w:rStyle w:val="Hyperlink"/>
            <w:i/>
            <w:iCs/>
            <w:spacing w:val="-2"/>
          </w:rPr>
          <w:t>–</w:t>
        </w:r>
        <w:r w:rsidRPr="005C5E32">
          <w:rPr>
            <w:rStyle w:val="Hyperlink"/>
            <w:i/>
            <w:iCs/>
            <w:spacing w:val="-2"/>
          </w:rPr>
          <w:t>2027</w:t>
        </w:r>
      </w:hyperlink>
      <w:r w:rsidRPr="005C5E32">
        <w:rPr>
          <w:spacing w:val="-2"/>
        </w:rPr>
        <w:t>. This material outlines the regular progress reporting plan of the Government</w:t>
      </w:r>
      <w:r w:rsidR="000369F8" w:rsidRPr="005C5E32">
        <w:rPr>
          <w:spacing w:val="-2"/>
        </w:rPr>
        <w:t>’</w:t>
      </w:r>
      <w:r w:rsidRPr="005C5E32">
        <w:rPr>
          <w:spacing w:val="-2"/>
        </w:rPr>
        <w:t>s climate change work programme</w:t>
      </w:r>
      <w:r w:rsidRPr="005C5E32">
        <w:t>.</w:t>
      </w:r>
    </w:p>
    <w:p w14:paraId="249249E3" w14:textId="6BD330ED" w:rsidR="005A5D45" w:rsidRPr="005C5E32" w:rsidRDefault="005A5D45">
      <w:pPr>
        <w:spacing w:before="0" w:after="200" w:line="276" w:lineRule="auto"/>
        <w:jc w:val="left"/>
      </w:pPr>
      <w:r w:rsidRPr="005C5E32">
        <w:br w:type="page"/>
      </w:r>
    </w:p>
    <w:p w14:paraId="71628C97" w14:textId="764A9535" w:rsidR="003F11C1" w:rsidRPr="005C5E32" w:rsidRDefault="003F11C1" w:rsidP="004D35D9">
      <w:pPr>
        <w:pStyle w:val="Heading1"/>
        <w:rPr>
          <w:rStyle w:val="Heading1Char"/>
          <w:b/>
          <w:bCs/>
          <w:i/>
          <w:iCs/>
          <w:sz w:val="56"/>
          <w:szCs w:val="56"/>
        </w:rPr>
      </w:pPr>
      <w:bookmarkStart w:id="196" w:name="_3._Our_organisational_1"/>
      <w:bookmarkStart w:id="197" w:name="_Toc207017393"/>
      <w:bookmarkStart w:id="198" w:name="_Toc210136380"/>
      <w:bookmarkStart w:id="199" w:name="_Toc240445568"/>
      <w:bookmarkStart w:id="200" w:name="_Toc143698431"/>
      <w:bookmarkStart w:id="201" w:name="_Toc177626487"/>
      <w:bookmarkEnd w:id="196"/>
      <w:r w:rsidRPr="005C5E32">
        <w:rPr>
          <w:rStyle w:val="Heading1Char"/>
          <w:b/>
          <w:bCs/>
          <w:sz w:val="56"/>
          <w:szCs w:val="56"/>
        </w:rPr>
        <w:lastRenderedPageBreak/>
        <w:t>3.</w:t>
      </w:r>
      <w:r w:rsidRPr="005C5E32">
        <w:rPr>
          <w:rStyle w:val="Heading1Char"/>
          <w:b/>
          <w:bCs/>
          <w:sz w:val="56"/>
          <w:szCs w:val="56"/>
        </w:rPr>
        <w:tab/>
        <w:t>Our organisational health and capability</w:t>
      </w:r>
      <w:r w:rsidRPr="005C5E32">
        <w:rPr>
          <w:rStyle w:val="Heading1Char"/>
          <w:b/>
          <w:bCs/>
          <w:sz w:val="56"/>
          <w:szCs w:val="56"/>
        </w:rPr>
        <w:br/>
      </w:r>
      <w:bookmarkEnd w:id="197"/>
      <w:r w:rsidRPr="005C5E32">
        <w:rPr>
          <w:rStyle w:val="Heading1Char"/>
          <w:b/>
          <w:bCs/>
          <w:i/>
          <w:iCs/>
          <w:sz w:val="56"/>
          <w:szCs w:val="56"/>
        </w:rPr>
        <w:t>Te hauora me te kaha o</w:t>
      </w:r>
      <w:r w:rsidR="00F728E9">
        <w:rPr>
          <w:rStyle w:val="Heading1Char"/>
          <w:b/>
          <w:bCs/>
          <w:i/>
          <w:iCs/>
          <w:sz w:val="56"/>
          <w:szCs w:val="56"/>
        </w:rPr>
        <w:t> </w:t>
      </w:r>
      <w:r w:rsidRPr="005C5E32">
        <w:rPr>
          <w:rStyle w:val="Heading1Char"/>
          <w:b/>
          <w:bCs/>
          <w:i/>
          <w:iCs/>
          <w:sz w:val="56"/>
          <w:szCs w:val="56"/>
        </w:rPr>
        <w:t>tō</w:t>
      </w:r>
      <w:r w:rsidR="00F728E9">
        <w:rPr>
          <w:rStyle w:val="Heading1Char"/>
          <w:b/>
          <w:bCs/>
          <w:i/>
          <w:iCs/>
          <w:sz w:val="56"/>
          <w:szCs w:val="56"/>
        </w:rPr>
        <w:t> </w:t>
      </w:r>
      <w:r w:rsidRPr="005C5E32">
        <w:rPr>
          <w:rStyle w:val="Heading1Char"/>
          <w:b/>
          <w:bCs/>
          <w:i/>
          <w:iCs/>
          <w:sz w:val="56"/>
          <w:szCs w:val="56"/>
        </w:rPr>
        <w:t>mātou whakahaere</w:t>
      </w:r>
      <w:bookmarkEnd w:id="198"/>
      <w:bookmarkEnd w:id="199"/>
    </w:p>
    <w:p w14:paraId="6CB87783" w14:textId="32A76A52" w:rsidR="003F11C1" w:rsidRPr="005C5E32" w:rsidRDefault="003F11C1" w:rsidP="0034040A">
      <w:pPr>
        <w:pStyle w:val="Heading3"/>
        <w:spacing w:before="240" w:line="440" w:lineRule="atLeast"/>
        <w:rPr>
          <w:color w:val="1B556B" w:themeColor="text2"/>
          <w:sz w:val="32"/>
          <w:szCs w:val="26"/>
        </w:rPr>
      </w:pPr>
      <w:r w:rsidRPr="005C5E32">
        <w:rPr>
          <w:color w:val="1B556B" w:themeColor="text2"/>
          <w:sz w:val="32"/>
          <w:szCs w:val="26"/>
        </w:rPr>
        <w:t>Overview of the areas that enable</w:t>
      </w:r>
      <w:r w:rsidR="003C5C8D" w:rsidRPr="005C5E32">
        <w:rPr>
          <w:color w:val="1B556B" w:themeColor="text2"/>
          <w:sz w:val="32"/>
          <w:szCs w:val="26"/>
        </w:rPr>
        <w:t>d</w:t>
      </w:r>
      <w:r w:rsidRPr="005C5E32">
        <w:rPr>
          <w:color w:val="1B556B" w:themeColor="text2"/>
          <w:sz w:val="32"/>
          <w:szCs w:val="26"/>
        </w:rPr>
        <w:t xml:space="preserve"> us to deliver our work programme successfully</w:t>
      </w:r>
    </w:p>
    <w:p w14:paraId="7BCDC3C3" w14:textId="77777777" w:rsidR="003F11C1" w:rsidRPr="005C5E32" w:rsidRDefault="003F11C1" w:rsidP="004D35D9">
      <w:pPr>
        <w:pStyle w:val="BodyText"/>
      </w:pPr>
      <w:r w:rsidRPr="005C5E32">
        <w:br w:type="page"/>
      </w:r>
    </w:p>
    <w:p w14:paraId="59127FB9" w14:textId="0623A494" w:rsidR="003F11C1" w:rsidRPr="005C5E32" w:rsidRDefault="003F11C1" w:rsidP="003B4A7F">
      <w:pPr>
        <w:pStyle w:val="Heading2"/>
      </w:pPr>
      <w:bookmarkStart w:id="202" w:name="_Our_people"/>
      <w:bookmarkStart w:id="203" w:name="_Toc143698434"/>
      <w:bookmarkStart w:id="204" w:name="_Toc177626488"/>
      <w:bookmarkStart w:id="205" w:name="_Toc207017394"/>
      <w:bookmarkStart w:id="206" w:name="_Toc210136381"/>
      <w:bookmarkStart w:id="207" w:name="_Toc240445569"/>
      <w:bookmarkEnd w:id="200"/>
      <w:bookmarkEnd w:id="201"/>
      <w:bookmarkEnd w:id="202"/>
      <w:r w:rsidRPr="005C5E32">
        <w:lastRenderedPageBreak/>
        <w:t xml:space="preserve">Our </w:t>
      </w:r>
      <w:bookmarkEnd w:id="203"/>
      <w:bookmarkEnd w:id="204"/>
      <w:r w:rsidRPr="005C5E32">
        <w:t>workforce</w:t>
      </w:r>
      <w:bookmarkEnd w:id="205"/>
      <w:bookmarkEnd w:id="206"/>
      <w:bookmarkEnd w:id="207"/>
    </w:p>
    <w:p w14:paraId="35BAC99A" w14:textId="2BFCAFF8" w:rsidR="003F11C1" w:rsidRPr="005C5E32" w:rsidRDefault="007E5972">
      <w:pPr>
        <w:pStyle w:val="BodyText"/>
        <w:spacing w:before="100" w:after="100"/>
      </w:pPr>
      <w:r w:rsidRPr="005C5E32">
        <w:t xml:space="preserve">Our </w:t>
      </w:r>
      <w:r w:rsidR="003F11C1" w:rsidRPr="005C5E32">
        <w:t xml:space="preserve">workforce </w:t>
      </w:r>
      <w:r w:rsidRPr="005C5E32">
        <w:t xml:space="preserve">at the Ministry for the Environment (the Ministry) </w:t>
      </w:r>
      <w:r w:rsidR="003F11C1" w:rsidRPr="005C5E32">
        <w:t>played a central role in delivering on the Government</w:t>
      </w:r>
      <w:r w:rsidR="000369F8" w:rsidRPr="005C5E32">
        <w:t>’</w:t>
      </w:r>
      <w:r w:rsidR="003F11C1" w:rsidRPr="005C5E32">
        <w:t>s most significant environmental and economic priorities over</w:t>
      </w:r>
      <w:r w:rsidR="00227203" w:rsidRPr="005C5E32">
        <w:t> </w:t>
      </w:r>
      <w:r w:rsidR="003F11C1" w:rsidRPr="005C5E32">
        <w:t xml:space="preserve">the past year. We focused on advancing key strategic priorities, including resource management reform and climate mitigation and adaptation programmes. These areas are critical to supporting </w:t>
      </w:r>
      <w:r w:rsidR="00816372" w:rsidRPr="005C5E32">
        <w:t xml:space="preserve">Aotearoa </w:t>
      </w:r>
      <w:r w:rsidR="003F11C1" w:rsidRPr="005C5E32">
        <w:t>New Zealand</w:t>
      </w:r>
      <w:r w:rsidR="000369F8" w:rsidRPr="005C5E32">
        <w:t>’</w:t>
      </w:r>
      <w:r w:rsidR="003F11C1" w:rsidRPr="005C5E32">
        <w:t xml:space="preserve">s long-term growth, resilience and environmental stewardship, and </w:t>
      </w:r>
      <w:r w:rsidR="00240AAF" w:rsidRPr="005C5E32">
        <w:t xml:space="preserve">progressing them </w:t>
      </w:r>
      <w:r w:rsidR="003F11C1" w:rsidRPr="005C5E32">
        <w:t>required a high degree of connection, technical expertise and agility across our organisation.</w:t>
      </w:r>
    </w:p>
    <w:p w14:paraId="59D4FA47" w14:textId="0D5843AD" w:rsidR="003F11C1" w:rsidRPr="005C5E32" w:rsidRDefault="00240AAF">
      <w:pPr>
        <w:pStyle w:val="BodyText"/>
        <w:spacing w:before="100" w:after="100"/>
      </w:pPr>
      <w:r w:rsidRPr="005C5E32">
        <w:t>In 2025/26</w:t>
      </w:r>
      <w:r w:rsidR="009D4FA0" w:rsidRPr="005C5E32">
        <w:t>,</w:t>
      </w:r>
      <w:r w:rsidRPr="005C5E32">
        <w:t xml:space="preserve"> w</w:t>
      </w:r>
      <w:r w:rsidR="003F11C1" w:rsidRPr="005C5E32">
        <w:t>e continued to strengthen our capability to provide high-quality advice and deliver complex programmes at pace. Our people demonstrated professionalism, resilience and a strong commitment to public service, often working across organisational boundaries to</w:t>
      </w:r>
      <w:r w:rsidR="00227203" w:rsidRPr="005C5E32">
        <w:t> </w:t>
      </w:r>
      <w:r w:rsidR="003F11C1" w:rsidRPr="005C5E32">
        <w:t xml:space="preserve">achieve shared outcomes. Targeted investments in capability development supported our workforce to respond to emerging challenges, including </w:t>
      </w:r>
      <w:r w:rsidRPr="005C5E32">
        <w:t xml:space="preserve">by </w:t>
      </w:r>
      <w:r w:rsidR="003F11C1" w:rsidRPr="005C5E32">
        <w:t xml:space="preserve">building </w:t>
      </w:r>
      <w:r w:rsidRPr="005C5E32">
        <w:t xml:space="preserve">our </w:t>
      </w:r>
      <w:r w:rsidR="003F11C1" w:rsidRPr="005C5E32">
        <w:t>specialist expertise in policy, science and programme delivery.</w:t>
      </w:r>
    </w:p>
    <w:p w14:paraId="5A924DC2" w14:textId="2452CB3B" w:rsidR="003F11C1" w:rsidRPr="005C5E32" w:rsidRDefault="003F11C1">
      <w:pPr>
        <w:pStyle w:val="BodyText"/>
        <w:spacing w:before="100" w:after="100"/>
      </w:pPr>
      <w:r w:rsidRPr="005C5E32">
        <w:t xml:space="preserve">Maintaining a positive, respectful and inclusive workplace remained a priority. We supported our people through a period of significant change, with a focus on resilience, clear communication, and leadership. </w:t>
      </w:r>
    </w:p>
    <w:p w14:paraId="39BDEEC2" w14:textId="5811179E" w:rsidR="003F11C1" w:rsidRPr="005C5E32" w:rsidRDefault="003F11C1">
      <w:pPr>
        <w:pStyle w:val="BodyText"/>
        <w:spacing w:before="100" w:after="100"/>
      </w:pPr>
      <w:r w:rsidRPr="005C5E32">
        <w:rPr>
          <w:spacing w:val="-2"/>
        </w:rPr>
        <w:t xml:space="preserve">Over the year, we worked with our counterpart foundation agencies to prepare for our transition into a new, integrated agency, while </w:t>
      </w:r>
      <w:r w:rsidR="008E5159" w:rsidRPr="005C5E32">
        <w:rPr>
          <w:spacing w:val="-2"/>
        </w:rPr>
        <w:t xml:space="preserve">staying focused </w:t>
      </w:r>
      <w:r w:rsidRPr="005C5E32">
        <w:rPr>
          <w:spacing w:val="-2"/>
        </w:rPr>
        <w:t>on</w:t>
      </w:r>
      <w:r w:rsidRPr="005C5E32" w:rsidDel="00B17F65">
        <w:rPr>
          <w:spacing w:val="-2"/>
        </w:rPr>
        <w:t xml:space="preserve"> </w:t>
      </w:r>
      <w:r w:rsidRPr="005C5E32">
        <w:rPr>
          <w:spacing w:val="-2"/>
        </w:rPr>
        <w:t>continuity of service deliv</w:t>
      </w:r>
      <w:r w:rsidRPr="005C5E32">
        <w:t>ery.</w:t>
      </w:r>
    </w:p>
    <w:p w14:paraId="467D55CD" w14:textId="55D5AF1D" w:rsidR="003F11C1" w:rsidRPr="005C5E32" w:rsidRDefault="009D4FA0">
      <w:pPr>
        <w:pStyle w:val="BodyText"/>
        <w:spacing w:before="100" w:after="100"/>
      </w:pPr>
      <w:r w:rsidRPr="005C5E32">
        <w:t>As a result, we finished the year</w:t>
      </w:r>
      <w:r w:rsidR="003F11C1" w:rsidRPr="005C5E32">
        <w:t xml:space="preserve"> well positioned to integrate effectively into the new Ministry for Cities, Environment, Regions and Transport</w:t>
      </w:r>
      <w:r w:rsidR="002D3222" w:rsidRPr="005C5E32">
        <w:t xml:space="preserve"> (MCERT)</w:t>
      </w:r>
      <w:r w:rsidR="003F11C1" w:rsidRPr="005C5E32">
        <w:t xml:space="preserve"> with a workforce that is adaptable </w:t>
      </w:r>
      <w:r w:rsidR="00EF0193" w:rsidRPr="005C5E32">
        <w:t>and</w:t>
      </w:r>
      <w:r w:rsidR="00227203" w:rsidRPr="005C5E32">
        <w:t> </w:t>
      </w:r>
      <w:r w:rsidR="003F11C1" w:rsidRPr="005C5E32">
        <w:t xml:space="preserve">capable. </w:t>
      </w:r>
    </w:p>
    <w:p w14:paraId="515184B2" w14:textId="77777777" w:rsidR="003F11C1" w:rsidRPr="005C5E32" w:rsidRDefault="003F11C1" w:rsidP="003B4A7F">
      <w:pPr>
        <w:pStyle w:val="Heading3"/>
      </w:pPr>
      <w:r w:rsidRPr="005C5E32">
        <w:t>Our people</w:t>
      </w:r>
    </w:p>
    <w:p w14:paraId="3F5C77BB" w14:textId="606D5F90" w:rsidR="003F11C1" w:rsidRPr="005C5E32" w:rsidRDefault="003F11C1" w:rsidP="003B4A7F">
      <w:pPr>
        <w:pStyle w:val="BodyText"/>
        <w:spacing w:before="100" w:after="100"/>
      </w:pPr>
      <w:r w:rsidRPr="005C5E32">
        <w:t>As</w:t>
      </w:r>
      <w:r w:rsidR="00D64965" w:rsidRPr="005C5E32">
        <w:t xml:space="preserve"> </w:t>
      </w:r>
      <w:r w:rsidR="00C007A5" w:rsidRPr="005C5E32">
        <w:rPr>
          <w:color w:val="32809C"/>
        </w:rPr>
        <w:fldChar w:fldCharType="begin"/>
      </w:r>
      <w:r w:rsidR="00C007A5" w:rsidRPr="005C5E32">
        <w:rPr>
          <w:color w:val="32809C"/>
        </w:rPr>
        <w:instrText xml:space="preserve"> REF _Ref238702029 \h \*Lower </w:instrText>
      </w:r>
      <w:r w:rsidR="00383BEA" w:rsidRPr="005C5E32">
        <w:rPr>
          <w:color w:val="32809C"/>
        </w:rPr>
        <w:instrText xml:space="preserve"> \* MERGEFORMAT </w:instrText>
      </w:r>
      <w:r w:rsidR="00C007A5" w:rsidRPr="005C5E32">
        <w:rPr>
          <w:color w:val="32809C"/>
        </w:rPr>
      </w:r>
      <w:r w:rsidR="00C007A5" w:rsidRPr="005C5E32">
        <w:rPr>
          <w:color w:val="32809C"/>
        </w:rPr>
        <w:fldChar w:fldCharType="separate"/>
      </w:r>
      <w:r w:rsidR="00D8311D" w:rsidRPr="00D8311D">
        <w:rPr>
          <w:color w:val="32809C"/>
        </w:rPr>
        <w:t>figure 3</w:t>
      </w:r>
      <w:r w:rsidR="00C007A5" w:rsidRPr="005C5E32">
        <w:rPr>
          <w:color w:val="32809C"/>
        </w:rPr>
        <w:fldChar w:fldCharType="end"/>
      </w:r>
      <w:r w:rsidR="00C007A5" w:rsidRPr="005C5E32">
        <w:t xml:space="preserve"> </w:t>
      </w:r>
      <w:r w:rsidRPr="005C5E32">
        <w:t xml:space="preserve">shows, our people </w:t>
      </w:r>
      <w:r w:rsidR="00240AAF" w:rsidRPr="005C5E32">
        <w:t xml:space="preserve">were </w:t>
      </w:r>
      <w:r w:rsidRPr="005C5E32">
        <w:t>dispersed across the motu, including in offices in Wellington, Auckland and Christchurch, and many work</w:t>
      </w:r>
      <w:r w:rsidR="009D4FA0" w:rsidRPr="005C5E32">
        <w:t>ed</w:t>
      </w:r>
      <w:r w:rsidRPr="005C5E32">
        <w:t xml:space="preserve"> remotely as well. For more staff</w:t>
      </w:r>
      <w:r w:rsidR="00227203" w:rsidRPr="005C5E32">
        <w:t> </w:t>
      </w:r>
      <w:r w:rsidRPr="005C5E32">
        <w:t xml:space="preserve">demographic information, </w:t>
      </w:r>
      <w:r w:rsidR="006654D5" w:rsidRPr="005C5E32">
        <w:t xml:space="preserve">see </w:t>
      </w:r>
      <w:r w:rsidR="006654D5" w:rsidRPr="005C5E32">
        <w:fldChar w:fldCharType="begin"/>
      </w:r>
      <w:r w:rsidR="006654D5" w:rsidRPr="005C5E32">
        <w:instrText xml:space="preserve"> </w:instrText>
      </w:r>
      <w:r w:rsidR="006654D5" w:rsidRPr="005C5E32">
        <w:rPr>
          <w:color w:val="32809C"/>
        </w:rPr>
        <w:instrText>REF</w:instrText>
      </w:r>
      <w:r w:rsidR="006654D5" w:rsidRPr="005C5E32">
        <w:instrText xml:space="preserve"> table2 \h </w:instrText>
      </w:r>
      <w:r w:rsidR="00B53FBE" w:rsidRPr="005C5E32">
        <w:instrText xml:space="preserve">\* lower \* CHARFORMAT </w:instrText>
      </w:r>
      <w:r w:rsidR="00AD5209" w:rsidRPr="005C5E32">
        <w:instrText xml:space="preserve"> \* MERGEFORMAT </w:instrText>
      </w:r>
      <w:r w:rsidR="006654D5" w:rsidRPr="005C5E32">
        <w:fldChar w:fldCharType="separate"/>
      </w:r>
      <w:r w:rsidR="00D8311D" w:rsidRPr="00D8311D">
        <w:rPr>
          <w:color w:val="32809C"/>
        </w:rPr>
        <w:t>table 4</w:t>
      </w:r>
      <w:r w:rsidR="006654D5" w:rsidRPr="005C5E32">
        <w:fldChar w:fldCharType="end"/>
      </w:r>
      <w:r w:rsidR="006654D5" w:rsidRPr="005C5E32">
        <w:t xml:space="preserve"> t</w:t>
      </w:r>
      <w:r w:rsidR="005E0FED" w:rsidRPr="005C5E32">
        <w:t xml:space="preserve">hrough </w:t>
      </w:r>
      <w:r w:rsidR="00C70D17" w:rsidRPr="005C5E32">
        <w:fldChar w:fldCharType="begin"/>
      </w:r>
      <w:r w:rsidR="00C70D17" w:rsidRPr="005C5E32">
        <w:instrText xml:space="preserve"> </w:instrText>
      </w:r>
      <w:r w:rsidR="00C70D17" w:rsidRPr="005C5E32">
        <w:rPr>
          <w:color w:val="32809C"/>
        </w:rPr>
        <w:instrText xml:space="preserve">REF </w:instrText>
      </w:r>
      <w:r w:rsidR="00C70D17" w:rsidRPr="005C5E32">
        <w:instrText xml:space="preserve">_Ref237529033 \h </w:instrText>
      </w:r>
      <w:r w:rsidR="009860EE" w:rsidRPr="005C5E32">
        <w:instrText xml:space="preserve">\* lower \* CHARFORMAT </w:instrText>
      </w:r>
      <w:r w:rsidR="00AD5209" w:rsidRPr="005C5E32">
        <w:instrText xml:space="preserve"> \* MERGEFORMAT </w:instrText>
      </w:r>
      <w:r w:rsidR="00C70D17" w:rsidRPr="005C5E32">
        <w:fldChar w:fldCharType="separate"/>
      </w:r>
      <w:r w:rsidR="00D8311D" w:rsidRPr="00D8311D">
        <w:rPr>
          <w:color w:val="32809C"/>
        </w:rPr>
        <w:t>table 9</w:t>
      </w:r>
      <w:r w:rsidR="00C70D17" w:rsidRPr="005C5E32">
        <w:fldChar w:fldCharType="end"/>
      </w:r>
      <w:r w:rsidRPr="005C5E32">
        <w:t>.</w:t>
      </w:r>
    </w:p>
    <w:p w14:paraId="17F14108" w14:textId="36420725" w:rsidR="003F11C1" w:rsidRPr="005C5E32" w:rsidRDefault="003F11C1" w:rsidP="00C007A5">
      <w:pPr>
        <w:pStyle w:val="Figureheading"/>
      </w:pPr>
      <w:bookmarkStart w:id="208" w:name="_Ref238702029"/>
      <w:bookmarkStart w:id="209" w:name="figure3"/>
      <w:bookmarkStart w:id="210" w:name="_Ref173148558"/>
      <w:bookmarkStart w:id="211" w:name="_Ref206663087"/>
      <w:bookmarkStart w:id="212" w:name="_Toc209456223"/>
      <w:r w:rsidRPr="005C5E32">
        <w:lastRenderedPageBreak/>
        <w:t>Figure</w:t>
      </w:r>
      <w:r w:rsidR="00C007A5" w:rsidRPr="005C5E32">
        <w:t xml:space="preserve"> </w:t>
      </w:r>
      <w:fldSimple w:instr=" SEQ Figure \* ARABIC ">
        <w:r w:rsidR="00D8311D">
          <w:rPr>
            <w:noProof/>
          </w:rPr>
          <w:t>3</w:t>
        </w:r>
      </w:fldSimple>
      <w:bookmarkEnd w:id="208"/>
      <w:bookmarkEnd w:id="209"/>
      <w:bookmarkEnd w:id="210"/>
      <w:r w:rsidRPr="005C5E32">
        <w:t xml:space="preserve">: </w:t>
      </w:r>
      <w:r w:rsidRPr="005C5E32">
        <w:tab/>
        <w:t>Location of staff</w:t>
      </w:r>
      <w:bookmarkEnd w:id="211"/>
      <w:bookmarkEnd w:id="212"/>
      <w:r w:rsidR="00240AAF" w:rsidRPr="005C5E32">
        <w:t xml:space="preserve"> as at 30 June 2026</w:t>
      </w:r>
    </w:p>
    <w:p w14:paraId="14356B27" w14:textId="700AD069" w:rsidR="0093222A" w:rsidRPr="005C5E32" w:rsidRDefault="001750AD" w:rsidP="0093222A">
      <w:pPr>
        <w:pStyle w:val="BodyText"/>
      </w:pPr>
      <w:r w:rsidRPr="005C5E32">
        <w:rPr>
          <w:noProof/>
        </w:rPr>
        <w:drawing>
          <wp:inline distT="0" distB="0" distL="0" distR="0" wp14:anchorId="60FCDFDB" wp14:editId="363E8055">
            <wp:extent cx="5400675" cy="6792595"/>
            <wp:effectExtent l="0" t="0" r="9525" b="8255"/>
            <wp:docPr id="214699176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991760" name="Picture 2146991760"/>
                    <pic:cNvPicPr/>
                  </pic:nvPicPr>
                  <pic:blipFill>
                    <a:blip r:embed="rId91"/>
                    <a:stretch>
                      <a:fillRect/>
                    </a:stretch>
                  </pic:blipFill>
                  <pic:spPr>
                    <a:xfrm>
                      <a:off x="0" y="0"/>
                      <a:ext cx="5400675" cy="6792595"/>
                    </a:xfrm>
                    <a:prstGeom prst="rect">
                      <a:avLst/>
                    </a:prstGeom>
                  </pic:spPr>
                </pic:pic>
              </a:graphicData>
            </a:graphic>
          </wp:inline>
        </w:drawing>
      </w:r>
    </w:p>
    <w:p w14:paraId="68F709C9" w14:textId="77777777" w:rsidR="003F11C1" w:rsidRPr="005C5E32" w:rsidRDefault="003F11C1" w:rsidP="00227203">
      <w:pPr>
        <w:pStyle w:val="BodyText"/>
        <w:rPr>
          <w:highlight w:val="yellow"/>
        </w:rPr>
      </w:pPr>
    </w:p>
    <w:p w14:paraId="683F6292" w14:textId="77777777" w:rsidR="003F11C1" w:rsidRPr="005C5E32" w:rsidRDefault="003F11C1">
      <w:pPr>
        <w:spacing w:before="0" w:after="200" w:line="276" w:lineRule="auto"/>
        <w:jc w:val="left"/>
        <w:rPr>
          <w:b/>
          <w:sz w:val="20"/>
          <w:highlight w:val="yellow"/>
        </w:rPr>
      </w:pPr>
      <w:bookmarkStart w:id="213" w:name="_Ref204260156"/>
      <w:bookmarkStart w:id="214" w:name="_Ref204260150"/>
      <w:r w:rsidRPr="005C5E32">
        <w:rPr>
          <w:highlight w:val="yellow"/>
        </w:rPr>
        <w:br w:type="page"/>
      </w:r>
    </w:p>
    <w:p w14:paraId="62B57339" w14:textId="17603898" w:rsidR="003F11C1" w:rsidRPr="005C5E32" w:rsidRDefault="003F11C1" w:rsidP="001424CD">
      <w:pPr>
        <w:pStyle w:val="Tableheading"/>
      </w:pPr>
      <w:bookmarkStart w:id="215" w:name="table2"/>
      <w:r w:rsidRPr="005C5E32">
        <w:lastRenderedPageBreak/>
        <w:t xml:space="preserve">Table </w:t>
      </w:r>
      <w:fldSimple w:instr=" SEQ Table \* ARABIC ">
        <w:r w:rsidR="00D8311D">
          <w:rPr>
            <w:noProof/>
          </w:rPr>
          <w:t>4</w:t>
        </w:r>
      </w:fldSimple>
      <w:bookmarkEnd w:id="213"/>
      <w:bookmarkEnd w:id="215"/>
      <w:r w:rsidRPr="005C5E32">
        <w:t xml:space="preserve">: </w:t>
      </w:r>
      <w:r w:rsidRPr="005C5E32">
        <w:tab/>
        <w:t>Staff information</w:t>
      </w:r>
      <w:bookmarkEnd w:id="214"/>
      <w:r w:rsidRPr="005C5E32">
        <w:t>, 2022/23 to 2025/26</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ayout w:type="fixed"/>
        <w:tblLook w:val="04A0" w:firstRow="1" w:lastRow="0" w:firstColumn="1" w:lastColumn="0" w:noHBand="0" w:noVBand="1"/>
      </w:tblPr>
      <w:tblGrid>
        <w:gridCol w:w="3828"/>
        <w:gridCol w:w="1169"/>
        <w:gridCol w:w="1169"/>
        <w:gridCol w:w="1169"/>
        <w:gridCol w:w="1170"/>
      </w:tblGrid>
      <w:tr w:rsidR="003F11C1" w:rsidRPr="005C5E32" w14:paraId="413820C6" w14:textId="77777777">
        <w:trPr>
          <w:tblHeader/>
        </w:trPr>
        <w:tc>
          <w:tcPr>
            <w:tcW w:w="3828" w:type="dxa"/>
            <w:shd w:val="clear" w:color="auto" w:fill="1B556B" w:themeFill="text2"/>
          </w:tcPr>
          <w:p w14:paraId="66123908" w14:textId="77777777" w:rsidR="003F11C1" w:rsidRPr="005C5E32" w:rsidRDefault="003F11C1" w:rsidP="003D0CC1">
            <w:pPr>
              <w:pStyle w:val="TableTextbold"/>
              <w:spacing w:before="40" w:after="40"/>
              <w:rPr>
                <w:rFonts w:cs="Calibri"/>
                <w:color w:val="FFFFFF" w:themeColor="background1"/>
                <w:szCs w:val="18"/>
              </w:rPr>
            </w:pPr>
          </w:p>
        </w:tc>
        <w:tc>
          <w:tcPr>
            <w:tcW w:w="1169" w:type="dxa"/>
            <w:shd w:val="clear" w:color="auto" w:fill="1B556B" w:themeFill="text2"/>
            <w:vAlign w:val="center"/>
          </w:tcPr>
          <w:p w14:paraId="6422D440" w14:textId="77777777" w:rsidR="003F11C1" w:rsidRPr="005C5E32" w:rsidRDefault="003F11C1" w:rsidP="003D0CC1">
            <w:pPr>
              <w:pStyle w:val="TableTextbold"/>
              <w:spacing w:before="40" w:after="40"/>
              <w:jc w:val="right"/>
              <w:rPr>
                <w:rFonts w:cs="Calibri"/>
                <w:color w:val="FFFFFF" w:themeColor="background1"/>
                <w:szCs w:val="18"/>
              </w:rPr>
            </w:pPr>
            <w:r w:rsidRPr="005C5E32">
              <w:rPr>
                <w:rFonts w:cs="Calibri"/>
                <w:color w:val="FFFFFF" w:themeColor="background1"/>
                <w:szCs w:val="18"/>
              </w:rPr>
              <w:t xml:space="preserve">2022/23 </w:t>
            </w:r>
          </w:p>
        </w:tc>
        <w:tc>
          <w:tcPr>
            <w:tcW w:w="1169" w:type="dxa"/>
            <w:shd w:val="clear" w:color="auto" w:fill="1B556B" w:themeFill="text2"/>
            <w:vAlign w:val="center"/>
          </w:tcPr>
          <w:p w14:paraId="27358E1E" w14:textId="77777777" w:rsidR="003F11C1" w:rsidRPr="005C5E32" w:rsidRDefault="003F11C1" w:rsidP="003D0CC1">
            <w:pPr>
              <w:pStyle w:val="TableTextbold"/>
              <w:spacing w:before="40" w:after="40"/>
              <w:jc w:val="right"/>
              <w:rPr>
                <w:rFonts w:cs="Calibri"/>
                <w:color w:val="FFFFFF" w:themeColor="background1"/>
                <w:szCs w:val="18"/>
              </w:rPr>
            </w:pPr>
            <w:r w:rsidRPr="005C5E32">
              <w:rPr>
                <w:rFonts w:cs="Calibri"/>
                <w:color w:val="FFFFFF" w:themeColor="background1"/>
                <w:szCs w:val="18"/>
              </w:rPr>
              <w:t xml:space="preserve">2023/24 </w:t>
            </w:r>
          </w:p>
        </w:tc>
        <w:tc>
          <w:tcPr>
            <w:tcW w:w="1169" w:type="dxa"/>
            <w:shd w:val="clear" w:color="auto" w:fill="1B556B" w:themeFill="text2"/>
          </w:tcPr>
          <w:p w14:paraId="4C99D9D5" w14:textId="77777777" w:rsidR="003F11C1" w:rsidRPr="005C5E32" w:rsidRDefault="003F11C1" w:rsidP="003D0CC1">
            <w:pPr>
              <w:pStyle w:val="TableTextbold"/>
              <w:spacing w:before="40" w:after="40"/>
              <w:jc w:val="right"/>
              <w:rPr>
                <w:rFonts w:cs="Calibri"/>
                <w:color w:val="FFFFFF" w:themeColor="background1"/>
                <w:szCs w:val="18"/>
              </w:rPr>
            </w:pPr>
            <w:r w:rsidRPr="005C5E32">
              <w:rPr>
                <w:rFonts w:cs="Calibri"/>
                <w:color w:val="FFFFFF" w:themeColor="background1"/>
                <w:szCs w:val="18"/>
              </w:rPr>
              <w:t>2024/25</w:t>
            </w:r>
          </w:p>
        </w:tc>
        <w:tc>
          <w:tcPr>
            <w:tcW w:w="1170" w:type="dxa"/>
            <w:shd w:val="clear" w:color="auto" w:fill="1B556B" w:themeFill="text2"/>
          </w:tcPr>
          <w:p w14:paraId="45469E6A" w14:textId="77777777" w:rsidR="003F11C1" w:rsidRPr="005C5E32" w:rsidRDefault="003F11C1" w:rsidP="003D0CC1">
            <w:pPr>
              <w:pStyle w:val="TableTextbold"/>
              <w:spacing w:before="40" w:after="40"/>
              <w:jc w:val="right"/>
              <w:rPr>
                <w:rFonts w:cs="Calibri"/>
                <w:color w:val="FFFFFF" w:themeColor="background1"/>
                <w:szCs w:val="18"/>
              </w:rPr>
            </w:pPr>
            <w:r w:rsidRPr="005C5E32">
              <w:rPr>
                <w:rFonts w:cs="Calibri"/>
                <w:color w:val="FFFFFF" w:themeColor="background1"/>
                <w:szCs w:val="18"/>
              </w:rPr>
              <w:t>2025/26</w:t>
            </w:r>
          </w:p>
        </w:tc>
      </w:tr>
      <w:tr w:rsidR="003F11C1" w:rsidRPr="005C5E32" w14:paraId="51BFEFB1" w14:textId="77777777">
        <w:trPr>
          <w:trHeight w:val="127"/>
        </w:trPr>
        <w:tc>
          <w:tcPr>
            <w:tcW w:w="3828" w:type="dxa"/>
          </w:tcPr>
          <w:p w14:paraId="214E24B9" w14:textId="7170F936" w:rsidR="003F11C1" w:rsidRPr="005C5E32" w:rsidRDefault="003F11C1" w:rsidP="003D0CC1">
            <w:pPr>
              <w:pStyle w:val="TableText"/>
              <w:spacing w:before="40" w:after="40"/>
              <w:rPr>
                <w:rFonts w:cs="Calibri"/>
                <w:szCs w:val="18"/>
              </w:rPr>
            </w:pPr>
            <w:r w:rsidRPr="005C5E32">
              <w:rPr>
                <w:rFonts w:cs="Calibri"/>
                <w:szCs w:val="18"/>
              </w:rPr>
              <w:t>Full-time equivalent</w:t>
            </w:r>
            <w:r w:rsidR="00F82E23" w:rsidRPr="005C5E32">
              <w:rPr>
                <w:rFonts w:cs="Calibri"/>
                <w:szCs w:val="18"/>
              </w:rPr>
              <w:t xml:space="preserve"> (FTE)</w:t>
            </w:r>
            <w:r w:rsidRPr="005C5E32">
              <w:rPr>
                <w:rFonts w:cs="Calibri"/>
                <w:szCs w:val="18"/>
              </w:rPr>
              <w:t>*</w:t>
            </w:r>
          </w:p>
        </w:tc>
        <w:tc>
          <w:tcPr>
            <w:tcW w:w="1169" w:type="dxa"/>
            <w:vAlign w:val="center"/>
          </w:tcPr>
          <w:p w14:paraId="4DE38A0C" w14:textId="77777777" w:rsidR="003F11C1" w:rsidRPr="005C5E32" w:rsidRDefault="003F11C1" w:rsidP="003D0CC1">
            <w:pPr>
              <w:pStyle w:val="TableText"/>
              <w:spacing w:before="40" w:after="40"/>
              <w:jc w:val="right"/>
              <w:rPr>
                <w:rFonts w:cs="Calibri"/>
                <w:szCs w:val="18"/>
              </w:rPr>
            </w:pPr>
            <w:r w:rsidRPr="005C5E32">
              <w:rPr>
                <w:rFonts w:eastAsia="Times New Roman" w:cs="Calibri"/>
                <w:color w:val="000000" w:themeColor="text1"/>
                <w:szCs w:val="18"/>
              </w:rPr>
              <w:t>1,010.2</w:t>
            </w:r>
          </w:p>
        </w:tc>
        <w:tc>
          <w:tcPr>
            <w:tcW w:w="1169" w:type="dxa"/>
            <w:vAlign w:val="center"/>
          </w:tcPr>
          <w:p w14:paraId="2D33DB15" w14:textId="77777777" w:rsidR="003F11C1" w:rsidRPr="005C5E32" w:rsidRDefault="003F11C1" w:rsidP="003D0CC1">
            <w:pPr>
              <w:pStyle w:val="TableText"/>
              <w:spacing w:before="40" w:after="40"/>
              <w:jc w:val="right"/>
              <w:rPr>
                <w:rFonts w:cs="Calibri"/>
                <w:szCs w:val="18"/>
              </w:rPr>
            </w:pPr>
            <w:r w:rsidRPr="005C5E32">
              <w:rPr>
                <w:rFonts w:cs="Calibri"/>
                <w:szCs w:val="18"/>
              </w:rPr>
              <w:t>938.9</w:t>
            </w:r>
          </w:p>
        </w:tc>
        <w:tc>
          <w:tcPr>
            <w:tcW w:w="1169" w:type="dxa"/>
          </w:tcPr>
          <w:p w14:paraId="39687D9C" w14:textId="77777777" w:rsidR="003F11C1" w:rsidRPr="005C5E32" w:rsidRDefault="003F11C1" w:rsidP="003D0CC1">
            <w:pPr>
              <w:pStyle w:val="TableText"/>
              <w:spacing w:before="40" w:after="40"/>
              <w:jc w:val="right"/>
              <w:rPr>
                <w:rFonts w:cs="Calibri"/>
                <w:szCs w:val="18"/>
              </w:rPr>
            </w:pPr>
            <w:r w:rsidRPr="005C5E32">
              <w:rPr>
                <w:rFonts w:cs="Calibri"/>
                <w:szCs w:val="18"/>
              </w:rPr>
              <w:t>738.3</w:t>
            </w:r>
          </w:p>
        </w:tc>
        <w:tc>
          <w:tcPr>
            <w:tcW w:w="1170" w:type="dxa"/>
          </w:tcPr>
          <w:p w14:paraId="78A7A05C" w14:textId="77777777" w:rsidR="003F11C1" w:rsidRPr="005C5E32" w:rsidRDefault="003F11C1" w:rsidP="003D0CC1">
            <w:pPr>
              <w:pStyle w:val="TableText"/>
              <w:spacing w:before="40" w:after="40"/>
              <w:jc w:val="right"/>
              <w:rPr>
                <w:rFonts w:cs="Calibri"/>
                <w:szCs w:val="18"/>
              </w:rPr>
            </w:pPr>
            <w:r w:rsidRPr="005C5E32">
              <w:rPr>
                <w:rFonts w:cs="Calibri"/>
                <w:szCs w:val="18"/>
              </w:rPr>
              <w:t>759.7</w:t>
            </w:r>
          </w:p>
        </w:tc>
      </w:tr>
      <w:tr w:rsidR="003F11C1" w:rsidRPr="005C5E32" w14:paraId="6713A561" w14:textId="77777777">
        <w:tc>
          <w:tcPr>
            <w:tcW w:w="3828" w:type="dxa"/>
          </w:tcPr>
          <w:p w14:paraId="4B5B4652" w14:textId="77777777" w:rsidR="003F11C1" w:rsidRPr="005C5E32" w:rsidRDefault="003F11C1" w:rsidP="003D0CC1">
            <w:pPr>
              <w:pStyle w:val="TableText"/>
              <w:spacing w:before="40" w:after="40"/>
              <w:rPr>
                <w:rFonts w:cs="Calibri"/>
                <w:szCs w:val="18"/>
              </w:rPr>
            </w:pPr>
            <w:r w:rsidRPr="005C5E32">
              <w:rPr>
                <w:rFonts w:cs="Calibri"/>
                <w:szCs w:val="18"/>
              </w:rPr>
              <w:t>Unplanned turnover</w:t>
            </w:r>
          </w:p>
        </w:tc>
        <w:tc>
          <w:tcPr>
            <w:tcW w:w="1169" w:type="dxa"/>
            <w:vAlign w:val="center"/>
          </w:tcPr>
          <w:p w14:paraId="07A59CA5" w14:textId="77777777" w:rsidR="003F11C1" w:rsidRPr="005C5E32" w:rsidRDefault="003F11C1" w:rsidP="003D0CC1">
            <w:pPr>
              <w:pStyle w:val="TableText"/>
              <w:spacing w:before="40" w:after="40"/>
              <w:jc w:val="right"/>
              <w:rPr>
                <w:rFonts w:cs="Calibri"/>
                <w:szCs w:val="18"/>
              </w:rPr>
            </w:pPr>
            <w:r w:rsidRPr="005C5E32">
              <w:rPr>
                <w:rFonts w:eastAsia="Times New Roman" w:cs="Calibri"/>
                <w:color w:val="000000" w:themeColor="text1"/>
                <w:szCs w:val="18"/>
              </w:rPr>
              <w:t>18.9%</w:t>
            </w:r>
          </w:p>
        </w:tc>
        <w:tc>
          <w:tcPr>
            <w:tcW w:w="1169" w:type="dxa"/>
            <w:vAlign w:val="center"/>
          </w:tcPr>
          <w:p w14:paraId="77772C25" w14:textId="77777777" w:rsidR="003F11C1" w:rsidRPr="005C5E32" w:rsidRDefault="003F11C1" w:rsidP="003D0CC1">
            <w:pPr>
              <w:pStyle w:val="TableText"/>
              <w:spacing w:before="40" w:after="40"/>
              <w:jc w:val="right"/>
              <w:rPr>
                <w:rFonts w:cs="Calibri"/>
                <w:szCs w:val="18"/>
              </w:rPr>
            </w:pPr>
            <w:r w:rsidRPr="005C5E32">
              <w:rPr>
                <w:rFonts w:cs="Calibri"/>
                <w:szCs w:val="18"/>
              </w:rPr>
              <w:t>13.3%</w:t>
            </w:r>
          </w:p>
        </w:tc>
        <w:tc>
          <w:tcPr>
            <w:tcW w:w="1169" w:type="dxa"/>
          </w:tcPr>
          <w:p w14:paraId="31E58F36" w14:textId="77777777" w:rsidR="003F11C1" w:rsidRPr="005C5E32" w:rsidRDefault="003F11C1" w:rsidP="003D0CC1">
            <w:pPr>
              <w:pStyle w:val="TableText"/>
              <w:spacing w:before="40" w:after="40"/>
              <w:jc w:val="right"/>
              <w:rPr>
                <w:rFonts w:cs="Calibri"/>
                <w:szCs w:val="18"/>
              </w:rPr>
            </w:pPr>
            <w:r w:rsidRPr="005C5E32">
              <w:rPr>
                <w:rFonts w:cs="Calibri"/>
                <w:szCs w:val="18"/>
              </w:rPr>
              <w:t>6.5%</w:t>
            </w:r>
          </w:p>
        </w:tc>
        <w:tc>
          <w:tcPr>
            <w:tcW w:w="1170" w:type="dxa"/>
          </w:tcPr>
          <w:p w14:paraId="4EB3E98D" w14:textId="77777777" w:rsidR="003F11C1" w:rsidRPr="005C5E32" w:rsidRDefault="003F11C1" w:rsidP="003D0CC1">
            <w:pPr>
              <w:pStyle w:val="TableText"/>
              <w:spacing w:before="40" w:after="40"/>
              <w:jc w:val="right"/>
              <w:rPr>
                <w:rFonts w:cs="Calibri"/>
                <w:szCs w:val="18"/>
              </w:rPr>
            </w:pPr>
            <w:r w:rsidRPr="005C5E32">
              <w:rPr>
                <w:rFonts w:cs="Calibri"/>
                <w:szCs w:val="18"/>
              </w:rPr>
              <w:t>8.8%</w:t>
            </w:r>
          </w:p>
        </w:tc>
      </w:tr>
      <w:tr w:rsidR="003F11C1" w:rsidRPr="005C5E32" w14:paraId="39DBF4C6" w14:textId="77777777">
        <w:tc>
          <w:tcPr>
            <w:tcW w:w="3828" w:type="dxa"/>
          </w:tcPr>
          <w:p w14:paraId="77BC6E4D" w14:textId="77777777" w:rsidR="003F11C1" w:rsidRPr="005C5E32" w:rsidRDefault="003F11C1" w:rsidP="003D0CC1">
            <w:pPr>
              <w:pStyle w:val="TableText"/>
              <w:spacing w:before="40" w:after="40"/>
              <w:rPr>
                <w:rFonts w:cs="Calibri"/>
                <w:szCs w:val="18"/>
              </w:rPr>
            </w:pPr>
            <w:r w:rsidRPr="005C5E32">
              <w:rPr>
                <w:rFonts w:eastAsia="Times New Roman" w:cs="Calibri"/>
                <w:color w:val="000000" w:themeColor="text1"/>
                <w:szCs w:val="18"/>
              </w:rPr>
              <w:t>Part time**</w:t>
            </w:r>
          </w:p>
        </w:tc>
        <w:tc>
          <w:tcPr>
            <w:tcW w:w="1169" w:type="dxa"/>
            <w:vAlign w:val="center"/>
          </w:tcPr>
          <w:p w14:paraId="12E067AD" w14:textId="77777777" w:rsidR="003F11C1" w:rsidRPr="005C5E32" w:rsidRDefault="003F11C1" w:rsidP="003D0CC1">
            <w:pPr>
              <w:pStyle w:val="TableText"/>
              <w:spacing w:before="40" w:after="40"/>
              <w:jc w:val="right"/>
              <w:rPr>
                <w:rFonts w:cs="Calibri"/>
                <w:szCs w:val="18"/>
              </w:rPr>
            </w:pPr>
            <w:r w:rsidRPr="005C5E32">
              <w:rPr>
                <w:rFonts w:eastAsia="Times New Roman" w:cs="Calibri"/>
                <w:color w:val="000000" w:themeColor="text1"/>
                <w:szCs w:val="18"/>
              </w:rPr>
              <w:t>11.3%</w:t>
            </w:r>
          </w:p>
        </w:tc>
        <w:tc>
          <w:tcPr>
            <w:tcW w:w="1169" w:type="dxa"/>
            <w:vAlign w:val="center"/>
          </w:tcPr>
          <w:p w14:paraId="45F61A4F" w14:textId="77777777" w:rsidR="003F11C1" w:rsidRPr="005C5E32" w:rsidRDefault="003F11C1" w:rsidP="003D0CC1">
            <w:pPr>
              <w:pStyle w:val="TableText"/>
              <w:spacing w:before="40" w:after="40"/>
              <w:jc w:val="right"/>
              <w:rPr>
                <w:rFonts w:cs="Calibri"/>
                <w:szCs w:val="18"/>
              </w:rPr>
            </w:pPr>
            <w:r w:rsidRPr="005C5E32">
              <w:rPr>
                <w:rFonts w:cs="Calibri"/>
                <w:szCs w:val="18"/>
              </w:rPr>
              <w:t>9.1%</w:t>
            </w:r>
          </w:p>
        </w:tc>
        <w:tc>
          <w:tcPr>
            <w:tcW w:w="1169" w:type="dxa"/>
          </w:tcPr>
          <w:p w14:paraId="0D5C26F6" w14:textId="77777777" w:rsidR="003F11C1" w:rsidRPr="005C5E32" w:rsidRDefault="003F11C1" w:rsidP="003D0CC1">
            <w:pPr>
              <w:pStyle w:val="TableText"/>
              <w:spacing w:before="40" w:after="40"/>
              <w:jc w:val="right"/>
              <w:rPr>
                <w:rFonts w:cs="Calibri"/>
                <w:szCs w:val="18"/>
              </w:rPr>
            </w:pPr>
            <w:r w:rsidRPr="005C5E32">
              <w:rPr>
                <w:rFonts w:cs="Calibri"/>
                <w:szCs w:val="18"/>
              </w:rPr>
              <w:t>6.7%</w:t>
            </w:r>
          </w:p>
        </w:tc>
        <w:tc>
          <w:tcPr>
            <w:tcW w:w="1170" w:type="dxa"/>
          </w:tcPr>
          <w:p w14:paraId="234F722D" w14:textId="77777777" w:rsidR="003F11C1" w:rsidRPr="005C5E32" w:rsidRDefault="003F11C1" w:rsidP="003D0CC1">
            <w:pPr>
              <w:pStyle w:val="TableText"/>
              <w:spacing w:before="40" w:after="40"/>
              <w:jc w:val="right"/>
              <w:rPr>
                <w:rFonts w:cs="Calibri"/>
                <w:szCs w:val="18"/>
              </w:rPr>
            </w:pPr>
            <w:r w:rsidRPr="005C5E32">
              <w:rPr>
                <w:rFonts w:cs="Calibri"/>
                <w:szCs w:val="18"/>
              </w:rPr>
              <w:t>11.3%</w:t>
            </w:r>
          </w:p>
        </w:tc>
      </w:tr>
      <w:tr w:rsidR="00C17243" w:rsidRPr="005C5E32" w14:paraId="6783E348" w14:textId="77777777">
        <w:tc>
          <w:tcPr>
            <w:tcW w:w="3828" w:type="dxa"/>
          </w:tcPr>
          <w:p w14:paraId="464A3442" w14:textId="2DD1FA86" w:rsidR="00C17243" w:rsidRPr="005C5E32" w:rsidRDefault="00C17243" w:rsidP="00C17243">
            <w:pPr>
              <w:pStyle w:val="TableText"/>
              <w:spacing w:before="40" w:after="40"/>
              <w:rPr>
                <w:rFonts w:eastAsia="Times New Roman" w:cs="Calibri"/>
                <w:color w:val="000000" w:themeColor="text1"/>
                <w:szCs w:val="18"/>
              </w:rPr>
            </w:pPr>
            <w:r w:rsidRPr="005C5E32">
              <w:rPr>
                <w:rFonts w:eastAsia="Times New Roman" w:cs="Calibri"/>
                <w:color w:val="000000" w:themeColor="text1"/>
                <w:szCs w:val="18"/>
              </w:rPr>
              <w:t>Female</w:t>
            </w:r>
          </w:p>
        </w:tc>
        <w:tc>
          <w:tcPr>
            <w:tcW w:w="1169" w:type="dxa"/>
            <w:vAlign w:val="center"/>
          </w:tcPr>
          <w:p w14:paraId="27C3AA22" w14:textId="3156AF9E" w:rsidR="00C17243" w:rsidRPr="005C5E32" w:rsidRDefault="00C17243" w:rsidP="00C17243">
            <w:pPr>
              <w:pStyle w:val="TableText"/>
              <w:spacing w:before="40" w:after="40"/>
              <w:jc w:val="right"/>
              <w:rPr>
                <w:rFonts w:cs="Calibri"/>
                <w:szCs w:val="18"/>
              </w:rPr>
            </w:pPr>
            <w:r w:rsidRPr="005C5E32">
              <w:rPr>
                <w:rFonts w:eastAsia="Times New Roman" w:cs="Calibri"/>
                <w:color w:val="000000" w:themeColor="text1"/>
                <w:szCs w:val="18"/>
              </w:rPr>
              <w:t>65.3%</w:t>
            </w:r>
          </w:p>
        </w:tc>
        <w:tc>
          <w:tcPr>
            <w:tcW w:w="1169" w:type="dxa"/>
            <w:vAlign w:val="center"/>
          </w:tcPr>
          <w:p w14:paraId="1862B23F" w14:textId="0C752202" w:rsidR="00C17243" w:rsidRPr="005C5E32" w:rsidRDefault="00C17243" w:rsidP="00C17243">
            <w:pPr>
              <w:pStyle w:val="TableText"/>
              <w:spacing w:before="40" w:after="40"/>
              <w:jc w:val="right"/>
              <w:rPr>
                <w:rFonts w:cs="Calibri"/>
                <w:szCs w:val="18"/>
              </w:rPr>
            </w:pPr>
            <w:r w:rsidRPr="005C5E32">
              <w:rPr>
                <w:rFonts w:cs="Calibri"/>
                <w:szCs w:val="18"/>
              </w:rPr>
              <w:t>66.9%</w:t>
            </w:r>
          </w:p>
        </w:tc>
        <w:tc>
          <w:tcPr>
            <w:tcW w:w="1169" w:type="dxa"/>
          </w:tcPr>
          <w:p w14:paraId="1D5CD0D6" w14:textId="79C2D93D" w:rsidR="00C17243" w:rsidRPr="005C5E32" w:rsidRDefault="00C17243" w:rsidP="00C17243">
            <w:pPr>
              <w:pStyle w:val="TableText"/>
              <w:spacing w:before="40" w:after="40"/>
              <w:jc w:val="right"/>
              <w:rPr>
                <w:rFonts w:cs="Calibri"/>
                <w:szCs w:val="18"/>
              </w:rPr>
            </w:pPr>
            <w:r w:rsidRPr="005C5E32">
              <w:rPr>
                <w:rFonts w:cs="Calibri"/>
                <w:szCs w:val="18"/>
              </w:rPr>
              <w:t>66.4%</w:t>
            </w:r>
          </w:p>
        </w:tc>
        <w:tc>
          <w:tcPr>
            <w:tcW w:w="1170" w:type="dxa"/>
          </w:tcPr>
          <w:p w14:paraId="0CC47331" w14:textId="3AA2DC1D" w:rsidR="00C17243" w:rsidRPr="005C5E32" w:rsidRDefault="00C17243" w:rsidP="00C17243">
            <w:pPr>
              <w:pStyle w:val="TableText"/>
              <w:spacing w:before="40" w:after="40"/>
              <w:jc w:val="right"/>
              <w:rPr>
                <w:rFonts w:cs="Calibri"/>
                <w:szCs w:val="18"/>
              </w:rPr>
            </w:pPr>
            <w:r w:rsidRPr="005C5E32">
              <w:rPr>
                <w:rFonts w:cs="Calibri"/>
                <w:szCs w:val="18"/>
              </w:rPr>
              <w:t>66.7%</w:t>
            </w:r>
          </w:p>
        </w:tc>
      </w:tr>
      <w:tr w:rsidR="00C17243" w:rsidRPr="005C5E32" w14:paraId="471C0E22" w14:textId="77777777">
        <w:tc>
          <w:tcPr>
            <w:tcW w:w="3828" w:type="dxa"/>
          </w:tcPr>
          <w:p w14:paraId="49B3421C" w14:textId="0AA6E205" w:rsidR="00C17243" w:rsidRPr="005C5E32" w:rsidRDefault="00C17243" w:rsidP="00C17243">
            <w:pPr>
              <w:pStyle w:val="TableText"/>
              <w:spacing w:before="40" w:after="40"/>
              <w:rPr>
                <w:rFonts w:eastAsia="Times New Roman" w:cs="Calibri"/>
                <w:color w:val="000000" w:themeColor="text1"/>
                <w:szCs w:val="18"/>
              </w:rPr>
            </w:pPr>
            <w:r w:rsidRPr="005C5E32">
              <w:rPr>
                <w:rFonts w:eastAsia="Times New Roman" w:cs="Calibri"/>
                <w:color w:val="000000" w:themeColor="text1"/>
                <w:szCs w:val="18"/>
              </w:rPr>
              <w:t>Male</w:t>
            </w:r>
          </w:p>
        </w:tc>
        <w:tc>
          <w:tcPr>
            <w:tcW w:w="1169" w:type="dxa"/>
            <w:vAlign w:val="center"/>
          </w:tcPr>
          <w:p w14:paraId="7CFBF6CC" w14:textId="4101EE0C" w:rsidR="00C17243" w:rsidRPr="005C5E32" w:rsidRDefault="00C17243" w:rsidP="00C17243">
            <w:pPr>
              <w:pStyle w:val="TableText"/>
              <w:spacing w:before="40" w:after="40"/>
              <w:jc w:val="right"/>
              <w:rPr>
                <w:rFonts w:cs="Calibri"/>
                <w:szCs w:val="18"/>
              </w:rPr>
            </w:pPr>
            <w:r w:rsidRPr="005C5E32">
              <w:rPr>
                <w:rFonts w:eastAsia="Times New Roman" w:cs="Calibri"/>
                <w:color w:val="000000" w:themeColor="text1"/>
                <w:szCs w:val="18"/>
              </w:rPr>
              <w:t>33.5%</w:t>
            </w:r>
          </w:p>
        </w:tc>
        <w:tc>
          <w:tcPr>
            <w:tcW w:w="1169" w:type="dxa"/>
            <w:vAlign w:val="center"/>
          </w:tcPr>
          <w:p w14:paraId="6937ED03" w14:textId="1975D6B0" w:rsidR="00C17243" w:rsidRPr="005C5E32" w:rsidRDefault="00C17243" w:rsidP="00C17243">
            <w:pPr>
              <w:pStyle w:val="TableText"/>
              <w:spacing w:before="40" w:after="40"/>
              <w:jc w:val="right"/>
              <w:rPr>
                <w:rFonts w:cs="Calibri"/>
                <w:szCs w:val="18"/>
              </w:rPr>
            </w:pPr>
            <w:r w:rsidRPr="005C5E32">
              <w:rPr>
                <w:rFonts w:cs="Calibri"/>
                <w:szCs w:val="18"/>
              </w:rPr>
              <w:t>31.9%</w:t>
            </w:r>
          </w:p>
        </w:tc>
        <w:tc>
          <w:tcPr>
            <w:tcW w:w="1169" w:type="dxa"/>
          </w:tcPr>
          <w:p w14:paraId="218C8480" w14:textId="68298050" w:rsidR="00C17243" w:rsidRPr="005C5E32" w:rsidRDefault="00C17243" w:rsidP="00C17243">
            <w:pPr>
              <w:pStyle w:val="TableText"/>
              <w:spacing w:before="40" w:after="40"/>
              <w:jc w:val="right"/>
              <w:rPr>
                <w:rFonts w:cs="Calibri"/>
                <w:szCs w:val="18"/>
              </w:rPr>
            </w:pPr>
            <w:r w:rsidRPr="005C5E32">
              <w:rPr>
                <w:rFonts w:cs="Calibri"/>
                <w:szCs w:val="18"/>
              </w:rPr>
              <w:t>32.3%</w:t>
            </w:r>
          </w:p>
        </w:tc>
        <w:tc>
          <w:tcPr>
            <w:tcW w:w="1170" w:type="dxa"/>
          </w:tcPr>
          <w:p w14:paraId="26C3F85F" w14:textId="6143F3A0" w:rsidR="00C17243" w:rsidRPr="005C5E32" w:rsidRDefault="00C17243" w:rsidP="00C17243">
            <w:pPr>
              <w:pStyle w:val="TableText"/>
              <w:spacing w:before="40" w:after="40"/>
              <w:jc w:val="right"/>
              <w:rPr>
                <w:rFonts w:cs="Calibri"/>
                <w:szCs w:val="18"/>
              </w:rPr>
            </w:pPr>
            <w:r w:rsidRPr="005C5E32">
              <w:rPr>
                <w:rFonts w:cs="Calibri"/>
                <w:szCs w:val="18"/>
              </w:rPr>
              <w:t>31.8%</w:t>
            </w:r>
          </w:p>
        </w:tc>
      </w:tr>
      <w:tr w:rsidR="00C17243" w:rsidRPr="005C5E32" w14:paraId="1323EC9F" w14:textId="77777777">
        <w:tc>
          <w:tcPr>
            <w:tcW w:w="3828" w:type="dxa"/>
          </w:tcPr>
          <w:p w14:paraId="1A56FBFB" w14:textId="110AF0AD" w:rsidR="00C17243" w:rsidRPr="005C5E32" w:rsidRDefault="00C17243" w:rsidP="00C17243">
            <w:pPr>
              <w:pStyle w:val="TableText"/>
              <w:spacing w:before="40" w:after="40"/>
              <w:rPr>
                <w:rFonts w:eastAsia="Times New Roman" w:cs="Calibri"/>
                <w:color w:val="000000" w:themeColor="text1"/>
                <w:szCs w:val="18"/>
              </w:rPr>
            </w:pPr>
            <w:r w:rsidRPr="005C5E32">
              <w:rPr>
                <w:rFonts w:eastAsia="Times New Roman" w:cs="Calibri"/>
                <w:color w:val="000000" w:themeColor="text1"/>
                <w:szCs w:val="18"/>
              </w:rPr>
              <w:t>Another gender</w:t>
            </w:r>
          </w:p>
        </w:tc>
        <w:tc>
          <w:tcPr>
            <w:tcW w:w="1169" w:type="dxa"/>
            <w:vAlign w:val="center"/>
          </w:tcPr>
          <w:p w14:paraId="160D868E" w14:textId="7AB3CDD3" w:rsidR="00C17243" w:rsidRPr="005C5E32" w:rsidRDefault="00C17243" w:rsidP="00C17243">
            <w:pPr>
              <w:pStyle w:val="TableText"/>
              <w:spacing w:before="40" w:after="40"/>
              <w:jc w:val="right"/>
              <w:rPr>
                <w:rFonts w:cs="Calibri"/>
                <w:szCs w:val="18"/>
              </w:rPr>
            </w:pPr>
            <w:r w:rsidRPr="005C5E32">
              <w:rPr>
                <w:rFonts w:eastAsia="Times New Roman" w:cs="Calibri"/>
                <w:color w:val="000000" w:themeColor="text1"/>
                <w:szCs w:val="18"/>
              </w:rPr>
              <w:t>1.2%</w:t>
            </w:r>
          </w:p>
        </w:tc>
        <w:tc>
          <w:tcPr>
            <w:tcW w:w="1169" w:type="dxa"/>
            <w:vAlign w:val="center"/>
          </w:tcPr>
          <w:p w14:paraId="1FEFBC2C" w14:textId="192E7E14" w:rsidR="00C17243" w:rsidRPr="005C5E32" w:rsidRDefault="00C17243" w:rsidP="00C17243">
            <w:pPr>
              <w:pStyle w:val="TableText"/>
              <w:spacing w:before="40" w:after="40"/>
              <w:jc w:val="right"/>
              <w:rPr>
                <w:rFonts w:cs="Calibri"/>
                <w:szCs w:val="18"/>
              </w:rPr>
            </w:pPr>
            <w:r w:rsidRPr="005C5E32">
              <w:rPr>
                <w:rFonts w:cs="Calibri"/>
                <w:szCs w:val="18"/>
              </w:rPr>
              <w:t>1.1%</w:t>
            </w:r>
          </w:p>
        </w:tc>
        <w:tc>
          <w:tcPr>
            <w:tcW w:w="1169" w:type="dxa"/>
          </w:tcPr>
          <w:p w14:paraId="4B129B82" w14:textId="76FD74CE" w:rsidR="00C17243" w:rsidRPr="005C5E32" w:rsidRDefault="00C17243" w:rsidP="00C17243">
            <w:pPr>
              <w:pStyle w:val="TableText"/>
              <w:spacing w:before="40" w:after="40"/>
              <w:jc w:val="right"/>
              <w:rPr>
                <w:rFonts w:cs="Calibri"/>
                <w:szCs w:val="18"/>
              </w:rPr>
            </w:pPr>
            <w:r w:rsidRPr="005C5E32">
              <w:rPr>
                <w:rFonts w:cs="Calibri"/>
                <w:szCs w:val="18"/>
              </w:rPr>
              <w:t>1.3%</w:t>
            </w:r>
          </w:p>
        </w:tc>
        <w:tc>
          <w:tcPr>
            <w:tcW w:w="1170" w:type="dxa"/>
          </w:tcPr>
          <w:p w14:paraId="23E4948F" w14:textId="17669AA0" w:rsidR="00C17243" w:rsidRPr="005C5E32" w:rsidRDefault="00C17243" w:rsidP="00C17243">
            <w:pPr>
              <w:pStyle w:val="TableText"/>
              <w:spacing w:before="40" w:after="40"/>
              <w:jc w:val="right"/>
              <w:rPr>
                <w:rFonts w:cs="Calibri"/>
                <w:szCs w:val="18"/>
              </w:rPr>
            </w:pPr>
            <w:r w:rsidRPr="005C5E32">
              <w:rPr>
                <w:rFonts w:cs="Calibri"/>
                <w:szCs w:val="18"/>
              </w:rPr>
              <w:t>1.5%</w:t>
            </w:r>
          </w:p>
        </w:tc>
      </w:tr>
      <w:tr w:rsidR="00C53052" w:rsidRPr="005C5E32" w14:paraId="6A260EB7" w14:textId="77777777">
        <w:tc>
          <w:tcPr>
            <w:tcW w:w="3828" w:type="dxa"/>
          </w:tcPr>
          <w:p w14:paraId="64394BDA" w14:textId="57C796E1" w:rsidR="00C53052" w:rsidRPr="005C5E32" w:rsidRDefault="00C53052" w:rsidP="00C53052">
            <w:pPr>
              <w:pStyle w:val="TableText"/>
              <w:spacing w:before="40" w:after="40"/>
              <w:rPr>
                <w:rFonts w:eastAsia="Times New Roman" w:cs="Calibri"/>
                <w:color w:val="000000" w:themeColor="text1"/>
                <w:szCs w:val="18"/>
              </w:rPr>
            </w:pPr>
            <w:r w:rsidRPr="005C5E32">
              <w:rPr>
                <w:rFonts w:eastAsia="Times New Roman" w:cs="Calibri"/>
                <w:color w:val="000000" w:themeColor="text1"/>
                <w:szCs w:val="18"/>
              </w:rPr>
              <w:t xml:space="preserve">Female </w:t>
            </w:r>
            <w:r w:rsidRPr="005C5E32" w:rsidDel="00CC683C">
              <w:rPr>
                <w:rFonts w:eastAsia="Times New Roman" w:cs="Calibri"/>
                <w:color w:val="000000" w:themeColor="text1"/>
                <w:szCs w:val="18"/>
              </w:rPr>
              <w:t>manager</w:t>
            </w:r>
          </w:p>
        </w:tc>
        <w:tc>
          <w:tcPr>
            <w:tcW w:w="1169" w:type="dxa"/>
            <w:vAlign w:val="center"/>
          </w:tcPr>
          <w:p w14:paraId="051FDDF7" w14:textId="0C34B162" w:rsidR="00C53052" w:rsidRPr="005C5E32" w:rsidRDefault="00C53052" w:rsidP="00C53052">
            <w:pPr>
              <w:pStyle w:val="TableText"/>
              <w:spacing w:before="40" w:after="40"/>
              <w:jc w:val="right"/>
              <w:rPr>
                <w:rFonts w:cs="Calibri"/>
                <w:szCs w:val="18"/>
              </w:rPr>
            </w:pPr>
            <w:r w:rsidRPr="005C5E32">
              <w:rPr>
                <w:rFonts w:eastAsia="Times New Roman" w:cs="Calibri"/>
                <w:color w:val="000000" w:themeColor="text1"/>
                <w:szCs w:val="18"/>
              </w:rPr>
              <w:t>66.3%</w:t>
            </w:r>
          </w:p>
        </w:tc>
        <w:tc>
          <w:tcPr>
            <w:tcW w:w="1169" w:type="dxa"/>
            <w:vAlign w:val="center"/>
          </w:tcPr>
          <w:p w14:paraId="3292F232" w14:textId="77399732" w:rsidR="00C53052" w:rsidRPr="005C5E32" w:rsidRDefault="00C53052" w:rsidP="00C53052">
            <w:pPr>
              <w:pStyle w:val="TableText"/>
              <w:spacing w:before="40" w:after="40"/>
              <w:jc w:val="right"/>
              <w:rPr>
                <w:rFonts w:cs="Calibri"/>
                <w:szCs w:val="18"/>
              </w:rPr>
            </w:pPr>
            <w:r w:rsidRPr="005C5E32">
              <w:rPr>
                <w:rFonts w:cs="Calibri"/>
                <w:szCs w:val="18"/>
              </w:rPr>
              <w:t>67.1%</w:t>
            </w:r>
          </w:p>
        </w:tc>
        <w:tc>
          <w:tcPr>
            <w:tcW w:w="1169" w:type="dxa"/>
          </w:tcPr>
          <w:p w14:paraId="4A623B1C" w14:textId="61913061" w:rsidR="00C53052" w:rsidRPr="005C5E32" w:rsidRDefault="00C53052" w:rsidP="00C53052">
            <w:pPr>
              <w:pStyle w:val="TableText"/>
              <w:spacing w:before="40" w:after="40"/>
              <w:jc w:val="right"/>
              <w:rPr>
                <w:rFonts w:cs="Calibri"/>
                <w:szCs w:val="18"/>
              </w:rPr>
            </w:pPr>
            <w:r w:rsidRPr="005C5E32">
              <w:rPr>
                <w:rFonts w:cs="Calibri"/>
                <w:szCs w:val="18"/>
              </w:rPr>
              <w:t>65.</w:t>
            </w:r>
            <w:r w:rsidRPr="005C5E32" w:rsidDel="00971B52">
              <w:rPr>
                <w:rFonts w:cs="Calibri"/>
                <w:szCs w:val="18"/>
              </w:rPr>
              <w:t>1</w:t>
            </w:r>
            <w:r w:rsidRPr="005C5E32">
              <w:rPr>
                <w:rFonts w:cs="Calibri"/>
                <w:szCs w:val="18"/>
              </w:rPr>
              <w:t>%</w:t>
            </w:r>
          </w:p>
        </w:tc>
        <w:tc>
          <w:tcPr>
            <w:tcW w:w="1170" w:type="dxa"/>
          </w:tcPr>
          <w:p w14:paraId="35827DEF" w14:textId="4A8E2B16" w:rsidR="00C53052" w:rsidRPr="005C5E32" w:rsidRDefault="00C53052" w:rsidP="00C53052">
            <w:pPr>
              <w:pStyle w:val="TableText"/>
              <w:spacing w:before="40" w:after="40"/>
              <w:jc w:val="right"/>
              <w:rPr>
                <w:rFonts w:cs="Calibri"/>
                <w:szCs w:val="18"/>
              </w:rPr>
            </w:pPr>
            <w:r w:rsidRPr="005C5E32">
              <w:rPr>
                <w:rFonts w:cs="Calibri"/>
                <w:szCs w:val="18"/>
              </w:rPr>
              <w:t>64.7%</w:t>
            </w:r>
          </w:p>
        </w:tc>
      </w:tr>
      <w:tr w:rsidR="00C53052" w:rsidRPr="005C5E32" w14:paraId="6D806985" w14:textId="77777777">
        <w:tc>
          <w:tcPr>
            <w:tcW w:w="3828" w:type="dxa"/>
          </w:tcPr>
          <w:p w14:paraId="510F7AF7" w14:textId="1ABDEAD6" w:rsidR="00C53052" w:rsidRPr="005C5E32" w:rsidRDefault="00C53052" w:rsidP="00C53052">
            <w:pPr>
              <w:pStyle w:val="TableText"/>
              <w:spacing w:before="40" w:after="40"/>
              <w:rPr>
                <w:rFonts w:eastAsia="Times New Roman" w:cs="Calibri"/>
                <w:color w:val="000000" w:themeColor="text1"/>
                <w:szCs w:val="18"/>
              </w:rPr>
            </w:pPr>
            <w:r w:rsidRPr="005C5E32">
              <w:rPr>
                <w:rFonts w:eastAsia="Times New Roman" w:cs="Calibri"/>
                <w:color w:val="000000" w:themeColor="text1"/>
                <w:szCs w:val="18"/>
              </w:rPr>
              <w:t>Male manager</w:t>
            </w:r>
          </w:p>
        </w:tc>
        <w:tc>
          <w:tcPr>
            <w:tcW w:w="1169" w:type="dxa"/>
            <w:vAlign w:val="center"/>
          </w:tcPr>
          <w:p w14:paraId="59ED3291" w14:textId="3B565B46" w:rsidR="00C53052" w:rsidRPr="005C5E32" w:rsidRDefault="00C53052" w:rsidP="00C53052">
            <w:pPr>
              <w:pStyle w:val="TableText"/>
              <w:spacing w:before="40" w:after="40"/>
              <w:jc w:val="right"/>
              <w:rPr>
                <w:rFonts w:cs="Calibri"/>
                <w:szCs w:val="18"/>
              </w:rPr>
            </w:pPr>
            <w:r w:rsidRPr="005C5E32">
              <w:rPr>
                <w:rFonts w:eastAsia="Times New Roman" w:cs="Calibri"/>
                <w:color w:val="000000" w:themeColor="text1"/>
                <w:szCs w:val="18"/>
              </w:rPr>
              <w:t>32.6%</w:t>
            </w:r>
          </w:p>
        </w:tc>
        <w:tc>
          <w:tcPr>
            <w:tcW w:w="1169" w:type="dxa"/>
            <w:vAlign w:val="center"/>
          </w:tcPr>
          <w:p w14:paraId="7BB9C089" w14:textId="7231711C" w:rsidR="00C53052" w:rsidRPr="005C5E32" w:rsidRDefault="00C53052" w:rsidP="00C53052">
            <w:pPr>
              <w:pStyle w:val="TableText"/>
              <w:spacing w:before="40" w:after="40"/>
              <w:jc w:val="right"/>
              <w:rPr>
                <w:rFonts w:cs="Calibri"/>
                <w:szCs w:val="18"/>
              </w:rPr>
            </w:pPr>
            <w:r w:rsidRPr="005C5E32">
              <w:rPr>
                <w:rFonts w:cs="Calibri"/>
                <w:szCs w:val="18"/>
              </w:rPr>
              <w:t>32.9%</w:t>
            </w:r>
          </w:p>
        </w:tc>
        <w:tc>
          <w:tcPr>
            <w:tcW w:w="1169" w:type="dxa"/>
          </w:tcPr>
          <w:p w14:paraId="201C3C23" w14:textId="11F31869" w:rsidR="00C53052" w:rsidRPr="005C5E32" w:rsidRDefault="00C53052" w:rsidP="00C53052">
            <w:pPr>
              <w:pStyle w:val="TableText"/>
              <w:spacing w:before="40" w:after="40"/>
              <w:jc w:val="right"/>
              <w:rPr>
                <w:rFonts w:cs="Calibri"/>
                <w:szCs w:val="18"/>
              </w:rPr>
            </w:pPr>
            <w:r w:rsidRPr="005C5E32">
              <w:rPr>
                <w:rFonts w:cs="Calibri"/>
                <w:szCs w:val="18"/>
              </w:rPr>
              <w:t>34.</w:t>
            </w:r>
            <w:r w:rsidRPr="005C5E32" w:rsidDel="00971B52">
              <w:rPr>
                <w:rFonts w:cs="Calibri"/>
                <w:szCs w:val="18"/>
              </w:rPr>
              <w:t>1</w:t>
            </w:r>
            <w:r w:rsidRPr="005C5E32">
              <w:rPr>
                <w:rFonts w:cs="Calibri"/>
                <w:szCs w:val="18"/>
              </w:rPr>
              <w:t>%</w:t>
            </w:r>
          </w:p>
        </w:tc>
        <w:tc>
          <w:tcPr>
            <w:tcW w:w="1170" w:type="dxa"/>
          </w:tcPr>
          <w:p w14:paraId="763BC1A2" w14:textId="78BAED11" w:rsidR="00C53052" w:rsidRPr="005C5E32" w:rsidRDefault="00C53052" w:rsidP="00C53052">
            <w:pPr>
              <w:pStyle w:val="TableText"/>
              <w:spacing w:before="40" w:after="40"/>
              <w:jc w:val="right"/>
              <w:rPr>
                <w:rFonts w:cs="Calibri"/>
                <w:szCs w:val="18"/>
              </w:rPr>
            </w:pPr>
            <w:r w:rsidRPr="005C5E32">
              <w:rPr>
                <w:rFonts w:cs="Calibri"/>
                <w:szCs w:val="18"/>
              </w:rPr>
              <w:t>35.3%</w:t>
            </w:r>
          </w:p>
        </w:tc>
      </w:tr>
      <w:tr w:rsidR="00C53052" w:rsidRPr="005C5E32" w14:paraId="630C8A59" w14:textId="77777777">
        <w:tc>
          <w:tcPr>
            <w:tcW w:w="3828" w:type="dxa"/>
          </w:tcPr>
          <w:p w14:paraId="725D1550" w14:textId="628CAC28" w:rsidR="00C53052" w:rsidRPr="005C5E32" w:rsidRDefault="00C53052" w:rsidP="00C53052">
            <w:pPr>
              <w:pStyle w:val="TableText"/>
              <w:spacing w:before="40" w:after="40"/>
              <w:rPr>
                <w:rFonts w:eastAsia="Times New Roman" w:cs="Calibri"/>
                <w:color w:val="000000" w:themeColor="text1"/>
                <w:szCs w:val="18"/>
              </w:rPr>
            </w:pPr>
            <w:r w:rsidRPr="005C5E32">
              <w:rPr>
                <w:rFonts w:eastAsia="Times New Roman" w:cs="Calibri"/>
                <w:color w:val="000000" w:themeColor="text1"/>
                <w:szCs w:val="18"/>
              </w:rPr>
              <w:t xml:space="preserve">Another gender </w:t>
            </w:r>
            <w:r w:rsidRPr="005C5E32" w:rsidDel="00CC683C">
              <w:rPr>
                <w:rFonts w:eastAsia="Times New Roman" w:cs="Calibri"/>
                <w:color w:val="000000" w:themeColor="text1"/>
                <w:szCs w:val="18"/>
              </w:rPr>
              <w:t>manager</w:t>
            </w:r>
          </w:p>
        </w:tc>
        <w:tc>
          <w:tcPr>
            <w:tcW w:w="1169" w:type="dxa"/>
            <w:vAlign w:val="center"/>
          </w:tcPr>
          <w:p w14:paraId="7807A3F5" w14:textId="4C5474D5" w:rsidR="00C53052" w:rsidRPr="005C5E32" w:rsidRDefault="00C53052" w:rsidP="00C53052">
            <w:pPr>
              <w:pStyle w:val="TableText"/>
              <w:spacing w:before="40" w:after="40"/>
              <w:jc w:val="right"/>
              <w:rPr>
                <w:rFonts w:cs="Calibri"/>
                <w:szCs w:val="18"/>
              </w:rPr>
            </w:pPr>
            <w:r w:rsidRPr="005C5E32">
              <w:rPr>
                <w:rFonts w:eastAsia="Times New Roman" w:cs="Calibri"/>
                <w:color w:val="000000" w:themeColor="text1"/>
                <w:szCs w:val="18"/>
              </w:rPr>
              <w:t>1.1%</w:t>
            </w:r>
          </w:p>
        </w:tc>
        <w:tc>
          <w:tcPr>
            <w:tcW w:w="1169" w:type="dxa"/>
            <w:vAlign w:val="center"/>
          </w:tcPr>
          <w:p w14:paraId="5829DE9F" w14:textId="48CD39D8" w:rsidR="00C53052" w:rsidRPr="005C5E32" w:rsidRDefault="00C53052" w:rsidP="00C53052">
            <w:pPr>
              <w:pStyle w:val="TableText"/>
              <w:spacing w:before="40" w:after="40"/>
              <w:jc w:val="right"/>
              <w:rPr>
                <w:rFonts w:cs="Calibri"/>
                <w:szCs w:val="18"/>
              </w:rPr>
            </w:pPr>
            <w:r w:rsidRPr="005C5E32">
              <w:rPr>
                <w:rFonts w:cs="Calibri"/>
                <w:szCs w:val="18"/>
              </w:rPr>
              <w:t>–</w:t>
            </w:r>
          </w:p>
        </w:tc>
        <w:tc>
          <w:tcPr>
            <w:tcW w:w="1169" w:type="dxa"/>
          </w:tcPr>
          <w:p w14:paraId="594E53E6" w14:textId="707BB54C" w:rsidR="00C53052" w:rsidRPr="005C5E32" w:rsidRDefault="00C53052" w:rsidP="00C53052">
            <w:pPr>
              <w:pStyle w:val="TableText"/>
              <w:spacing w:before="40" w:after="40"/>
              <w:jc w:val="right"/>
              <w:rPr>
                <w:rFonts w:cs="Calibri"/>
                <w:szCs w:val="18"/>
              </w:rPr>
            </w:pPr>
            <w:r w:rsidRPr="005C5E32">
              <w:rPr>
                <w:rFonts w:cs="Calibri"/>
                <w:szCs w:val="18"/>
              </w:rPr>
              <w:t>0.8%</w:t>
            </w:r>
          </w:p>
        </w:tc>
        <w:tc>
          <w:tcPr>
            <w:tcW w:w="1170" w:type="dxa"/>
          </w:tcPr>
          <w:p w14:paraId="2CF58C1A" w14:textId="482152D2" w:rsidR="00C53052" w:rsidRPr="005C5E32" w:rsidRDefault="00C53052" w:rsidP="00C53052">
            <w:pPr>
              <w:pStyle w:val="TableText"/>
              <w:spacing w:before="40" w:after="40"/>
              <w:jc w:val="right"/>
              <w:rPr>
                <w:rFonts w:cs="Calibri"/>
                <w:szCs w:val="18"/>
              </w:rPr>
            </w:pPr>
            <w:r w:rsidRPr="005C5E32">
              <w:rPr>
                <w:rFonts w:cs="Calibri"/>
                <w:szCs w:val="18"/>
              </w:rPr>
              <w:t>–</w:t>
            </w:r>
          </w:p>
        </w:tc>
      </w:tr>
    </w:tbl>
    <w:p w14:paraId="51CF2F0A" w14:textId="63B836C7" w:rsidR="00EF6B76" w:rsidRPr="005C5E32" w:rsidRDefault="003F11C1" w:rsidP="00227203">
      <w:pPr>
        <w:pStyle w:val="Note"/>
        <w:spacing w:after="0"/>
      </w:pPr>
      <w:r w:rsidRPr="005C5E32">
        <w:t xml:space="preserve">* FTE includes employees who are permanent, fixed term or seconded </w:t>
      </w:r>
      <w:r w:rsidR="00EB39DB" w:rsidRPr="005C5E32">
        <w:t>to other organisations</w:t>
      </w:r>
      <w:r w:rsidRPr="005C5E32">
        <w:t>.</w:t>
      </w:r>
    </w:p>
    <w:p w14:paraId="73246E6B" w14:textId="5C696186" w:rsidR="003F11C1" w:rsidRPr="005C5E32" w:rsidRDefault="003F11C1" w:rsidP="00227203">
      <w:pPr>
        <w:pStyle w:val="Note"/>
        <w:spacing w:before="60"/>
      </w:pPr>
      <w:r w:rsidRPr="005C5E32">
        <w:t>** Part time = less than 1.0 FTE</w:t>
      </w:r>
    </w:p>
    <w:p w14:paraId="57ACE2E6" w14:textId="20ACA315" w:rsidR="003F11C1" w:rsidRPr="005C5E32" w:rsidRDefault="003F11C1" w:rsidP="001424CD">
      <w:pPr>
        <w:pStyle w:val="Tableheading"/>
      </w:pPr>
      <w:r w:rsidRPr="005C5E32">
        <w:t xml:space="preserve">Table </w:t>
      </w:r>
      <w:fldSimple w:instr=" SEQ Table \* ARABIC ">
        <w:r w:rsidR="00D8311D">
          <w:rPr>
            <w:noProof/>
          </w:rPr>
          <w:t>5</w:t>
        </w:r>
      </w:fldSimple>
      <w:r w:rsidRPr="005C5E32">
        <w:t xml:space="preserve">: </w:t>
      </w:r>
      <w:r w:rsidRPr="005C5E32">
        <w:tab/>
        <w:t>Ethnicity of staff,</w:t>
      </w:r>
      <w:r w:rsidR="009806ED" w:rsidRPr="005C5E32">
        <w:t>*</w:t>
      </w:r>
      <w:r w:rsidRPr="005C5E32">
        <w:t xml:space="preserve"> 2022/23 to 2025/26</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ook w:val="04A0" w:firstRow="1" w:lastRow="0" w:firstColumn="1" w:lastColumn="0" w:noHBand="0" w:noVBand="1"/>
      </w:tblPr>
      <w:tblGrid>
        <w:gridCol w:w="3828"/>
        <w:gridCol w:w="1134"/>
        <w:gridCol w:w="1275"/>
        <w:gridCol w:w="1134"/>
        <w:gridCol w:w="1134"/>
      </w:tblGrid>
      <w:tr w:rsidR="003F11C1" w:rsidRPr="005C5E32" w14:paraId="75C269EE" w14:textId="77777777" w:rsidTr="00227203">
        <w:trPr>
          <w:tblHeader/>
        </w:trPr>
        <w:tc>
          <w:tcPr>
            <w:tcW w:w="3828" w:type="dxa"/>
            <w:shd w:val="clear" w:color="auto" w:fill="1B556B"/>
          </w:tcPr>
          <w:p w14:paraId="1E897E47" w14:textId="2D745AA7" w:rsidR="003F11C1" w:rsidRPr="005C5E32" w:rsidRDefault="003F11C1" w:rsidP="003D0CC1">
            <w:pPr>
              <w:pStyle w:val="TableTextbold"/>
              <w:spacing w:before="40" w:after="40"/>
              <w:rPr>
                <w:color w:val="FFFFFF" w:themeColor="background1"/>
                <w:szCs w:val="18"/>
              </w:rPr>
            </w:pPr>
            <w:r w:rsidRPr="005C5E32">
              <w:rPr>
                <w:color w:val="FFFFFF" w:themeColor="background1"/>
                <w:szCs w:val="18"/>
              </w:rPr>
              <w:t>Ethnicity</w:t>
            </w:r>
            <w:r w:rsidR="009806ED" w:rsidRPr="005C5E32">
              <w:rPr>
                <w:color w:val="FFFFFF" w:themeColor="background1"/>
                <w:szCs w:val="18"/>
              </w:rPr>
              <w:t xml:space="preserve">** </w:t>
            </w:r>
          </w:p>
        </w:tc>
        <w:tc>
          <w:tcPr>
            <w:tcW w:w="1134" w:type="dxa"/>
            <w:shd w:val="clear" w:color="auto" w:fill="1B556B"/>
          </w:tcPr>
          <w:p w14:paraId="1BBE32C7" w14:textId="77777777" w:rsidR="003F11C1" w:rsidRPr="005C5E32" w:rsidRDefault="003F11C1" w:rsidP="003D0CC1">
            <w:pPr>
              <w:pStyle w:val="TableTextbold"/>
              <w:spacing w:before="40" w:after="40"/>
              <w:jc w:val="right"/>
              <w:rPr>
                <w:color w:val="FFFFFF" w:themeColor="background1"/>
                <w:szCs w:val="18"/>
              </w:rPr>
            </w:pPr>
            <w:r w:rsidRPr="005C5E32">
              <w:rPr>
                <w:color w:val="FFFFFF" w:themeColor="background1"/>
                <w:szCs w:val="18"/>
              </w:rPr>
              <w:t xml:space="preserve">2022/23 </w:t>
            </w:r>
          </w:p>
        </w:tc>
        <w:tc>
          <w:tcPr>
            <w:tcW w:w="1275" w:type="dxa"/>
            <w:shd w:val="clear" w:color="auto" w:fill="1B556B"/>
          </w:tcPr>
          <w:p w14:paraId="6AAEAC9F" w14:textId="77777777" w:rsidR="003F11C1" w:rsidRPr="005C5E32" w:rsidRDefault="003F11C1" w:rsidP="003D0CC1">
            <w:pPr>
              <w:pStyle w:val="TableTextbold"/>
              <w:spacing w:before="40" w:after="40"/>
              <w:jc w:val="right"/>
              <w:rPr>
                <w:color w:val="FFFFFF" w:themeColor="background1"/>
                <w:szCs w:val="18"/>
              </w:rPr>
            </w:pPr>
            <w:r w:rsidRPr="005C5E32">
              <w:rPr>
                <w:color w:val="FFFFFF" w:themeColor="background1"/>
                <w:szCs w:val="18"/>
              </w:rPr>
              <w:t xml:space="preserve">2023/24 </w:t>
            </w:r>
          </w:p>
        </w:tc>
        <w:tc>
          <w:tcPr>
            <w:tcW w:w="1134" w:type="dxa"/>
            <w:shd w:val="clear" w:color="auto" w:fill="1B556B"/>
          </w:tcPr>
          <w:p w14:paraId="4A212FAB" w14:textId="77777777" w:rsidR="003F11C1" w:rsidRPr="005C5E32" w:rsidRDefault="003F11C1" w:rsidP="003D0CC1">
            <w:pPr>
              <w:pStyle w:val="TableTextbold"/>
              <w:spacing w:before="40" w:after="40"/>
              <w:jc w:val="right"/>
              <w:rPr>
                <w:color w:val="FFFFFF" w:themeColor="background1"/>
                <w:szCs w:val="18"/>
              </w:rPr>
            </w:pPr>
            <w:r w:rsidRPr="005C5E32">
              <w:rPr>
                <w:color w:val="FFFFFF" w:themeColor="background1"/>
                <w:szCs w:val="18"/>
              </w:rPr>
              <w:t>2024/25</w:t>
            </w:r>
          </w:p>
        </w:tc>
        <w:tc>
          <w:tcPr>
            <w:tcW w:w="1134" w:type="dxa"/>
            <w:shd w:val="clear" w:color="auto" w:fill="1B556B"/>
          </w:tcPr>
          <w:p w14:paraId="762EA024" w14:textId="77777777" w:rsidR="003F11C1" w:rsidRPr="005C5E32" w:rsidRDefault="003F11C1" w:rsidP="003D0CC1">
            <w:pPr>
              <w:pStyle w:val="TableTextbold"/>
              <w:spacing w:before="40" w:after="40"/>
              <w:jc w:val="right"/>
              <w:rPr>
                <w:color w:val="FFFFFF" w:themeColor="background1"/>
                <w:szCs w:val="18"/>
              </w:rPr>
            </w:pPr>
            <w:r w:rsidRPr="005C5E32">
              <w:rPr>
                <w:color w:val="FFFFFF" w:themeColor="background1"/>
                <w:szCs w:val="18"/>
              </w:rPr>
              <w:t>2025/26</w:t>
            </w:r>
          </w:p>
        </w:tc>
      </w:tr>
      <w:tr w:rsidR="003F11C1" w:rsidRPr="005C5E32" w14:paraId="715ED0F3" w14:textId="77777777" w:rsidTr="00227203">
        <w:tc>
          <w:tcPr>
            <w:tcW w:w="3828" w:type="dxa"/>
          </w:tcPr>
          <w:p w14:paraId="3E66BC2F" w14:textId="77777777" w:rsidR="003F11C1" w:rsidRPr="005C5E32" w:rsidRDefault="003F11C1" w:rsidP="003D0CC1">
            <w:pPr>
              <w:pStyle w:val="TableText"/>
              <w:spacing w:before="40" w:after="40"/>
              <w:rPr>
                <w:szCs w:val="18"/>
              </w:rPr>
            </w:pPr>
            <w:r w:rsidRPr="005C5E32">
              <w:rPr>
                <w:rFonts w:eastAsia="Times New Roman" w:cs="Calibri"/>
                <w:color w:val="000000" w:themeColor="text1"/>
                <w:szCs w:val="18"/>
              </w:rPr>
              <w:t>European</w:t>
            </w:r>
          </w:p>
        </w:tc>
        <w:tc>
          <w:tcPr>
            <w:tcW w:w="1134" w:type="dxa"/>
          </w:tcPr>
          <w:p w14:paraId="064E2022" w14:textId="77777777" w:rsidR="003F11C1" w:rsidRPr="005C5E32" w:rsidRDefault="003F11C1" w:rsidP="003D0CC1">
            <w:pPr>
              <w:pStyle w:val="TableText"/>
              <w:spacing w:before="40" w:after="40"/>
              <w:jc w:val="right"/>
              <w:rPr>
                <w:szCs w:val="18"/>
              </w:rPr>
            </w:pPr>
            <w:r w:rsidRPr="005C5E32">
              <w:rPr>
                <w:rFonts w:eastAsia="Times New Roman" w:cs="Calibri"/>
                <w:color w:val="000000" w:themeColor="text1"/>
                <w:szCs w:val="18"/>
              </w:rPr>
              <w:t>76.2%</w:t>
            </w:r>
          </w:p>
        </w:tc>
        <w:tc>
          <w:tcPr>
            <w:tcW w:w="1275" w:type="dxa"/>
          </w:tcPr>
          <w:p w14:paraId="7E336FA5" w14:textId="77777777" w:rsidR="003F11C1" w:rsidRPr="005C5E32" w:rsidRDefault="003F11C1" w:rsidP="003D0CC1">
            <w:pPr>
              <w:pStyle w:val="TableText"/>
              <w:spacing w:before="40" w:after="40"/>
              <w:jc w:val="right"/>
              <w:rPr>
                <w:szCs w:val="18"/>
              </w:rPr>
            </w:pPr>
            <w:r w:rsidRPr="005C5E32">
              <w:rPr>
                <w:szCs w:val="18"/>
              </w:rPr>
              <w:t>78.1%</w:t>
            </w:r>
          </w:p>
        </w:tc>
        <w:tc>
          <w:tcPr>
            <w:tcW w:w="1134" w:type="dxa"/>
          </w:tcPr>
          <w:p w14:paraId="164F0F18" w14:textId="77777777" w:rsidR="003F11C1" w:rsidRPr="005C5E32" w:rsidRDefault="003F11C1" w:rsidP="003D0CC1">
            <w:pPr>
              <w:pStyle w:val="TableText"/>
              <w:spacing w:before="40" w:after="40"/>
              <w:jc w:val="right"/>
              <w:rPr>
                <w:szCs w:val="18"/>
              </w:rPr>
            </w:pPr>
            <w:r w:rsidRPr="005C5E32">
              <w:rPr>
                <w:szCs w:val="18"/>
              </w:rPr>
              <w:t>75.9%</w:t>
            </w:r>
          </w:p>
        </w:tc>
        <w:tc>
          <w:tcPr>
            <w:tcW w:w="1134" w:type="dxa"/>
          </w:tcPr>
          <w:p w14:paraId="7202D2D3" w14:textId="77777777" w:rsidR="003F11C1" w:rsidRPr="005C5E32" w:rsidRDefault="003F11C1" w:rsidP="003D0CC1">
            <w:pPr>
              <w:pStyle w:val="TableText"/>
              <w:spacing w:before="40" w:after="40"/>
              <w:jc w:val="right"/>
              <w:rPr>
                <w:szCs w:val="18"/>
              </w:rPr>
            </w:pPr>
            <w:r w:rsidRPr="005C5E32">
              <w:rPr>
                <w:szCs w:val="18"/>
              </w:rPr>
              <w:t>76.7%</w:t>
            </w:r>
          </w:p>
        </w:tc>
      </w:tr>
      <w:tr w:rsidR="003F11C1" w:rsidRPr="005C5E32" w14:paraId="00D61BBC" w14:textId="77777777" w:rsidTr="00227203">
        <w:tc>
          <w:tcPr>
            <w:tcW w:w="3828" w:type="dxa"/>
          </w:tcPr>
          <w:p w14:paraId="5D82F47C" w14:textId="77777777" w:rsidR="003F11C1" w:rsidRPr="005C5E32" w:rsidRDefault="003F11C1" w:rsidP="003D0CC1">
            <w:pPr>
              <w:pStyle w:val="TableText"/>
              <w:spacing w:before="40" w:after="40"/>
              <w:rPr>
                <w:rFonts w:eastAsia="Times New Roman" w:cs="Calibri"/>
                <w:color w:val="000000" w:themeColor="text1"/>
                <w:szCs w:val="18"/>
              </w:rPr>
            </w:pPr>
            <w:r w:rsidRPr="005C5E32">
              <w:rPr>
                <w:rFonts w:eastAsia="Times New Roman" w:cs="Calibri"/>
                <w:color w:val="000000" w:themeColor="text1"/>
                <w:szCs w:val="18"/>
              </w:rPr>
              <w:t>Māori</w:t>
            </w:r>
          </w:p>
        </w:tc>
        <w:tc>
          <w:tcPr>
            <w:tcW w:w="1134" w:type="dxa"/>
          </w:tcPr>
          <w:p w14:paraId="03EA1CC8" w14:textId="77777777" w:rsidR="003F11C1" w:rsidRPr="005C5E32" w:rsidRDefault="003F11C1" w:rsidP="003D0CC1">
            <w:pPr>
              <w:pStyle w:val="TableText"/>
              <w:spacing w:before="40" w:after="40"/>
              <w:jc w:val="right"/>
              <w:rPr>
                <w:szCs w:val="18"/>
              </w:rPr>
            </w:pPr>
            <w:r w:rsidRPr="005C5E32">
              <w:rPr>
                <w:rFonts w:eastAsia="Times New Roman" w:cs="Calibri"/>
                <w:color w:val="000000" w:themeColor="text1"/>
                <w:szCs w:val="18"/>
              </w:rPr>
              <w:t>14.6%</w:t>
            </w:r>
          </w:p>
        </w:tc>
        <w:tc>
          <w:tcPr>
            <w:tcW w:w="1275" w:type="dxa"/>
          </w:tcPr>
          <w:p w14:paraId="475ECF11" w14:textId="77777777" w:rsidR="003F11C1" w:rsidRPr="005C5E32" w:rsidRDefault="003F11C1" w:rsidP="003D0CC1">
            <w:pPr>
              <w:pStyle w:val="TableText"/>
              <w:spacing w:before="40" w:after="40"/>
              <w:jc w:val="right"/>
              <w:rPr>
                <w:szCs w:val="18"/>
              </w:rPr>
            </w:pPr>
            <w:r w:rsidRPr="005C5E32">
              <w:rPr>
                <w:szCs w:val="18"/>
              </w:rPr>
              <w:t>13.7%</w:t>
            </w:r>
          </w:p>
        </w:tc>
        <w:tc>
          <w:tcPr>
            <w:tcW w:w="1134" w:type="dxa"/>
          </w:tcPr>
          <w:p w14:paraId="1B3A91AD" w14:textId="77777777" w:rsidR="003F11C1" w:rsidRPr="005C5E32" w:rsidRDefault="003F11C1" w:rsidP="003D0CC1">
            <w:pPr>
              <w:pStyle w:val="TableText"/>
              <w:spacing w:before="40" w:after="40"/>
              <w:jc w:val="right"/>
              <w:rPr>
                <w:szCs w:val="18"/>
              </w:rPr>
            </w:pPr>
            <w:r w:rsidRPr="005C5E32">
              <w:rPr>
                <w:szCs w:val="18"/>
              </w:rPr>
              <w:t>10.8%</w:t>
            </w:r>
          </w:p>
        </w:tc>
        <w:tc>
          <w:tcPr>
            <w:tcW w:w="1134" w:type="dxa"/>
          </w:tcPr>
          <w:p w14:paraId="30F34CCD" w14:textId="77777777" w:rsidR="003F11C1" w:rsidRPr="005C5E32" w:rsidRDefault="003F11C1" w:rsidP="003D0CC1">
            <w:pPr>
              <w:pStyle w:val="TableText"/>
              <w:spacing w:before="40" w:after="40"/>
              <w:jc w:val="right"/>
              <w:rPr>
                <w:szCs w:val="18"/>
              </w:rPr>
            </w:pPr>
            <w:r w:rsidRPr="005C5E32">
              <w:rPr>
                <w:szCs w:val="18"/>
              </w:rPr>
              <w:t>11.9%</w:t>
            </w:r>
          </w:p>
        </w:tc>
      </w:tr>
      <w:tr w:rsidR="003F11C1" w:rsidRPr="005C5E32" w14:paraId="5CF349EE" w14:textId="77777777" w:rsidTr="00227203">
        <w:tc>
          <w:tcPr>
            <w:tcW w:w="3828" w:type="dxa"/>
          </w:tcPr>
          <w:p w14:paraId="30F2A4CF" w14:textId="77777777" w:rsidR="003F11C1" w:rsidRPr="005C5E32" w:rsidRDefault="003F11C1" w:rsidP="003D0CC1">
            <w:pPr>
              <w:pStyle w:val="TableText"/>
              <w:spacing w:before="40" w:after="40"/>
              <w:rPr>
                <w:rFonts w:eastAsia="Times New Roman" w:cs="Calibri"/>
                <w:color w:val="000000" w:themeColor="text1"/>
                <w:szCs w:val="18"/>
              </w:rPr>
            </w:pPr>
            <w:r w:rsidRPr="005C5E32">
              <w:rPr>
                <w:rFonts w:eastAsia="Times New Roman" w:cs="Calibri"/>
                <w:color w:val="000000" w:themeColor="text1"/>
                <w:szCs w:val="18"/>
              </w:rPr>
              <w:t>Asian</w:t>
            </w:r>
          </w:p>
        </w:tc>
        <w:tc>
          <w:tcPr>
            <w:tcW w:w="1134" w:type="dxa"/>
          </w:tcPr>
          <w:p w14:paraId="67A964CD" w14:textId="77777777" w:rsidR="003F11C1" w:rsidRPr="005C5E32" w:rsidRDefault="003F11C1" w:rsidP="003D0CC1">
            <w:pPr>
              <w:pStyle w:val="TableText"/>
              <w:spacing w:before="40" w:after="40"/>
              <w:jc w:val="right"/>
              <w:rPr>
                <w:szCs w:val="18"/>
              </w:rPr>
            </w:pPr>
            <w:r w:rsidRPr="005C5E32">
              <w:rPr>
                <w:rFonts w:eastAsia="Times New Roman" w:cs="Calibri"/>
                <w:color w:val="000000" w:themeColor="text1"/>
                <w:szCs w:val="18"/>
              </w:rPr>
              <w:t>7.4%</w:t>
            </w:r>
          </w:p>
        </w:tc>
        <w:tc>
          <w:tcPr>
            <w:tcW w:w="1275" w:type="dxa"/>
          </w:tcPr>
          <w:p w14:paraId="688CFC60" w14:textId="77777777" w:rsidR="003F11C1" w:rsidRPr="005C5E32" w:rsidRDefault="003F11C1" w:rsidP="003D0CC1">
            <w:pPr>
              <w:pStyle w:val="TableText"/>
              <w:spacing w:before="40" w:after="40"/>
              <w:jc w:val="right"/>
              <w:rPr>
                <w:szCs w:val="18"/>
              </w:rPr>
            </w:pPr>
            <w:r w:rsidRPr="005C5E32">
              <w:rPr>
                <w:szCs w:val="18"/>
              </w:rPr>
              <w:t>6.8%</w:t>
            </w:r>
          </w:p>
        </w:tc>
        <w:tc>
          <w:tcPr>
            <w:tcW w:w="1134" w:type="dxa"/>
          </w:tcPr>
          <w:p w14:paraId="03BAE69D" w14:textId="77777777" w:rsidR="003F11C1" w:rsidRPr="005C5E32" w:rsidRDefault="003F11C1" w:rsidP="003D0CC1">
            <w:pPr>
              <w:pStyle w:val="TableText"/>
              <w:spacing w:before="40" w:after="40"/>
              <w:jc w:val="right"/>
              <w:rPr>
                <w:szCs w:val="18"/>
              </w:rPr>
            </w:pPr>
            <w:r w:rsidRPr="005C5E32">
              <w:rPr>
                <w:szCs w:val="18"/>
              </w:rPr>
              <w:t>7.3%</w:t>
            </w:r>
          </w:p>
        </w:tc>
        <w:tc>
          <w:tcPr>
            <w:tcW w:w="1134" w:type="dxa"/>
          </w:tcPr>
          <w:p w14:paraId="342DD28D" w14:textId="77777777" w:rsidR="003F11C1" w:rsidRPr="005C5E32" w:rsidRDefault="003F11C1" w:rsidP="003D0CC1">
            <w:pPr>
              <w:pStyle w:val="TableText"/>
              <w:spacing w:before="40" w:after="40"/>
              <w:jc w:val="right"/>
              <w:rPr>
                <w:szCs w:val="18"/>
              </w:rPr>
            </w:pPr>
            <w:r w:rsidRPr="005C5E32">
              <w:rPr>
                <w:szCs w:val="18"/>
              </w:rPr>
              <w:t>7.5%</w:t>
            </w:r>
          </w:p>
        </w:tc>
      </w:tr>
      <w:tr w:rsidR="003F11C1" w:rsidRPr="005C5E32" w14:paraId="4FDF3141" w14:textId="77777777" w:rsidTr="00227203">
        <w:tc>
          <w:tcPr>
            <w:tcW w:w="3828" w:type="dxa"/>
          </w:tcPr>
          <w:p w14:paraId="7C682013" w14:textId="77777777" w:rsidR="003F11C1" w:rsidRPr="005C5E32" w:rsidRDefault="003F11C1" w:rsidP="003D0CC1">
            <w:pPr>
              <w:pStyle w:val="TableText"/>
              <w:spacing w:before="40" w:after="40"/>
              <w:rPr>
                <w:rFonts w:eastAsia="Times New Roman" w:cs="Calibri"/>
                <w:color w:val="000000" w:themeColor="text1"/>
                <w:szCs w:val="18"/>
              </w:rPr>
            </w:pPr>
            <w:r w:rsidRPr="005C5E32">
              <w:rPr>
                <w:rFonts w:eastAsia="Times New Roman" w:cs="Calibri"/>
                <w:color w:val="000000" w:themeColor="text1"/>
                <w:szCs w:val="18"/>
              </w:rPr>
              <w:t>Pacific peoples</w:t>
            </w:r>
          </w:p>
        </w:tc>
        <w:tc>
          <w:tcPr>
            <w:tcW w:w="1134" w:type="dxa"/>
          </w:tcPr>
          <w:p w14:paraId="41A37954" w14:textId="77777777" w:rsidR="003F11C1" w:rsidRPr="005C5E32" w:rsidRDefault="003F11C1" w:rsidP="003D0CC1">
            <w:pPr>
              <w:pStyle w:val="TableText"/>
              <w:spacing w:before="40" w:after="40"/>
              <w:jc w:val="right"/>
              <w:rPr>
                <w:szCs w:val="18"/>
              </w:rPr>
            </w:pPr>
            <w:r w:rsidRPr="005C5E32">
              <w:rPr>
                <w:rFonts w:eastAsia="Times New Roman" w:cs="Calibri"/>
                <w:color w:val="000000" w:themeColor="text1"/>
                <w:szCs w:val="18"/>
              </w:rPr>
              <w:t>1.9%</w:t>
            </w:r>
          </w:p>
        </w:tc>
        <w:tc>
          <w:tcPr>
            <w:tcW w:w="1275" w:type="dxa"/>
          </w:tcPr>
          <w:p w14:paraId="3772723E" w14:textId="77777777" w:rsidR="003F11C1" w:rsidRPr="005C5E32" w:rsidRDefault="003F11C1" w:rsidP="003D0CC1">
            <w:pPr>
              <w:pStyle w:val="TableText"/>
              <w:spacing w:before="40" w:after="40"/>
              <w:jc w:val="right"/>
              <w:rPr>
                <w:szCs w:val="18"/>
              </w:rPr>
            </w:pPr>
            <w:r w:rsidRPr="005C5E32">
              <w:rPr>
                <w:szCs w:val="18"/>
              </w:rPr>
              <w:t>0.3%</w:t>
            </w:r>
          </w:p>
        </w:tc>
        <w:tc>
          <w:tcPr>
            <w:tcW w:w="1134" w:type="dxa"/>
          </w:tcPr>
          <w:p w14:paraId="3C958F7D" w14:textId="77777777" w:rsidR="003F11C1" w:rsidRPr="005C5E32" w:rsidRDefault="003F11C1" w:rsidP="003D0CC1">
            <w:pPr>
              <w:pStyle w:val="TableText"/>
              <w:spacing w:before="40" w:after="40"/>
              <w:jc w:val="right"/>
              <w:rPr>
                <w:szCs w:val="18"/>
              </w:rPr>
            </w:pPr>
            <w:r w:rsidRPr="005C5E32">
              <w:rPr>
                <w:szCs w:val="18"/>
              </w:rPr>
              <w:t>1.5%</w:t>
            </w:r>
          </w:p>
        </w:tc>
        <w:tc>
          <w:tcPr>
            <w:tcW w:w="1134" w:type="dxa"/>
          </w:tcPr>
          <w:p w14:paraId="50AE7584" w14:textId="77777777" w:rsidR="003F11C1" w:rsidRPr="005C5E32" w:rsidRDefault="003F11C1" w:rsidP="003D0CC1">
            <w:pPr>
              <w:pStyle w:val="TableText"/>
              <w:spacing w:before="40" w:after="40"/>
              <w:jc w:val="right"/>
              <w:rPr>
                <w:szCs w:val="18"/>
              </w:rPr>
            </w:pPr>
            <w:r w:rsidRPr="005C5E32">
              <w:rPr>
                <w:szCs w:val="18"/>
              </w:rPr>
              <w:t>1.6%</w:t>
            </w:r>
          </w:p>
        </w:tc>
      </w:tr>
      <w:tr w:rsidR="003F11C1" w:rsidRPr="005C5E32" w14:paraId="66FE3BE1" w14:textId="77777777" w:rsidTr="00227203">
        <w:tc>
          <w:tcPr>
            <w:tcW w:w="3828" w:type="dxa"/>
          </w:tcPr>
          <w:p w14:paraId="40715E75" w14:textId="77777777" w:rsidR="003F11C1" w:rsidRPr="005C5E32" w:rsidRDefault="003F11C1" w:rsidP="003D0CC1">
            <w:pPr>
              <w:pStyle w:val="TableText"/>
              <w:spacing w:before="40" w:after="40"/>
              <w:rPr>
                <w:rFonts w:eastAsia="Times New Roman" w:cs="Calibri"/>
                <w:color w:val="000000" w:themeColor="text1"/>
                <w:szCs w:val="18"/>
              </w:rPr>
            </w:pPr>
            <w:r w:rsidRPr="005C5E32">
              <w:rPr>
                <w:rFonts w:eastAsia="Times New Roman" w:cs="Calibri"/>
                <w:color w:val="000000" w:themeColor="text1"/>
                <w:szCs w:val="18"/>
              </w:rPr>
              <w:t>Middle Eastern / Latin American / African</w:t>
            </w:r>
          </w:p>
        </w:tc>
        <w:tc>
          <w:tcPr>
            <w:tcW w:w="1134" w:type="dxa"/>
          </w:tcPr>
          <w:p w14:paraId="58419228" w14:textId="77777777" w:rsidR="003F11C1" w:rsidRPr="005C5E32" w:rsidRDefault="003F11C1" w:rsidP="003D0CC1">
            <w:pPr>
              <w:pStyle w:val="TableText"/>
              <w:spacing w:before="40" w:after="40"/>
              <w:jc w:val="right"/>
              <w:rPr>
                <w:szCs w:val="18"/>
              </w:rPr>
            </w:pPr>
            <w:r w:rsidRPr="005C5E32">
              <w:rPr>
                <w:rFonts w:eastAsia="Times New Roman" w:cs="Calibri"/>
                <w:color w:val="000000" w:themeColor="text1"/>
                <w:szCs w:val="18"/>
              </w:rPr>
              <w:t>1.7%</w:t>
            </w:r>
          </w:p>
        </w:tc>
        <w:tc>
          <w:tcPr>
            <w:tcW w:w="1275" w:type="dxa"/>
          </w:tcPr>
          <w:p w14:paraId="6690F8B2" w14:textId="77777777" w:rsidR="003F11C1" w:rsidRPr="005C5E32" w:rsidRDefault="003F11C1" w:rsidP="003D0CC1">
            <w:pPr>
              <w:pStyle w:val="TableText"/>
              <w:spacing w:before="40" w:after="40"/>
              <w:jc w:val="right"/>
              <w:rPr>
                <w:szCs w:val="18"/>
              </w:rPr>
            </w:pPr>
            <w:r w:rsidRPr="005C5E32">
              <w:rPr>
                <w:szCs w:val="18"/>
              </w:rPr>
              <w:t>0.6%</w:t>
            </w:r>
          </w:p>
        </w:tc>
        <w:tc>
          <w:tcPr>
            <w:tcW w:w="1134" w:type="dxa"/>
          </w:tcPr>
          <w:p w14:paraId="62A1C1A5" w14:textId="77777777" w:rsidR="003F11C1" w:rsidRPr="005C5E32" w:rsidRDefault="003F11C1" w:rsidP="003D0CC1">
            <w:pPr>
              <w:pStyle w:val="TableText"/>
              <w:spacing w:before="40" w:after="40"/>
              <w:jc w:val="right"/>
              <w:rPr>
                <w:szCs w:val="18"/>
              </w:rPr>
            </w:pPr>
            <w:r w:rsidRPr="005C5E32">
              <w:rPr>
                <w:szCs w:val="18"/>
              </w:rPr>
              <w:t>1.2%</w:t>
            </w:r>
          </w:p>
        </w:tc>
        <w:tc>
          <w:tcPr>
            <w:tcW w:w="1134" w:type="dxa"/>
          </w:tcPr>
          <w:p w14:paraId="728EAFE1" w14:textId="77777777" w:rsidR="003F11C1" w:rsidRPr="005C5E32" w:rsidRDefault="003F11C1" w:rsidP="003D0CC1">
            <w:pPr>
              <w:pStyle w:val="TableText"/>
              <w:spacing w:before="40" w:after="40"/>
              <w:jc w:val="right"/>
              <w:rPr>
                <w:szCs w:val="18"/>
              </w:rPr>
            </w:pPr>
            <w:r w:rsidRPr="005C5E32">
              <w:rPr>
                <w:szCs w:val="18"/>
              </w:rPr>
              <w:t>0.9%</w:t>
            </w:r>
          </w:p>
        </w:tc>
      </w:tr>
      <w:tr w:rsidR="003F11C1" w:rsidRPr="005C5E32" w14:paraId="2E893A71" w14:textId="77777777" w:rsidTr="00227203">
        <w:tc>
          <w:tcPr>
            <w:tcW w:w="3828" w:type="dxa"/>
          </w:tcPr>
          <w:p w14:paraId="424C0B5E" w14:textId="77777777" w:rsidR="003F11C1" w:rsidRPr="005C5E32" w:rsidRDefault="003F11C1" w:rsidP="003D0CC1">
            <w:pPr>
              <w:pStyle w:val="TableText"/>
              <w:spacing w:before="40" w:after="40"/>
              <w:rPr>
                <w:rFonts w:eastAsia="Times New Roman" w:cs="Calibri"/>
                <w:color w:val="000000" w:themeColor="text1"/>
                <w:szCs w:val="18"/>
              </w:rPr>
            </w:pPr>
            <w:r w:rsidRPr="005C5E32">
              <w:rPr>
                <w:rFonts w:eastAsia="Times New Roman" w:cs="Calibri"/>
                <w:color w:val="000000" w:themeColor="text1"/>
                <w:szCs w:val="18"/>
              </w:rPr>
              <w:t>Other</w:t>
            </w:r>
          </w:p>
        </w:tc>
        <w:tc>
          <w:tcPr>
            <w:tcW w:w="1134" w:type="dxa"/>
          </w:tcPr>
          <w:p w14:paraId="7A5CECD0" w14:textId="77777777" w:rsidR="003F11C1" w:rsidRPr="005C5E32" w:rsidRDefault="003F11C1" w:rsidP="003D0CC1">
            <w:pPr>
              <w:pStyle w:val="TableText"/>
              <w:spacing w:before="40" w:after="40"/>
              <w:jc w:val="right"/>
              <w:rPr>
                <w:szCs w:val="18"/>
              </w:rPr>
            </w:pPr>
            <w:r w:rsidRPr="005C5E32">
              <w:rPr>
                <w:rFonts w:eastAsia="Times New Roman" w:cs="Calibri"/>
                <w:color w:val="000000" w:themeColor="text1"/>
                <w:szCs w:val="18"/>
              </w:rPr>
              <w:t>5.1%</w:t>
            </w:r>
          </w:p>
        </w:tc>
        <w:tc>
          <w:tcPr>
            <w:tcW w:w="1275" w:type="dxa"/>
          </w:tcPr>
          <w:p w14:paraId="59F5D555" w14:textId="77777777" w:rsidR="003F11C1" w:rsidRPr="005C5E32" w:rsidRDefault="003F11C1" w:rsidP="003D0CC1">
            <w:pPr>
              <w:pStyle w:val="TableText"/>
              <w:spacing w:before="40" w:after="40"/>
              <w:jc w:val="right"/>
              <w:rPr>
                <w:szCs w:val="18"/>
              </w:rPr>
            </w:pPr>
            <w:r w:rsidRPr="005C5E32">
              <w:rPr>
                <w:szCs w:val="18"/>
              </w:rPr>
              <w:t>0.6%</w:t>
            </w:r>
          </w:p>
        </w:tc>
        <w:tc>
          <w:tcPr>
            <w:tcW w:w="1134" w:type="dxa"/>
          </w:tcPr>
          <w:p w14:paraId="4705FBC4" w14:textId="77777777" w:rsidR="003F11C1" w:rsidRPr="005C5E32" w:rsidRDefault="003F11C1" w:rsidP="003D0CC1">
            <w:pPr>
              <w:pStyle w:val="TableText"/>
              <w:spacing w:before="40" w:after="40"/>
              <w:jc w:val="right"/>
              <w:rPr>
                <w:szCs w:val="18"/>
              </w:rPr>
            </w:pPr>
            <w:r w:rsidRPr="005C5E32">
              <w:rPr>
                <w:szCs w:val="18"/>
              </w:rPr>
              <w:t>3.3%</w:t>
            </w:r>
          </w:p>
        </w:tc>
        <w:tc>
          <w:tcPr>
            <w:tcW w:w="1134" w:type="dxa"/>
          </w:tcPr>
          <w:p w14:paraId="4B985888" w14:textId="77777777" w:rsidR="003F11C1" w:rsidRPr="005C5E32" w:rsidRDefault="003F11C1" w:rsidP="003D0CC1">
            <w:pPr>
              <w:pStyle w:val="TableText"/>
              <w:spacing w:before="40" w:after="40"/>
              <w:jc w:val="right"/>
              <w:rPr>
                <w:szCs w:val="18"/>
              </w:rPr>
            </w:pPr>
            <w:r w:rsidRPr="005C5E32">
              <w:rPr>
                <w:szCs w:val="18"/>
              </w:rPr>
              <w:t>1.3%</w:t>
            </w:r>
          </w:p>
        </w:tc>
      </w:tr>
    </w:tbl>
    <w:p w14:paraId="58BC2E14" w14:textId="1A46F054" w:rsidR="009806ED" w:rsidRPr="005C5E32" w:rsidRDefault="009806ED" w:rsidP="00227203">
      <w:pPr>
        <w:pStyle w:val="Note"/>
        <w:spacing w:after="0"/>
      </w:pPr>
      <w:r w:rsidRPr="005C5E32">
        <w:t>* Dataset includes employees who are permanent, fixed term or seconded to other organisations.</w:t>
      </w:r>
    </w:p>
    <w:p w14:paraId="6193BD24" w14:textId="3EBFE03F" w:rsidR="003F11C1" w:rsidRPr="005C5E32" w:rsidRDefault="009806ED" w:rsidP="00227203">
      <w:pPr>
        <w:pStyle w:val="Note"/>
        <w:spacing w:before="60"/>
      </w:pPr>
      <w:r w:rsidRPr="005C5E32">
        <w:t xml:space="preserve">** </w:t>
      </w:r>
      <w:r w:rsidR="003F11C1" w:rsidRPr="005C5E32">
        <w:t>The ethnicity percentages are calculated based on all employees who have declared their ethnicity. Employees can specify up to three ethnicities (so total</w:t>
      </w:r>
      <w:r w:rsidR="00EF6B76" w:rsidRPr="005C5E32">
        <w:t xml:space="preserve"> percentage</w:t>
      </w:r>
      <w:r w:rsidR="003F11C1" w:rsidRPr="005C5E32">
        <w:t xml:space="preserve"> of ethnicities will equal more than 100%).</w:t>
      </w:r>
    </w:p>
    <w:p w14:paraId="5C6F874B" w14:textId="264D76C9" w:rsidR="003F11C1" w:rsidRPr="005C5E32" w:rsidRDefault="003F11C1" w:rsidP="001424CD">
      <w:pPr>
        <w:pStyle w:val="Tableheading"/>
      </w:pPr>
      <w:r w:rsidRPr="005C5E32">
        <w:t xml:space="preserve">Table </w:t>
      </w:r>
      <w:fldSimple w:instr=" SEQ Table \* ARABIC ">
        <w:r w:rsidR="00D8311D">
          <w:rPr>
            <w:noProof/>
          </w:rPr>
          <w:t>6</w:t>
        </w:r>
      </w:fldSimple>
      <w:r w:rsidRPr="005C5E32">
        <w:t xml:space="preserve">: </w:t>
      </w:r>
      <w:r w:rsidRPr="005C5E32">
        <w:tab/>
        <w:t>Age of staff,</w:t>
      </w:r>
      <w:r w:rsidR="000F6A8C" w:rsidRPr="005C5E32">
        <w:t>*</w:t>
      </w:r>
      <w:r w:rsidRPr="005C5E32">
        <w:t xml:space="preserve"> 2022/23 to 2025/26</w:t>
      </w:r>
    </w:p>
    <w:tbl>
      <w:tblPr>
        <w:tblStyle w:val="TableGrid"/>
        <w:tblW w:w="5000" w:type="pct"/>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982"/>
        <w:gridCol w:w="841"/>
        <w:gridCol w:w="1052"/>
        <w:gridCol w:w="913"/>
        <w:gridCol w:w="917"/>
        <w:gridCol w:w="964"/>
        <w:gridCol w:w="1145"/>
        <w:gridCol w:w="772"/>
        <w:gridCol w:w="919"/>
      </w:tblGrid>
      <w:tr w:rsidR="003F11C1" w:rsidRPr="005C5E32" w14:paraId="79EB7013" w14:textId="77777777">
        <w:trPr>
          <w:tblHeader/>
        </w:trPr>
        <w:tc>
          <w:tcPr>
            <w:tcW w:w="577" w:type="pct"/>
            <w:shd w:val="clear" w:color="auto" w:fill="1B556B"/>
          </w:tcPr>
          <w:p w14:paraId="3DA6418E" w14:textId="77777777" w:rsidR="003F11C1" w:rsidRPr="005C5E32" w:rsidRDefault="003F11C1" w:rsidP="003D0CC1">
            <w:pPr>
              <w:pStyle w:val="TableTextbold"/>
              <w:spacing w:before="40" w:after="40"/>
              <w:rPr>
                <w:rFonts w:cs="Calibri"/>
                <w:color w:val="FFFFFF" w:themeColor="background1"/>
              </w:rPr>
            </w:pPr>
          </w:p>
        </w:tc>
        <w:tc>
          <w:tcPr>
            <w:tcW w:w="1112" w:type="pct"/>
            <w:gridSpan w:val="2"/>
            <w:shd w:val="clear" w:color="auto" w:fill="1B556B"/>
          </w:tcPr>
          <w:p w14:paraId="2E2DC159" w14:textId="77777777" w:rsidR="003F11C1" w:rsidRPr="005C5E32" w:rsidRDefault="003F11C1" w:rsidP="00496D5A">
            <w:pPr>
              <w:pStyle w:val="TableTextbold"/>
              <w:spacing w:before="40" w:after="40"/>
              <w:jc w:val="center"/>
              <w:rPr>
                <w:rFonts w:cs="Calibri"/>
                <w:color w:val="FFFFFF" w:themeColor="background1"/>
              </w:rPr>
            </w:pPr>
            <w:r w:rsidRPr="005C5E32">
              <w:rPr>
                <w:rFonts w:cs="Calibri"/>
                <w:color w:val="FFFFFF" w:themeColor="background1"/>
              </w:rPr>
              <w:t>2022/23</w:t>
            </w:r>
          </w:p>
        </w:tc>
        <w:tc>
          <w:tcPr>
            <w:tcW w:w="1076" w:type="pct"/>
            <w:gridSpan w:val="2"/>
            <w:shd w:val="clear" w:color="auto" w:fill="1B556B"/>
          </w:tcPr>
          <w:p w14:paraId="2C5F483A" w14:textId="77777777" w:rsidR="003F11C1" w:rsidRPr="005C5E32" w:rsidRDefault="003F11C1" w:rsidP="00AF6EC9">
            <w:pPr>
              <w:pStyle w:val="TableTextbold"/>
              <w:spacing w:before="40" w:after="40"/>
              <w:jc w:val="center"/>
              <w:rPr>
                <w:rFonts w:cs="Calibri"/>
                <w:color w:val="FFFFFF" w:themeColor="background1"/>
              </w:rPr>
            </w:pPr>
            <w:r w:rsidRPr="005C5E32">
              <w:rPr>
                <w:rFonts w:cs="Calibri"/>
                <w:color w:val="FFFFFF" w:themeColor="background1"/>
              </w:rPr>
              <w:t>2023/24</w:t>
            </w:r>
          </w:p>
        </w:tc>
        <w:tc>
          <w:tcPr>
            <w:tcW w:w="1240" w:type="pct"/>
            <w:gridSpan w:val="2"/>
            <w:shd w:val="clear" w:color="auto" w:fill="1B556B"/>
          </w:tcPr>
          <w:p w14:paraId="5E62AB31" w14:textId="472D7C9C" w:rsidR="003F11C1" w:rsidRPr="005C5E32" w:rsidRDefault="003F11C1" w:rsidP="00AF6EC9">
            <w:pPr>
              <w:pStyle w:val="TableTextbold"/>
              <w:spacing w:before="40" w:after="40"/>
              <w:jc w:val="center"/>
              <w:rPr>
                <w:rFonts w:cs="Calibri"/>
                <w:color w:val="FFFFFF" w:themeColor="background1"/>
              </w:rPr>
            </w:pPr>
            <w:r w:rsidRPr="005C5E32">
              <w:rPr>
                <w:rFonts w:cs="Calibri"/>
                <w:color w:val="FFFFFF" w:themeColor="background1"/>
              </w:rPr>
              <w:t>2024/25</w:t>
            </w:r>
            <w:r w:rsidR="000F6A8C" w:rsidRPr="005C5E32">
              <w:rPr>
                <w:rFonts w:cs="Calibri"/>
                <w:b w:val="0"/>
                <w:color w:val="FFFFFF" w:themeColor="background1"/>
                <w:sz w:val="16"/>
                <w:szCs w:val="18"/>
              </w:rPr>
              <w:t>**</w:t>
            </w:r>
          </w:p>
        </w:tc>
        <w:tc>
          <w:tcPr>
            <w:tcW w:w="994" w:type="pct"/>
            <w:gridSpan w:val="2"/>
            <w:shd w:val="clear" w:color="auto" w:fill="1B556B"/>
          </w:tcPr>
          <w:p w14:paraId="0A4E53A4" w14:textId="77777777" w:rsidR="003F11C1" w:rsidRPr="005C5E32" w:rsidRDefault="003F11C1" w:rsidP="00AF6EC9">
            <w:pPr>
              <w:pStyle w:val="TableTextbold"/>
              <w:spacing w:before="40" w:after="40"/>
              <w:jc w:val="center"/>
              <w:rPr>
                <w:rFonts w:cs="Calibri"/>
                <w:color w:val="FFFFFF" w:themeColor="background1"/>
              </w:rPr>
            </w:pPr>
            <w:r w:rsidRPr="005C5E32">
              <w:rPr>
                <w:rFonts w:cs="Calibri"/>
                <w:color w:val="FFFFFF" w:themeColor="background1"/>
              </w:rPr>
              <w:t>2025/26</w:t>
            </w:r>
          </w:p>
        </w:tc>
      </w:tr>
      <w:tr w:rsidR="003F11C1" w:rsidRPr="005C5E32" w14:paraId="6CC4E169" w14:textId="77777777">
        <w:tc>
          <w:tcPr>
            <w:tcW w:w="577" w:type="pct"/>
            <w:vAlign w:val="bottom"/>
          </w:tcPr>
          <w:p w14:paraId="58377D44" w14:textId="4D9423C8" w:rsidR="003F11C1" w:rsidRPr="005C5E32" w:rsidRDefault="003F11C1" w:rsidP="00A74BCA">
            <w:pPr>
              <w:pStyle w:val="TableText"/>
              <w:spacing w:before="40" w:after="40" w:line="200" w:lineRule="atLeast"/>
              <w:rPr>
                <w:rFonts w:cs="Calibri"/>
                <w:b/>
                <w:sz w:val="16"/>
                <w:szCs w:val="18"/>
              </w:rPr>
            </w:pPr>
            <w:r w:rsidRPr="005C5E32">
              <w:rPr>
                <w:rFonts w:cs="Calibri"/>
                <w:b/>
                <w:sz w:val="16"/>
                <w:szCs w:val="18"/>
              </w:rPr>
              <w:t>Age group (years)</w:t>
            </w:r>
          </w:p>
        </w:tc>
        <w:tc>
          <w:tcPr>
            <w:tcW w:w="494" w:type="pct"/>
            <w:vAlign w:val="bottom"/>
          </w:tcPr>
          <w:p w14:paraId="63CD76FD" w14:textId="223DF62F" w:rsidR="003F11C1" w:rsidRPr="005C5E32" w:rsidRDefault="003F11C1" w:rsidP="00A74BCA">
            <w:pPr>
              <w:pStyle w:val="TableText"/>
              <w:spacing w:before="40" w:after="40" w:line="200" w:lineRule="atLeast"/>
              <w:jc w:val="right"/>
              <w:rPr>
                <w:rFonts w:cs="Calibri"/>
                <w:b/>
                <w:sz w:val="16"/>
                <w:szCs w:val="18"/>
              </w:rPr>
            </w:pPr>
            <w:r w:rsidRPr="005C5E32">
              <w:rPr>
                <w:rFonts w:cs="Calibri"/>
                <w:b/>
                <w:sz w:val="16"/>
                <w:szCs w:val="18"/>
              </w:rPr>
              <w:t>Number</w:t>
            </w:r>
            <w:r w:rsidR="000F6A8C" w:rsidRPr="005C5E32">
              <w:rPr>
                <w:rFonts w:cs="Calibri"/>
                <w:b/>
                <w:sz w:val="16"/>
                <w:szCs w:val="18"/>
              </w:rPr>
              <w:t xml:space="preserve"> of staff</w:t>
            </w:r>
          </w:p>
        </w:tc>
        <w:tc>
          <w:tcPr>
            <w:tcW w:w="618" w:type="pct"/>
            <w:vAlign w:val="bottom"/>
          </w:tcPr>
          <w:p w14:paraId="5C5AA738" w14:textId="77777777" w:rsidR="003F11C1" w:rsidRPr="005C5E32" w:rsidRDefault="003F11C1" w:rsidP="00A74BCA">
            <w:pPr>
              <w:pStyle w:val="TableText"/>
              <w:spacing w:before="40" w:after="40" w:line="200" w:lineRule="atLeast"/>
              <w:jc w:val="right"/>
              <w:rPr>
                <w:rFonts w:cs="Calibri"/>
                <w:b/>
                <w:sz w:val="16"/>
                <w:szCs w:val="18"/>
              </w:rPr>
            </w:pPr>
            <w:r w:rsidRPr="005C5E32">
              <w:rPr>
                <w:rFonts w:cs="Calibri"/>
                <w:b/>
                <w:sz w:val="16"/>
                <w:szCs w:val="18"/>
              </w:rPr>
              <w:t>Percentage of staff</w:t>
            </w:r>
          </w:p>
        </w:tc>
        <w:tc>
          <w:tcPr>
            <w:tcW w:w="537" w:type="pct"/>
            <w:vAlign w:val="bottom"/>
          </w:tcPr>
          <w:p w14:paraId="1CCDEAFC" w14:textId="4FB8BA7E" w:rsidR="003F11C1" w:rsidRPr="005C5E32" w:rsidRDefault="003F11C1" w:rsidP="00A74BCA">
            <w:pPr>
              <w:pStyle w:val="TableText"/>
              <w:spacing w:before="40" w:after="40" w:line="200" w:lineRule="atLeast"/>
              <w:jc w:val="right"/>
              <w:rPr>
                <w:rFonts w:cs="Calibri"/>
                <w:b/>
                <w:sz w:val="16"/>
                <w:szCs w:val="18"/>
              </w:rPr>
            </w:pPr>
            <w:r w:rsidRPr="005C5E32">
              <w:rPr>
                <w:rFonts w:cs="Calibri"/>
                <w:b/>
                <w:sz w:val="16"/>
                <w:szCs w:val="18"/>
              </w:rPr>
              <w:t>Number</w:t>
            </w:r>
            <w:r w:rsidR="000F6A8C" w:rsidRPr="005C5E32">
              <w:rPr>
                <w:rFonts w:cs="Calibri"/>
                <w:b/>
                <w:sz w:val="16"/>
                <w:szCs w:val="18"/>
              </w:rPr>
              <w:t xml:space="preserve"> of staff</w:t>
            </w:r>
          </w:p>
        </w:tc>
        <w:tc>
          <w:tcPr>
            <w:tcW w:w="539" w:type="pct"/>
            <w:vAlign w:val="bottom"/>
          </w:tcPr>
          <w:p w14:paraId="22BC7EA5" w14:textId="77777777" w:rsidR="003F11C1" w:rsidRPr="005C5E32" w:rsidRDefault="003F11C1" w:rsidP="00A74BCA">
            <w:pPr>
              <w:pStyle w:val="TableText"/>
              <w:spacing w:before="40" w:after="40" w:line="200" w:lineRule="atLeast"/>
              <w:jc w:val="right"/>
              <w:rPr>
                <w:rFonts w:cs="Calibri"/>
                <w:b/>
                <w:sz w:val="16"/>
                <w:szCs w:val="18"/>
              </w:rPr>
            </w:pPr>
            <w:r w:rsidRPr="005C5E32">
              <w:rPr>
                <w:rFonts w:cs="Calibri"/>
                <w:b/>
                <w:sz w:val="16"/>
                <w:szCs w:val="18"/>
              </w:rPr>
              <w:t>Percentage of staff</w:t>
            </w:r>
          </w:p>
        </w:tc>
        <w:tc>
          <w:tcPr>
            <w:tcW w:w="567" w:type="pct"/>
            <w:vAlign w:val="bottom"/>
          </w:tcPr>
          <w:p w14:paraId="34534327" w14:textId="3E0943DB" w:rsidR="003F11C1" w:rsidRPr="005C5E32" w:rsidRDefault="003F11C1" w:rsidP="00A74BCA">
            <w:pPr>
              <w:pStyle w:val="TableText"/>
              <w:spacing w:before="40" w:after="40" w:line="200" w:lineRule="atLeast"/>
              <w:jc w:val="right"/>
              <w:rPr>
                <w:rFonts w:cs="Calibri"/>
                <w:b/>
                <w:sz w:val="16"/>
                <w:szCs w:val="18"/>
              </w:rPr>
            </w:pPr>
            <w:r w:rsidRPr="005C5E32">
              <w:rPr>
                <w:rFonts w:cs="Calibri"/>
                <w:b/>
                <w:sz w:val="16"/>
                <w:szCs w:val="18"/>
              </w:rPr>
              <w:t>Number</w:t>
            </w:r>
            <w:r w:rsidR="000F6A8C" w:rsidRPr="005C5E32">
              <w:rPr>
                <w:rFonts w:cs="Calibri"/>
                <w:b/>
                <w:sz w:val="16"/>
                <w:szCs w:val="18"/>
              </w:rPr>
              <w:t xml:space="preserve"> of staff</w:t>
            </w:r>
          </w:p>
        </w:tc>
        <w:tc>
          <w:tcPr>
            <w:tcW w:w="673" w:type="pct"/>
            <w:vAlign w:val="bottom"/>
          </w:tcPr>
          <w:p w14:paraId="79440662" w14:textId="77777777" w:rsidR="003F11C1" w:rsidRPr="005C5E32" w:rsidRDefault="003F11C1" w:rsidP="00A74BCA">
            <w:pPr>
              <w:pStyle w:val="TableText"/>
              <w:spacing w:before="40" w:after="40" w:line="200" w:lineRule="atLeast"/>
              <w:jc w:val="right"/>
              <w:rPr>
                <w:rFonts w:cs="Calibri"/>
                <w:b/>
                <w:sz w:val="16"/>
                <w:szCs w:val="18"/>
              </w:rPr>
            </w:pPr>
            <w:r w:rsidRPr="005C5E32">
              <w:rPr>
                <w:rFonts w:cs="Calibri"/>
                <w:b/>
                <w:sz w:val="16"/>
                <w:szCs w:val="18"/>
              </w:rPr>
              <w:t>Percentage of staff</w:t>
            </w:r>
          </w:p>
        </w:tc>
        <w:tc>
          <w:tcPr>
            <w:tcW w:w="454" w:type="pct"/>
            <w:vAlign w:val="bottom"/>
          </w:tcPr>
          <w:p w14:paraId="41B5C7ED" w14:textId="65D2C9E4" w:rsidR="003F11C1" w:rsidRPr="005C5E32" w:rsidRDefault="003F11C1" w:rsidP="00A74BCA">
            <w:pPr>
              <w:pStyle w:val="TableText"/>
              <w:spacing w:before="40" w:after="40" w:line="200" w:lineRule="atLeast"/>
              <w:jc w:val="right"/>
              <w:rPr>
                <w:rFonts w:cs="Calibri"/>
                <w:b/>
                <w:sz w:val="16"/>
                <w:szCs w:val="18"/>
              </w:rPr>
            </w:pPr>
            <w:r w:rsidRPr="005C5E32">
              <w:rPr>
                <w:rFonts w:cs="Calibri"/>
                <w:b/>
                <w:sz w:val="16"/>
                <w:szCs w:val="18"/>
              </w:rPr>
              <w:t>Number</w:t>
            </w:r>
            <w:r w:rsidR="000F6A8C" w:rsidRPr="005C5E32">
              <w:rPr>
                <w:rFonts w:cs="Calibri"/>
                <w:b/>
                <w:sz w:val="16"/>
                <w:szCs w:val="18"/>
              </w:rPr>
              <w:t xml:space="preserve"> of staff</w:t>
            </w:r>
          </w:p>
        </w:tc>
        <w:tc>
          <w:tcPr>
            <w:tcW w:w="539" w:type="pct"/>
            <w:vAlign w:val="bottom"/>
          </w:tcPr>
          <w:p w14:paraId="75C39F58" w14:textId="77777777" w:rsidR="003F11C1" w:rsidRPr="005C5E32" w:rsidRDefault="003F11C1" w:rsidP="00A74BCA">
            <w:pPr>
              <w:pStyle w:val="TableText"/>
              <w:spacing w:before="40" w:after="40" w:line="200" w:lineRule="atLeast"/>
              <w:jc w:val="right"/>
              <w:rPr>
                <w:rFonts w:cs="Calibri"/>
                <w:b/>
                <w:sz w:val="16"/>
                <w:szCs w:val="18"/>
              </w:rPr>
            </w:pPr>
            <w:r w:rsidRPr="005C5E32">
              <w:rPr>
                <w:rFonts w:cs="Calibri"/>
                <w:b/>
                <w:sz w:val="16"/>
                <w:szCs w:val="18"/>
              </w:rPr>
              <w:t>Percentage of staff</w:t>
            </w:r>
          </w:p>
        </w:tc>
      </w:tr>
      <w:tr w:rsidR="003F11C1" w:rsidRPr="005C5E32" w14:paraId="57EBC40C" w14:textId="77777777">
        <w:tc>
          <w:tcPr>
            <w:tcW w:w="577" w:type="pct"/>
            <w:vAlign w:val="bottom"/>
          </w:tcPr>
          <w:p w14:paraId="58086F75" w14:textId="77777777" w:rsidR="003F11C1" w:rsidRPr="005C5E32" w:rsidRDefault="003F11C1">
            <w:pPr>
              <w:pStyle w:val="TableText"/>
              <w:spacing w:before="40" w:after="40"/>
              <w:rPr>
                <w:rFonts w:cs="Calibri"/>
              </w:rPr>
            </w:pPr>
            <w:r w:rsidRPr="005C5E32">
              <w:rPr>
                <w:rFonts w:eastAsia="Times New Roman" w:cs="Calibri"/>
                <w:color w:val="000000" w:themeColor="text1"/>
              </w:rPr>
              <w:t xml:space="preserve">Under 25 </w:t>
            </w:r>
          </w:p>
        </w:tc>
        <w:tc>
          <w:tcPr>
            <w:tcW w:w="494" w:type="pct"/>
            <w:vAlign w:val="center"/>
          </w:tcPr>
          <w:p w14:paraId="56A8AE26"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41</w:t>
            </w:r>
          </w:p>
        </w:tc>
        <w:tc>
          <w:tcPr>
            <w:tcW w:w="618" w:type="pct"/>
            <w:vAlign w:val="center"/>
          </w:tcPr>
          <w:p w14:paraId="202DCF0F"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3.9%</w:t>
            </w:r>
          </w:p>
        </w:tc>
        <w:tc>
          <w:tcPr>
            <w:tcW w:w="537" w:type="pct"/>
            <w:vAlign w:val="center"/>
          </w:tcPr>
          <w:p w14:paraId="186D3177" w14:textId="77777777" w:rsidR="003F11C1" w:rsidRPr="005C5E32" w:rsidRDefault="003F11C1">
            <w:pPr>
              <w:pStyle w:val="TableText"/>
              <w:spacing w:before="40" w:after="40"/>
              <w:jc w:val="right"/>
              <w:rPr>
                <w:rFonts w:cs="Calibri"/>
              </w:rPr>
            </w:pPr>
            <w:r w:rsidRPr="005C5E32">
              <w:rPr>
                <w:rFonts w:cs="Calibri"/>
              </w:rPr>
              <w:t>27</w:t>
            </w:r>
          </w:p>
        </w:tc>
        <w:tc>
          <w:tcPr>
            <w:tcW w:w="539" w:type="pct"/>
            <w:vAlign w:val="center"/>
          </w:tcPr>
          <w:p w14:paraId="300F72DB" w14:textId="77777777" w:rsidR="003F11C1" w:rsidRPr="005C5E32" w:rsidRDefault="003F11C1">
            <w:pPr>
              <w:pStyle w:val="TableText"/>
              <w:spacing w:before="40" w:after="40"/>
              <w:jc w:val="right"/>
              <w:rPr>
                <w:rFonts w:cs="Calibri"/>
              </w:rPr>
            </w:pPr>
            <w:r w:rsidRPr="005C5E32">
              <w:rPr>
                <w:rFonts w:cs="Calibri"/>
              </w:rPr>
              <w:t>2.8%</w:t>
            </w:r>
          </w:p>
        </w:tc>
        <w:tc>
          <w:tcPr>
            <w:tcW w:w="567" w:type="pct"/>
          </w:tcPr>
          <w:p w14:paraId="5BB6001E" w14:textId="77777777" w:rsidR="003F11C1" w:rsidRPr="005C5E32" w:rsidRDefault="003F11C1">
            <w:pPr>
              <w:pStyle w:val="TableText"/>
              <w:spacing w:before="40" w:after="40"/>
              <w:jc w:val="right"/>
              <w:rPr>
                <w:rFonts w:cs="Calibri"/>
              </w:rPr>
            </w:pPr>
            <w:r w:rsidRPr="005C5E32">
              <w:rPr>
                <w:rFonts w:cs="Calibri"/>
              </w:rPr>
              <w:t xml:space="preserve"> 11</w:t>
            </w:r>
          </w:p>
        </w:tc>
        <w:tc>
          <w:tcPr>
            <w:tcW w:w="673" w:type="pct"/>
          </w:tcPr>
          <w:p w14:paraId="702F6074" w14:textId="77777777" w:rsidR="003F11C1" w:rsidRPr="005C5E32" w:rsidRDefault="003F11C1">
            <w:pPr>
              <w:pStyle w:val="TableText"/>
              <w:spacing w:before="40" w:after="40"/>
              <w:jc w:val="right"/>
              <w:rPr>
                <w:rFonts w:cs="Calibri"/>
              </w:rPr>
            </w:pPr>
            <w:r w:rsidRPr="005C5E32">
              <w:rPr>
                <w:rFonts w:cs="Calibri"/>
              </w:rPr>
              <w:t xml:space="preserve"> 1.4%</w:t>
            </w:r>
          </w:p>
        </w:tc>
        <w:tc>
          <w:tcPr>
            <w:tcW w:w="454" w:type="pct"/>
          </w:tcPr>
          <w:p w14:paraId="64942F02" w14:textId="77777777" w:rsidR="003F11C1" w:rsidRPr="005C5E32" w:rsidRDefault="003F11C1">
            <w:pPr>
              <w:pStyle w:val="TableText"/>
              <w:spacing w:before="40" w:after="40"/>
              <w:jc w:val="right"/>
              <w:rPr>
                <w:rFonts w:cs="Calibri"/>
              </w:rPr>
            </w:pPr>
            <w:r w:rsidRPr="005C5E32">
              <w:rPr>
                <w:rFonts w:cs="Calibri"/>
              </w:rPr>
              <w:t>9</w:t>
            </w:r>
          </w:p>
        </w:tc>
        <w:tc>
          <w:tcPr>
            <w:tcW w:w="539" w:type="pct"/>
          </w:tcPr>
          <w:p w14:paraId="23DC5D15" w14:textId="77777777" w:rsidR="003F11C1" w:rsidRPr="005C5E32" w:rsidRDefault="003F11C1">
            <w:pPr>
              <w:pStyle w:val="TableText"/>
              <w:spacing w:before="40" w:after="40"/>
              <w:jc w:val="right"/>
              <w:rPr>
                <w:rFonts w:cs="Calibri"/>
              </w:rPr>
            </w:pPr>
            <w:r w:rsidRPr="005C5E32">
              <w:rPr>
                <w:rFonts w:cs="Calibri"/>
              </w:rPr>
              <w:t>1.2%</w:t>
            </w:r>
          </w:p>
        </w:tc>
      </w:tr>
      <w:tr w:rsidR="003F11C1" w:rsidRPr="005C5E32" w14:paraId="0073B8CC" w14:textId="77777777">
        <w:tc>
          <w:tcPr>
            <w:tcW w:w="577" w:type="pct"/>
            <w:vAlign w:val="bottom"/>
          </w:tcPr>
          <w:p w14:paraId="0ACCDCE6" w14:textId="77777777" w:rsidR="003F11C1" w:rsidRPr="005C5E32" w:rsidRDefault="003F11C1">
            <w:pPr>
              <w:pStyle w:val="TableText"/>
              <w:spacing w:before="40" w:after="40"/>
              <w:rPr>
                <w:rFonts w:cs="Calibri"/>
              </w:rPr>
            </w:pPr>
            <w:r w:rsidRPr="005C5E32">
              <w:rPr>
                <w:rFonts w:eastAsia="Times New Roman" w:cs="Calibri"/>
                <w:color w:val="000000" w:themeColor="text1"/>
              </w:rPr>
              <w:t xml:space="preserve">25–34 </w:t>
            </w:r>
          </w:p>
        </w:tc>
        <w:tc>
          <w:tcPr>
            <w:tcW w:w="494" w:type="pct"/>
            <w:vAlign w:val="center"/>
          </w:tcPr>
          <w:p w14:paraId="7043238A"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439</w:t>
            </w:r>
          </w:p>
        </w:tc>
        <w:tc>
          <w:tcPr>
            <w:tcW w:w="618" w:type="pct"/>
            <w:vAlign w:val="center"/>
          </w:tcPr>
          <w:p w14:paraId="5AB769FB"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33.3%</w:t>
            </w:r>
          </w:p>
        </w:tc>
        <w:tc>
          <w:tcPr>
            <w:tcW w:w="537" w:type="pct"/>
            <w:vAlign w:val="center"/>
          </w:tcPr>
          <w:p w14:paraId="49699DF8" w14:textId="77777777" w:rsidR="003F11C1" w:rsidRPr="005C5E32" w:rsidRDefault="003F11C1">
            <w:pPr>
              <w:pStyle w:val="TableText"/>
              <w:spacing w:before="40" w:after="40"/>
              <w:jc w:val="right"/>
              <w:rPr>
                <w:rFonts w:cs="Calibri"/>
              </w:rPr>
            </w:pPr>
            <w:r w:rsidRPr="005C5E32">
              <w:rPr>
                <w:rFonts w:cs="Calibri"/>
              </w:rPr>
              <w:t>276</w:t>
            </w:r>
          </w:p>
        </w:tc>
        <w:tc>
          <w:tcPr>
            <w:tcW w:w="539" w:type="pct"/>
            <w:vAlign w:val="center"/>
          </w:tcPr>
          <w:p w14:paraId="73DE207C" w14:textId="77777777" w:rsidR="003F11C1" w:rsidRPr="005C5E32" w:rsidRDefault="003F11C1">
            <w:pPr>
              <w:pStyle w:val="TableText"/>
              <w:spacing w:before="40" w:after="40"/>
              <w:jc w:val="right"/>
              <w:rPr>
                <w:rFonts w:cs="Calibri"/>
              </w:rPr>
            </w:pPr>
            <w:r w:rsidRPr="005C5E32">
              <w:rPr>
                <w:rFonts w:cs="Calibri"/>
              </w:rPr>
              <w:t>28.5%</w:t>
            </w:r>
          </w:p>
        </w:tc>
        <w:tc>
          <w:tcPr>
            <w:tcW w:w="567" w:type="pct"/>
          </w:tcPr>
          <w:p w14:paraId="2B913CBE" w14:textId="77777777" w:rsidR="003F11C1" w:rsidRPr="005C5E32" w:rsidRDefault="003F11C1">
            <w:pPr>
              <w:pStyle w:val="TableText"/>
              <w:spacing w:before="40" w:after="40"/>
              <w:jc w:val="right"/>
              <w:rPr>
                <w:rFonts w:cs="Calibri"/>
              </w:rPr>
            </w:pPr>
            <w:r w:rsidRPr="005C5E32">
              <w:rPr>
                <w:rFonts w:cs="Calibri"/>
              </w:rPr>
              <w:t xml:space="preserve"> 204</w:t>
            </w:r>
          </w:p>
        </w:tc>
        <w:tc>
          <w:tcPr>
            <w:tcW w:w="673" w:type="pct"/>
          </w:tcPr>
          <w:p w14:paraId="7DD41D10" w14:textId="77777777" w:rsidR="003F11C1" w:rsidRPr="005C5E32" w:rsidRDefault="003F11C1">
            <w:pPr>
              <w:pStyle w:val="TableText"/>
              <w:spacing w:before="40" w:after="40"/>
              <w:jc w:val="right"/>
              <w:rPr>
                <w:rFonts w:cs="Calibri"/>
              </w:rPr>
            </w:pPr>
            <w:r w:rsidRPr="005C5E32">
              <w:rPr>
                <w:rFonts w:cs="Calibri"/>
              </w:rPr>
              <w:t xml:space="preserve"> 25.9%</w:t>
            </w:r>
          </w:p>
        </w:tc>
        <w:tc>
          <w:tcPr>
            <w:tcW w:w="454" w:type="pct"/>
          </w:tcPr>
          <w:p w14:paraId="4D6BD90F" w14:textId="77777777" w:rsidR="003F11C1" w:rsidRPr="005C5E32" w:rsidRDefault="003F11C1">
            <w:pPr>
              <w:pStyle w:val="TableText"/>
              <w:spacing w:before="40" w:after="40"/>
              <w:jc w:val="right"/>
              <w:rPr>
                <w:rFonts w:cs="Calibri"/>
              </w:rPr>
            </w:pPr>
            <w:r w:rsidRPr="005C5E32">
              <w:rPr>
                <w:rFonts w:cs="Calibri"/>
              </w:rPr>
              <w:t>184</w:t>
            </w:r>
          </w:p>
        </w:tc>
        <w:tc>
          <w:tcPr>
            <w:tcW w:w="539" w:type="pct"/>
          </w:tcPr>
          <w:p w14:paraId="3D73042B" w14:textId="77777777" w:rsidR="003F11C1" w:rsidRPr="005C5E32" w:rsidRDefault="003F11C1">
            <w:pPr>
              <w:pStyle w:val="TableText"/>
              <w:spacing w:before="40" w:after="40"/>
              <w:jc w:val="right"/>
              <w:rPr>
                <w:rFonts w:cs="Calibri"/>
              </w:rPr>
            </w:pPr>
            <w:r w:rsidRPr="005C5E32">
              <w:rPr>
                <w:rFonts w:cs="Calibri"/>
              </w:rPr>
              <w:t>23.7%</w:t>
            </w:r>
          </w:p>
        </w:tc>
      </w:tr>
      <w:tr w:rsidR="003F11C1" w:rsidRPr="005C5E32" w14:paraId="4399C347" w14:textId="77777777">
        <w:tc>
          <w:tcPr>
            <w:tcW w:w="577" w:type="pct"/>
            <w:vAlign w:val="bottom"/>
          </w:tcPr>
          <w:p w14:paraId="72850F0C" w14:textId="77777777" w:rsidR="003F11C1" w:rsidRPr="005C5E32" w:rsidRDefault="003F11C1">
            <w:pPr>
              <w:pStyle w:val="TableText"/>
              <w:spacing w:before="40" w:after="40"/>
              <w:rPr>
                <w:rFonts w:cs="Calibri"/>
              </w:rPr>
            </w:pPr>
            <w:r w:rsidRPr="005C5E32">
              <w:rPr>
                <w:rFonts w:eastAsia="Times New Roman" w:cs="Calibri"/>
                <w:color w:val="000000" w:themeColor="text1"/>
              </w:rPr>
              <w:t xml:space="preserve">35–44 </w:t>
            </w:r>
          </w:p>
        </w:tc>
        <w:tc>
          <w:tcPr>
            <w:tcW w:w="494" w:type="pct"/>
            <w:vAlign w:val="center"/>
          </w:tcPr>
          <w:p w14:paraId="759F2E40"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308</w:t>
            </w:r>
          </w:p>
        </w:tc>
        <w:tc>
          <w:tcPr>
            <w:tcW w:w="618" w:type="pct"/>
            <w:vAlign w:val="center"/>
          </w:tcPr>
          <w:p w14:paraId="76BE5265"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29.4%</w:t>
            </w:r>
          </w:p>
        </w:tc>
        <w:tc>
          <w:tcPr>
            <w:tcW w:w="537" w:type="pct"/>
            <w:vAlign w:val="center"/>
          </w:tcPr>
          <w:p w14:paraId="7E6BE459" w14:textId="77777777" w:rsidR="003F11C1" w:rsidRPr="005C5E32" w:rsidRDefault="003F11C1">
            <w:pPr>
              <w:pStyle w:val="TableText"/>
              <w:spacing w:before="40" w:after="40"/>
              <w:jc w:val="right"/>
              <w:rPr>
                <w:rFonts w:cs="Calibri"/>
              </w:rPr>
            </w:pPr>
            <w:r w:rsidRPr="005C5E32">
              <w:rPr>
                <w:rFonts w:cs="Calibri"/>
              </w:rPr>
              <w:t>308</w:t>
            </w:r>
          </w:p>
        </w:tc>
        <w:tc>
          <w:tcPr>
            <w:tcW w:w="539" w:type="pct"/>
            <w:vAlign w:val="center"/>
          </w:tcPr>
          <w:p w14:paraId="0C242DAF" w14:textId="77777777" w:rsidR="003F11C1" w:rsidRPr="005C5E32" w:rsidRDefault="003F11C1">
            <w:pPr>
              <w:pStyle w:val="TableText"/>
              <w:spacing w:before="40" w:after="40"/>
              <w:jc w:val="right"/>
              <w:rPr>
                <w:rFonts w:cs="Calibri"/>
              </w:rPr>
            </w:pPr>
            <w:r w:rsidRPr="005C5E32">
              <w:rPr>
                <w:rFonts w:cs="Calibri"/>
              </w:rPr>
              <w:t>31.8%</w:t>
            </w:r>
          </w:p>
        </w:tc>
        <w:tc>
          <w:tcPr>
            <w:tcW w:w="567" w:type="pct"/>
          </w:tcPr>
          <w:p w14:paraId="62F95615" w14:textId="77777777" w:rsidR="003F11C1" w:rsidRPr="005C5E32" w:rsidRDefault="003F11C1">
            <w:pPr>
              <w:pStyle w:val="TableText"/>
              <w:spacing w:before="40" w:after="40"/>
              <w:jc w:val="right"/>
              <w:rPr>
                <w:rFonts w:cs="Calibri"/>
              </w:rPr>
            </w:pPr>
            <w:r w:rsidRPr="005C5E32">
              <w:rPr>
                <w:rFonts w:cs="Calibri"/>
              </w:rPr>
              <w:t xml:space="preserve"> 264</w:t>
            </w:r>
          </w:p>
        </w:tc>
        <w:tc>
          <w:tcPr>
            <w:tcW w:w="673" w:type="pct"/>
          </w:tcPr>
          <w:p w14:paraId="126856B9" w14:textId="77777777" w:rsidR="003F11C1" w:rsidRPr="005C5E32" w:rsidRDefault="003F11C1">
            <w:pPr>
              <w:pStyle w:val="TableText"/>
              <w:spacing w:before="40" w:after="40"/>
              <w:jc w:val="right"/>
              <w:rPr>
                <w:rFonts w:cs="Calibri"/>
              </w:rPr>
            </w:pPr>
            <w:r w:rsidRPr="005C5E32">
              <w:rPr>
                <w:rFonts w:cs="Calibri"/>
              </w:rPr>
              <w:t xml:space="preserve"> 33.5%</w:t>
            </w:r>
          </w:p>
        </w:tc>
        <w:tc>
          <w:tcPr>
            <w:tcW w:w="454" w:type="pct"/>
          </w:tcPr>
          <w:p w14:paraId="47D3AAAF" w14:textId="77777777" w:rsidR="003F11C1" w:rsidRPr="005C5E32" w:rsidRDefault="003F11C1">
            <w:pPr>
              <w:pStyle w:val="TableText"/>
              <w:spacing w:before="40" w:after="40"/>
              <w:jc w:val="right"/>
              <w:rPr>
                <w:rFonts w:cs="Calibri"/>
              </w:rPr>
            </w:pPr>
            <w:r w:rsidRPr="005C5E32">
              <w:rPr>
                <w:rFonts w:cs="Calibri"/>
              </w:rPr>
              <w:t>247</w:t>
            </w:r>
          </w:p>
        </w:tc>
        <w:tc>
          <w:tcPr>
            <w:tcW w:w="539" w:type="pct"/>
          </w:tcPr>
          <w:p w14:paraId="1E47CD40" w14:textId="77777777" w:rsidR="003F11C1" w:rsidRPr="005C5E32" w:rsidRDefault="003F11C1">
            <w:pPr>
              <w:pStyle w:val="TableText"/>
              <w:spacing w:before="40" w:after="40"/>
              <w:jc w:val="right"/>
              <w:rPr>
                <w:rFonts w:cs="Calibri"/>
              </w:rPr>
            </w:pPr>
            <w:r w:rsidRPr="005C5E32">
              <w:rPr>
                <w:rFonts w:cs="Calibri"/>
              </w:rPr>
              <w:t>31.8%</w:t>
            </w:r>
          </w:p>
        </w:tc>
      </w:tr>
      <w:tr w:rsidR="003F11C1" w:rsidRPr="005C5E32" w14:paraId="6A6C0A5D" w14:textId="77777777">
        <w:tc>
          <w:tcPr>
            <w:tcW w:w="577" w:type="pct"/>
            <w:vAlign w:val="bottom"/>
          </w:tcPr>
          <w:p w14:paraId="7CE54904" w14:textId="77777777" w:rsidR="003F11C1" w:rsidRPr="005C5E32" w:rsidRDefault="003F11C1">
            <w:pPr>
              <w:pStyle w:val="TableText"/>
              <w:spacing w:before="40" w:after="40"/>
              <w:rPr>
                <w:rFonts w:cs="Calibri"/>
              </w:rPr>
            </w:pPr>
            <w:r w:rsidRPr="005C5E32">
              <w:rPr>
                <w:rFonts w:eastAsia="Times New Roman" w:cs="Calibri"/>
                <w:color w:val="000000" w:themeColor="text1"/>
              </w:rPr>
              <w:t xml:space="preserve">45–54 </w:t>
            </w:r>
          </w:p>
        </w:tc>
        <w:tc>
          <w:tcPr>
            <w:tcW w:w="494" w:type="pct"/>
            <w:vAlign w:val="center"/>
          </w:tcPr>
          <w:p w14:paraId="032F1093"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234</w:t>
            </w:r>
          </w:p>
        </w:tc>
        <w:tc>
          <w:tcPr>
            <w:tcW w:w="618" w:type="pct"/>
            <w:vAlign w:val="center"/>
          </w:tcPr>
          <w:p w14:paraId="3F9B7D17"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22.3%</w:t>
            </w:r>
          </w:p>
        </w:tc>
        <w:tc>
          <w:tcPr>
            <w:tcW w:w="537" w:type="pct"/>
            <w:vAlign w:val="center"/>
          </w:tcPr>
          <w:p w14:paraId="4B1AC335" w14:textId="77777777" w:rsidR="003F11C1" w:rsidRPr="005C5E32" w:rsidRDefault="003F11C1">
            <w:pPr>
              <w:pStyle w:val="TableText"/>
              <w:spacing w:before="40" w:after="40"/>
              <w:jc w:val="right"/>
              <w:rPr>
                <w:rFonts w:cs="Calibri"/>
              </w:rPr>
            </w:pPr>
            <w:r w:rsidRPr="005C5E32">
              <w:rPr>
                <w:rFonts w:cs="Calibri"/>
              </w:rPr>
              <w:t>236</w:t>
            </w:r>
          </w:p>
        </w:tc>
        <w:tc>
          <w:tcPr>
            <w:tcW w:w="539" w:type="pct"/>
            <w:vAlign w:val="center"/>
          </w:tcPr>
          <w:p w14:paraId="5CBFAFA7" w14:textId="77777777" w:rsidR="003F11C1" w:rsidRPr="005C5E32" w:rsidRDefault="003F11C1">
            <w:pPr>
              <w:pStyle w:val="TableText"/>
              <w:spacing w:before="40" w:after="40"/>
              <w:jc w:val="right"/>
              <w:rPr>
                <w:rFonts w:cs="Calibri"/>
              </w:rPr>
            </w:pPr>
            <w:r w:rsidRPr="005C5E32">
              <w:rPr>
                <w:rFonts w:cs="Calibri"/>
              </w:rPr>
              <w:t>24.4%</w:t>
            </w:r>
          </w:p>
        </w:tc>
        <w:tc>
          <w:tcPr>
            <w:tcW w:w="567" w:type="pct"/>
          </w:tcPr>
          <w:p w14:paraId="40C28CFC" w14:textId="77777777" w:rsidR="003F11C1" w:rsidRPr="005C5E32" w:rsidRDefault="003F11C1">
            <w:pPr>
              <w:pStyle w:val="TableText"/>
              <w:spacing w:before="40" w:after="40"/>
              <w:jc w:val="right"/>
              <w:rPr>
                <w:rFonts w:cs="Calibri"/>
              </w:rPr>
            </w:pPr>
            <w:r w:rsidRPr="005C5E32">
              <w:rPr>
                <w:rFonts w:cs="Calibri"/>
              </w:rPr>
              <w:t xml:space="preserve"> 209</w:t>
            </w:r>
          </w:p>
        </w:tc>
        <w:tc>
          <w:tcPr>
            <w:tcW w:w="673" w:type="pct"/>
          </w:tcPr>
          <w:p w14:paraId="02A767EF" w14:textId="77777777" w:rsidR="003F11C1" w:rsidRPr="005C5E32" w:rsidRDefault="003F11C1">
            <w:pPr>
              <w:pStyle w:val="TableText"/>
              <w:spacing w:before="40" w:after="40"/>
              <w:jc w:val="right"/>
              <w:rPr>
                <w:rFonts w:cs="Calibri"/>
              </w:rPr>
            </w:pPr>
            <w:r w:rsidRPr="005C5E32">
              <w:rPr>
                <w:rFonts w:cs="Calibri"/>
              </w:rPr>
              <w:t xml:space="preserve"> 26.5%</w:t>
            </w:r>
          </w:p>
        </w:tc>
        <w:tc>
          <w:tcPr>
            <w:tcW w:w="454" w:type="pct"/>
          </w:tcPr>
          <w:p w14:paraId="6B4ADAC4" w14:textId="77777777" w:rsidR="003F11C1" w:rsidRPr="005C5E32" w:rsidRDefault="003F11C1">
            <w:pPr>
              <w:pStyle w:val="TableText"/>
              <w:spacing w:before="40" w:after="40"/>
              <w:jc w:val="right"/>
              <w:rPr>
                <w:rFonts w:cs="Calibri"/>
              </w:rPr>
            </w:pPr>
            <w:r w:rsidRPr="005C5E32">
              <w:rPr>
                <w:rFonts w:cs="Calibri"/>
              </w:rPr>
              <w:t>232</w:t>
            </w:r>
          </w:p>
        </w:tc>
        <w:tc>
          <w:tcPr>
            <w:tcW w:w="539" w:type="pct"/>
          </w:tcPr>
          <w:p w14:paraId="31B79215" w14:textId="77777777" w:rsidR="003F11C1" w:rsidRPr="005C5E32" w:rsidRDefault="003F11C1">
            <w:pPr>
              <w:pStyle w:val="TableText"/>
              <w:spacing w:before="40" w:after="40"/>
              <w:jc w:val="right"/>
              <w:rPr>
                <w:rFonts w:cs="Calibri"/>
              </w:rPr>
            </w:pPr>
            <w:r w:rsidRPr="005C5E32">
              <w:rPr>
                <w:rFonts w:cs="Calibri"/>
              </w:rPr>
              <w:t>29.9%</w:t>
            </w:r>
          </w:p>
        </w:tc>
      </w:tr>
      <w:tr w:rsidR="003F11C1" w:rsidRPr="005C5E32" w14:paraId="5AD9EFDE" w14:textId="77777777">
        <w:tc>
          <w:tcPr>
            <w:tcW w:w="577" w:type="pct"/>
            <w:vAlign w:val="bottom"/>
          </w:tcPr>
          <w:p w14:paraId="4DD690B7" w14:textId="77777777" w:rsidR="003F11C1" w:rsidRPr="005C5E32" w:rsidRDefault="003F11C1">
            <w:pPr>
              <w:pStyle w:val="TableText"/>
              <w:spacing w:before="40" w:after="40"/>
              <w:rPr>
                <w:rFonts w:cs="Calibri"/>
              </w:rPr>
            </w:pPr>
            <w:r w:rsidRPr="005C5E32">
              <w:rPr>
                <w:rFonts w:eastAsia="Times New Roman" w:cs="Calibri"/>
                <w:color w:val="000000" w:themeColor="text1"/>
              </w:rPr>
              <w:t xml:space="preserve">55–64 </w:t>
            </w:r>
          </w:p>
        </w:tc>
        <w:tc>
          <w:tcPr>
            <w:tcW w:w="494" w:type="pct"/>
            <w:vAlign w:val="center"/>
          </w:tcPr>
          <w:p w14:paraId="3B7A8AC8"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98</w:t>
            </w:r>
          </w:p>
        </w:tc>
        <w:tc>
          <w:tcPr>
            <w:tcW w:w="618" w:type="pct"/>
            <w:vAlign w:val="center"/>
          </w:tcPr>
          <w:p w14:paraId="672AED60"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9.4%</w:t>
            </w:r>
          </w:p>
        </w:tc>
        <w:tc>
          <w:tcPr>
            <w:tcW w:w="537" w:type="pct"/>
            <w:vAlign w:val="center"/>
          </w:tcPr>
          <w:p w14:paraId="74E16A17" w14:textId="77777777" w:rsidR="003F11C1" w:rsidRPr="005C5E32" w:rsidRDefault="003F11C1">
            <w:pPr>
              <w:pStyle w:val="TableText"/>
              <w:spacing w:before="40" w:after="40"/>
              <w:jc w:val="right"/>
              <w:rPr>
                <w:rFonts w:cs="Calibri"/>
              </w:rPr>
            </w:pPr>
            <w:r w:rsidRPr="005C5E32">
              <w:rPr>
                <w:rFonts w:cs="Calibri"/>
              </w:rPr>
              <w:t>103</w:t>
            </w:r>
          </w:p>
        </w:tc>
        <w:tc>
          <w:tcPr>
            <w:tcW w:w="539" w:type="pct"/>
            <w:vAlign w:val="center"/>
          </w:tcPr>
          <w:p w14:paraId="06AFFBFB" w14:textId="77777777" w:rsidR="003F11C1" w:rsidRPr="005C5E32" w:rsidRDefault="003F11C1">
            <w:pPr>
              <w:pStyle w:val="TableText"/>
              <w:spacing w:before="40" w:after="40"/>
              <w:jc w:val="right"/>
              <w:rPr>
                <w:rFonts w:cs="Calibri"/>
              </w:rPr>
            </w:pPr>
            <w:r w:rsidRPr="005C5E32">
              <w:rPr>
                <w:rFonts w:cs="Calibri"/>
              </w:rPr>
              <w:t>10.6%</w:t>
            </w:r>
          </w:p>
        </w:tc>
        <w:tc>
          <w:tcPr>
            <w:tcW w:w="567" w:type="pct"/>
          </w:tcPr>
          <w:p w14:paraId="286276F8" w14:textId="77777777" w:rsidR="003F11C1" w:rsidRPr="005C5E32" w:rsidRDefault="003F11C1">
            <w:pPr>
              <w:pStyle w:val="TableText"/>
              <w:spacing w:before="40" w:after="40"/>
              <w:jc w:val="right"/>
              <w:rPr>
                <w:rFonts w:cs="Calibri"/>
              </w:rPr>
            </w:pPr>
            <w:r w:rsidRPr="005C5E32">
              <w:rPr>
                <w:rFonts w:cs="Calibri"/>
              </w:rPr>
              <w:t xml:space="preserve"> 87</w:t>
            </w:r>
          </w:p>
        </w:tc>
        <w:tc>
          <w:tcPr>
            <w:tcW w:w="673" w:type="pct"/>
          </w:tcPr>
          <w:p w14:paraId="647AD711" w14:textId="77777777" w:rsidR="003F11C1" w:rsidRPr="005C5E32" w:rsidRDefault="003F11C1">
            <w:pPr>
              <w:pStyle w:val="TableText"/>
              <w:spacing w:before="40" w:after="40"/>
              <w:jc w:val="right"/>
              <w:rPr>
                <w:rFonts w:cs="Calibri"/>
              </w:rPr>
            </w:pPr>
            <w:r w:rsidRPr="005C5E32">
              <w:rPr>
                <w:rFonts w:cs="Calibri"/>
              </w:rPr>
              <w:t xml:space="preserve"> 11.0%</w:t>
            </w:r>
          </w:p>
        </w:tc>
        <w:tc>
          <w:tcPr>
            <w:tcW w:w="454" w:type="pct"/>
          </w:tcPr>
          <w:p w14:paraId="5799923F" w14:textId="77777777" w:rsidR="003F11C1" w:rsidRPr="005C5E32" w:rsidRDefault="003F11C1">
            <w:pPr>
              <w:pStyle w:val="TableText"/>
              <w:spacing w:before="40" w:after="40"/>
              <w:jc w:val="right"/>
              <w:rPr>
                <w:rFonts w:cs="Calibri"/>
              </w:rPr>
            </w:pPr>
            <w:r w:rsidRPr="005C5E32">
              <w:rPr>
                <w:rFonts w:cs="Calibri"/>
              </w:rPr>
              <w:t>90</w:t>
            </w:r>
          </w:p>
        </w:tc>
        <w:tc>
          <w:tcPr>
            <w:tcW w:w="539" w:type="pct"/>
          </w:tcPr>
          <w:p w14:paraId="398C6A61" w14:textId="77777777" w:rsidR="003F11C1" w:rsidRPr="005C5E32" w:rsidRDefault="003F11C1">
            <w:pPr>
              <w:pStyle w:val="TableText"/>
              <w:spacing w:before="40" w:after="40"/>
              <w:jc w:val="right"/>
              <w:rPr>
                <w:rFonts w:cs="Calibri"/>
              </w:rPr>
            </w:pPr>
            <w:r w:rsidRPr="005C5E32">
              <w:rPr>
                <w:rFonts w:cs="Calibri"/>
              </w:rPr>
              <w:t>11.6%</w:t>
            </w:r>
          </w:p>
        </w:tc>
      </w:tr>
      <w:tr w:rsidR="003F11C1" w:rsidRPr="005C5E32" w14:paraId="22DE9A54" w14:textId="77777777">
        <w:tc>
          <w:tcPr>
            <w:tcW w:w="577" w:type="pct"/>
            <w:vAlign w:val="bottom"/>
          </w:tcPr>
          <w:p w14:paraId="75D3EF50" w14:textId="77777777" w:rsidR="003F11C1" w:rsidRPr="005C5E32" w:rsidRDefault="003F11C1">
            <w:pPr>
              <w:pStyle w:val="TableText"/>
              <w:spacing w:before="40" w:after="40"/>
              <w:rPr>
                <w:rFonts w:cs="Calibri"/>
              </w:rPr>
            </w:pPr>
            <w:r w:rsidRPr="005C5E32">
              <w:rPr>
                <w:rFonts w:eastAsia="Times New Roman" w:cs="Calibri"/>
                <w:color w:val="000000" w:themeColor="text1"/>
              </w:rPr>
              <w:t>65+</w:t>
            </w:r>
            <w:r w:rsidRPr="005C5E32" w:rsidDel="007B17B4">
              <w:rPr>
                <w:rFonts w:eastAsia="Times New Roman" w:cs="Calibri"/>
                <w:color w:val="000000" w:themeColor="text1"/>
              </w:rPr>
              <w:t xml:space="preserve"> </w:t>
            </w:r>
          </w:p>
        </w:tc>
        <w:tc>
          <w:tcPr>
            <w:tcW w:w="494" w:type="pct"/>
            <w:vAlign w:val="center"/>
          </w:tcPr>
          <w:p w14:paraId="5E90BDD5"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17</w:t>
            </w:r>
          </w:p>
        </w:tc>
        <w:tc>
          <w:tcPr>
            <w:tcW w:w="618" w:type="pct"/>
            <w:vAlign w:val="center"/>
          </w:tcPr>
          <w:p w14:paraId="71CF7243"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1.6%</w:t>
            </w:r>
          </w:p>
        </w:tc>
        <w:tc>
          <w:tcPr>
            <w:tcW w:w="537" w:type="pct"/>
            <w:vAlign w:val="center"/>
          </w:tcPr>
          <w:p w14:paraId="3E5F6508" w14:textId="77777777" w:rsidR="003F11C1" w:rsidRPr="005C5E32" w:rsidRDefault="003F11C1">
            <w:pPr>
              <w:pStyle w:val="TableText"/>
              <w:spacing w:before="40" w:after="40"/>
              <w:jc w:val="right"/>
              <w:rPr>
                <w:rFonts w:cs="Calibri"/>
              </w:rPr>
            </w:pPr>
            <w:r w:rsidRPr="005C5E32">
              <w:rPr>
                <w:rFonts w:cs="Calibri"/>
              </w:rPr>
              <w:t>19</w:t>
            </w:r>
          </w:p>
        </w:tc>
        <w:tc>
          <w:tcPr>
            <w:tcW w:w="539" w:type="pct"/>
            <w:vAlign w:val="center"/>
          </w:tcPr>
          <w:p w14:paraId="6CB3C4F0" w14:textId="77777777" w:rsidR="003F11C1" w:rsidRPr="005C5E32" w:rsidRDefault="003F11C1">
            <w:pPr>
              <w:pStyle w:val="TableText"/>
              <w:spacing w:before="40" w:after="40"/>
              <w:jc w:val="right"/>
              <w:rPr>
                <w:rFonts w:cs="Calibri"/>
              </w:rPr>
            </w:pPr>
            <w:r w:rsidRPr="005C5E32">
              <w:rPr>
                <w:rFonts w:cs="Calibri"/>
              </w:rPr>
              <w:t>1.9%</w:t>
            </w:r>
          </w:p>
        </w:tc>
        <w:tc>
          <w:tcPr>
            <w:tcW w:w="567" w:type="pct"/>
          </w:tcPr>
          <w:p w14:paraId="47970DA5" w14:textId="77777777" w:rsidR="003F11C1" w:rsidRPr="005C5E32" w:rsidRDefault="003F11C1">
            <w:pPr>
              <w:pStyle w:val="TableText"/>
              <w:spacing w:before="40" w:after="40"/>
              <w:jc w:val="right"/>
              <w:rPr>
                <w:rFonts w:cs="Calibri"/>
              </w:rPr>
            </w:pPr>
            <w:r w:rsidRPr="005C5E32">
              <w:rPr>
                <w:rFonts w:cs="Calibri"/>
              </w:rPr>
              <w:t xml:space="preserve"> 14</w:t>
            </w:r>
          </w:p>
        </w:tc>
        <w:tc>
          <w:tcPr>
            <w:tcW w:w="673" w:type="pct"/>
          </w:tcPr>
          <w:p w14:paraId="08F3407F" w14:textId="77777777" w:rsidR="003F11C1" w:rsidRPr="005C5E32" w:rsidRDefault="003F11C1">
            <w:pPr>
              <w:pStyle w:val="TableText"/>
              <w:spacing w:before="40" w:after="40"/>
              <w:jc w:val="right"/>
              <w:rPr>
                <w:rFonts w:cs="Calibri"/>
              </w:rPr>
            </w:pPr>
            <w:r w:rsidRPr="005C5E32">
              <w:rPr>
                <w:rFonts w:cs="Calibri"/>
              </w:rPr>
              <w:t xml:space="preserve"> 1.8% </w:t>
            </w:r>
          </w:p>
        </w:tc>
        <w:tc>
          <w:tcPr>
            <w:tcW w:w="454" w:type="pct"/>
          </w:tcPr>
          <w:p w14:paraId="76FDFB89" w14:textId="77777777" w:rsidR="003F11C1" w:rsidRPr="005C5E32" w:rsidRDefault="003F11C1">
            <w:pPr>
              <w:pStyle w:val="TableText"/>
              <w:spacing w:before="40" w:after="40"/>
              <w:jc w:val="right"/>
              <w:rPr>
                <w:rFonts w:cs="Calibri"/>
              </w:rPr>
            </w:pPr>
            <w:r w:rsidRPr="005C5E32">
              <w:rPr>
                <w:rFonts w:cs="Calibri"/>
              </w:rPr>
              <w:t>15</w:t>
            </w:r>
          </w:p>
        </w:tc>
        <w:tc>
          <w:tcPr>
            <w:tcW w:w="539" w:type="pct"/>
          </w:tcPr>
          <w:p w14:paraId="08A7A7D7" w14:textId="77777777" w:rsidR="003F11C1" w:rsidRPr="005C5E32" w:rsidRDefault="003F11C1">
            <w:pPr>
              <w:pStyle w:val="TableText"/>
              <w:spacing w:before="40" w:after="40"/>
              <w:jc w:val="right"/>
              <w:rPr>
                <w:rFonts w:cs="Calibri"/>
              </w:rPr>
            </w:pPr>
            <w:r w:rsidRPr="005C5E32">
              <w:rPr>
                <w:rFonts w:cs="Calibri"/>
              </w:rPr>
              <w:t>1.9%</w:t>
            </w:r>
          </w:p>
        </w:tc>
      </w:tr>
      <w:tr w:rsidR="003F11C1" w:rsidRPr="005C5E32" w14:paraId="77F09959" w14:textId="77777777">
        <w:tc>
          <w:tcPr>
            <w:tcW w:w="577" w:type="pct"/>
            <w:vAlign w:val="bottom"/>
          </w:tcPr>
          <w:p w14:paraId="50D35D55" w14:textId="77777777" w:rsidR="003F11C1" w:rsidRPr="005C5E32" w:rsidRDefault="003F11C1">
            <w:pPr>
              <w:pStyle w:val="TableText"/>
              <w:spacing w:before="40" w:after="40"/>
              <w:rPr>
                <w:rFonts w:cs="Calibri"/>
              </w:rPr>
            </w:pPr>
            <w:r w:rsidRPr="005C5E32">
              <w:rPr>
                <w:rFonts w:eastAsia="Times New Roman" w:cs="Calibri"/>
                <w:color w:val="000000" w:themeColor="text1"/>
              </w:rPr>
              <w:t>Unknown</w:t>
            </w:r>
          </w:p>
        </w:tc>
        <w:tc>
          <w:tcPr>
            <w:tcW w:w="494" w:type="pct"/>
            <w:vAlign w:val="center"/>
          </w:tcPr>
          <w:p w14:paraId="57B07765"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w:t>
            </w:r>
          </w:p>
        </w:tc>
        <w:tc>
          <w:tcPr>
            <w:tcW w:w="618" w:type="pct"/>
            <w:vAlign w:val="center"/>
          </w:tcPr>
          <w:p w14:paraId="27E13EA7"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0.0%</w:t>
            </w:r>
          </w:p>
        </w:tc>
        <w:tc>
          <w:tcPr>
            <w:tcW w:w="537" w:type="pct"/>
            <w:vAlign w:val="center"/>
          </w:tcPr>
          <w:p w14:paraId="072D41CC" w14:textId="77777777" w:rsidR="003F11C1" w:rsidRPr="005C5E32" w:rsidRDefault="003F11C1">
            <w:pPr>
              <w:pStyle w:val="TableText"/>
              <w:spacing w:before="40" w:after="40"/>
              <w:jc w:val="right"/>
              <w:rPr>
                <w:rFonts w:cs="Calibri"/>
              </w:rPr>
            </w:pPr>
            <w:r w:rsidRPr="005C5E32">
              <w:rPr>
                <w:rFonts w:cs="Calibri"/>
              </w:rPr>
              <w:t>–</w:t>
            </w:r>
          </w:p>
        </w:tc>
        <w:tc>
          <w:tcPr>
            <w:tcW w:w="539" w:type="pct"/>
            <w:vAlign w:val="center"/>
          </w:tcPr>
          <w:p w14:paraId="6E41DA44" w14:textId="77777777" w:rsidR="003F11C1" w:rsidRPr="005C5E32" w:rsidRDefault="003F11C1">
            <w:pPr>
              <w:pStyle w:val="TableText"/>
              <w:spacing w:before="40" w:after="40"/>
              <w:jc w:val="right"/>
              <w:rPr>
                <w:rFonts w:cs="Calibri"/>
              </w:rPr>
            </w:pPr>
            <w:r w:rsidRPr="005C5E32">
              <w:rPr>
                <w:rFonts w:cs="Calibri"/>
              </w:rPr>
              <w:t>0.0%</w:t>
            </w:r>
          </w:p>
        </w:tc>
        <w:tc>
          <w:tcPr>
            <w:tcW w:w="567" w:type="pct"/>
          </w:tcPr>
          <w:p w14:paraId="6F5F5484"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w:t>
            </w:r>
          </w:p>
        </w:tc>
        <w:tc>
          <w:tcPr>
            <w:tcW w:w="673" w:type="pct"/>
          </w:tcPr>
          <w:p w14:paraId="373A48DC" w14:textId="77777777" w:rsidR="003F11C1" w:rsidRPr="005C5E32" w:rsidRDefault="003F11C1">
            <w:pPr>
              <w:pStyle w:val="TableText"/>
              <w:spacing w:before="40" w:after="40"/>
              <w:jc w:val="right"/>
              <w:rPr>
                <w:rFonts w:cs="Calibri"/>
              </w:rPr>
            </w:pPr>
            <w:r w:rsidRPr="005C5E32">
              <w:rPr>
                <w:rFonts w:cs="Calibri"/>
              </w:rPr>
              <w:t>0.0%</w:t>
            </w:r>
          </w:p>
        </w:tc>
        <w:tc>
          <w:tcPr>
            <w:tcW w:w="454" w:type="pct"/>
          </w:tcPr>
          <w:p w14:paraId="5209F1F8" w14:textId="77777777" w:rsidR="003F11C1" w:rsidRPr="005C5E32" w:rsidRDefault="003F11C1">
            <w:pPr>
              <w:pStyle w:val="TableText"/>
              <w:spacing w:before="40" w:after="40"/>
              <w:jc w:val="right"/>
              <w:rPr>
                <w:rFonts w:cs="Calibri"/>
              </w:rPr>
            </w:pPr>
            <w:r w:rsidRPr="005C5E32">
              <w:rPr>
                <w:rFonts w:eastAsia="Times New Roman" w:cs="Calibri"/>
                <w:color w:val="000000" w:themeColor="text1"/>
              </w:rPr>
              <w:t>–</w:t>
            </w:r>
          </w:p>
        </w:tc>
        <w:tc>
          <w:tcPr>
            <w:tcW w:w="539" w:type="pct"/>
          </w:tcPr>
          <w:p w14:paraId="62948CF6" w14:textId="77777777" w:rsidR="003F11C1" w:rsidRPr="005C5E32" w:rsidRDefault="003F11C1">
            <w:pPr>
              <w:pStyle w:val="TableText"/>
              <w:spacing w:before="40" w:after="40"/>
              <w:jc w:val="right"/>
              <w:rPr>
                <w:rFonts w:cs="Calibri"/>
              </w:rPr>
            </w:pPr>
            <w:r w:rsidRPr="005C5E32">
              <w:rPr>
                <w:rFonts w:cs="Calibri"/>
              </w:rPr>
              <w:t>0.0%</w:t>
            </w:r>
          </w:p>
        </w:tc>
      </w:tr>
    </w:tbl>
    <w:p w14:paraId="6437DF52" w14:textId="6559A1A8" w:rsidR="003F11C1" w:rsidRPr="005C5E32" w:rsidRDefault="000F6A8C" w:rsidP="00A74BCA">
      <w:pPr>
        <w:pStyle w:val="Note"/>
        <w:spacing w:after="0"/>
      </w:pPr>
      <w:r w:rsidRPr="005C5E32">
        <w:t xml:space="preserve">* </w:t>
      </w:r>
      <w:r w:rsidR="003F11C1" w:rsidRPr="005C5E32">
        <w:t>Data</w:t>
      </w:r>
      <w:r w:rsidR="00B92A45" w:rsidRPr="005C5E32">
        <w:t>set</w:t>
      </w:r>
      <w:r w:rsidR="003F11C1" w:rsidRPr="005C5E32">
        <w:t xml:space="preserve"> includes employees who are permanent, fixed term or seconded </w:t>
      </w:r>
      <w:r w:rsidR="00321CD7" w:rsidRPr="005C5E32">
        <w:t>to other organisations</w:t>
      </w:r>
      <w:r w:rsidR="003F11C1" w:rsidRPr="005C5E32">
        <w:t>.</w:t>
      </w:r>
    </w:p>
    <w:p w14:paraId="4E7F2D85" w14:textId="0EE977BE" w:rsidR="003F11C1" w:rsidRPr="005C5E32" w:rsidRDefault="000F6A8C" w:rsidP="00A74BCA">
      <w:pPr>
        <w:pStyle w:val="Note"/>
        <w:spacing w:before="60"/>
      </w:pPr>
      <w:r w:rsidRPr="005C5E32">
        <w:t xml:space="preserve">** </w:t>
      </w:r>
      <w:r w:rsidR="003F11C1" w:rsidRPr="005C5E32">
        <w:t xml:space="preserve">The 2024/25 workforce age figures have been restated to correct errors identified after </w:t>
      </w:r>
      <w:r w:rsidRPr="005C5E32">
        <w:t xml:space="preserve">they were originally </w:t>
      </w:r>
      <w:r w:rsidR="003F11C1" w:rsidRPr="005C5E32">
        <w:t>publi</w:t>
      </w:r>
      <w:r w:rsidRPr="005C5E32">
        <w:t>shed</w:t>
      </w:r>
      <w:r w:rsidR="00EF6B76" w:rsidRPr="005C5E32">
        <w:t>. These errors</w:t>
      </w:r>
      <w:r w:rsidR="003F11C1" w:rsidRPr="005C5E32">
        <w:t xml:space="preserve"> primarily relat</w:t>
      </w:r>
      <w:r w:rsidR="00D2297F" w:rsidRPr="005C5E32">
        <w:t>ed</w:t>
      </w:r>
      <w:r w:rsidR="003F11C1" w:rsidRPr="005C5E32">
        <w:t xml:space="preserve"> to how contractor records were classified</w:t>
      </w:r>
      <w:r w:rsidR="00EF6B76" w:rsidRPr="005C5E32">
        <w:t xml:space="preserve"> and affected the 65+, 45–54 and 55–64 age bands</w:t>
      </w:r>
      <w:r w:rsidR="003F11C1" w:rsidRPr="005C5E32">
        <w:t>. In addition, the 2024/25 methodology has been aligned with prior and current reporting years by excluding staff on parental leave</w:t>
      </w:r>
      <w:r w:rsidR="00A73D66" w:rsidRPr="005C5E32">
        <w:t xml:space="preserve"> or</w:t>
      </w:r>
      <w:r w:rsidR="003F11C1" w:rsidRPr="005C5E32">
        <w:t xml:space="preserve"> leave without pay, and </w:t>
      </w:r>
      <w:r w:rsidR="00A73D66" w:rsidRPr="005C5E32">
        <w:t xml:space="preserve">staff who are </w:t>
      </w:r>
      <w:r w:rsidR="003F11C1" w:rsidRPr="005C5E32">
        <w:t>seconded</w:t>
      </w:r>
      <w:r w:rsidR="00A73D66" w:rsidRPr="005C5E32">
        <w:t xml:space="preserve"> </w:t>
      </w:r>
      <w:r w:rsidR="003F11C1" w:rsidRPr="005C5E32">
        <w:t>in.</w:t>
      </w:r>
    </w:p>
    <w:p w14:paraId="6F9BCC39" w14:textId="3178F98C" w:rsidR="003F11C1" w:rsidRPr="005C5E32" w:rsidRDefault="003F11C1" w:rsidP="001424CD">
      <w:pPr>
        <w:pStyle w:val="Tableheading"/>
      </w:pPr>
      <w:r w:rsidRPr="005C5E32">
        <w:lastRenderedPageBreak/>
        <w:t xml:space="preserve">Table </w:t>
      </w:r>
      <w:fldSimple w:instr=" SEQ Table \* ARABIC ">
        <w:r w:rsidR="00D8311D">
          <w:rPr>
            <w:noProof/>
          </w:rPr>
          <w:t>7</w:t>
        </w:r>
      </w:fldSimple>
      <w:r w:rsidRPr="005C5E32">
        <w:t>:</w:t>
      </w:r>
      <w:r w:rsidRPr="005C5E32">
        <w:tab/>
        <w:t xml:space="preserve">Ethnicity of </w:t>
      </w:r>
      <w:r w:rsidRPr="005C5E32" w:rsidDel="00870489">
        <w:t xml:space="preserve">people </w:t>
      </w:r>
      <w:r w:rsidRPr="005C5E32">
        <w:t>leaders (FTE)*</w:t>
      </w:r>
      <w:r w:rsidR="00910CA4" w:rsidRPr="005C5E32">
        <w:t xml:space="preserve"> as at 30 June 2026</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1843"/>
        <w:gridCol w:w="1134"/>
        <w:gridCol w:w="992"/>
        <w:gridCol w:w="1985"/>
        <w:gridCol w:w="850"/>
        <w:gridCol w:w="993"/>
        <w:gridCol w:w="708"/>
      </w:tblGrid>
      <w:tr w:rsidR="003F11C1" w:rsidRPr="005C5E32" w14:paraId="4A976F09" w14:textId="77777777" w:rsidTr="00A74BCA">
        <w:trPr>
          <w:tblHeader/>
        </w:trPr>
        <w:tc>
          <w:tcPr>
            <w:tcW w:w="1843" w:type="dxa"/>
            <w:shd w:val="clear" w:color="auto" w:fill="1B556B"/>
            <w:vAlign w:val="bottom"/>
          </w:tcPr>
          <w:p w14:paraId="46F69767" w14:textId="4DFD5000" w:rsidR="003F11C1" w:rsidRPr="005C5E32" w:rsidRDefault="003F11C1" w:rsidP="003D0CC1">
            <w:pPr>
              <w:pStyle w:val="TableTextbold"/>
              <w:keepNext/>
              <w:spacing w:before="40" w:after="40"/>
              <w:rPr>
                <w:color w:val="FFFFFF" w:themeColor="background1"/>
              </w:rPr>
            </w:pPr>
            <w:r w:rsidRPr="005C5E32">
              <w:rPr>
                <w:color w:val="FFFFFF" w:themeColor="background1"/>
              </w:rPr>
              <w:t>Ethnicity</w:t>
            </w:r>
            <w:r w:rsidR="00D2297F" w:rsidRPr="005C5E32">
              <w:rPr>
                <w:color w:val="FFFFFF" w:themeColor="background1"/>
              </w:rPr>
              <w:t>**</w:t>
            </w:r>
          </w:p>
        </w:tc>
        <w:tc>
          <w:tcPr>
            <w:tcW w:w="1134" w:type="dxa"/>
            <w:shd w:val="clear" w:color="auto" w:fill="1B556B"/>
            <w:vAlign w:val="bottom"/>
          </w:tcPr>
          <w:p w14:paraId="7D1B1305" w14:textId="77777777" w:rsidR="003F11C1" w:rsidRPr="005C5E32" w:rsidRDefault="003F11C1" w:rsidP="003D0CC1">
            <w:pPr>
              <w:pStyle w:val="TableTextbold"/>
              <w:keepNext/>
              <w:spacing w:before="40" w:after="40"/>
              <w:jc w:val="right"/>
              <w:rPr>
                <w:color w:val="FFFFFF" w:themeColor="background1"/>
              </w:rPr>
            </w:pPr>
            <w:r w:rsidRPr="005C5E32">
              <w:rPr>
                <w:color w:val="FFFFFF" w:themeColor="background1"/>
              </w:rPr>
              <w:t>Team Leader</w:t>
            </w:r>
          </w:p>
        </w:tc>
        <w:tc>
          <w:tcPr>
            <w:tcW w:w="992" w:type="dxa"/>
            <w:shd w:val="clear" w:color="auto" w:fill="1B556B"/>
            <w:vAlign w:val="bottom"/>
          </w:tcPr>
          <w:p w14:paraId="12B5A765" w14:textId="77777777" w:rsidR="003F11C1" w:rsidRPr="005C5E32" w:rsidRDefault="003F11C1" w:rsidP="003D0CC1">
            <w:pPr>
              <w:pStyle w:val="TableTextbold"/>
              <w:keepNext/>
              <w:spacing w:before="40" w:after="40"/>
              <w:jc w:val="right"/>
              <w:rPr>
                <w:color w:val="FFFFFF" w:themeColor="background1"/>
              </w:rPr>
            </w:pPr>
            <w:r w:rsidRPr="005C5E32">
              <w:rPr>
                <w:color w:val="FFFFFF" w:themeColor="background1"/>
              </w:rPr>
              <w:t>Manager</w:t>
            </w:r>
          </w:p>
        </w:tc>
        <w:tc>
          <w:tcPr>
            <w:tcW w:w="1985" w:type="dxa"/>
            <w:shd w:val="clear" w:color="auto" w:fill="1B556B"/>
          </w:tcPr>
          <w:p w14:paraId="5DE39BD7" w14:textId="62C652EE" w:rsidR="003F11C1" w:rsidRPr="005C5E32" w:rsidRDefault="003F11C1" w:rsidP="003D0CC1">
            <w:pPr>
              <w:pStyle w:val="TableTextbold"/>
              <w:keepNext/>
              <w:spacing w:before="40" w:after="40"/>
              <w:jc w:val="right"/>
              <w:rPr>
                <w:color w:val="FFFFFF" w:themeColor="background1"/>
              </w:rPr>
            </w:pPr>
            <w:r w:rsidRPr="005C5E32">
              <w:rPr>
                <w:color w:val="FFFFFF" w:themeColor="background1"/>
              </w:rPr>
              <w:t>Programme Executive / Director /</w:t>
            </w:r>
            <w:r w:rsidR="00A74BCA" w:rsidRPr="005C5E32">
              <w:rPr>
                <w:color w:val="FFFFFF" w:themeColor="background1"/>
              </w:rPr>
              <w:t xml:space="preserve"> </w:t>
            </w:r>
            <w:r w:rsidRPr="005C5E32">
              <w:rPr>
                <w:color w:val="FFFFFF" w:themeColor="background1"/>
              </w:rPr>
              <w:t>Chief of Staff</w:t>
            </w:r>
          </w:p>
        </w:tc>
        <w:tc>
          <w:tcPr>
            <w:tcW w:w="850" w:type="dxa"/>
            <w:shd w:val="clear" w:color="auto" w:fill="1B556B"/>
            <w:vAlign w:val="bottom"/>
          </w:tcPr>
          <w:p w14:paraId="7FDE7240" w14:textId="77777777" w:rsidR="003F11C1" w:rsidRPr="005C5E32" w:rsidRDefault="003F11C1" w:rsidP="003D0CC1">
            <w:pPr>
              <w:pStyle w:val="TableTextbold"/>
              <w:keepNext/>
              <w:spacing w:before="40" w:after="40"/>
              <w:jc w:val="right"/>
              <w:rPr>
                <w:color w:val="FFFFFF" w:themeColor="background1"/>
              </w:rPr>
            </w:pPr>
            <w:r w:rsidRPr="005C5E32">
              <w:rPr>
                <w:color w:val="FFFFFF" w:themeColor="background1"/>
              </w:rPr>
              <w:t>General Manager</w:t>
            </w:r>
          </w:p>
        </w:tc>
        <w:tc>
          <w:tcPr>
            <w:tcW w:w="993" w:type="dxa"/>
            <w:shd w:val="clear" w:color="auto" w:fill="1B556B"/>
            <w:tcMar>
              <w:left w:w="57" w:type="dxa"/>
              <w:right w:w="57" w:type="dxa"/>
            </w:tcMar>
            <w:vAlign w:val="bottom"/>
          </w:tcPr>
          <w:p w14:paraId="13D1F7B7" w14:textId="77777777" w:rsidR="003F11C1" w:rsidRPr="005C5E32" w:rsidRDefault="003F11C1" w:rsidP="003D0CC1">
            <w:pPr>
              <w:pStyle w:val="TableTextbold"/>
              <w:keepNext/>
              <w:spacing w:before="40" w:after="40"/>
              <w:jc w:val="right"/>
              <w:rPr>
                <w:color w:val="FFFFFF" w:themeColor="background1"/>
              </w:rPr>
            </w:pPr>
            <w:r w:rsidRPr="005C5E32">
              <w:rPr>
                <w:color w:val="FFFFFF" w:themeColor="background1"/>
              </w:rPr>
              <w:t>Deputy Secretary</w:t>
            </w:r>
          </w:p>
        </w:tc>
        <w:tc>
          <w:tcPr>
            <w:tcW w:w="708" w:type="dxa"/>
            <w:shd w:val="clear" w:color="auto" w:fill="1B556B"/>
            <w:vAlign w:val="bottom"/>
          </w:tcPr>
          <w:p w14:paraId="7918E1B2" w14:textId="77777777" w:rsidR="003F11C1" w:rsidRPr="005C5E32" w:rsidRDefault="003F11C1" w:rsidP="003D0CC1">
            <w:pPr>
              <w:pStyle w:val="TableTextbold"/>
              <w:keepNext/>
              <w:spacing w:before="40" w:after="40"/>
              <w:jc w:val="right"/>
              <w:rPr>
                <w:color w:val="FFFFFF" w:themeColor="background1"/>
              </w:rPr>
            </w:pPr>
            <w:r w:rsidRPr="005C5E32">
              <w:rPr>
                <w:color w:val="FFFFFF" w:themeColor="background1"/>
              </w:rPr>
              <w:t>Total</w:t>
            </w:r>
          </w:p>
        </w:tc>
      </w:tr>
      <w:tr w:rsidR="003F11C1" w:rsidRPr="005C5E32" w14:paraId="59D558D5" w14:textId="77777777" w:rsidTr="00A74BCA">
        <w:tc>
          <w:tcPr>
            <w:tcW w:w="1843" w:type="dxa"/>
            <w:tcMar>
              <w:left w:w="108" w:type="dxa"/>
              <w:right w:w="108" w:type="dxa"/>
            </w:tcMar>
          </w:tcPr>
          <w:p w14:paraId="2E8B9266" w14:textId="77777777" w:rsidR="003F11C1" w:rsidRPr="005C5E32" w:rsidRDefault="003F11C1" w:rsidP="00A74BCA">
            <w:pPr>
              <w:pStyle w:val="TableText"/>
              <w:spacing w:before="40" w:after="40"/>
            </w:pPr>
            <w:r w:rsidRPr="005C5E32">
              <w:t>European</w:t>
            </w:r>
          </w:p>
        </w:tc>
        <w:tc>
          <w:tcPr>
            <w:tcW w:w="1134" w:type="dxa"/>
            <w:tcMar>
              <w:left w:w="108" w:type="dxa"/>
              <w:right w:w="108" w:type="dxa"/>
            </w:tcMar>
            <w:vAlign w:val="center"/>
          </w:tcPr>
          <w:p w14:paraId="3B7C1CA3" w14:textId="77777777" w:rsidR="003F11C1" w:rsidRPr="005C5E32" w:rsidRDefault="003F11C1" w:rsidP="00A74BCA">
            <w:pPr>
              <w:pStyle w:val="TableText"/>
              <w:spacing w:before="40" w:after="40"/>
              <w:jc w:val="right"/>
            </w:pPr>
            <w:r w:rsidRPr="005C5E32">
              <w:t>12.7</w:t>
            </w:r>
          </w:p>
        </w:tc>
        <w:tc>
          <w:tcPr>
            <w:tcW w:w="992" w:type="dxa"/>
            <w:tcMar>
              <w:left w:w="108" w:type="dxa"/>
              <w:right w:w="108" w:type="dxa"/>
            </w:tcMar>
            <w:vAlign w:val="center"/>
          </w:tcPr>
          <w:p w14:paraId="23635AEE" w14:textId="77777777" w:rsidR="003F11C1" w:rsidRPr="005C5E32" w:rsidRDefault="003F11C1" w:rsidP="00A74BCA">
            <w:pPr>
              <w:pStyle w:val="TableText"/>
              <w:spacing w:before="40" w:after="40"/>
              <w:jc w:val="right"/>
            </w:pPr>
            <w:r w:rsidRPr="005C5E32">
              <w:t>71.6</w:t>
            </w:r>
          </w:p>
        </w:tc>
        <w:tc>
          <w:tcPr>
            <w:tcW w:w="1985" w:type="dxa"/>
            <w:vAlign w:val="center"/>
          </w:tcPr>
          <w:p w14:paraId="35A41B67" w14:textId="77777777" w:rsidR="003F11C1" w:rsidRPr="005C5E32" w:rsidRDefault="003F11C1" w:rsidP="00A74BCA">
            <w:pPr>
              <w:pStyle w:val="TableText"/>
              <w:spacing w:before="40" w:after="40"/>
              <w:jc w:val="right"/>
            </w:pPr>
            <w:r w:rsidRPr="005C5E32">
              <w:t>8.0</w:t>
            </w:r>
          </w:p>
        </w:tc>
        <w:tc>
          <w:tcPr>
            <w:tcW w:w="850" w:type="dxa"/>
            <w:tcMar>
              <w:left w:w="108" w:type="dxa"/>
              <w:right w:w="108" w:type="dxa"/>
            </w:tcMar>
            <w:vAlign w:val="center"/>
          </w:tcPr>
          <w:p w14:paraId="73BC0812" w14:textId="77777777" w:rsidR="003F11C1" w:rsidRPr="005C5E32" w:rsidRDefault="003F11C1" w:rsidP="00A74BCA">
            <w:pPr>
              <w:pStyle w:val="TableText"/>
              <w:spacing w:before="40" w:after="40"/>
              <w:jc w:val="right"/>
            </w:pPr>
            <w:r w:rsidRPr="005C5E32">
              <w:t>17.9</w:t>
            </w:r>
          </w:p>
        </w:tc>
        <w:tc>
          <w:tcPr>
            <w:tcW w:w="993" w:type="dxa"/>
            <w:tcMar>
              <w:left w:w="108" w:type="dxa"/>
              <w:right w:w="108" w:type="dxa"/>
            </w:tcMar>
            <w:vAlign w:val="center"/>
          </w:tcPr>
          <w:p w14:paraId="0F8E8996" w14:textId="77777777" w:rsidR="003F11C1" w:rsidRPr="005C5E32" w:rsidRDefault="003F11C1" w:rsidP="00A74BCA">
            <w:pPr>
              <w:pStyle w:val="TableText"/>
              <w:spacing w:before="40" w:after="40"/>
              <w:jc w:val="right"/>
            </w:pPr>
            <w:r w:rsidRPr="005C5E32">
              <w:t>4.0</w:t>
            </w:r>
          </w:p>
        </w:tc>
        <w:tc>
          <w:tcPr>
            <w:tcW w:w="708" w:type="dxa"/>
            <w:tcMar>
              <w:left w:w="108" w:type="dxa"/>
              <w:right w:w="108" w:type="dxa"/>
            </w:tcMar>
            <w:vAlign w:val="center"/>
          </w:tcPr>
          <w:p w14:paraId="6A40FA75" w14:textId="77777777" w:rsidR="003F11C1" w:rsidRPr="005C5E32" w:rsidRDefault="003F11C1" w:rsidP="00A74BCA">
            <w:pPr>
              <w:pStyle w:val="TableText"/>
              <w:spacing w:before="40" w:after="40"/>
              <w:jc w:val="right"/>
              <w:rPr>
                <w:b/>
                <w:color w:val="000000" w:themeColor="text1"/>
              </w:rPr>
            </w:pPr>
            <w:r w:rsidRPr="005C5E32">
              <w:rPr>
                <w:b/>
                <w:color w:val="000000" w:themeColor="text1"/>
              </w:rPr>
              <w:t>114.2</w:t>
            </w:r>
          </w:p>
        </w:tc>
      </w:tr>
      <w:tr w:rsidR="003F11C1" w:rsidRPr="005C5E32" w14:paraId="049C1751" w14:textId="77777777" w:rsidTr="00A74BCA">
        <w:tc>
          <w:tcPr>
            <w:tcW w:w="1843" w:type="dxa"/>
            <w:tcMar>
              <w:left w:w="108" w:type="dxa"/>
              <w:right w:w="108" w:type="dxa"/>
            </w:tcMar>
          </w:tcPr>
          <w:p w14:paraId="68BDC6A8" w14:textId="77777777" w:rsidR="003F11C1" w:rsidRPr="005C5E32" w:rsidRDefault="003F11C1" w:rsidP="00A74BCA">
            <w:pPr>
              <w:pStyle w:val="TableText"/>
              <w:spacing w:before="40" w:after="40"/>
            </w:pPr>
            <w:r w:rsidRPr="005C5E32">
              <w:t>Māori</w:t>
            </w:r>
          </w:p>
        </w:tc>
        <w:tc>
          <w:tcPr>
            <w:tcW w:w="1134" w:type="dxa"/>
            <w:tcMar>
              <w:left w:w="108" w:type="dxa"/>
              <w:right w:w="108" w:type="dxa"/>
            </w:tcMar>
            <w:vAlign w:val="center"/>
          </w:tcPr>
          <w:p w14:paraId="537B0EB8" w14:textId="77777777" w:rsidR="003F11C1" w:rsidRPr="005C5E32" w:rsidRDefault="003F11C1" w:rsidP="00A74BCA">
            <w:pPr>
              <w:pStyle w:val="TableText"/>
              <w:spacing w:before="40" w:after="40"/>
              <w:jc w:val="right"/>
            </w:pPr>
            <w:r w:rsidRPr="005C5E32">
              <w:t>2.0</w:t>
            </w:r>
          </w:p>
        </w:tc>
        <w:tc>
          <w:tcPr>
            <w:tcW w:w="992" w:type="dxa"/>
            <w:tcMar>
              <w:left w:w="108" w:type="dxa"/>
              <w:right w:w="108" w:type="dxa"/>
            </w:tcMar>
            <w:vAlign w:val="center"/>
          </w:tcPr>
          <w:p w14:paraId="32F09411" w14:textId="77777777" w:rsidR="003F11C1" w:rsidRPr="005C5E32" w:rsidRDefault="003F11C1" w:rsidP="00A74BCA">
            <w:pPr>
              <w:pStyle w:val="TableText"/>
              <w:spacing w:before="40" w:after="40"/>
              <w:jc w:val="right"/>
            </w:pPr>
            <w:r w:rsidRPr="005C5E32">
              <w:t>5.9</w:t>
            </w:r>
          </w:p>
        </w:tc>
        <w:tc>
          <w:tcPr>
            <w:tcW w:w="1985" w:type="dxa"/>
            <w:vAlign w:val="center"/>
          </w:tcPr>
          <w:p w14:paraId="526D273E" w14:textId="77777777" w:rsidR="003F11C1" w:rsidRPr="005C5E32" w:rsidRDefault="003F11C1" w:rsidP="00A74BCA">
            <w:pPr>
              <w:pStyle w:val="TableText"/>
              <w:spacing w:before="40" w:after="40"/>
              <w:jc w:val="right"/>
            </w:pPr>
            <w:r w:rsidRPr="005C5E32">
              <w:rPr>
                <w:szCs w:val="18"/>
              </w:rPr>
              <w:t>–</w:t>
            </w:r>
          </w:p>
        </w:tc>
        <w:tc>
          <w:tcPr>
            <w:tcW w:w="850" w:type="dxa"/>
            <w:tcMar>
              <w:left w:w="108" w:type="dxa"/>
              <w:right w:w="108" w:type="dxa"/>
            </w:tcMar>
            <w:vAlign w:val="center"/>
          </w:tcPr>
          <w:p w14:paraId="408751E9" w14:textId="77777777" w:rsidR="003F11C1" w:rsidRPr="005C5E32" w:rsidRDefault="003F11C1" w:rsidP="00A74BCA">
            <w:pPr>
              <w:pStyle w:val="TableText"/>
              <w:spacing w:before="40" w:after="40"/>
              <w:jc w:val="right"/>
            </w:pPr>
            <w:r w:rsidRPr="005C5E32">
              <w:t>3.0</w:t>
            </w:r>
          </w:p>
        </w:tc>
        <w:tc>
          <w:tcPr>
            <w:tcW w:w="993" w:type="dxa"/>
            <w:tcMar>
              <w:left w:w="108" w:type="dxa"/>
              <w:right w:w="108" w:type="dxa"/>
            </w:tcMar>
            <w:vAlign w:val="center"/>
          </w:tcPr>
          <w:p w14:paraId="225E3010" w14:textId="77777777" w:rsidR="003F11C1" w:rsidRPr="005C5E32" w:rsidRDefault="003F11C1" w:rsidP="00A74BCA">
            <w:pPr>
              <w:pStyle w:val="TableText"/>
              <w:spacing w:before="40" w:after="40"/>
              <w:jc w:val="right"/>
            </w:pPr>
            <w:r w:rsidRPr="005C5E32">
              <w:t>2.0</w:t>
            </w:r>
          </w:p>
        </w:tc>
        <w:tc>
          <w:tcPr>
            <w:tcW w:w="708" w:type="dxa"/>
            <w:tcMar>
              <w:left w:w="108" w:type="dxa"/>
              <w:right w:w="108" w:type="dxa"/>
            </w:tcMar>
            <w:vAlign w:val="center"/>
          </w:tcPr>
          <w:p w14:paraId="1266962E" w14:textId="77777777" w:rsidR="003F11C1" w:rsidRPr="005C5E32" w:rsidRDefault="003F11C1" w:rsidP="00A74BCA">
            <w:pPr>
              <w:pStyle w:val="TableText"/>
              <w:spacing w:before="40" w:after="40"/>
              <w:jc w:val="right"/>
              <w:rPr>
                <w:b/>
                <w:color w:val="000000" w:themeColor="text1"/>
              </w:rPr>
            </w:pPr>
            <w:r w:rsidRPr="005C5E32">
              <w:rPr>
                <w:b/>
                <w:color w:val="000000" w:themeColor="text1"/>
              </w:rPr>
              <w:t>12.9</w:t>
            </w:r>
          </w:p>
        </w:tc>
      </w:tr>
      <w:tr w:rsidR="003F11C1" w:rsidRPr="005C5E32" w14:paraId="69551978" w14:textId="77777777" w:rsidTr="00A74BCA">
        <w:tc>
          <w:tcPr>
            <w:tcW w:w="1843" w:type="dxa"/>
            <w:tcMar>
              <w:left w:w="108" w:type="dxa"/>
              <w:right w:w="108" w:type="dxa"/>
            </w:tcMar>
          </w:tcPr>
          <w:p w14:paraId="73371F2B" w14:textId="77777777" w:rsidR="003F11C1" w:rsidRPr="005C5E32" w:rsidRDefault="003F11C1" w:rsidP="00A74BCA">
            <w:pPr>
              <w:pStyle w:val="TableText"/>
              <w:spacing w:before="40" w:after="40"/>
            </w:pPr>
            <w:r w:rsidRPr="005C5E32">
              <w:t>Asian</w:t>
            </w:r>
          </w:p>
        </w:tc>
        <w:tc>
          <w:tcPr>
            <w:tcW w:w="1134" w:type="dxa"/>
            <w:tcMar>
              <w:left w:w="108" w:type="dxa"/>
              <w:right w:w="108" w:type="dxa"/>
            </w:tcMar>
            <w:vAlign w:val="center"/>
          </w:tcPr>
          <w:p w14:paraId="24B39CEC" w14:textId="77777777" w:rsidR="003F11C1" w:rsidRPr="005C5E32" w:rsidRDefault="003F11C1" w:rsidP="00A74BCA">
            <w:pPr>
              <w:pStyle w:val="TableText"/>
              <w:spacing w:before="40" w:after="40"/>
              <w:jc w:val="right"/>
            </w:pPr>
            <w:r w:rsidRPr="005C5E32">
              <w:rPr>
                <w:szCs w:val="18"/>
              </w:rPr>
              <w:t>–</w:t>
            </w:r>
          </w:p>
        </w:tc>
        <w:tc>
          <w:tcPr>
            <w:tcW w:w="992" w:type="dxa"/>
            <w:tcMar>
              <w:left w:w="108" w:type="dxa"/>
              <w:right w:w="108" w:type="dxa"/>
            </w:tcMar>
            <w:vAlign w:val="center"/>
          </w:tcPr>
          <w:p w14:paraId="1997DD95" w14:textId="77777777" w:rsidR="003F11C1" w:rsidRPr="005C5E32" w:rsidRDefault="003F11C1" w:rsidP="00A74BCA">
            <w:pPr>
              <w:pStyle w:val="TableText"/>
              <w:spacing w:before="40" w:after="40"/>
              <w:jc w:val="right"/>
            </w:pPr>
            <w:r w:rsidRPr="005C5E32">
              <w:t>2.0</w:t>
            </w:r>
          </w:p>
        </w:tc>
        <w:tc>
          <w:tcPr>
            <w:tcW w:w="1985" w:type="dxa"/>
            <w:vAlign w:val="center"/>
          </w:tcPr>
          <w:p w14:paraId="721C5A6B" w14:textId="77777777" w:rsidR="003F11C1" w:rsidRPr="005C5E32" w:rsidRDefault="003F11C1" w:rsidP="00A74BCA">
            <w:pPr>
              <w:pStyle w:val="TableText"/>
              <w:spacing w:before="40" w:after="40"/>
              <w:jc w:val="right"/>
            </w:pPr>
            <w:r w:rsidRPr="005C5E32">
              <w:rPr>
                <w:szCs w:val="18"/>
              </w:rPr>
              <w:t>–</w:t>
            </w:r>
          </w:p>
        </w:tc>
        <w:tc>
          <w:tcPr>
            <w:tcW w:w="850" w:type="dxa"/>
            <w:tcMar>
              <w:left w:w="108" w:type="dxa"/>
              <w:right w:w="108" w:type="dxa"/>
            </w:tcMar>
            <w:vAlign w:val="center"/>
          </w:tcPr>
          <w:p w14:paraId="44C5AB0A" w14:textId="77777777" w:rsidR="003F11C1" w:rsidRPr="005C5E32" w:rsidRDefault="003F11C1" w:rsidP="00A74BCA">
            <w:pPr>
              <w:pStyle w:val="TableText"/>
              <w:spacing w:before="40" w:after="40"/>
              <w:jc w:val="right"/>
            </w:pPr>
            <w:r w:rsidRPr="005C5E32">
              <w:t>1.0</w:t>
            </w:r>
          </w:p>
        </w:tc>
        <w:tc>
          <w:tcPr>
            <w:tcW w:w="993" w:type="dxa"/>
            <w:tcMar>
              <w:left w:w="108" w:type="dxa"/>
              <w:right w:w="108" w:type="dxa"/>
            </w:tcMar>
            <w:vAlign w:val="center"/>
          </w:tcPr>
          <w:p w14:paraId="6E3F7553" w14:textId="77777777" w:rsidR="003F11C1" w:rsidRPr="005C5E32" w:rsidRDefault="003F11C1" w:rsidP="00A74BCA">
            <w:pPr>
              <w:pStyle w:val="TableText"/>
              <w:spacing w:before="40" w:after="40"/>
              <w:jc w:val="right"/>
            </w:pPr>
            <w:r w:rsidRPr="005C5E32">
              <w:rPr>
                <w:szCs w:val="18"/>
              </w:rPr>
              <w:t>–</w:t>
            </w:r>
          </w:p>
        </w:tc>
        <w:tc>
          <w:tcPr>
            <w:tcW w:w="708" w:type="dxa"/>
            <w:tcMar>
              <w:left w:w="108" w:type="dxa"/>
              <w:right w:w="108" w:type="dxa"/>
            </w:tcMar>
            <w:vAlign w:val="center"/>
          </w:tcPr>
          <w:p w14:paraId="1384D110" w14:textId="77777777" w:rsidR="003F11C1" w:rsidRPr="005C5E32" w:rsidRDefault="003F11C1" w:rsidP="00A74BCA">
            <w:pPr>
              <w:pStyle w:val="TableText"/>
              <w:spacing w:before="40" w:after="40"/>
              <w:jc w:val="right"/>
              <w:rPr>
                <w:b/>
                <w:color w:val="000000" w:themeColor="text1"/>
              </w:rPr>
            </w:pPr>
            <w:r w:rsidRPr="005C5E32">
              <w:rPr>
                <w:b/>
                <w:color w:val="000000" w:themeColor="text1"/>
              </w:rPr>
              <w:t>3.0</w:t>
            </w:r>
          </w:p>
        </w:tc>
      </w:tr>
      <w:tr w:rsidR="003F11C1" w:rsidRPr="005C5E32" w14:paraId="6292ACA9" w14:textId="77777777" w:rsidTr="00A74BCA">
        <w:tc>
          <w:tcPr>
            <w:tcW w:w="1843" w:type="dxa"/>
            <w:tcMar>
              <w:left w:w="108" w:type="dxa"/>
              <w:right w:w="108" w:type="dxa"/>
            </w:tcMar>
          </w:tcPr>
          <w:p w14:paraId="00BEF574" w14:textId="77777777" w:rsidR="003F11C1" w:rsidRPr="005C5E32" w:rsidRDefault="003F11C1" w:rsidP="00A74BCA">
            <w:pPr>
              <w:pStyle w:val="TableText"/>
              <w:spacing w:before="40" w:after="40"/>
            </w:pPr>
            <w:r w:rsidRPr="005C5E32">
              <w:t>Pacific peoples</w:t>
            </w:r>
          </w:p>
        </w:tc>
        <w:tc>
          <w:tcPr>
            <w:tcW w:w="1134" w:type="dxa"/>
            <w:tcMar>
              <w:left w:w="108" w:type="dxa"/>
              <w:right w:w="108" w:type="dxa"/>
            </w:tcMar>
            <w:vAlign w:val="center"/>
          </w:tcPr>
          <w:p w14:paraId="38DB02FC" w14:textId="77777777" w:rsidR="003F11C1" w:rsidRPr="005C5E32" w:rsidRDefault="003F11C1" w:rsidP="00A74BCA">
            <w:pPr>
              <w:pStyle w:val="TableText"/>
              <w:spacing w:before="40" w:after="40"/>
              <w:jc w:val="right"/>
            </w:pPr>
            <w:r w:rsidRPr="005C5E32">
              <w:rPr>
                <w:szCs w:val="18"/>
              </w:rPr>
              <w:t>–</w:t>
            </w:r>
          </w:p>
        </w:tc>
        <w:tc>
          <w:tcPr>
            <w:tcW w:w="992" w:type="dxa"/>
            <w:tcMar>
              <w:left w:w="108" w:type="dxa"/>
              <w:right w:w="108" w:type="dxa"/>
            </w:tcMar>
            <w:vAlign w:val="center"/>
          </w:tcPr>
          <w:p w14:paraId="450E5EF4" w14:textId="77777777" w:rsidR="003F11C1" w:rsidRPr="005C5E32" w:rsidRDefault="003F11C1" w:rsidP="00A74BCA">
            <w:pPr>
              <w:pStyle w:val="TableText"/>
              <w:spacing w:before="40" w:after="40"/>
              <w:jc w:val="right"/>
            </w:pPr>
            <w:r w:rsidRPr="005C5E32">
              <w:t>1.0</w:t>
            </w:r>
          </w:p>
        </w:tc>
        <w:tc>
          <w:tcPr>
            <w:tcW w:w="1985" w:type="dxa"/>
            <w:vAlign w:val="center"/>
          </w:tcPr>
          <w:p w14:paraId="535DA10A" w14:textId="77777777" w:rsidR="003F11C1" w:rsidRPr="005C5E32" w:rsidRDefault="003F11C1" w:rsidP="00A74BCA">
            <w:pPr>
              <w:pStyle w:val="TableText"/>
              <w:spacing w:before="40" w:after="40"/>
              <w:jc w:val="right"/>
            </w:pPr>
            <w:r w:rsidRPr="005C5E32">
              <w:rPr>
                <w:szCs w:val="18"/>
              </w:rPr>
              <w:t>–</w:t>
            </w:r>
          </w:p>
        </w:tc>
        <w:tc>
          <w:tcPr>
            <w:tcW w:w="850" w:type="dxa"/>
            <w:tcMar>
              <w:left w:w="108" w:type="dxa"/>
              <w:right w:w="108" w:type="dxa"/>
            </w:tcMar>
            <w:vAlign w:val="center"/>
          </w:tcPr>
          <w:p w14:paraId="49F7D3C6" w14:textId="77777777" w:rsidR="003F11C1" w:rsidRPr="005C5E32" w:rsidRDefault="003F11C1" w:rsidP="00A74BCA">
            <w:pPr>
              <w:pStyle w:val="TableText"/>
              <w:spacing w:before="40" w:after="40"/>
              <w:jc w:val="right"/>
            </w:pPr>
            <w:r w:rsidRPr="005C5E32">
              <w:rPr>
                <w:szCs w:val="18"/>
              </w:rPr>
              <w:t>–</w:t>
            </w:r>
          </w:p>
        </w:tc>
        <w:tc>
          <w:tcPr>
            <w:tcW w:w="993" w:type="dxa"/>
            <w:tcMar>
              <w:left w:w="108" w:type="dxa"/>
              <w:right w:w="108" w:type="dxa"/>
            </w:tcMar>
            <w:vAlign w:val="center"/>
          </w:tcPr>
          <w:p w14:paraId="43843649" w14:textId="77777777" w:rsidR="003F11C1" w:rsidRPr="005C5E32" w:rsidRDefault="003F11C1" w:rsidP="00A74BCA">
            <w:pPr>
              <w:pStyle w:val="TableText"/>
              <w:spacing w:before="40" w:after="40"/>
              <w:jc w:val="right"/>
            </w:pPr>
            <w:r w:rsidRPr="005C5E32">
              <w:rPr>
                <w:szCs w:val="18"/>
              </w:rPr>
              <w:t>–</w:t>
            </w:r>
          </w:p>
        </w:tc>
        <w:tc>
          <w:tcPr>
            <w:tcW w:w="708" w:type="dxa"/>
            <w:tcMar>
              <w:left w:w="108" w:type="dxa"/>
              <w:right w:w="108" w:type="dxa"/>
            </w:tcMar>
            <w:vAlign w:val="center"/>
          </w:tcPr>
          <w:p w14:paraId="422362D0" w14:textId="77777777" w:rsidR="003F11C1" w:rsidRPr="005C5E32" w:rsidRDefault="003F11C1" w:rsidP="00A74BCA">
            <w:pPr>
              <w:pStyle w:val="TableText"/>
              <w:spacing w:before="40" w:after="40"/>
              <w:jc w:val="right"/>
              <w:rPr>
                <w:b/>
                <w:color w:val="000000" w:themeColor="text1"/>
              </w:rPr>
            </w:pPr>
            <w:r w:rsidRPr="005C5E32">
              <w:rPr>
                <w:b/>
                <w:color w:val="000000" w:themeColor="text1"/>
              </w:rPr>
              <w:t>1.0</w:t>
            </w:r>
          </w:p>
        </w:tc>
      </w:tr>
      <w:tr w:rsidR="003F11C1" w:rsidRPr="005C5E32" w14:paraId="4D103875" w14:textId="77777777" w:rsidTr="00A74BCA">
        <w:tc>
          <w:tcPr>
            <w:tcW w:w="1843" w:type="dxa"/>
            <w:tcMar>
              <w:left w:w="108" w:type="dxa"/>
              <w:right w:w="108" w:type="dxa"/>
            </w:tcMar>
          </w:tcPr>
          <w:p w14:paraId="2FF6CD33" w14:textId="77777777" w:rsidR="003F11C1" w:rsidRPr="005C5E32" w:rsidRDefault="003F11C1" w:rsidP="00A74BCA">
            <w:pPr>
              <w:pStyle w:val="TableText"/>
              <w:spacing w:before="40" w:after="40"/>
            </w:pPr>
            <w:r w:rsidRPr="005C5E32">
              <w:t>Middle Eastern / Latin American / African</w:t>
            </w:r>
          </w:p>
        </w:tc>
        <w:tc>
          <w:tcPr>
            <w:tcW w:w="1134" w:type="dxa"/>
            <w:tcMar>
              <w:left w:w="108" w:type="dxa"/>
              <w:right w:w="108" w:type="dxa"/>
            </w:tcMar>
            <w:vAlign w:val="center"/>
          </w:tcPr>
          <w:p w14:paraId="2A2AF665" w14:textId="77777777" w:rsidR="003F11C1" w:rsidRPr="005C5E32" w:rsidRDefault="003F11C1" w:rsidP="00A74BCA">
            <w:pPr>
              <w:pStyle w:val="TableText"/>
              <w:spacing w:before="40" w:after="40"/>
              <w:jc w:val="right"/>
            </w:pPr>
            <w:r w:rsidRPr="005C5E32">
              <w:rPr>
                <w:szCs w:val="18"/>
              </w:rPr>
              <w:t>–</w:t>
            </w:r>
          </w:p>
        </w:tc>
        <w:tc>
          <w:tcPr>
            <w:tcW w:w="992" w:type="dxa"/>
            <w:tcMar>
              <w:left w:w="108" w:type="dxa"/>
              <w:right w:w="108" w:type="dxa"/>
            </w:tcMar>
            <w:vAlign w:val="center"/>
          </w:tcPr>
          <w:p w14:paraId="4D3B4480" w14:textId="77777777" w:rsidR="003F11C1" w:rsidRPr="005C5E32" w:rsidRDefault="003F11C1" w:rsidP="00A74BCA">
            <w:pPr>
              <w:pStyle w:val="TableText"/>
              <w:spacing w:before="40" w:after="40"/>
              <w:jc w:val="right"/>
            </w:pPr>
            <w:r w:rsidRPr="005C5E32">
              <w:rPr>
                <w:szCs w:val="18"/>
              </w:rPr>
              <w:t>–</w:t>
            </w:r>
          </w:p>
        </w:tc>
        <w:tc>
          <w:tcPr>
            <w:tcW w:w="1985" w:type="dxa"/>
            <w:vAlign w:val="center"/>
          </w:tcPr>
          <w:p w14:paraId="75BFCB19" w14:textId="77777777" w:rsidR="003F11C1" w:rsidRPr="005C5E32" w:rsidRDefault="003F11C1" w:rsidP="00A74BCA">
            <w:pPr>
              <w:pStyle w:val="TableText"/>
              <w:spacing w:before="40" w:after="40"/>
              <w:jc w:val="right"/>
            </w:pPr>
            <w:r w:rsidRPr="005C5E32">
              <w:rPr>
                <w:szCs w:val="18"/>
              </w:rPr>
              <w:t>–</w:t>
            </w:r>
          </w:p>
        </w:tc>
        <w:tc>
          <w:tcPr>
            <w:tcW w:w="850" w:type="dxa"/>
            <w:tcMar>
              <w:left w:w="108" w:type="dxa"/>
              <w:right w:w="108" w:type="dxa"/>
            </w:tcMar>
            <w:vAlign w:val="center"/>
          </w:tcPr>
          <w:p w14:paraId="59DF6DCD" w14:textId="77777777" w:rsidR="003F11C1" w:rsidRPr="005C5E32" w:rsidRDefault="003F11C1" w:rsidP="00A74BCA">
            <w:pPr>
              <w:pStyle w:val="TableText"/>
              <w:spacing w:before="40" w:after="40"/>
              <w:jc w:val="right"/>
            </w:pPr>
            <w:r w:rsidRPr="005C5E32">
              <w:rPr>
                <w:szCs w:val="18"/>
              </w:rPr>
              <w:t>–</w:t>
            </w:r>
          </w:p>
        </w:tc>
        <w:tc>
          <w:tcPr>
            <w:tcW w:w="993" w:type="dxa"/>
            <w:tcMar>
              <w:left w:w="108" w:type="dxa"/>
              <w:right w:w="108" w:type="dxa"/>
            </w:tcMar>
            <w:vAlign w:val="center"/>
          </w:tcPr>
          <w:p w14:paraId="6B8424B7" w14:textId="77777777" w:rsidR="003F11C1" w:rsidRPr="005C5E32" w:rsidRDefault="003F11C1" w:rsidP="00A74BCA">
            <w:pPr>
              <w:pStyle w:val="TableText"/>
              <w:spacing w:before="40" w:after="40"/>
              <w:jc w:val="right"/>
            </w:pPr>
            <w:r w:rsidRPr="005C5E32">
              <w:rPr>
                <w:szCs w:val="18"/>
              </w:rPr>
              <w:t>–</w:t>
            </w:r>
          </w:p>
        </w:tc>
        <w:tc>
          <w:tcPr>
            <w:tcW w:w="708" w:type="dxa"/>
            <w:tcMar>
              <w:left w:w="108" w:type="dxa"/>
              <w:right w:w="108" w:type="dxa"/>
            </w:tcMar>
            <w:vAlign w:val="center"/>
          </w:tcPr>
          <w:p w14:paraId="4781791D" w14:textId="77777777" w:rsidR="003F11C1" w:rsidRPr="005C5E32" w:rsidRDefault="003F11C1" w:rsidP="00A74BCA">
            <w:pPr>
              <w:pStyle w:val="TableText"/>
              <w:spacing w:before="40" w:after="40"/>
              <w:jc w:val="right"/>
              <w:rPr>
                <w:b/>
                <w:color w:val="000000" w:themeColor="text1"/>
              </w:rPr>
            </w:pPr>
            <w:r w:rsidRPr="005C5E32">
              <w:rPr>
                <w:b/>
                <w:bCs/>
                <w:szCs w:val="18"/>
              </w:rPr>
              <w:t>–</w:t>
            </w:r>
          </w:p>
        </w:tc>
      </w:tr>
      <w:tr w:rsidR="003F11C1" w:rsidRPr="005C5E32" w14:paraId="7C6B77FC" w14:textId="77777777" w:rsidTr="00A74BCA">
        <w:tc>
          <w:tcPr>
            <w:tcW w:w="1843" w:type="dxa"/>
            <w:tcMar>
              <w:left w:w="108" w:type="dxa"/>
              <w:right w:w="108" w:type="dxa"/>
            </w:tcMar>
          </w:tcPr>
          <w:p w14:paraId="0252C211" w14:textId="77777777" w:rsidR="003F11C1" w:rsidRPr="005C5E32" w:rsidRDefault="003F11C1" w:rsidP="00A74BCA">
            <w:pPr>
              <w:pStyle w:val="TableText"/>
              <w:spacing w:before="40" w:after="40"/>
            </w:pPr>
            <w:r w:rsidRPr="005C5E32">
              <w:t>Other ethnicity</w:t>
            </w:r>
          </w:p>
        </w:tc>
        <w:tc>
          <w:tcPr>
            <w:tcW w:w="1134" w:type="dxa"/>
            <w:tcMar>
              <w:left w:w="108" w:type="dxa"/>
              <w:right w:w="108" w:type="dxa"/>
            </w:tcMar>
            <w:vAlign w:val="center"/>
          </w:tcPr>
          <w:p w14:paraId="3BEBA652" w14:textId="77777777" w:rsidR="003F11C1" w:rsidRPr="005C5E32" w:rsidRDefault="003F11C1" w:rsidP="00A74BCA">
            <w:pPr>
              <w:pStyle w:val="TableText"/>
              <w:spacing w:before="40" w:after="40"/>
              <w:jc w:val="right"/>
            </w:pPr>
            <w:r w:rsidRPr="005C5E32">
              <w:t>1.0</w:t>
            </w:r>
          </w:p>
        </w:tc>
        <w:tc>
          <w:tcPr>
            <w:tcW w:w="992" w:type="dxa"/>
            <w:tcMar>
              <w:left w:w="108" w:type="dxa"/>
              <w:right w:w="108" w:type="dxa"/>
            </w:tcMar>
            <w:vAlign w:val="center"/>
          </w:tcPr>
          <w:p w14:paraId="5A586EB5" w14:textId="77777777" w:rsidR="003F11C1" w:rsidRPr="005C5E32" w:rsidRDefault="003F11C1" w:rsidP="00A74BCA">
            <w:pPr>
              <w:pStyle w:val="TableText"/>
              <w:spacing w:before="40" w:after="40"/>
              <w:jc w:val="right"/>
            </w:pPr>
            <w:r w:rsidRPr="005C5E32">
              <w:rPr>
                <w:szCs w:val="18"/>
              </w:rPr>
              <w:t>–</w:t>
            </w:r>
          </w:p>
        </w:tc>
        <w:tc>
          <w:tcPr>
            <w:tcW w:w="1985" w:type="dxa"/>
            <w:vAlign w:val="center"/>
          </w:tcPr>
          <w:p w14:paraId="0D9BFB36" w14:textId="77777777" w:rsidR="003F11C1" w:rsidRPr="005C5E32" w:rsidRDefault="003F11C1" w:rsidP="00A74BCA">
            <w:pPr>
              <w:pStyle w:val="TableText"/>
              <w:spacing w:before="40" w:after="40"/>
              <w:jc w:val="right"/>
            </w:pPr>
            <w:r w:rsidRPr="005C5E32">
              <w:rPr>
                <w:szCs w:val="18"/>
              </w:rPr>
              <w:t>–</w:t>
            </w:r>
          </w:p>
        </w:tc>
        <w:tc>
          <w:tcPr>
            <w:tcW w:w="850" w:type="dxa"/>
            <w:tcMar>
              <w:left w:w="108" w:type="dxa"/>
              <w:right w:w="108" w:type="dxa"/>
            </w:tcMar>
            <w:vAlign w:val="center"/>
          </w:tcPr>
          <w:p w14:paraId="3400F7D9" w14:textId="77777777" w:rsidR="003F11C1" w:rsidRPr="005C5E32" w:rsidRDefault="003F11C1" w:rsidP="00A74BCA">
            <w:pPr>
              <w:pStyle w:val="TableText"/>
              <w:spacing w:before="40" w:after="40"/>
              <w:jc w:val="right"/>
            </w:pPr>
            <w:r w:rsidRPr="005C5E32">
              <w:rPr>
                <w:szCs w:val="18"/>
              </w:rPr>
              <w:t>–</w:t>
            </w:r>
          </w:p>
        </w:tc>
        <w:tc>
          <w:tcPr>
            <w:tcW w:w="993" w:type="dxa"/>
            <w:tcMar>
              <w:left w:w="108" w:type="dxa"/>
              <w:right w:w="108" w:type="dxa"/>
            </w:tcMar>
            <w:vAlign w:val="center"/>
          </w:tcPr>
          <w:p w14:paraId="24310046" w14:textId="77777777" w:rsidR="003F11C1" w:rsidRPr="005C5E32" w:rsidRDefault="003F11C1" w:rsidP="00A74BCA">
            <w:pPr>
              <w:pStyle w:val="TableText"/>
              <w:spacing w:before="40" w:after="40"/>
              <w:jc w:val="right"/>
            </w:pPr>
            <w:r w:rsidRPr="005C5E32">
              <w:rPr>
                <w:szCs w:val="18"/>
              </w:rPr>
              <w:t>–</w:t>
            </w:r>
          </w:p>
        </w:tc>
        <w:tc>
          <w:tcPr>
            <w:tcW w:w="708" w:type="dxa"/>
            <w:tcMar>
              <w:left w:w="108" w:type="dxa"/>
              <w:right w:w="108" w:type="dxa"/>
            </w:tcMar>
            <w:vAlign w:val="center"/>
          </w:tcPr>
          <w:p w14:paraId="06E43900" w14:textId="77777777" w:rsidR="003F11C1" w:rsidRPr="005C5E32" w:rsidRDefault="003F11C1" w:rsidP="00A74BCA">
            <w:pPr>
              <w:pStyle w:val="TableText"/>
              <w:spacing w:before="40" w:after="40"/>
              <w:jc w:val="right"/>
              <w:rPr>
                <w:b/>
                <w:color w:val="000000" w:themeColor="text1"/>
              </w:rPr>
            </w:pPr>
            <w:r w:rsidRPr="005C5E32">
              <w:rPr>
                <w:b/>
                <w:color w:val="000000" w:themeColor="text1"/>
              </w:rPr>
              <w:t>1.0</w:t>
            </w:r>
          </w:p>
        </w:tc>
      </w:tr>
      <w:tr w:rsidR="003F11C1" w:rsidRPr="005C5E32" w14:paraId="70EAAD1B" w14:textId="77777777" w:rsidTr="00A74BCA">
        <w:tc>
          <w:tcPr>
            <w:tcW w:w="1843" w:type="dxa"/>
            <w:tcMar>
              <w:left w:w="108" w:type="dxa"/>
              <w:right w:w="108" w:type="dxa"/>
            </w:tcMar>
          </w:tcPr>
          <w:p w14:paraId="41E6E739" w14:textId="77777777" w:rsidR="003F11C1" w:rsidRPr="005C5E32" w:rsidRDefault="003F11C1" w:rsidP="00A74BCA">
            <w:pPr>
              <w:pStyle w:val="TableText"/>
              <w:spacing w:before="40" w:after="40"/>
            </w:pPr>
            <w:r w:rsidRPr="005C5E32">
              <w:t>Not declared</w:t>
            </w:r>
          </w:p>
        </w:tc>
        <w:tc>
          <w:tcPr>
            <w:tcW w:w="1134" w:type="dxa"/>
            <w:tcMar>
              <w:left w:w="108" w:type="dxa"/>
              <w:right w:w="108" w:type="dxa"/>
            </w:tcMar>
            <w:vAlign w:val="center"/>
          </w:tcPr>
          <w:p w14:paraId="5241461B" w14:textId="77777777" w:rsidR="003F11C1" w:rsidRPr="005C5E32" w:rsidRDefault="003F11C1" w:rsidP="00A74BCA">
            <w:pPr>
              <w:pStyle w:val="TableText"/>
              <w:spacing w:before="40" w:after="40"/>
              <w:jc w:val="right"/>
            </w:pPr>
            <w:r w:rsidRPr="005C5E32">
              <w:rPr>
                <w:szCs w:val="18"/>
              </w:rPr>
              <w:t>–</w:t>
            </w:r>
          </w:p>
        </w:tc>
        <w:tc>
          <w:tcPr>
            <w:tcW w:w="992" w:type="dxa"/>
            <w:tcMar>
              <w:left w:w="108" w:type="dxa"/>
              <w:right w:w="108" w:type="dxa"/>
            </w:tcMar>
            <w:vAlign w:val="center"/>
          </w:tcPr>
          <w:p w14:paraId="2D2B4FD4" w14:textId="77777777" w:rsidR="003F11C1" w:rsidRPr="005C5E32" w:rsidRDefault="003F11C1" w:rsidP="00A74BCA">
            <w:pPr>
              <w:pStyle w:val="TableText"/>
              <w:spacing w:before="40" w:after="40"/>
              <w:jc w:val="right"/>
            </w:pPr>
            <w:r w:rsidRPr="005C5E32">
              <w:t>1.0</w:t>
            </w:r>
          </w:p>
        </w:tc>
        <w:tc>
          <w:tcPr>
            <w:tcW w:w="1985" w:type="dxa"/>
            <w:vAlign w:val="center"/>
          </w:tcPr>
          <w:p w14:paraId="71A23F92" w14:textId="77777777" w:rsidR="003F11C1" w:rsidRPr="005C5E32" w:rsidRDefault="003F11C1" w:rsidP="00A74BCA">
            <w:pPr>
              <w:pStyle w:val="TableText"/>
              <w:spacing w:before="40" w:after="40"/>
              <w:jc w:val="right"/>
            </w:pPr>
            <w:r w:rsidRPr="005C5E32">
              <w:rPr>
                <w:szCs w:val="18"/>
              </w:rPr>
              <w:t>–</w:t>
            </w:r>
          </w:p>
        </w:tc>
        <w:tc>
          <w:tcPr>
            <w:tcW w:w="850" w:type="dxa"/>
            <w:tcMar>
              <w:left w:w="108" w:type="dxa"/>
              <w:right w:w="108" w:type="dxa"/>
            </w:tcMar>
            <w:vAlign w:val="center"/>
          </w:tcPr>
          <w:p w14:paraId="786DAFC8" w14:textId="77777777" w:rsidR="003F11C1" w:rsidRPr="005C5E32" w:rsidRDefault="003F11C1" w:rsidP="00A74BCA">
            <w:pPr>
              <w:pStyle w:val="TableText"/>
              <w:spacing w:before="40" w:after="40"/>
              <w:jc w:val="right"/>
            </w:pPr>
            <w:r w:rsidRPr="005C5E32">
              <w:t>1.0</w:t>
            </w:r>
          </w:p>
        </w:tc>
        <w:tc>
          <w:tcPr>
            <w:tcW w:w="993" w:type="dxa"/>
            <w:tcMar>
              <w:left w:w="108" w:type="dxa"/>
              <w:right w:w="108" w:type="dxa"/>
            </w:tcMar>
            <w:vAlign w:val="center"/>
          </w:tcPr>
          <w:p w14:paraId="22FD93A7" w14:textId="77777777" w:rsidR="003F11C1" w:rsidRPr="005C5E32" w:rsidRDefault="003F11C1" w:rsidP="00A74BCA">
            <w:pPr>
              <w:pStyle w:val="TableText"/>
              <w:spacing w:before="40" w:after="40"/>
              <w:jc w:val="right"/>
            </w:pPr>
            <w:r w:rsidRPr="005C5E32">
              <w:rPr>
                <w:szCs w:val="18"/>
              </w:rPr>
              <w:t>–</w:t>
            </w:r>
          </w:p>
        </w:tc>
        <w:tc>
          <w:tcPr>
            <w:tcW w:w="708" w:type="dxa"/>
            <w:tcMar>
              <w:left w:w="108" w:type="dxa"/>
              <w:right w:w="108" w:type="dxa"/>
            </w:tcMar>
            <w:vAlign w:val="center"/>
          </w:tcPr>
          <w:p w14:paraId="75163B37" w14:textId="77777777" w:rsidR="003F11C1" w:rsidRPr="005C5E32" w:rsidRDefault="003F11C1" w:rsidP="00A74BCA">
            <w:pPr>
              <w:pStyle w:val="TableText"/>
              <w:spacing w:before="40" w:after="40"/>
              <w:jc w:val="right"/>
              <w:rPr>
                <w:b/>
                <w:color w:val="000000" w:themeColor="text1"/>
              </w:rPr>
            </w:pPr>
            <w:r w:rsidRPr="005C5E32">
              <w:rPr>
                <w:b/>
                <w:color w:val="000000" w:themeColor="text1"/>
              </w:rPr>
              <w:t>2.0</w:t>
            </w:r>
          </w:p>
        </w:tc>
      </w:tr>
      <w:tr w:rsidR="003F11C1" w:rsidRPr="005C5E32" w14:paraId="21F6A577" w14:textId="77777777" w:rsidTr="00A74BCA">
        <w:tc>
          <w:tcPr>
            <w:tcW w:w="1843" w:type="dxa"/>
            <w:tcMar>
              <w:left w:w="108" w:type="dxa"/>
              <w:right w:w="108" w:type="dxa"/>
            </w:tcMar>
          </w:tcPr>
          <w:p w14:paraId="75FFD606" w14:textId="77777777" w:rsidR="003F11C1" w:rsidRPr="005C5E32" w:rsidRDefault="003F11C1" w:rsidP="00A74BCA">
            <w:pPr>
              <w:pStyle w:val="TableText"/>
              <w:spacing w:before="40" w:after="40"/>
            </w:pPr>
            <w:r w:rsidRPr="005C5E32">
              <w:rPr>
                <w:b/>
              </w:rPr>
              <w:t>Total</w:t>
            </w:r>
          </w:p>
        </w:tc>
        <w:tc>
          <w:tcPr>
            <w:tcW w:w="1134" w:type="dxa"/>
            <w:tcMar>
              <w:left w:w="108" w:type="dxa"/>
              <w:right w:w="108" w:type="dxa"/>
            </w:tcMar>
            <w:vAlign w:val="center"/>
          </w:tcPr>
          <w:p w14:paraId="72C28FB3" w14:textId="77777777" w:rsidR="003F11C1" w:rsidRPr="005C5E32" w:rsidRDefault="003F11C1" w:rsidP="00A74BCA">
            <w:pPr>
              <w:pStyle w:val="TableText"/>
              <w:spacing w:before="40" w:after="40"/>
              <w:jc w:val="right"/>
              <w:rPr>
                <w:b/>
              </w:rPr>
            </w:pPr>
            <w:r w:rsidRPr="005C5E32">
              <w:rPr>
                <w:b/>
              </w:rPr>
              <w:t>15.7</w:t>
            </w:r>
          </w:p>
        </w:tc>
        <w:tc>
          <w:tcPr>
            <w:tcW w:w="992" w:type="dxa"/>
            <w:tcMar>
              <w:left w:w="108" w:type="dxa"/>
              <w:right w:w="108" w:type="dxa"/>
            </w:tcMar>
            <w:vAlign w:val="center"/>
          </w:tcPr>
          <w:p w14:paraId="2D0FB90B" w14:textId="77777777" w:rsidR="003F11C1" w:rsidRPr="005C5E32" w:rsidRDefault="003F11C1" w:rsidP="00A74BCA">
            <w:pPr>
              <w:pStyle w:val="TableText"/>
              <w:spacing w:before="40" w:after="40"/>
              <w:jc w:val="right"/>
              <w:rPr>
                <w:b/>
              </w:rPr>
            </w:pPr>
            <w:r w:rsidRPr="005C5E32">
              <w:rPr>
                <w:b/>
              </w:rPr>
              <w:t>81.5</w:t>
            </w:r>
          </w:p>
        </w:tc>
        <w:tc>
          <w:tcPr>
            <w:tcW w:w="1985" w:type="dxa"/>
            <w:vAlign w:val="center"/>
          </w:tcPr>
          <w:p w14:paraId="4F3AADF1" w14:textId="77777777" w:rsidR="003F11C1" w:rsidRPr="005C5E32" w:rsidRDefault="003F11C1" w:rsidP="00A74BCA">
            <w:pPr>
              <w:pStyle w:val="TableText"/>
              <w:spacing w:before="40" w:after="40"/>
              <w:jc w:val="right"/>
              <w:rPr>
                <w:b/>
              </w:rPr>
            </w:pPr>
            <w:r w:rsidRPr="005C5E32">
              <w:rPr>
                <w:b/>
              </w:rPr>
              <w:t>8.0</w:t>
            </w:r>
          </w:p>
        </w:tc>
        <w:tc>
          <w:tcPr>
            <w:tcW w:w="850" w:type="dxa"/>
            <w:tcMar>
              <w:left w:w="108" w:type="dxa"/>
              <w:right w:w="108" w:type="dxa"/>
            </w:tcMar>
            <w:vAlign w:val="center"/>
          </w:tcPr>
          <w:p w14:paraId="192FD351" w14:textId="77777777" w:rsidR="003F11C1" w:rsidRPr="005C5E32" w:rsidRDefault="003F11C1" w:rsidP="00A74BCA">
            <w:pPr>
              <w:pStyle w:val="TableText"/>
              <w:spacing w:before="40" w:after="40"/>
              <w:jc w:val="right"/>
              <w:rPr>
                <w:b/>
              </w:rPr>
            </w:pPr>
            <w:r w:rsidRPr="005C5E32">
              <w:rPr>
                <w:b/>
              </w:rPr>
              <w:t>22.9</w:t>
            </w:r>
          </w:p>
        </w:tc>
        <w:tc>
          <w:tcPr>
            <w:tcW w:w="993" w:type="dxa"/>
            <w:tcMar>
              <w:left w:w="108" w:type="dxa"/>
              <w:right w:w="108" w:type="dxa"/>
            </w:tcMar>
            <w:vAlign w:val="center"/>
          </w:tcPr>
          <w:p w14:paraId="5ACA78F4" w14:textId="77777777" w:rsidR="003F11C1" w:rsidRPr="005C5E32" w:rsidRDefault="003F11C1" w:rsidP="00A74BCA">
            <w:pPr>
              <w:pStyle w:val="TableText"/>
              <w:spacing w:before="40" w:after="40"/>
              <w:jc w:val="right"/>
              <w:rPr>
                <w:b/>
              </w:rPr>
            </w:pPr>
            <w:r w:rsidRPr="005C5E32">
              <w:rPr>
                <w:b/>
              </w:rPr>
              <w:t>6.0</w:t>
            </w:r>
          </w:p>
        </w:tc>
        <w:tc>
          <w:tcPr>
            <w:tcW w:w="708" w:type="dxa"/>
            <w:tcMar>
              <w:left w:w="108" w:type="dxa"/>
              <w:right w:w="108" w:type="dxa"/>
            </w:tcMar>
            <w:vAlign w:val="center"/>
          </w:tcPr>
          <w:p w14:paraId="248F2121" w14:textId="77777777" w:rsidR="003F11C1" w:rsidRPr="005C5E32" w:rsidRDefault="003F11C1" w:rsidP="00A74BCA">
            <w:pPr>
              <w:pStyle w:val="TableText"/>
              <w:spacing w:before="40" w:after="40"/>
              <w:jc w:val="right"/>
              <w:rPr>
                <w:b/>
                <w:color w:val="000000" w:themeColor="text1"/>
              </w:rPr>
            </w:pPr>
            <w:r w:rsidRPr="005C5E32">
              <w:rPr>
                <w:b/>
                <w:color w:val="000000" w:themeColor="text1"/>
              </w:rPr>
              <w:t>134.1</w:t>
            </w:r>
          </w:p>
        </w:tc>
      </w:tr>
    </w:tbl>
    <w:p w14:paraId="5315D232" w14:textId="77777777" w:rsidR="00D2297F" w:rsidRPr="005C5E32" w:rsidRDefault="00D2297F" w:rsidP="00A74BCA">
      <w:pPr>
        <w:pStyle w:val="Note"/>
        <w:spacing w:after="0"/>
      </w:pPr>
      <w:r w:rsidRPr="005C5E32">
        <w:t>* FTE includes employees who are permanent, fixed term or seconded to other organisations.</w:t>
      </w:r>
    </w:p>
    <w:p w14:paraId="0E367BBC" w14:textId="71B675AC" w:rsidR="003F11C1" w:rsidRPr="005C5E32" w:rsidRDefault="00D2297F" w:rsidP="00A74BCA">
      <w:pPr>
        <w:pStyle w:val="Note"/>
        <w:spacing w:before="60" w:after="0"/>
      </w:pPr>
      <w:r w:rsidRPr="005C5E32">
        <w:t xml:space="preserve">** </w:t>
      </w:r>
      <w:r w:rsidR="003F11C1" w:rsidRPr="005C5E32">
        <w:t>Employees can specify up to three ethnicities (so the total number may be more than in other people leader</w:t>
      </w:r>
      <w:r w:rsidR="00232227" w:rsidRPr="005C5E32">
        <w:t> </w:t>
      </w:r>
      <w:r w:rsidR="003F11C1" w:rsidRPr="005C5E32">
        <w:t>counts).</w:t>
      </w:r>
    </w:p>
    <w:p w14:paraId="2EECE809" w14:textId="0010B172" w:rsidR="003F11C1" w:rsidRPr="005C5E32" w:rsidRDefault="003F11C1" w:rsidP="00A74BCA">
      <w:pPr>
        <w:pStyle w:val="Tableheading"/>
        <w:spacing w:before="240"/>
      </w:pPr>
      <w:r w:rsidRPr="005C5E32">
        <w:t xml:space="preserve">Table </w:t>
      </w:r>
      <w:fldSimple w:instr=" SEQ Table \* ARABIC ">
        <w:r w:rsidR="00D8311D">
          <w:rPr>
            <w:noProof/>
          </w:rPr>
          <w:t>8</w:t>
        </w:r>
      </w:fldSimple>
      <w:r w:rsidRPr="005C5E32">
        <w:t xml:space="preserve">: </w:t>
      </w:r>
      <w:r w:rsidRPr="005C5E32">
        <w:tab/>
        <w:t>Age of people leaders (FTE)*</w:t>
      </w:r>
      <w:r w:rsidR="00910CA4" w:rsidRPr="005C5E32">
        <w:t xml:space="preserve"> as at 30 June 2026</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ayout w:type="fixed"/>
        <w:tblCellMar>
          <w:left w:w="85" w:type="dxa"/>
          <w:right w:w="85" w:type="dxa"/>
        </w:tblCellMar>
        <w:tblLook w:val="04A0" w:firstRow="1" w:lastRow="0" w:firstColumn="1" w:lastColumn="0" w:noHBand="0" w:noVBand="1"/>
      </w:tblPr>
      <w:tblGrid>
        <w:gridCol w:w="1843"/>
        <w:gridCol w:w="1134"/>
        <w:gridCol w:w="992"/>
        <w:gridCol w:w="1985"/>
        <w:gridCol w:w="850"/>
        <w:gridCol w:w="993"/>
        <w:gridCol w:w="708"/>
      </w:tblGrid>
      <w:tr w:rsidR="003F11C1" w:rsidRPr="005C5E32" w14:paraId="2F64683E" w14:textId="77777777" w:rsidTr="00A74BCA">
        <w:trPr>
          <w:trHeight w:val="320"/>
          <w:tblHeader/>
        </w:trPr>
        <w:tc>
          <w:tcPr>
            <w:tcW w:w="1843" w:type="dxa"/>
            <w:shd w:val="clear" w:color="auto" w:fill="1B556B"/>
            <w:vAlign w:val="bottom"/>
          </w:tcPr>
          <w:p w14:paraId="518E799C" w14:textId="77777777" w:rsidR="003F11C1" w:rsidRPr="005C5E32" w:rsidRDefault="003F11C1" w:rsidP="003D0CC1">
            <w:pPr>
              <w:pStyle w:val="TableTextbold"/>
              <w:spacing w:before="40" w:after="40"/>
              <w:rPr>
                <w:color w:val="FFFFFF" w:themeColor="background1"/>
              </w:rPr>
            </w:pPr>
            <w:r w:rsidRPr="005C5E32">
              <w:rPr>
                <w:color w:val="FFFFFF" w:themeColor="background1"/>
              </w:rPr>
              <w:t>Age group (years)</w:t>
            </w:r>
          </w:p>
        </w:tc>
        <w:tc>
          <w:tcPr>
            <w:tcW w:w="1134" w:type="dxa"/>
            <w:shd w:val="clear" w:color="auto" w:fill="1B556B"/>
            <w:vAlign w:val="bottom"/>
          </w:tcPr>
          <w:p w14:paraId="61DC356E"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Team Leader</w:t>
            </w:r>
          </w:p>
        </w:tc>
        <w:tc>
          <w:tcPr>
            <w:tcW w:w="992" w:type="dxa"/>
            <w:shd w:val="clear" w:color="auto" w:fill="1B556B"/>
            <w:vAlign w:val="bottom"/>
          </w:tcPr>
          <w:p w14:paraId="57FA9C0B"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Manager</w:t>
            </w:r>
          </w:p>
        </w:tc>
        <w:tc>
          <w:tcPr>
            <w:tcW w:w="1985" w:type="dxa"/>
            <w:shd w:val="clear" w:color="auto" w:fill="1B556B"/>
          </w:tcPr>
          <w:p w14:paraId="44413F17"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Programme Executive / Director / Chief of Staff</w:t>
            </w:r>
          </w:p>
        </w:tc>
        <w:tc>
          <w:tcPr>
            <w:tcW w:w="850" w:type="dxa"/>
            <w:shd w:val="clear" w:color="auto" w:fill="1B556B"/>
            <w:vAlign w:val="bottom"/>
          </w:tcPr>
          <w:p w14:paraId="161E412E"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General Manager</w:t>
            </w:r>
          </w:p>
        </w:tc>
        <w:tc>
          <w:tcPr>
            <w:tcW w:w="993" w:type="dxa"/>
            <w:shd w:val="clear" w:color="auto" w:fill="1B556B"/>
            <w:vAlign w:val="bottom"/>
          </w:tcPr>
          <w:p w14:paraId="21B743CD"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Deputy Secretary</w:t>
            </w:r>
          </w:p>
        </w:tc>
        <w:tc>
          <w:tcPr>
            <w:tcW w:w="708" w:type="dxa"/>
            <w:shd w:val="clear" w:color="auto" w:fill="1B556B"/>
            <w:vAlign w:val="bottom"/>
          </w:tcPr>
          <w:p w14:paraId="0EB0CAE5"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Total</w:t>
            </w:r>
          </w:p>
        </w:tc>
      </w:tr>
      <w:tr w:rsidR="003F11C1" w:rsidRPr="005C5E32" w14:paraId="4727E19D" w14:textId="77777777" w:rsidTr="00A74BCA">
        <w:trPr>
          <w:trHeight w:val="320"/>
        </w:trPr>
        <w:tc>
          <w:tcPr>
            <w:tcW w:w="1843" w:type="dxa"/>
            <w:vAlign w:val="center"/>
          </w:tcPr>
          <w:p w14:paraId="39FFDD14" w14:textId="77777777" w:rsidR="003F11C1" w:rsidRPr="005C5E32" w:rsidRDefault="003F11C1" w:rsidP="003D0CC1">
            <w:pPr>
              <w:pStyle w:val="TableText"/>
              <w:spacing w:before="40" w:after="40"/>
            </w:pPr>
            <w:r w:rsidRPr="005C5E32">
              <w:rPr>
                <w:rFonts w:eastAsia="Times New Roman" w:cs="Calibri"/>
                <w:color w:val="000000"/>
              </w:rPr>
              <w:t>Under 25</w:t>
            </w:r>
          </w:p>
        </w:tc>
        <w:tc>
          <w:tcPr>
            <w:tcW w:w="1134" w:type="dxa"/>
            <w:vAlign w:val="center"/>
          </w:tcPr>
          <w:p w14:paraId="27D117D7" w14:textId="77777777" w:rsidR="003F11C1" w:rsidRPr="005C5E32" w:rsidRDefault="003F11C1" w:rsidP="00FB32B8">
            <w:pPr>
              <w:pStyle w:val="TableText"/>
              <w:spacing w:before="40" w:after="40"/>
              <w:jc w:val="right"/>
            </w:pPr>
            <w:r w:rsidRPr="005C5E32">
              <w:rPr>
                <w:szCs w:val="18"/>
              </w:rPr>
              <w:t>–</w:t>
            </w:r>
          </w:p>
        </w:tc>
        <w:tc>
          <w:tcPr>
            <w:tcW w:w="992" w:type="dxa"/>
            <w:vAlign w:val="center"/>
          </w:tcPr>
          <w:p w14:paraId="1B8C6933" w14:textId="77777777" w:rsidR="003F11C1" w:rsidRPr="005C5E32" w:rsidRDefault="003F11C1" w:rsidP="00FB32B8">
            <w:pPr>
              <w:pStyle w:val="TableText"/>
              <w:spacing w:before="40" w:after="40"/>
              <w:jc w:val="right"/>
            </w:pPr>
            <w:r w:rsidRPr="005C5E32">
              <w:rPr>
                <w:szCs w:val="18"/>
              </w:rPr>
              <w:t>–</w:t>
            </w:r>
          </w:p>
        </w:tc>
        <w:tc>
          <w:tcPr>
            <w:tcW w:w="1985" w:type="dxa"/>
            <w:vAlign w:val="center"/>
          </w:tcPr>
          <w:p w14:paraId="74AC980D" w14:textId="77777777" w:rsidR="003F11C1" w:rsidRPr="005C5E32" w:rsidRDefault="003F11C1" w:rsidP="00FB32B8">
            <w:pPr>
              <w:pStyle w:val="TableText"/>
              <w:spacing w:before="40" w:after="40"/>
              <w:jc w:val="right"/>
              <w:rPr>
                <w:rFonts w:eastAsia="Times New Roman" w:cs="Calibri"/>
                <w:color w:val="000000"/>
              </w:rPr>
            </w:pPr>
            <w:r w:rsidRPr="005C5E32">
              <w:rPr>
                <w:szCs w:val="18"/>
              </w:rPr>
              <w:t>–</w:t>
            </w:r>
          </w:p>
        </w:tc>
        <w:tc>
          <w:tcPr>
            <w:tcW w:w="850" w:type="dxa"/>
            <w:vAlign w:val="center"/>
          </w:tcPr>
          <w:p w14:paraId="1C52125A" w14:textId="77777777" w:rsidR="003F11C1" w:rsidRPr="005C5E32" w:rsidRDefault="003F11C1" w:rsidP="00FB32B8">
            <w:pPr>
              <w:pStyle w:val="TableText"/>
              <w:spacing w:before="40" w:after="40"/>
              <w:jc w:val="right"/>
            </w:pPr>
            <w:r w:rsidRPr="005C5E32">
              <w:rPr>
                <w:szCs w:val="18"/>
              </w:rPr>
              <w:t>–</w:t>
            </w:r>
          </w:p>
        </w:tc>
        <w:tc>
          <w:tcPr>
            <w:tcW w:w="993" w:type="dxa"/>
            <w:vAlign w:val="center"/>
          </w:tcPr>
          <w:p w14:paraId="1396C244" w14:textId="77777777" w:rsidR="003F11C1" w:rsidRPr="005C5E32" w:rsidRDefault="003F11C1" w:rsidP="00FB32B8">
            <w:pPr>
              <w:pStyle w:val="TableText"/>
              <w:spacing w:before="40" w:after="40"/>
              <w:jc w:val="right"/>
            </w:pPr>
            <w:r w:rsidRPr="005C5E32">
              <w:rPr>
                <w:szCs w:val="18"/>
              </w:rPr>
              <w:t>–</w:t>
            </w:r>
          </w:p>
        </w:tc>
        <w:tc>
          <w:tcPr>
            <w:tcW w:w="708" w:type="dxa"/>
            <w:vAlign w:val="center"/>
          </w:tcPr>
          <w:p w14:paraId="19A76DB1" w14:textId="77777777" w:rsidR="003F11C1" w:rsidRPr="005C5E32" w:rsidRDefault="003F11C1" w:rsidP="00FB32B8">
            <w:pPr>
              <w:pStyle w:val="TableText"/>
              <w:spacing w:before="40" w:after="40"/>
              <w:jc w:val="right"/>
              <w:rPr>
                <w:b/>
              </w:rPr>
            </w:pPr>
            <w:r w:rsidRPr="005C5E32">
              <w:rPr>
                <w:b/>
                <w:bCs/>
                <w:szCs w:val="18"/>
              </w:rPr>
              <w:t>–</w:t>
            </w:r>
          </w:p>
        </w:tc>
      </w:tr>
      <w:tr w:rsidR="003F11C1" w:rsidRPr="005C5E32" w14:paraId="034347C1" w14:textId="77777777" w:rsidTr="00A74BCA">
        <w:trPr>
          <w:trHeight w:val="320"/>
        </w:trPr>
        <w:tc>
          <w:tcPr>
            <w:tcW w:w="1843" w:type="dxa"/>
            <w:vAlign w:val="center"/>
          </w:tcPr>
          <w:p w14:paraId="6007145B" w14:textId="77777777" w:rsidR="003F11C1" w:rsidRPr="005C5E32" w:rsidRDefault="003F11C1" w:rsidP="003D0CC1">
            <w:pPr>
              <w:pStyle w:val="TableText"/>
              <w:spacing w:before="40" w:after="40"/>
            </w:pPr>
            <w:r w:rsidRPr="005C5E32">
              <w:rPr>
                <w:rFonts w:eastAsia="Times New Roman" w:cs="Calibri"/>
                <w:color w:val="000000"/>
              </w:rPr>
              <w:t>25–34</w:t>
            </w:r>
          </w:p>
        </w:tc>
        <w:tc>
          <w:tcPr>
            <w:tcW w:w="1134" w:type="dxa"/>
            <w:vAlign w:val="center"/>
          </w:tcPr>
          <w:p w14:paraId="0AA4DC7A" w14:textId="77777777" w:rsidR="003F11C1" w:rsidRPr="005C5E32" w:rsidRDefault="003F11C1" w:rsidP="00FB32B8">
            <w:pPr>
              <w:pStyle w:val="TableText"/>
              <w:spacing w:before="40" w:after="40"/>
              <w:jc w:val="right"/>
            </w:pPr>
            <w:r w:rsidRPr="005C5E32">
              <w:t>2.0</w:t>
            </w:r>
          </w:p>
        </w:tc>
        <w:tc>
          <w:tcPr>
            <w:tcW w:w="992" w:type="dxa"/>
            <w:vAlign w:val="center"/>
          </w:tcPr>
          <w:p w14:paraId="71AAD9A2" w14:textId="77777777" w:rsidR="003F11C1" w:rsidRPr="005C5E32" w:rsidRDefault="003F11C1" w:rsidP="00FB32B8">
            <w:pPr>
              <w:pStyle w:val="TableText"/>
              <w:spacing w:before="40" w:after="40"/>
              <w:jc w:val="right"/>
            </w:pPr>
            <w:r w:rsidRPr="005C5E32">
              <w:t>5.0</w:t>
            </w:r>
          </w:p>
        </w:tc>
        <w:tc>
          <w:tcPr>
            <w:tcW w:w="1985" w:type="dxa"/>
            <w:vAlign w:val="center"/>
          </w:tcPr>
          <w:p w14:paraId="426C0739" w14:textId="77777777" w:rsidR="003F11C1" w:rsidRPr="005C5E32" w:rsidRDefault="003F11C1" w:rsidP="00FB32B8">
            <w:pPr>
              <w:pStyle w:val="TableText"/>
              <w:spacing w:before="40" w:after="40"/>
              <w:jc w:val="right"/>
              <w:rPr>
                <w:rFonts w:eastAsia="Times New Roman" w:cs="Calibri"/>
                <w:color w:val="000000"/>
              </w:rPr>
            </w:pPr>
            <w:r w:rsidRPr="005C5E32">
              <w:rPr>
                <w:szCs w:val="18"/>
              </w:rPr>
              <w:t>–</w:t>
            </w:r>
          </w:p>
        </w:tc>
        <w:tc>
          <w:tcPr>
            <w:tcW w:w="850" w:type="dxa"/>
            <w:vAlign w:val="center"/>
          </w:tcPr>
          <w:p w14:paraId="455DFAC9" w14:textId="77777777" w:rsidR="003F11C1" w:rsidRPr="005C5E32" w:rsidRDefault="003F11C1" w:rsidP="00FB32B8">
            <w:pPr>
              <w:pStyle w:val="TableText"/>
              <w:spacing w:before="40" w:after="40"/>
              <w:jc w:val="right"/>
            </w:pPr>
            <w:r w:rsidRPr="005C5E32">
              <w:rPr>
                <w:szCs w:val="18"/>
              </w:rPr>
              <w:t>–</w:t>
            </w:r>
          </w:p>
        </w:tc>
        <w:tc>
          <w:tcPr>
            <w:tcW w:w="993" w:type="dxa"/>
            <w:vAlign w:val="center"/>
          </w:tcPr>
          <w:p w14:paraId="416ACC22" w14:textId="77777777" w:rsidR="003F11C1" w:rsidRPr="005C5E32" w:rsidRDefault="003F11C1" w:rsidP="00FB32B8">
            <w:pPr>
              <w:pStyle w:val="TableText"/>
              <w:spacing w:before="40" w:after="40"/>
              <w:jc w:val="right"/>
            </w:pPr>
            <w:r w:rsidRPr="005C5E32">
              <w:rPr>
                <w:szCs w:val="18"/>
              </w:rPr>
              <w:t>–</w:t>
            </w:r>
          </w:p>
        </w:tc>
        <w:tc>
          <w:tcPr>
            <w:tcW w:w="708" w:type="dxa"/>
            <w:vAlign w:val="center"/>
          </w:tcPr>
          <w:p w14:paraId="39260965" w14:textId="77777777" w:rsidR="003F11C1" w:rsidRPr="005C5E32" w:rsidRDefault="003F11C1" w:rsidP="00FB32B8">
            <w:pPr>
              <w:pStyle w:val="TableText"/>
              <w:spacing w:before="40" w:after="40"/>
              <w:jc w:val="right"/>
              <w:rPr>
                <w:b/>
              </w:rPr>
            </w:pPr>
            <w:r w:rsidRPr="005C5E32">
              <w:rPr>
                <w:b/>
              </w:rPr>
              <w:t>7.0</w:t>
            </w:r>
          </w:p>
        </w:tc>
      </w:tr>
      <w:tr w:rsidR="003F11C1" w:rsidRPr="005C5E32" w14:paraId="33AA7874" w14:textId="77777777" w:rsidTr="00A74BCA">
        <w:trPr>
          <w:trHeight w:val="320"/>
        </w:trPr>
        <w:tc>
          <w:tcPr>
            <w:tcW w:w="1843" w:type="dxa"/>
            <w:vAlign w:val="center"/>
          </w:tcPr>
          <w:p w14:paraId="47246558" w14:textId="77777777" w:rsidR="003F11C1" w:rsidRPr="005C5E32" w:rsidRDefault="003F11C1" w:rsidP="003D0CC1">
            <w:pPr>
              <w:pStyle w:val="TableText"/>
              <w:spacing w:before="40" w:after="40"/>
            </w:pPr>
            <w:r w:rsidRPr="005C5E32">
              <w:rPr>
                <w:rFonts w:eastAsia="Times New Roman" w:cs="Calibri"/>
                <w:color w:val="000000"/>
              </w:rPr>
              <w:t>35–44</w:t>
            </w:r>
          </w:p>
        </w:tc>
        <w:tc>
          <w:tcPr>
            <w:tcW w:w="1134" w:type="dxa"/>
            <w:vAlign w:val="center"/>
          </w:tcPr>
          <w:p w14:paraId="5A50BD95" w14:textId="77777777" w:rsidR="003F11C1" w:rsidRPr="005C5E32" w:rsidRDefault="003F11C1" w:rsidP="00FB32B8">
            <w:pPr>
              <w:pStyle w:val="TableText"/>
              <w:spacing w:before="40" w:after="40"/>
              <w:jc w:val="right"/>
            </w:pPr>
            <w:r w:rsidRPr="005C5E32">
              <w:t>6.9</w:t>
            </w:r>
          </w:p>
        </w:tc>
        <w:tc>
          <w:tcPr>
            <w:tcW w:w="992" w:type="dxa"/>
            <w:vAlign w:val="center"/>
          </w:tcPr>
          <w:p w14:paraId="6685DB16" w14:textId="77777777" w:rsidR="003F11C1" w:rsidRPr="005C5E32" w:rsidRDefault="003F11C1" w:rsidP="00FB32B8">
            <w:pPr>
              <w:pStyle w:val="TableText"/>
              <w:spacing w:before="40" w:after="40"/>
              <w:jc w:val="right"/>
            </w:pPr>
            <w:r w:rsidRPr="005C5E32">
              <w:t>30.8</w:t>
            </w:r>
          </w:p>
        </w:tc>
        <w:tc>
          <w:tcPr>
            <w:tcW w:w="1985" w:type="dxa"/>
            <w:vAlign w:val="center"/>
          </w:tcPr>
          <w:p w14:paraId="3832D2A7" w14:textId="77777777" w:rsidR="003F11C1" w:rsidRPr="005C5E32" w:rsidRDefault="003F11C1" w:rsidP="00FB32B8">
            <w:pPr>
              <w:pStyle w:val="TableText"/>
              <w:spacing w:before="40" w:after="40"/>
              <w:jc w:val="right"/>
              <w:rPr>
                <w:rFonts w:eastAsia="Times New Roman" w:cs="Calibri"/>
                <w:color w:val="000000"/>
              </w:rPr>
            </w:pPr>
            <w:r w:rsidRPr="005C5E32">
              <w:rPr>
                <w:rFonts w:eastAsia="Times New Roman" w:cs="Calibri"/>
                <w:color w:val="000000"/>
              </w:rPr>
              <w:t>1.0</w:t>
            </w:r>
          </w:p>
        </w:tc>
        <w:tc>
          <w:tcPr>
            <w:tcW w:w="850" w:type="dxa"/>
            <w:vAlign w:val="center"/>
          </w:tcPr>
          <w:p w14:paraId="10C82D95" w14:textId="77777777" w:rsidR="003F11C1" w:rsidRPr="005C5E32" w:rsidRDefault="003F11C1" w:rsidP="00FB32B8">
            <w:pPr>
              <w:pStyle w:val="TableText"/>
              <w:spacing w:before="40" w:after="40"/>
              <w:jc w:val="right"/>
            </w:pPr>
            <w:r w:rsidRPr="005C5E32">
              <w:t>6.0</w:t>
            </w:r>
          </w:p>
        </w:tc>
        <w:tc>
          <w:tcPr>
            <w:tcW w:w="993" w:type="dxa"/>
            <w:vAlign w:val="center"/>
          </w:tcPr>
          <w:p w14:paraId="6A896998" w14:textId="77777777" w:rsidR="003F11C1" w:rsidRPr="005C5E32" w:rsidRDefault="003F11C1" w:rsidP="00FB32B8">
            <w:pPr>
              <w:pStyle w:val="TableText"/>
              <w:spacing w:before="40" w:after="40"/>
              <w:jc w:val="right"/>
            </w:pPr>
            <w:r w:rsidRPr="005C5E32">
              <w:t>1.0</w:t>
            </w:r>
          </w:p>
        </w:tc>
        <w:tc>
          <w:tcPr>
            <w:tcW w:w="708" w:type="dxa"/>
            <w:vAlign w:val="center"/>
          </w:tcPr>
          <w:p w14:paraId="34A4DC76" w14:textId="77777777" w:rsidR="003F11C1" w:rsidRPr="005C5E32" w:rsidRDefault="003F11C1" w:rsidP="00FB32B8">
            <w:pPr>
              <w:pStyle w:val="TableText"/>
              <w:spacing w:before="40" w:after="40"/>
              <w:jc w:val="right"/>
              <w:rPr>
                <w:b/>
              </w:rPr>
            </w:pPr>
            <w:r w:rsidRPr="005C5E32">
              <w:rPr>
                <w:b/>
                <w:bCs/>
              </w:rPr>
              <w:t>45.7</w:t>
            </w:r>
          </w:p>
        </w:tc>
      </w:tr>
      <w:tr w:rsidR="003F11C1" w:rsidRPr="005C5E32" w14:paraId="7EC8C425" w14:textId="77777777" w:rsidTr="00A74BCA">
        <w:trPr>
          <w:trHeight w:val="320"/>
        </w:trPr>
        <w:tc>
          <w:tcPr>
            <w:tcW w:w="1843" w:type="dxa"/>
            <w:vAlign w:val="center"/>
          </w:tcPr>
          <w:p w14:paraId="2DDBCEF6" w14:textId="77777777" w:rsidR="003F11C1" w:rsidRPr="005C5E32" w:rsidRDefault="003F11C1" w:rsidP="003D0CC1">
            <w:pPr>
              <w:pStyle w:val="TableText"/>
              <w:spacing w:before="40" w:after="40"/>
            </w:pPr>
            <w:r w:rsidRPr="005C5E32">
              <w:rPr>
                <w:rFonts w:eastAsia="Times New Roman" w:cs="Calibri"/>
                <w:color w:val="000000"/>
              </w:rPr>
              <w:t>45–54</w:t>
            </w:r>
          </w:p>
        </w:tc>
        <w:tc>
          <w:tcPr>
            <w:tcW w:w="1134" w:type="dxa"/>
            <w:vAlign w:val="center"/>
          </w:tcPr>
          <w:p w14:paraId="649F7E85" w14:textId="77777777" w:rsidR="003F11C1" w:rsidRPr="005C5E32" w:rsidRDefault="003F11C1" w:rsidP="00FB32B8">
            <w:pPr>
              <w:pStyle w:val="TableText"/>
              <w:spacing w:before="40" w:after="40"/>
              <w:jc w:val="right"/>
            </w:pPr>
            <w:r w:rsidRPr="005C5E32">
              <w:t>2.8</w:t>
            </w:r>
          </w:p>
        </w:tc>
        <w:tc>
          <w:tcPr>
            <w:tcW w:w="992" w:type="dxa"/>
            <w:vAlign w:val="center"/>
          </w:tcPr>
          <w:p w14:paraId="55C59546" w14:textId="77777777" w:rsidR="003F11C1" w:rsidRPr="005C5E32" w:rsidRDefault="003F11C1" w:rsidP="00FB32B8">
            <w:pPr>
              <w:pStyle w:val="TableText"/>
              <w:spacing w:before="40" w:after="40"/>
              <w:jc w:val="right"/>
            </w:pPr>
            <w:r w:rsidRPr="005C5E32">
              <w:t>34.8</w:t>
            </w:r>
          </w:p>
        </w:tc>
        <w:tc>
          <w:tcPr>
            <w:tcW w:w="1985" w:type="dxa"/>
            <w:vAlign w:val="center"/>
          </w:tcPr>
          <w:p w14:paraId="17FC79EB" w14:textId="77777777" w:rsidR="003F11C1" w:rsidRPr="005C5E32" w:rsidRDefault="003F11C1" w:rsidP="00FB32B8">
            <w:pPr>
              <w:pStyle w:val="TableText"/>
              <w:spacing w:before="40" w:after="40"/>
              <w:jc w:val="right"/>
              <w:rPr>
                <w:rFonts w:eastAsia="Times New Roman" w:cs="Calibri"/>
                <w:color w:val="000000"/>
              </w:rPr>
            </w:pPr>
            <w:r w:rsidRPr="005C5E32">
              <w:rPr>
                <w:rFonts w:eastAsia="Times New Roman" w:cs="Calibri"/>
                <w:color w:val="000000"/>
              </w:rPr>
              <w:t>3.0</w:t>
            </w:r>
          </w:p>
        </w:tc>
        <w:tc>
          <w:tcPr>
            <w:tcW w:w="850" w:type="dxa"/>
            <w:vAlign w:val="center"/>
          </w:tcPr>
          <w:p w14:paraId="4BDDFDE5" w14:textId="77777777" w:rsidR="003F11C1" w:rsidRPr="005C5E32" w:rsidRDefault="003F11C1" w:rsidP="00FB32B8">
            <w:pPr>
              <w:pStyle w:val="TableText"/>
              <w:spacing w:before="40" w:after="40"/>
              <w:jc w:val="right"/>
            </w:pPr>
            <w:r w:rsidRPr="005C5E32">
              <w:t>12.0</w:t>
            </w:r>
          </w:p>
        </w:tc>
        <w:tc>
          <w:tcPr>
            <w:tcW w:w="993" w:type="dxa"/>
            <w:vAlign w:val="center"/>
          </w:tcPr>
          <w:p w14:paraId="1E6205A6" w14:textId="77777777" w:rsidR="003F11C1" w:rsidRPr="005C5E32" w:rsidRDefault="003F11C1" w:rsidP="00FB32B8">
            <w:pPr>
              <w:pStyle w:val="TableText"/>
              <w:spacing w:before="40" w:after="40"/>
              <w:jc w:val="right"/>
            </w:pPr>
            <w:r w:rsidRPr="005C5E32">
              <w:t>5.0</w:t>
            </w:r>
          </w:p>
        </w:tc>
        <w:tc>
          <w:tcPr>
            <w:tcW w:w="708" w:type="dxa"/>
            <w:vAlign w:val="center"/>
          </w:tcPr>
          <w:p w14:paraId="317F6169" w14:textId="77777777" w:rsidR="003F11C1" w:rsidRPr="005C5E32" w:rsidRDefault="003F11C1" w:rsidP="00FB32B8">
            <w:pPr>
              <w:pStyle w:val="TableText"/>
              <w:spacing w:before="40" w:after="40"/>
              <w:jc w:val="right"/>
              <w:rPr>
                <w:b/>
              </w:rPr>
            </w:pPr>
            <w:r w:rsidRPr="005C5E32">
              <w:rPr>
                <w:b/>
              </w:rPr>
              <w:t>57.6</w:t>
            </w:r>
          </w:p>
        </w:tc>
      </w:tr>
      <w:tr w:rsidR="003F11C1" w:rsidRPr="005C5E32" w14:paraId="6A849BEB" w14:textId="77777777" w:rsidTr="00A74BCA">
        <w:trPr>
          <w:trHeight w:val="320"/>
        </w:trPr>
        <w:tc>
          <w:tcPr>
            <w:tcW w:w="1843" w:type="dxa"/>
            <w:vAlign w:val="center"/>
          </w:tcPr>
          <w:p w14:paraId="7719B8D2" w14:textId="77777777" w:rsidR="003F11C1" w:rsidRPr="005C5E32" w:rsidRDefault="003F11C1" w:rsidP="003D0CC1">
            <w:pPr>
              <w:pStyle w:val="TableText"/>
              <w:spacing w:before="40" w:after="40"/>
            </w:pPr>
            <w:r w:rsidRPr="005C5E32">
              <w:rPr>
                <w:rFonts w:eastAsia="Times New Roman" w:cs="Calibri"/>
                <w:color w:val="000000"/>
              </w:rPr>
              <w:t>55–64</w:t>
            </w:r>
          </w:p>
        </w:tc>
        <w:tc>
          <w:tcPr>
            <w:tcW w:w="1134" w:type="dxa"/>
            <w:vAlign w:val="center"/>
          </w:tcPr>
          <w:p w14:paraId="30D45A62" w14:textId="77777777" w:rsidR="003F11C1" w:rsidRPr="005C5E32" w:rsidRDefault="003F11C1" w:rsidP="00FB32B8">
            <w:pPr>
              <w:pStyle w:val="TableText"/>
              <w:spacing w:before="40" w:after="40"/>
              <w:jc w:val="right"/>
            </w:pPr>
            <w:r w:rsidRPr="005C5E32">
              <w:t>4.0</w:t>
            </w:r>
          </w:p>
        </w:tc>
        <w:tc>
          <w:tcPr>
            <w:tcW w:w="992" w:type="dxa"/>
            <w:vAlign w:val="center"/>
          </w:tcPr>
          <w:p w14:paraId="5D9C3273" w14:textId="77777777" w:rsidR="003F11C1" w:rsidRPr="005C5E32" w:rsidRDefault="003F11C1" w:rsidP="00FB32B8">
            <w:pPr>
              <w:pStyle w:val="TableText"/>
              <w:spacing w:before="40" w:after="40"/>
              <w:jc w:val="right"/>
            </w:pPr>
            <w:r w:rsidRPr="005C5E32">
              <w:t>11.0</w:t>
            </w:r>
          </w:p>
        </w:tc>
        <w:tc>
          <w:tcPr>
            <w:tcW w:w="1985" w:type="dxa"/>
            <w:vAlign w:val="center"/>
          </w:tcPr>
          <w:p w14:paraId="4C483F3E" w14:textId="77777777" w:rsidR="003F11C1" w:rsidRPr="005C5E32" w:rsidRDefault="003F11C1" w:rsidP="00FB32B8">
            <w:pPr>
              <w:pStyle w:val="TableText"/>
              <w:spacing w:before="40" w:after="40"/>
              <w:jc w:val="right"/>
              <w:rPr>
                <w:rFonts w:eastAsia="Times New Roman" w:cs="Calibri"/>
                <w:color w:val="000000"/>
              </w:rPr>
            </w:pPr>
            <w:r w:rsidRPr="005C5E32">
              <w:rPr>
                <w:rFonts w:eastAsia="Times New Roman" w:cs="Calibri"/>
                <w:color w:val="000000"/>
              </w:rPr>
              <w:t>4.0</w:t>
            </w:r>
          </w:p>
        </w:tc>
        <w:tc>
          <w:tcPr>
            <w:tcW w:w="850" w:type="dxa"/>
            <w:vAlign w:val="center"/>
          </w:tcPr>
          <w:p w14:paraId="0AAF02B8" w14:textId="77777777" w:rsidR="003F11C1" w:rsidRPr="005C5E32" w:rsidRDefault="003F11C1" w:rsidP="00FB32B8">
            <w:pPr>
              <w:pStyle w:val="TableText"/>
              <w:spacing w:before="40" w:after="40"/>
              <w:jc w:val="right"/>
            </w:pPr>
            <w:r w:rsidRPr="005C5E32">
              <w:t>4.9</w:t>
            </w:r>
          </w:p>
        </w:tc>
        <w:tc>
          <w:tcPr>
            <w:tcW w:w="993" w:type="dxa"/>
            <w:vAlign w:val="center"/>
          </w:tcPr>
          <w:p w14:paraId="77081479" w14:textId="77777777" w:rsidR="003F11C1" w:rsidRPr="005C5E32" w:rsidRDefault="003F11C1" w:rsidP="00FB32B8">
            <w:pPr>
              <w:pStyle w:val="TableText"/>
              <w:spacing w:before="40" w:after="40"/>
              <w:jc w:val="right"/>
            </w:pPr>
            <w:r w:rsidRPr="005C5E32">
              <w:rPr>
                <w:szCs w:val="18"/>
              </w:rPr>
              <w:t>–</w:t>
            </w:r>
          </w:p>
        </w:tc>
        <w:tc>
          <w:tcPr>
            <w:tcW w:w="708" w:type="dxa"/>
            <w:vAlign w:val="center"/>
          </w:tcPr>
          <w:p w14:paraId="0C0658AD" w14:textId="77777777" w:rsidR="003F11C1" w:rsidRPr="005C5E32" w:rsidRDefault="003F11C1" w:rsidP="00FB32B8">
            <w:pPr>
              <w:pStyle w:val="TableText"/>
              <w:spacing w:before="40" w:after="40"/>
              <w:jc w:val="right"/>
              <w:rPr>
                <w:b/>
              </w:rPr>
            </w:pPr>
            <w:r w:rsidRPr="005C5E32">
              <w:rPr>
                <w:b/>
              </w:rPr>
              <w:t>23.9</w:t>
            </w:r>
          </w:p>
        </w:tc>
      </w:tr>
      <w:tr w:rsidR="003F11C1" w:rsidRPr="005C5E32" w14:paraId="27A6B192" w14:textId="77777777" w:rsidTr="00A74BCA">
        <w:trPr>
          <w:trHeight w:val="320"/>
        </w:trPr>
        <w:tc>
          <w:tcPr>
            <w:tcW w:w="1843" w:type="dxa"/>
            <w:vAlign w:val="center"/>
          </w:tcPr>
          <w:p w14:paraId="7C5E739D" w14:textId="77777777" w:rsidR="003F11C1" w:rsidRPr="005C5E32" w:rsidRDefault="003F11C1" w:rsidP="003D0CC1">
            <w:pPr>
              <w:pStyle w:val="TableText"/>
              <w:spacing w:before="40" w:after="40"/>
            </w:pPr>
            <w:r w:rsidRPr="005C5E32">
              <w:rPr>
                <w:rFonts w:eastAsia="Times New Roman" w:cs="Calibri"/>
                <w:color w:val="000000"/>
              </w:rPr>
              <w:t>65+</w:t>
            </w:r>
          </w:p>
        </w:tc>
        <w:tc>
          <w:tcPr>
            <w:tcW w:w="1134" w:type="dxa"/>
            <w:vAlign w:val="center"/>
          </w:tcPr>
          <w:p w14:paraId="4E8647CB" w14:textId="77777777" w:rsidR="003F11C1" w:rsidRPr="005C5E32" w:rsidRDefault="003F11C1" w:rsidP="00FB32B8">
            <w:pPr>
              <w:pStyle w:val="TableText"/>
              <w:spacing w:before="40" w:after="40"/>
              <w:jc w:val="right"/>
            </w:pPr>
            <w:r w:rsidRPr="005C5E32">
              <w:rPr>
                <w:szCs w:val="18"/>
              </w:rPr>
              <w:t>–</w:t>
            </w:r>
          </w:p>
        </w:tc>
        <w:tc>
          <w:tcPr>
            <w:tcW w:w="992" w:type="dxa"/>
            <w:vAlign w:val="center"/>
          </w:tcPr>
          <w:p w14:paraId="107D1708" w14:textId="77777777" w:rsidR="003F11C1" w:rsidRPr="005C5E32" w:rsidRDefault="003F11C1" w:rsidP="00FB32B8">
            <w:pPr>
              <w:pStyle w:val="TableText"/>
              <w:spacing w:before="40" w:after="40"/>
              <w:jc w:val="right"/>
            </w:pPr>
            <w:r w:rsidRPr="005C5E32">
              <w:rPr>
                <w:szCs w:val="18"/>
              </w:rPr>
              <w:t>–</w:t>
            </w:r>
          </w:p>
        </w:tc>
        <w:tc>
          <w:tcPr>
            <w:tcW w:w="1985" w:type="dxa"/>
            <w:vAlign w:val="center"/>
          </w:tcPr>
          <w:p w14:paraId="29E9510B" w14:textId="77777777" w:rsidR="003F11C1" w:rsidRPr="005C5E32" w:rsidRDefault="003F11C1" w:rsidP="00FB32B8">
            <w:pPr>
              <w:pStyle w:val="TableText"/>
              <w:spacing w:before="40" w:after="40"/>
              <w:jc w:val="right"/>
              <w:rPr>
                <w:rFonts w:eastAsia="Times New Roman" w:cs="Calibri"/>
                <w:color w:val="000000"/>
              </w:rPr>
            </w:pPr>
            <w:r w:rsidRPr="005C5E32">
              <w:rPr>
                <w:szCs w:val="18"/>
              </w:rPr>
              <w:t>–</w:t>
            </w:r>
          </w:p>
        </w:tc>
        <w:tc>
          <w:tcPr>
            <w:tcW w:w="850" w:type="dxa"/>
            <w:vAlign w:val="center"/>
          </w:tcPr>
          <w:p w14:paraId="76D6E33E" w14:textId="77777777" w:rsidR="003F11C1" w:rsidRPr="005C5E32" w:rsidRDefault="003F11C1" w:rsidP="00FB32B8">
            <w:pPr>
              <w:pStyle w:val="TableText"/>
              <w:spacing w:before="40" w:after="40"/>
              <w:jc w:val="right"/>
            </w:pPr>
            <w:r w:rsidRPr="005C5E32">
              <w:rPr>
                <w:szCs w:val="18"/>
              </w:rPr>
              <w:t>–</w:t>
            </w:r>
          </w:p>
        </w:tc>
        <w:tc>
          <w:tcPr>
            <w:tcW w:w="993" w:type="dxa"/>
            <w:vAlign w:val="center"/>
          </w:tcPr>
          <w:p w14:paraId="2CD8AFF8" w14:textId="77777777" w:rsidR="003F11C1" w:rsidRPr="005C5E32" w:rsidRDefault="003F11C1" w:rsidP="00FB32B8">
            <w:pPr>
              <w:pStyle w:val="TableText"/>
              <w:spacing w:before="40" w:after="40"/>
              <w:jc w:val="right"/>
            </w:pPr>
            <w:r w:rsidRPr="005C5E32">
              <w:rPr>
                <w:szCs w:val="18"/>
              </w:rPr>
              <w:t>–</w:t>
            </w:r>
          </w:p>
        </w:tc>
        <w:tc>
          <w:tcPr>
            <w:tcW w:w="708" w:type="dxa"/>
            <w:vAlign w:val="center"/>
          </w:tcPr>
          <w:p w14:paraId="0FE38D0C" w14:textId="77777777" w:rsidR="003F11C1" w:rsidRPr="005C5E32" w:rsidRDefault="003F11C1" w:rsidP="00FB32B8">
            <w:pPr>
              <w:pStyle w:val="TableText"/>
              <w:spacing w:before="40" w:after="40"/>
              <w:jc w:val="right"/>
              <w:rPr>
                <w:b/>
              </w:rPr>
            </w:pPr>
            <w:r w:rsidRPr="005C5E32">
              <w:rPr>
                <w:b/>
                <w:bCs/>
                <w:szCs w:val="18"/>
              </w:rPr>
              <w:t>–</w:t>
            </w:r>
          </w:p>
        </w:tc>
      </w:tr>
      <w:tr w:rsidR="003F11C1" w:rsidRPr="005C5E32" w14:paraId="01A5211B" w14:textId="77777777" w:rsidTr="00A74BCA">
        <w:trPr>
          <w:trHeight w:val="320"/>
        </w:trPr>
        <w:tc>
          <w:tcPr>
            <w:tcW w:w="1843" w:type="dxa"/>
            <w:vAlign w:val="center"/>
          </w:tcPr>
          <w:p w14:paraId="40F6E7F5" w14:textId="77777777" w:rsidR="003F11C1" w:rsidRPr="005C5E32" w:rsidRDefault="003F11C1" w:rsidP="003D0CC1">
            <w:pPr>
              <w:pStyle w:val="TableText"/>
              <w:spacing w:before="40" w:after="40"/>
            </w:pPr>
            <w:r w:rsidRPr="005C5E32">
              <w:rPr>
                <w:rFonts w:eastAsia="Times New Roman" w:cs="Calibri"/>
                <w:color w:val="000000"/>
              </w:rPr>
              <w:t>Unknown</w:t>
            </w:r>
          </w:p>
        </w:tc>
        <w:tc>
          <w:tcPr>
            <w:tcW w:w="1134" w:type="dxa"/>
            <w:vAlign w:val="center"/>
          </w:tcPr>
          <w:p w14:paraId="5B2D8B80" w14:textId="77777777" w:rsidR="003F11C1" w:rsidRPr="005C5E32" w:rsidRDefault="003F11C1" w:rsidP="00FB32B8">
            <w:pPr>
              <w:pStyle w:val="TableText"/>
              <w:spacing w:before="40" w:after="40"/>
              <w:jc w:val="right"/>
            </w:pPr>
            <w:r w:rsidRPr="005C5E32">
              <w:rPr>
                <w:szCs w:val="18"/>
              </w:rPr>
              <w:t>–</w:t>
            </w:r>
          </w:p>
        </w:tc>
        <w:tc>
          <w:tcPr>
            <w:tcW w:w="992" w:type="dxa"/>
            <w:vAlign w:val="center"/>
          </w:tcPr>
          <w:p w14:paraId="7D4DA41C" w14:textId="77777777" w:rsidR="003F11C1" w:rsidRPr="005C5E32" w:rsidRDefault="003F11C1" w:rsidP="00FB32B8">
            <w:pPr>
              <w:pStyle w:val="TableText"/>
              <w:spacing w:before="40" w:after="40"/>
              <w:jc w:val="right"/>
            </w:pPr>
            <w:r w:rsidRPr="005C5E32">
              <w:rPr>
                <w:szCs w:val="18"/>
              </w:rPr>
              <w:t>–</w:t>
            </w:r>
          </w:p>
        </w:tc>
        <w:tc>
          <w:tcPr>
            <w:tcW w:w="1985" w:type="dxa"/>
            <w:vAlign w:val="center"/>
          </w:tcPr>
          <w:p w14:paraId="269DB49E" w14:textId="77777777" w:rsidR="003F11C1" w:rsidRPr="005C5E32" w:rsidRDefault="003F11C1" w:rsidP="00FB32B8">
            <w:pPr>
              <w:pStyle w:val="TableText"/>
              <w:spacing w:before="40" w:after="40"/>
              <w:jc w:val="right"/>
              <w:rPr>
                <w:rFonts w:eastAsia="Times New Roman" w:cs="Calibri"/>
                <w:color w:val="000000"/>
              </w:rPr>
            </w:pPr>
            <w:r w:rsidRPr="005C5E32">
              <w:rPr>
                <w:szCs w:val="18"/>
              </w:rPr>
              <w:t>–</w:t>
            </w:r>
          </w:p>
        </w:tc>
        <w:tc>
          <w:tcPr>
            <w:tcW w:w="850" w:type="dxa"/>
            <w:vAlign w:val="center"/>
          </w:tcPr>
          <w:p w14:paraId="0B26E15A" w14:textId="77777777" w:rsidR="003F11C1" w:rsidRPr="005C5E32" w:rsidRDefault="003F11C1" w:rsidP="00FB32B8">
            <w:pPr>
              <w:pStyle w:val="TableText"/>
              <w:spacing w:before="40" w:after="40"/>
              <w:jc w:val="right"/>
            </w:pPr>
            <w:r w:rsidRPr="005C5E32">
              <w:rPr>
                <w:szCs w:val="18"/>
              </w:rPr>
              <w:t>–</w:t>
            </w:r>
          </w:p>
        </w:tc>
        <w:tc>
          <w:tcPr>
            <w:tcW w:w="993" w:type="dxa"/>
            <w:vAlign w:val="center"/>
          </w:tcPr>
          <w:p w14:paraId="6D9FE5E7" w14:textId="77777777" w:rsidR="003F11C1" w:rsidRPr="005C5E32" w:rsidRDefault="003F11C1" w:rsidP="00FB32B8">
            <w:pPr>
              <w:pStyle w:val="TableText"/>
              <w:spacing w:before="40" w:after="40"/>
              <w:jc w:val="right"/>
            </w:pPr>
            <w:r w:rsidRPr="005C5E32">
              <w:rPr>
                <w:szCs w:val="18"/>
              </w:rPr>
              <w:t>–</w:t>
            </w:r>
          </w:p>
        </w:tc>
        <w:tc>
          <w:tcPr>
            <w:tcW w:w="708" w:type="dxa"/>
            <w:vAlign w:val="center"/>
          </w:tcPr>
          <w:p w14:paraId="2A43AF34" w14:textId="77777777" w:rsidR="003F11C1" w:rsidRPr="005C5E32" w:rsidRDefault="003F11C1" w:rsidP="00FB32B8">
            <w:pPr>
              <w:pStyle w:val="TableText"/>
              <w:spacing w:before="40" w:after="40"/>
              <w:jc w:val="right"/>
              <w:rPr>
                <w:b/>
              </w:rPr>
            </w:pPr>
            <w:r w:rsidRPr="005C5E32">
              <w:rPr>
                <w:b/>
                <w:bCs/>
                <w:szCs w:val="18"/>
              </w:rPr>
              <w:t>–</w:t>
            </w:r>
          </w:p>
        </w:tc>
      </w:tr>
      <w:tr w:rsidR="003F11C1" w:rsidRPr="005C5E32" w14:paraId="58C8E8A9" w14:textId="77777777" w:rsidTr="00A74BCA">
        <w:trPr>
          <w:trHeight w:val="320"/>
        </w:trPr>
        <w:tc>
          <w:tcPr>
            <w:tcW w:w="1843" w:type="dxa"/>
            <w:vAlign w:val="bottom"/>
          </w:tcPr>
          <w:p w14:paraId="36F3B9AA" w14:textId="77777777" w:rsidR="003F11C1" w:rsidRPr="005C5E32" w:rsidRDefault="003F11C1" w:rsidP="003D0CC1">
            <w:pPr>
              <w:pStyle w:val="TableText"/>
              <w:spacing w:before="40" w:after="40"/>
            </w:pPr>
            <w:r w:rsidRPr="005C5E32">
              <w:rPr>
                <w:rFonts w:eastAsia="Times New Roman" w:cs="Calibri"/>
                <w:b/>
                <w:bCs/>
                <w:color w:val="000000"/>
              </w:rPr>
              <w:t>Total</w:t>
            </w:r>
          </w:p>
        </w:tc>
        <w:tc>
          <w:tcPr>
            <w:tcW w:w="1134" w:type="dxa"/>
            <w:vAlign w:val="center"/>
          </w:tcPr>
          <w:p w14:paraId="3F2672B8" w14:textId="77777777" w:rsidR="003F11C1" w:rsidRPr="005C5E32" w:rsidRDefault="003F11C1" w:rsidP="00FB32B8">
            <w:pPr>
              <w:pStyle w:val="TableText"/>
              <w:spacing w:before="40" w:after="40"/>
              <w:jc w:val="right"/>
              <w:rPr>
                <w:b/>
              </w:rPr>
            </w:pPr>
            <w:r w:rsidRPr="005C5E32">
              <w:rPr>
                <w:b/>
              </w:rPr>
              <w:t>15.7</w:t>
            </w:r>
          </w:p>
        </w:tc>
        <w:tc>
          <w:tcPr>
            <w:tcW w:w="992" w:type="dxa"/>
            <w:vAlign w:val="center"/>
          </w:tcPr>
          <w:p w14:paraId="410BD87B" w14:textId="77777777" w:rsidR="003F11C1" w:rsidRPr="005C5E32" w:rsidRDefault="003F11C1" w:rsidP="00FB32B8">
            <w:pPr>
              <w:pStyle w:val="TableText"/>
              <w:spacing w:before="40" w:after="40"/>
              <w:jc w:val="right"/>
              <w:rPr>
                <w:b/>
              </w:rPr>
            </w:pPr>
            <w:r w:rsidRPr="005C5E32">
              <w:rPr>
                <w:b/>
              </w:rPr>
              <w:t>81.5</w:t>
            </w:r>
          </w:p>
        </w:tc>
        <w:tc>
          <w:tcPr>
            <w:tcW w:w="1985" w:type="dxa"/>
            <w:vAlign w:val="center"/>
          </w:tcPr>
          <w:p w14:paraId="7E7CC624" w14:textId="77777777" w:rsidR="003F11C1" w:rsidRPr="005C5E32" w:rsidRDefault="003F11C1" w:rsidP="00FB32B8">
            <w:pPr>
              <w:pStyle w:val="TableText"/>
              <w:spacing w:before="40" w:after="40"/>
              <w:jc w:val="right"/>
              <w:rPr>
                <w:rFonts w:eastAsia="Times New Roman" w:cs="Calibri"/>
                <w:b/>
                <w:bCs/>
                <w:color w:val="000000"/>
              </w:rPr>
            </w:pPr>
            <w:r w:rsidRPr="005C5E32">
              <w:rPr>
                <w:rFonts w:eastAsia="Times New Roman" w:cs="Calibri"/>
                <w:b/>
                <w:bCs/>
                <w:color w:val="000000"/>
              </w:rPr>
              <w:t>8.0</w:t>
            </w:r>
          </w:p>
        </w:tc>
        <w:tc>
          <w:tcPr>
            <w:tcW w:w="850" w:type="dxa"/>
            <w:vAlign w:val="center"/>
          </w:tcPr>
          <w:p w14:paraId="13CA3CA8" w14:textId="77777777" w:rsidR="003F11C1" w:rsidRPr="005C5E32" w:rsidRDefault="003F11C1" w:rsidP="00FB32B8">
            <w:pPr>
              <w:pStyle w:val="TableText"/>
              <w:spacing w:before="40" w:after="40"/>
              <w:jc w:val="right"/>
              <w:rPr>
                <w:b/>
              </w:rPr>
            </w:pPr>
            <w:r w:rsidRPr="005C5E32">
              <w:rPr>
                <w:b/>
              </w:rPr>
              <w:t>22.9</w:t>
            </w:r>
          </w:p>
        </w:tc>
        <w:tc>
          <w:tcPr>
            <w:tcW w:w="993" w:type="dxa"/>
            <w:vAlign w:val="center"/>
          </w:tcPr>
          <w:p w14:paraId="5085A9F5" w14:textId="77777777" w:rsidR="003F11C1" w:rsidRPr="005C5E32" w:rsidRDefault="003F11C1" w:rsidP="00FB32B8">
            <w:pPr>
              <w:pStyle w:val="TableText"/>
              <w:spacing w:before="40" w:after="40"/>
              <w:jc w:val="right"/>
              <w:rPr>
                <w:b/>
              </w:rPr>
            </w:pPr>
            <w:r w:rsidRPr="005C5E32">
              <w:rPr>
                <w:b/>
              </w:rPr>
              <w:t>6.0</w:t>
            </w:r>
          </w:p>
        </w:tc>
        <w:tc>
          <w:tcPr>
            <w:tcW w:w="708" w:type="dxa"/>
            <w:vAlign w:val="center"/>
          </w:tcPr>
          <w:p w14:paraId="32D60D4C" w14:textId="77777777" w:rsidR="003F11C1" w:rsidRPr="005C5E32" w:rsidRDefault="003F11C1" w:rsidP="00FB32B8">
            <w:pPr>
              <w:pStyle w:val="TableText"/>
              <w:spacing w:before="40" w:after="40"/>
              <w:jc w:val="right"/>
              <w:rPr>
                <w:b/>
              </w:rPr>
            </w:pPr>
            <w:r w:rsidRPr="005C5E32">
              <w:rPr>
                <w:b/>
              </w:rPr>
              <w:t>134.1</w:t>
            </w:r>
          </w:p>
        </w:tc>
      </w:tr>
    </w:tbl>
    <w:p w14:paraId="45C1D849" w14:textId="60530FA1" w:rsidR="003F11C1" w:rsidRPr="005C5E32" w:rsidRDefault="003F11C1" w:rsidP="00A74BCA">
      <w:pPr>
        <w:pStyle w:val="Note"/>
      </w:pPr>
      <w:bookmarkStart w:id="216" w:name="_Ref204260164"/>
      <w:bookmarkStart w:id="217" w:name="table7"/>
      <w:r w:rsidRPr="005C5E32">
        <w:t>*</w:t>
      </w:r>
      <w:r w:rsidR="00563095" w:rsidRPr="005C5E32">
        <w:t xml:space="preserve"> </w:t>
      </w:r>
      <w:r w:rsidRPr="005C5E32">
        <w:t xml:space="preserve">FTE includes employees who are permanent, fixed term or seconded </w:t>
      </w:r>
      <w:r w:rsidR="00321CD7" w:rsidRPr="005C5E32">
        <w:t>to other organisations</w:t>
      </w:r>
      <w:r w:rsidRPr="005C5E32">
        <w:t>.</w:t>
      </w:r>
    </w:p>
    <w:p w14:paraId="38933E8A" w14:textId="7BF1D56D" w:rsidR="003F11C1" w:rsidRPr="005C5E32" w:rsidRDefault="003F11C1" w:rsidP="00A74BCA">
      <w:pPr>
        <w:pStyle w:val="Tableheading"/>
        <w:spacing w:before="180"/>
      </w:pPr>
      <w:bookmarkStart w:id="218" w:name="_Ref237529033"/>
      <w:r w:rsidRPr="005C5E32">
        <w:t xml:space="preserve">Table </w:t>
      </w:r>
      <w:fldSimple w:instr=" SEQ Table \* ARABIC ">
        <w:r w:rsidR="00D8311D">
          <w:rPr>
            <w:noProof/>
          </w:rPr>
          <w:t>9</w:t>
        </w:r>
      </w:fldSimple>
      <w:bookmarkEnd w:id="216"/>
      <w:bookmarkEnd w:id="217"/>
      <w:bookmarkEnd w:id="218"/>
      <w:r w:rsidRPr="005C5E32">
        <w:t xml:space="preserve">: </w:t>
      </w:r>
      <w:r w:rsidRPr="005C5E32">
        <w:tab/>
        <w:t>Gender of people leaders (FTE)*</w:t>
      </w:r>
      <w:r w:rsidR="00173A56" w:rsidRPr="005C5E32">
        <w:t xml:space="preserve"> as at 30 June 2026</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ayout w:type="fixed"/>
        <w:tblCellMar>
          <w:left w:w="85" w:type="dxa"/>
          <w:right w:w="85" w:type="dxa"/>
        </w:tblCellMar>
        <w:tblLook w:val="04A0" w:firstRow="1" w:lastRow="0" w:firstColumn="1" w:lastColumn="0" w:noHBand="0" w:noVBand="1"/>
      </w:tblPr>
      <w:tblGrid>
        <w:gridCol w:w="1843"/>
        <w:gridCol w:w="1134"/>
        <w:gridCol w:w="992"/>
        <w:gridCol w:w="1985"/>
        <w:gridCol w:w="850"/>
        <w:gridCol w:w="993"/>
        <w:gridCol w:w="708"/>
      </w:tblGrid>
      <w:tr w:rsidR="003F11C1" w:rsidRPr="005C5E32" w14:paraId="1E251857" w14:textId="77777777" w:rsidTr="00A74BCA">
        <w:trPr>
          <w:tblHeader/>
        </w:trPr>
        <w:tc>
          <w:tcPr>
            <w:tcW w:w="1843" w:type="dxa"/>
            <w:shd w:val="clear" w:color="auto" w:fill="1B556B"/>
            <w:vAlign w:val="bottom"/>
          </w:tcPr>
          <w:p w14:paraId="03D2FBB1" w14:textId="77777777" w:rsidR="003F11C1" w:rsidRPr="005C5E32" w:rsidRDefault="003F11C1" w:rsidP="003D0CC1">
            <w:pPr>
              <w:pStyle w:val="TableTextbold"/>
              <w:spacing w:before="40" w:after="40"/>
              <w:rPr>
                <w:color w:val="FFFFFF" w:themeColor="background1"/>
              </w:rPr>
            </w:pPr>
            <w:r w:rsidRPr="005C5E32">
              <w:rPr>
                <w:color w:val="FFFFFF" w:themeColor="background1"/>
              </w:rPr>
              <w:t>Gender</w:t>
            </w:r>
          </w:p>
        </w:tc>
        <w:tc>
          <w:tcPr>
            <w:tcW w:w="1134" w:type="dxa"/>
            <w:shd w:val="clear" w:color="auto" w:fill="1B556B"/>
            <w:vAlign w:val="bottom"/>
          </w:tcPr>
          <w:p w14:paraId="500E7AAF"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Team Leader</w:t>
            </w:r>
          </w:p>
        </w:tc>
        <w:tc>
          <w:tcPr>
            <w:tcW w:w="992" w:type="dxa"/>
            <w:shd w:val="clear" w:color="auto" w:fill="1B556B"/>
            <w:vAlign w:val="bottom"/>
          </w:tcPr>
          <w:p w14:paraId="56856D0E"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Manager</w:t>
            </w:r>
          </w:p>
        </w:tc>
        <w:tc>
          <w:tcPr>
            <w:tcW w:w="1985" w:type="dxa"/>
            <w:shd w:val="clear" w:color="auto" w:fill="1B556B"/>
          </w:tcPr>
          <w:p w14:paraId="57B597FD"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Programme Executive / Director / Chief of Staff</w:t>
            </w:r>
          </w:p>
        </w:tc>
        <w:tc>
          <w:tcPr>
            <w:tcW w:w="850" w:type="dxa"/>
            <w:shd w:val="clear" w:color="auto" w:fill="1B556B"/>
            <w:vAlign w:val="bottom"/>
          </w:tcPr>
          <w:p w14:paraId="6C949FF2"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General Manager</w:t>
            </w:r>
          </w:p>
        </w:tc>
        <w:tc>
          <w:tcPr>
            <w:tcW w:w="993" w:type="dxa"/>
            <w:shd w:val="clear" w:color="auto" w:fill="1B556B"/>
            <w:vAlign w:val="bottom"/>
          </w:tcPr>
          <w:p w14:paraId="1CC8FB5B"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Deputy Secretary</w:t>
            </w:r>
          </w:p>
        </w:tc>
        <w:tc>
          <w:tcPr>
            <w:tcW w:w="708" w:type="dxa"/>
            <w:shd w:val="clear" w:color="auto" w:fill="1B556B"/>
            <w:vAlign w:val="bottom"/>
          </w:tcPr>
          <w:p w14:paraId="655F9006" w14:textId="77777777" w:rsidR="003F11C1" w:rsidRPr="005C5E32" w:rsidRDefault="003F11C1" w:rsidP="003D0CC1">
            <w:pPr>
              <w:pStyle w:val="TableTextbold"/>
              <w:spacing w:before="40" w:after="40"/>
              <w:jc w:val="right"/>
              <w:rPr>
                <w:color w:val="FFFFFF" w:themeColor="background1"/>
              </w:rPr>
            </w:pPr>
            <w:r w:rsidRPr="005C5E32">
              <w:rPr>
                <w:color w:val="FFFFFF" w:themeColor="background1"/>
              </w:rPr>
              <w:t>Total</w:t>
            </w:r>
          </w:p>
        </w:tc>
      </w:tr>
      <w:tr w:rsidR="003F11C1" w:rsidRPr="005C5E32" w14:paraId="679BEF50" w14:textId="77777777" w:rsidTr="00A74BCA">
        <w:tc>
          <w:tcPr>
            <w:tcW w:w="1843" w:type="dxa"/>
            <w:vAlign w:val="center"/>
          </w:tcPr>
          <w:p w14:paraId="10237323" w14:textId="77777777" w:rsidR="003F11C1" w:rsidRPr="005C5E32" w:rsidRDefault="003F11C1" w:rsidP="003D0CC1">
            <w:pPr>
              <w:pStyle w:val="TableText"/>
              <w:spacing w:before="40" w:after="40"/>
            </w:pPr>
            <w:r w:rsidRPr="005C5E32">
              <w:rPr>
                <w:rFonts w:eastAsia="Times New Roman" w:cs="Calibri"/>
                <w:color w:val="000000"/>
              </w:rPr>
              <w:t>Female</w:t>
            </w:r>
          </w:p>
        </w:tc>
        <w:tc>
          <w:tcPr>
            <w:tcW w:w="1134" w:type="dxa"/>
            <w:vAlign w:val="center"/>
          </w:tcPr>
          <w:p w14:paraId="3B04BBAA" w14:textId="77777777" w:rsidR="003F11C1" w:rsidRPr="005C5E32" w:rsidRDefault="003F11C1" w:rsidP="007E5880">
            <w:pPr>
              <w:pStyle w:val="TableText"/>
              <w:spacing w:before="40" w:after="40"/>
              <w:jc w:val="right"/>
            </w:pPr>
            <w:r w:rsidRPr="005C5E32">
              <w:t>12.7</w:t>
            </w:r>
          </w:p>
        </w:tc>
        <w:tc>
          <w:tcPr>
            <w:tcW w:w="992" w:type="dxa"/>
            <w:vAlign w:val="center"/>
          </w:tcPr>
          <w:p w14:paraId="3FA03A35" w14:textId="77777777" w:rsidR="003F11C1" w:rsidRPr="005C5E32" w:rsidRDefault="003F11C1" w:rsidP="007E5880">
            <w:pPr>
              <w:pStyle w:val="TableText"/>
              <w:spacing w:before="40" w:after="40"/>
              <w:jc w:val="right"/>
            </w:pPr>
            <w:r w:rsidRPr="005C5E32">
              <w:t>51.6</w:t>
            </w:r>
          </w:p>
        </w:tc>
        <w:tc>
          <w:tcPr>
            <w:tcW w:w="1985" w:type="dxa"/>
            <w:vAlign w:val="center"/>
          </w:tcPr>
          <w:p w14:paraId="00E5C7BE" w14:textId="77777777" w:rsidR="003F11C1" w:rsidRPr="005C5E32" w:rsidRDefault="003F11C1" w:rsidP="007E5880">
            <w:pPr>
              <w:pStyle w:val="TableText"/>
              <w:spacing w:before="40" w:after="40"/>
              <w:jc w:val="right"/>
              <w:rPr>
                <w:rFonts w:eastAsia="Times New Roman" w:cs="Calibri"/>
                <w:color w:val="000000"/>
              </w:rPr>
            </w:pPr>
            <w:r w:rsidRPr="005C5E32">
              <w:rPr>
                <w:rFonts w:eastAsia="Times New Roman" w:cs="Calibri"/>
                <w:color w:val="000000"/>
              </w:rPr>
              <w:t>4.0</w:t>
            </w:r>
          </w:p>
        </w:tc>
        <w:tc>
          <w:tcPr>
            <w:tcW w:w="850" w:type="dxa"/>
            <w:vAlign w:val="center"/>
          </w:tcPr>
          <w:p w14:paraId="0A2C7841" w14:textId="77777777" w:rsidR="003F11C1" w:rsidRPr="005C5E32" w:rsidRDefault="003F11C1" w:rsidP="007E5880">
            <w:pPr>
              <w:pStyle w:val="TableText"/>
              <w:spacing w:before="40" w:after="40"/>
              <w:jc w:val="right"/>
            </w:pPr>
            <w:r w:rsidRPr="005C5E32">
              <w:t>15.0</w:t>
            </w:r>
          </w:p>
        </w:tc>
        <w:tc>
          <w:tcPr>
            <w:tcW w:w="993" w:type="dxa"/>
            <w:vAlign w:val="center"/>
          </w:tcPr>
          <w:p w14:paraId="670DF9E1" w14:textId="77777777" w:rsidR="003F11C1" w:rsidRPr="005C5E32" w:rsidRDefault="003F11C1" w:rsidP="007E5880">
            <w:pPr>
              <w:pStyle w:val="TableText"/>
              <w:spacing w:before="40" w:after="40"/>
              <w:jc w:val="right"/>
            </w:pPr>
            <w:r w:rsidRPr="005C5E32">
              <w:t>6.0</w:t>
            </w:r>
          </w:p>
        </w:tc>
        <w:tc>
          <w:tcPr>
            <w:tcW w:w="708" w:type="dxa"/>
            <w:vAlign w:val="center"/>
          </w:tcPr>
          <w:p w14:paraId="1E380EC9" w14:textId="77777777" w:rsidR="003F11C1" w:rsidRPr="005C5E32" w:rsidRDefault="003F11C1" w:rsidP="007E5880">
            <w:pPr>
              <w:pStyle w:val="TableText"/>
              <w:spacing w:before="40" w:after="40"/>
              <w:jc w:val="right"/>
              <w:rPr>
                <w:b/>
              </w:rPr>
            </w:pPr>
            <w:r w:rsidRPr="005C5E32">
              <w:rPr>
                <w:b/>
              </w:rPr>
              <w:t>89.3</w:t>
            </w:r>
          </w:p>
        </w:tc>
      </w:tr>
      <w:tr w:rsidR="003F11C1" w:rsidRPr="005C5E32" w14:paraId="0810AB45" w14:textId="77777777" w:rsidTr="00A74BCA">
        <w:tc>
          <w:tcPr>
            <w:tcW w:w="1843" w:type="dxa"/>
            <w:vAlign w:val="center"/>
          </w:tcPr>
          <w:p w14:paraId="6438B60A" w14:textId="77777777" w:rsidR="003F11C1" w:rsidRPr="005C5E32" w:rsidRDefault="003F11C1" w:rsidP="003D0CC1">
            <w:pPr>
              <w:pStyle w:val="TableText"/>
              <w:spacing w:before="40" w:after="40"/>
            </w:pPr>
            <w:r w:rsidRPr="005C5E32">
              <w:rPr>
                <w:rFonts w:eastAsia="Times New Roman" w:cs="Calibri"/>
                <w:color w:val="000000"/>
              </w:rPr>
              <w:t>Male</w:t>
            </w:r>
          </w:p>
        </w:tc>
        <w:tc>
          <w:tcPr>
            <w:tcW w:w="1134" w:type="dxa"/>
            <w:vAlign w:val="center"/>
          </w:tcPr>
          <w:p w14:paraId="6EAC7FA3" w14:textId="77777777" w:rsidR="003F11C1" w:rsidRPr="005C5E32" w:rsidRDefault="003F11C1" w:rsidP="007E5880">
            <w:pPr>
              <w:pStyle w:val="TableText"/>
              <w:spacing w:before="40" w:after="40"/>
              <w:jc w:val="right"/>
            </w:pPr>
            <w:r w:rsidRPr="005C5E32">
              <w:t>2.0</w:t>
            </w:r>
          </w:p>
        </w:tc>
        <w:tc>
          <w:tcPr>
            <w:tcW w:w="992" w:type="dxa"/>
            <w:vAlign w:val="center"/>
          </w:tcPr>
          <w:p w14:paraId="6AA98088" w14:textId="77777777" w:rsidR="003F11C1" w:rsidRPr="005C5E32" w:rsidRDefault="003F11C1" w:rsidP="007E5880">
            <w:pPr>
              <w:pStyle w:val="TableText"/>
              <w:spacing w:before="40" w:after="40"/>
              <w:jc w:val="right"/>
            </w:pPr>
            <w:r w:rsidRPr="005C5E32">
              <w:t>29.9</w:t>
            </w:r>
          </w:p>
        </w:tc>
        <w:tc>
          <w:tcPr>
            <w:tcW w:w="1985" w:type="dxa"/>
            <w:vAlign w:val="center"/>
          </w:tcPr>
          <w:p w14:paraId="03B4C60A" w14:textId="77777777" w:rsidR="003F11C1" w:rsidRPr="005C5E32" w:rsidRDefault="003F11C1" w:rsidP="007E5880">
            <w:pPr>
              <w:pStyle w:val="TableText"/>
              <w:spacing w:before="40" w:after="40"/>
              <w:jc w:val="right"/>
              <w:rPr>
                <w:rFonts w:eastAsia="Times New Roman" w:cs="Calibri"/>
                <w:color w:val="000000"/>
              </w:rPr>
            </w:pPr>
            <w:r w:rsidRPr="005C5E32">
              <w:rPr>
                <w:rFonts w:eastAsia="Times New Roman" w:cs="Calibri"/>
                <w:color w:val="000000"/>
              </w:rPr>
              <w:t>4.0</w:t>
            </w:r>
          </w:p>
        </w:tc>
        <w:tc>
          <w:tcPr>
            <w:tcW w:w="850" w:type="dxa"/>
            <w:vAlign w:val="center"/>
          </w:tcPr>
          <w:p w14:paraId="491E1EEF" w14:textId="77777777" w:rsidR="003F11C1" w:rsidRPr="005C5E32" w:rsidRDefault="003F11C1" w:rsidP="007E5880">
            <w:pPr>
              <w:pStyle w:val="TableText"/>
              <w:spacing w:before="40" w:after="40"/>
              <w:jc w:val="right"/>
            </w:pPr>
            <w:r w:rsidRPr="005C5E32">
              <w:t>7.9</w:t>
            </w:r>
          </w:p>
        </w:tc>
        <w:tc>
          <w:tcPr>
            <w:tcW w:w="993" w:type="dxa"/>
            <w:vAlign w:val="center"/>
          </w:tcPr>
          <w:p w14:paraId="2395A499" w14:textId="77777777" w:rsidR="003F11C1" w:rsidRPr="005C5E32" w:rsidRDefault="003F11C1" w:rsidP="007E5880">
            <w:pPr>
              <w:pStyle w:val="TableText"/>
              <w:spacing w:before="40" w:after="40"/>
              <w:jc w:val="right"/>
            </w:pPr>
            <w:r w:rsidRPr="005C5E32">
              <w:rPr>
                <w:szCs w:val="18"/>
              </w:rPr>
              <w:t>–</w:t>
            </w:r>
          </w:p>
        </w:tc>
        <w:tc>
          <w:tcPr>
            <w:tcW w:w="708" w:type="dxa"/>
            <w:vAlign w:val="center"/>
          </w:tcPr>
          <w:p w14:paraId="3ED83908" w14:textId="77777777" w:rsidR="003F11C1" w:rsidRPr="005C5E32" w:rsidRDefault="003F11C1" w:rsidP="007E5880">
            <w:pPr>
              <w:pStyle w:val="TableText"/>
              <w:spacing w:before="40" w:after="40"/>
              <w:jc w:val="right"/>
              <w:rPr>
                <w:b/>
              </w:rPr>
            </w:pPr>
            <w:r w:rsidRPr="005C5E32">
              <w:rPr>
                <w:b/>
              </w:rPr>
              <w:t>43</w:t>
            </w:r>
            <w:r w:rsidRPr="005C5E32">
              <w:rPr>
                <w:b/>
                <w:bCs/>
              </w:rPr>
              <w:t>.8</w:t>
            </w:r>
          </w:p>
        </w:tc>
      </w:tr>
      <w:tr w:rsidR="003F11C1" w:rsidRPr="005C5E32" w14:paraId="0679C08F" w14:textId="77777777" w:rsidTr="00A74BCA">
        <w:tc>
          <w:tcPr>
            <w:tcW w:w="1843" w:type="dxa"/>
            <w:vAlign w:val="center"/>
          </w:tcPr>
          <w:p w14:paraId="028734DC" w14:textId="77777777" w:rsidR="003F11C1" w:rsidRPr="005C5E32" w:rsidRDefault="003F11C1" w:rsidP="003D0CC1">
            <w:pPr>
              <w:pStyle w:val="TableText"/>
              <w:spacing w:before="40" w:after="40"/>
            </w:pPr>
            <w:r w:rsidRPr="005C5E32">
              <w:rPr>
                <w:rFonts w:eastAsia="Times New Roman" w:cs="Calibri"/>
                <w:color w:val="000000"/>
              </w:rPr>
              <w:t>Another gender</w:t>
            </w:r>
          </w:p>
        </w:tc>
        <w:tc>
          <w:tcPr>
            <w:tcW w:w="1134" w:type="dxa"/>
            <w:vAlign w:val="center"/>
          </w:tcPr>
          <w:p w14:paraId="180397A4" w14:textId="77777777" w:rsidR="003F11C1" w:rsidRPr="005C5E32" w:rsidRDefault="003F11C1" w:rsidP="007E5880">
            <w:pPr>
              <w:pStyle w:val="TableText"/>
              <w:spacing w:before="40" w:after="40"/>
              <w:jc w:val="right"/>
            </w:pPr>
            <w:r w:rsidRPr="005C5E32">
              <w:t>1</w:t>
            </w:r>
          </w:p>
        </w:tc>
        <w:tc>
          <w:tcPr>
            <w:tcW w:w="992" w:type="dxa"/>
            <w:vAlign w:val="center"/>
          </w:tcPr>
          <w:p w14:paraId="5CDD3F80" w14:textId="77777777" w:rsidR="003F11C1" w:rsidRPr="005C5E32" w:rsidRDefault="003F11C1" w:rsidP="007E5880">
            <w:pPr>
              <w:pStyle w:val="TableText"/>
              <w:spacing w:before="40" w:after="40"/>
              <w:jc w:val="right"/>
            </w:pPr>
            <w:r w:rsidRPr="005C5E32">
              <w:rPr>
                <w:szCs w:val="18"/>
              </w:rPr>
              <w:t>–</w:t>
            </w:r>
          </w:p>
        </w:tc>
        <w:tc>
          <w:tcPr>
            <w:tcW w:w="1985" w:type="dxa"/>
            <w:vAlign w:val="center"/>
          </w:tcPr>
          <w:p w14:paraId="2EDA08F0" w14:textId="77777777" w:rsidR="003F11C1" w:rsidRPr="005C5E32" w:rsidRDefault="003F11C1" w:rsidP="007E5880">
            <w:pPr>
              <w:pStyle w:val="TableText"/>
              <w:spacing w:before="40" w:after="40"/>
              <w:jc w:val="right"/>
              <w:rPr>
                <w:rFonts w:eastAsia="Times New Roman" w:cs="Calibri"/>
                <w:color w:val="000000"/>
              </w:rPr>
            </w:pPr>
            <w:r w:rsidRPr="005C5E32">
              <w:rPr>
                <w:szCs w:val="18"/>
              </w:rPr>
              <w:t>–</w:t>
            </w:r>
          </w:p>
        </w:tc>
        <w:tc>
          <w:tcPr>
            <w:tcW w:w="850" w:type="dxa"/>
            <w:vAlign w:val="center"/>
          </w:tcPr>
          <w:p w14:paraId="7D95A731" w14:textId="77777777" w:rsidR="003F11C1" w:rsidRPr="005C5E32" w:rsidRDefault="003F11C1" w:rsidP="007E5880">
            <w:pPr>
              <w:pStyle w:val="TableText"/>
              <w:spacing w:before="40" w:after="40"/>
              <w:jc w:val="right"/>
            </w:pPr>
            <w:r w:rsidRPr="005C5E32">
              <w:rPr>
                <w:szCs w:val="18"/>
              </w:rPr>
              <w:t>–</w:t>
            </w:r>
          </w:p>
        </w:tc>
        <w:tc>
          <w:tcPr>
            <w:tcW w:w="993" w:type="dxa"/>
            <w:vAlign w:val="center"/>
          </w:tcPr>
          <w:p w14:paraId="713BF1FE" w14:textId="77777777" w:rsidR="003F11C1" w:rsidRPr="005C5E32" w:rsidRDefault="003F11C1" w:rsidP="007E5880">
            <w:pPr>
              <w:pStyle w:val="TableText"/>
              <w:spacing w:before="40" w:after="40"/>
              <w:jc w:val="right"/>
            </w:pPr>
            <w:r w:rsidRPr="005C5E32">
              <w:rPr>
                <w:szCs w:val="18"/>
              </w:rPr>
              <w:t>–</w:t>
            </w:r>
          </w:p>
        </w:tc>
        <w:tc>
          <w:tcPr>
            <w:tcW w:w="708" w:type="dxa"/>
            <w:vAlign w:val="center"/>
          </w:tcPr>
          <w:p w14:paraId="23BF8C65" w14:textId="77777777" w:rsidR="003F11C1" w:rsidRPr="005C5E32" w:rsidRDefault="003F11C1" w:rsidP="007E5880">
            <w:pPr>
              <w:pStyle w:val="TableText"/>
              <w:spacing w:before="40" w:after="40"/>
              <w:jc w:val="right"/>
              <w:rPr>
                <w:b/>
              </w:rPr>
            </w:pPr>
            <w:r w:rsidRPr="005C5E32">
              <w:rPr>
                <w:b/>
              </w:rPr>
              <w:t>1.0</w:t>
            </w:r>
          </w:p>
        </w:tc>
      </w:tr>
      <w:tr w:rsidR="003F11C1" w:rsidRPr="005C5E32" w14:paraId="1A8772A7" w14:textId="77777777" w:rsidTr="00A74BCA">
        <w:tc>
          <w:tcPr>
            <w:tcW w:w="1843" w:type="dxa"/>
            <w:vAlign w:val="center"/>
          </w:tcPr>
          <w:p w14:paraId="07DCD477" w14:textId="77777777" w:rsidR="003F11C1" w:rsidRPr="005C5E32" w:rsidRDefault="003F11C1" w:rsidP="003D0CC1">
            <w:pPr>
              <w:pStyle w:val="TableText"/>
              <w:spacing w:before="40" w:after="40"/>
            </w:pPr>
            <w:r w:rsidRPr="005C5E32">
              <w:rPr>
                <w:rFonts w:eastAsia="Times New Roman" w:cs="Calibri"/>
                <w:color w:val="000000"/>
              </w:rPr>
              <w:t>Prefer not to say / unknown</w:t>
            </w:r>
          </w:p>
        </w:tc>
        <w:tc>
          <w:tcPr>
            <w:tcW w:w="1134" w:type="dxa"/>
            <w:vAlign w:val="center"/>
          </w:tcPr>
          <w:p w14:paraId="3DCF9AA5" w14:textId="77777777" w:rsidR="003F11C1" w:rsidRPr="005C5E32" w:rsidRDefault="003F11C1" w:rsidP="007E5880">
            <w:pPr>
              <w:pStyle w:val="TableText"/>
              <w:spacing w:before="40" w:after="40"/>
              <w:jc w:val="right"/>
            </w:pPr>
            <w:r w:rsidRPr="005C5E32">
              <w:rPr>
                <w:szCs w:val="18"/>
              </w:rPr>
              <w:t>–</w:t>
            </w:r>
          </w:p>
        </w:tc>
        <w:tc>
          <w:tcPr>
            <w:tcW w:w="992" w:type="dxa"/>
            <w:vAlign w:val="center"/>
          </w:tcPr>
          <w:p w14:paraId="606C755F" w14:textId="77777777" w:rsidR="003F11C1" w:rsidRPr="005C5E32" w:rsidRDefault="003F11C1" w:rsidP="007E5880">
            <w:pPr>
              <w:pStyle w:val="TableText"/>
              <w:spacing w:before="40" w:after="40"/>
              <w:jc w:val="right"/>
            </w:pPr>
            <w:r w:rsidRPr="005C5E32">
              <w:rPr>
                <w:szCs w:val="18"/>
              </w:rPr>
              <w:t>–</w:t>
            </w:r>
          </w:p>
        </w:tc>
        <w:tc>
          <w:tcPr>
            <w:tcW w:w="1985" w:type="dxa"/>
            <w:vAlign w:val="center"/>
          </w:tcPr>
          <w:p w14:paraId="3BDF97A7" w14:textId="77777777" w:rsidR="003F11C1" w:rsidRPr="005C5E32" w:rsidRDefault="003F11C1" w:rsidP="007E5880">
            <w:pPr>
              <w:pStyle w:val="TableText"/>
              <w:spacing w:before="40" w:after="40"/>
              <w:jc w:val="right"/>
              <w:rPr>
                <w:rFonts w:eastAsia="Times New Roman" w:cs="Calibri"/>
                <w:color w:val="000000"/>
              </w:rPr>
            </w:pPr>
            <w:r w:rsidRPr="005C5E32">
              <w:rPr>
                <w:szCs w:val="18"/>
              </w:rPr>
              <w:t>–</w:t>
            </w:r>
          </w:p>
        </w:tc>
        <w:tc>
          <w:tcPr>
            <w:tcW w:w="850" w:type="dxa"/>
            <w:vAlign w:val="center"/>
          </w:tcPr>
          <w:p w14:paraId="0BC9A8DA" w14:textId="77777777" w:rsidR="003F11C1" w:rsidRPr="005C5E32" w:rsidRDefault="003F11C1" w:rsidP="007E5880">
            <w:pPr>
              <w:pStyle w:val="TableText"/>
              <w:spacing w:before="40" w:after="40"/>
              <w:jc w:val="right"/>
            </w:pPr>
            <w:r w:rsidRPr="005C5E32">
              <w:rPr>
                <w:szCs w:val="18"/>
              </w:rPr>
              <w:t>–</w:t>
            </w:r>
          </w:p>
        </w:tc>
        <w:tc>
          <w:tcPr>
            <w:tcW w:w="993" w:type="dxa"/>
            <w:vAlign w:val="center"/>
          </w:tcPr>
          <w:p w14:paraId="525F7C1A" w14:textId="77777777" w:rsidR="003F11C1" w:rsidRPr="005C5E32" w:rsidRDefault="003F11C1" w:rsidP="007E5880">
            <w:pPr>
              <w:pStyle w:val="TableText"/>
              <w:spacing w:before="40" w:after="40"/>
              <w:jc w:val="right"/>
            </w:pPr>
            <w:r w:rsidRPr="005C5E32">
              <w:rPr>
                <w:szCs w:val="18"/>
              </w:rPr>
              <w:t>–</w:t>
            </w:r>
          </w:p>
        </w:tc>
        <w:tc>
          <w:tcPr>
            <w:tcW w:w="708" w:type="dxa"/>
            <w:vAlign w:val="center"/>
          </w:tcPr>
          <w:p w14:paraId="3428C12C" w14:textId="77777777" w:rsidR="003F11C1" w:rsidRPr="005C5E32" w:rsidRDefault="003F11C1" w:rsidP="007E5880">
            <w:pPr>
              <w:pStyle w:val="TableText"/>
              <w:spacing w:before="40" w:after="40"/>
              <w:jc w:val="right"/>
              <w:rPr>
                <w:b/>
              </w:rPr>
            </w:pPr>
            <w:r w:rsidRPr="005C5E32">
              <w:rPr>
                <w:b/>
                <w:bCs/>
                <w:szCs w:val="18"/>
              </w:rPr>
              <w:t>–</w:t>
            </w:r>
          </w:p>
        </w:tc>
      </w:tr>
      <w:tr w:rsidR="003F11C1" w:rsidRPr="005C5E32" w14:paraId="69B71B23" w14:textId="77777777" w:rsidTr="00A74BCA">
        <w:tc>
          <w:tcPr>
            <w:tcW w:w="1843" w:type="dxa"/>
            <w:vAlign w:val="bottom"/>
          </w:tcPr>
          <w:p w14:paraId="594636F3" w14:textId="77777777" w:rsidR="003F11C1" w:rsidRPr="005C5E32" w:rsidRDefault="003F11C1" w:rsidP="003D0CC1">
            <w:pPr>
              <w:pStyle w:val="TableText"/>
              <w:spacing w:before="40" w:after="40"/>
            </w:pPr>
            <w:r w:rsidRPr="005C5E32">
              <w:rPr>
                <w:rFonts w:eastAsia="Times New Roman" w:cs="Calibri"/>
                <w:b/>
                <w:bCs/>
                <w:color w:val="000000"/>
              </w:rPr>
              <w:t>Total</w:t>
            </w:r>
          </w:p>
        </w:tc>
        <w:tc>
          <w:tcPr>
            <w:tcW w:w="1134" w:type="dxa"/>
            <w:vAlign w:val="center"/>
          </w:tcPr>
          <w:p w14:paraId="75B6F0A6" w14:textId="77777777" w:rsidR="003F11C1" w:rsidRPr="005C5E32" w:rsidRDefault="003F11C1" w:rsidP="007E5880">
            <w:pPr>
              <w:pStyle w:val="TableText"/>
              <w:spacing w:before="40" w:after="40"/>
              <w:jc w:val="right"/>
              <w:rPr>
                <w:b/>
              </w:rPr>
            </w:pPr>
            <w:r w:rsidRPr="005C5E32">
              <w:rPr>
                <w:b/>
              </w:rPr>
              <w:t>15.7</w:t>
            </w:r>
          </w:p>
        </w:tc>
        <w:tc>
          <w:tcPr>
            <w:tcW w:w="992" w:type="dxa"/>
            <w:vAlign w:val="center"/>
          </w:tcPr>
          <w:p w14:paraId="063B117C" w14:textId="77777777" w:rsidR="003F11C1" w:rsidRPr="005C5E32" w:rsidRDefault="003F11C1" w:rsidP="007E5880">
            <w:pPr>
              <w:pStyle w:val="TableText"/>
              <w:spacing w:before="40" w:after="40"/>
              <w:jc w:val="right"/>
              <w:rPr>
                <w:b/>
              </w:rPr>
            </w:pPr>
            <w:r w:rsidRPr="005C5E32">
              <w:rPr>
                <w:b/>
              </w:rPr>
              <w:t>81.5</w:t>
            </w:r>
          </w:p>
        </w:tc>
        <w:tc>
          <w:tcPr>
            <w:tcW w:w="1985" w:type="dxa"/>
            <w:vAlign w:val="center"/>
          </w:tcPr>
          <w:p w14:paraId="231A7B38" w14:textId="77777777" w:rsidR="003F11C1" w:rsidRPr="005C5E32" w:rsidRDefault="003F11C1" w:rsidP="007E5880">
            <w:pPr>
              <w:pStyle w:val="TableText"/>
              <w:spacing w:before="40" w:after="40"/>
              <w:jc w:val="right"/>
              <w:rPr>
                <w:rFonts w:eastAsia="Times New Roman" w:cs="Calibri"/>
                <w:b/>
                <w:bCs/>
                <w:color w:val="000000"/>
              </w:rPr>
            </w:pPr>
            <w:r w:rsidRPr="005C5E32">
              <w:rPr>
                <w:rFonts w:eastAsia="Times New Roman" w:cs="Calibri"/>
                <w:b/>
                <w:bCs/>
                <w:color w:val="000000"/>
              </w:rPr>
              <w:t>8.0</w:t>
            </w:r>
          </w:p>
        </w:tc>
        <w:tc>
          <w:tcPr>
            <w:tcW w:w="850" w:type="dxa"/>
            <w:vAlign w:val="center"/>
          </w:tcPr>
          <w:p w14:paraId="49F5DD86" w14:textId="77777777" w:rsidR="003F11C1" w:rsidRPr="005C5E32" w:rsidRDefault="003F11C1" w:rsidP="007E5880">
            <w:pPr>
              <w:pStyle w:val="TableText"/>
              <w:spacing w:before="40" w:after="40"/>
              <w:jc w:val="right"/>
              <w:rPr>
                <w:b/>
              </w:rPr>
            </w:pPr>
            <w:r w:rsidRPr="005C5E32">
              <w:rPr>
                <w:b/>
              </w:rPr>
              <w:t>22.9</w:t>
            </w:r>
          </w:p>
        </w:tc>
        <w:tc>
          <w:tcPr>
            <w:tcW w:w="993" w:type="dxa"/>
            <w:vAlign w:val="center"/>
          </w:tcPr>
          <w:p w14:paraId="784030C6" w14:textId="77777777" w:rsidR="003F11C1" w:rsidRPr="005C5E32" w:rsidRDefault="003F11C1" w:rsidP="007E5880">
            <w:pPr>
              <w:pStyle w:val="TableText"/>
              <w:spacing w:before="40" w:after="40"/>
              <w:jc w:val="right"/>
              <w:rPr>
                <w:b/>
              </w:rPr>
            </w:pPr>
            <w:r w:rsidRPr="005C5E32">
              <w:rPr>
                <w:b/>
              </w:rPr>
              <w:t>6.0</w:t>
            </w:r>
          </w:p>
        </w:tc>
        <w:tc>
          <w:tcPr>
            <w:tcW w:w="708" w:type="dxa"/>
            <w:vAlign w:val="center"/>
          </w:tcPr>
          <w:p w14:paraId="519C06A0" w14:textId="77777777" w:rsidR="003F11C1" w:rsidRPr="005C5E32" w:rsidRDefault="003F11C1" w:rsidP="007E5880">
            <w:pPr>
              <w:pStyle w:val="TableText"/>
              <w:spacing w:before="40" w:after="40"/>
              <w:jc w:val="right"/>
              <w:rPr>
                <w:b/>
              </w:rPr>
            </w:pPr>
            <w:r w:rsidRPr="005C5E32">
              <w:rPr>
                <w:b/>
              </w:rPr>
              <w:t>134.1</w:t>
            </w:r>
          </w:p>
        </w:tc>
      </w:tr>
    </w:tbl>
    <w:p w14:paraId="79AC6E11" w14:textId="49AB75ED" w:rsidR="003F11C1" w:rsidRPr="005C5E32" w:rsidRDefault="003F11C1" w:rsidP="00A74BCA">
      <w:pPr>
        <w:pStyle w:val="Note"/>
      </w:pPr>
      <w:bookmarkStart w:id="219" w:name="_Toc173852927"/>
      <w:bookmarkStart w:id="220" w:name="_Toc173931496"/>
      <w:bookmarkStart w:id="221" w:name="_Toc173932230"/>
      <w:r w:rsidRPr="005C5E32">
        <w:t>*</w:t>
      </w:r>
      <w:r w:rsidR="00563095" w:rsidRPr="005C5E32" w:rsidDel="00563095">
        <w:t xml:space="preserve"> </w:t>
      </w:r>
      <w:r w:rsidRPr="005C5E32">
        <w:t xml:space="preserve">FTE includes employees who are permanent, fixed term or seconded </w:t>
      </w:r>
      <w:r w:rsidR="00321CD7" w:rsidRPr="005C5E32">
        <w:t>to other organisations</w:t>
      </w:r>
      <w:r w:rsidRPr="005C5E32">
        <w:t>.</w:t>
      </w:r>
    </w:p>
    <w:p w14:paraId="6707818D" w14:textId="77777777" w:rsidR="003F11C1" w:rsidRPr="005C5E32" w:rsidRDefault="003F11C1" w:rsidP="00A74BCA">
      <w:pPr>
        <w:pStyle w:val="Heading3"/>
        <w:spacing w:before="320"/>
      </w:pPr>
      <w:r w:rsidRPr="005C5E32">
        <w:t>Health, safety and wellbeing</w:t>
      </w:r>
      <w:bookmarkEnd w:id="219"/>
      <w:bookmarkEnd w:id="220"/>
      <w:bookmarkEnd w:id="221"/>
    </w:p>
    <w:p w14:paraId="2601F656" w14:textId="4863A99F" w:rsidR="003F11C1" w:rsidRPr="005C5E32" w:rsidRDefault="003F11C1">
      <w:pPr>
        <w:pStyle w:val="BodyText"/>
      </w:pPr>
      <w:r w:rsidRPr="005C5E32">
        <w:rPr>
          <w:rStyle w:val="BodyTextChar"/>
        </w:rPr>
        <w:t xml:space="preserve">The health, safety and wellbeing (HSW) of our people continued to be a top priority for the Ministry this year. We made progress in ensuring our systems, policies and practices </w:t>
      </w:r>
      <w:r w:rsidR="00173A56" w:rsidRPr="005C5E32">
        <w:rPr>
          <w:rStyle w:val="BodyTextChar"/>
        </w:rPr>
        <w:t>we</w:t>
      </w:r>
      <w:r w:rsidRPr="005C5E32">
        <w:rPr>
          <w:rStyle w:val="BodyTextChar"/>
        </w:rPr>
        <w:t>re robust, effective</w:t>
      </w:r>
      <w:r w:rsidRPr="005C5E32">
        <w:t xml:space="preserve"> and aligned with recognised best</w:t>
      </w:r>
      <w:r w:rsidR="00173A56" w:rsidRPr="005C5E32">
        <w:t>-</w:t>
      </w:r>
      <w:r w:rsidRPr="005C5E32">
        <w:t>practice standards across the New Zealand business sector.</w:t>
      </w:r>
    </w:p>
    <w:p w14:paraId="3453FB3D" w14:textId="45176BD7" w:rsidR="003F11C1" w:rsidRPr="005C5E32" w:rsidRDefault="003F11C1">
      <w:pPr>
        <w:pStyle w:val="BodyText"/>
      </w:pPr>
      <w:r w:rsidRPr="005C5E32">
        <w:lastRenderedPageBreak/>
        <w:t>We continued maturing our HSW management systems</w:t>
      </w:r>
      <w:r w:rsidR="007462DC" w:rsidRPr="005C5E32">
        <w:t>,</w:t>
      </w:r>
      <w:r w:rsidRPr="005C5E32">
        <w:t xml:space="preserve"> as set out in our</w:t>
      </w:r>
      <w:r w:rsidRPr="005C5E32" w:rsidDel="0077202F">
        <w:t xml:space="preserve"> </w:t>
      </w:r>
      <w:r w:rsidRPr="005C5E32">
        <w:t xml:space="preserve">HSW </w:t>
      </w:r>
      <w:r w:rsidR="00173A56" w:rsidRPr="005C5E32">
        <w:t>r</w:t>
      </w:r>
      <w:r w:rsidRPr="005C5E32">
        <w:t>oadmap. We</w:t>
      </w:r>
      <w:r w:rsidR="00A74BCA" w:rsidRPr="005C5E32">
        <w:t> </w:t>
      </w:r>
      <w:r w:rsidRPr="005C5E32">
        <w:t>also implemented several key controls to enhance our risk management and support frameworks. This included launch</w:t>
      </w:r>
      <w:r w:rsidR="00173A56" w:rsidRPr="005C5E32">
        <w:t>ing</w:t>
      </w:r>
      <w:r w:rsidRPr="005C5E32">
        <w:t xml:space="preserve"> a safe driving policy and, for international travel, implement</w:t>
      </w:r>
      <w:r w:rsidR="00173A56" w:rsidRPr="005C5E32">
        <w:t>ing</w:t>
      </w:r>
      <w:r w:rsidRPr="005C5E32">
        <w:t xml:space="preserve"> an assistance provider to provide real-time safety guidance and incident assistance when our staff are working overseas.</w:t>
      </w:r>
    </w:p>
    <w:p w14:paraId="14DA1D44" w14:textId="5890C94A" w:rsidR="003F11C1" w:rsidRPr="005C5E32" w:rsidRDefault="003F11C1">
      <w:pPr>
        <w:pStyle w:val="BodyText"/>
      </w:pPr>
      <w:r w:rsidRPr="005C5E32">
        <w:t>Psychological wellbeing continued to be a critical focus area. To lift organisational capability to</w:t>
      </w:r>
      <w:r w:rsidR="00A74BCA" w:rsidRPr="005C5E32">
        <w:t> </w:t>
      </w:r>
      <w:r w:rsidRPr="005C5E32">
        <w:t xml:space="preserve">work safely through change, we delivered training for all leaders to ensure they </w:t>
      </w:r>
      <w:r w:rsidR="00173A56" w:rsidRPr="005C5E32">
        <w:t xml:space="preserve">were </w:t>
      </w:r>
      <w:r w:rsidRPr="005C5E32">
        <w:t xml:space="preserve">well equipped to lead their teams </w:t>
      </w:r>
      <w:r w:rsidR="00634380" w:rsidRPr="005C5E32">
        <w:t>during this time of transition</w:t>
      </w:r>
      <w:r w:rsidR="00173A56" w:rsidRPr="005C5E32">
        <w:t>. W</w:t>
      </w:r>
      <w:r w:rsidRPr="005C5E32">
        <w:t>e also made learning available to</w:t>
      </w:r>
      <w:r w:rsidR="00671542" w:rsidRPr="005C5E32">
        <w:t> </w:t>
      </w:r>
      <w:r w:rsidRPr="005C5E32">
        <w:t>all staff on resilience and wellbeing through change. Mental health first</w:t>
      </w:r>
      <w:r w:rsidR="00173A56" w:rsidRPr="005C5E32">
        <w:t>-</w:t>
      </w:r>
      <w:r w:rsidRPr="005C5E32">
        <w:t>aid training</w:t>
      </w:r>
      <w:r w:rsidR="00634380" w:rsidRPr="005C5E32">
        <w:t xml:space="preserve"> added to </w:t>
      </w:r>
      <w:r w:rsidRPr="005C5E32">
        <w:t xml:space="preserve">our ability to provide a safe workplace from a mental health perspective. </w:t>
      </w:r>
    </w:p>
    <w:p w14:paraId="0EA185D5" w14:textId="1C6F5AC9" w:rsidR="003F11C1" w:rsidRPr="005C5E32" w:rsidRDefault="003F11C1">
      <w:pPr>
        <w:pStyle w:val="BodyText"/>
      </w:pPr>
      <w:r w:rsidRPr="005C5E32">
        <w:t>We continued working with our senior leadership team to support good HSW governance by strengthening our HSW reporting, adding meaningful metrics to provide visibility of HSW risks across the organisation</w:t>
      </w:r>
      <w:r w:rsidR="00E72B1C" w:rsidRPr="005C5E32">
        <w:t xml:space="preserve">. </w:t>
      </w:r>
      <w:r w:rsidR="00BB6F28" w:rsidRPr="005C5E32">
        <w:t>O</w:t>
      </w:r>
      <w:r w:rsidRPr="005C5E32">
        <w:t xml:space="preserve">ur </w:t>
      </w:r>
      <w:r w:rsidR="00E72B1C" w:rsidRPr="005C5E32">
        <w:t xml:space="preserve">health and safety </w:t>
      </w:r>
      <w:r w:rsidR="002052F4" w:rsidRPr="005C5E32">
        <w:t xml:space="preserve">officers </w:t>
      </w:r>
      <w:r w:rsidRPr="005C5E32">
        <w:t>were strongly engaged in ensuring</w:t>
      </w:r>
      <w:r w:rsidR="002052F4" w:rsidRPr="005C5E32">
        <w:t xml:space="preserve"> we</w:t>
      </w:r>
      <w:r w:rsidRPr="005C5E32">
        <w:t xml:space="preserve"> </w:t>
      </w:r>
      <w:r w:rsidR="002052F4" w:rsidRPr="005C5E32">
        <w:rPr>
          <w:spacing w:val="-2"/>
        </w:rPr>
        <w:t>continue</w:t>
      </w:r>
      <w:r w:rsidR="00173A56" w:rsidRPr="005C5E32">
        <w:rPr>
          <w:spacing w:val="-2"/>
        </w:rPr>
        <w:t>d</w:t>
      </w:r>
      <w:r w:rsidR="002052F4" w:rsidRPr="005C5E32">
        <w:rPr>
          <w:spacing w:val="-2"/>
        </w:rPr>
        <w:t xml:space="preserve"> </w:t>
      </w:r>
      <w:r w:rsidRPr="005C5E32">
        <w:rPr>
          <w:spacing w:val="-2"/>
        </w:rPr>
        <w:t xml:space="preserve">to meet </w:t>
      </w:r>
      <w:r w:rsidR="002052F4" w:rsidRPr="005C5E32">
        <w:rPr>
          <w:spacing w:val="-2"/>
        </w:rPr>
        <w:t xml:space="preserve">our </w:t>
      </w:r>
      <w:r w:rsidRPr="005C5E32">
        <w:rPr>
          <w:spacing w:val="-2"/>
        </w:rPr>
        <w:t>primary duty of care. Worker participation through our HSW Committee,</w:t>
      </w:r>
      <w:r w:rsidRPr="005C5E32">
        <w:t xml:space="preserve"> health and safety representatives, and business group working groups remained strong. </w:t>
      </w:r>
    </w:p>
    <w:p w14:paraId="659804D5" w14:textId="77777777" w:rsidR="003F11C1" w:rsidRPr="005C5E32" w:rsidRDefault="003F11C1" w:rsidP="003B4A7F">
      <w:pPr>
        <w:pStyle w:val="Heading3"/>
      </w:pPr>
      <w:r w:rsidRPr="005C5E32">
        <w:t>Diversity and inclusion</w:t>
      </w:r>
    </w:p>
    <w:p w14:paraId="13FE5206" w14:textId="3243F516" w:rsidR="003F11C1" w:rsidRPr="005C5E32" w:rsidRDefault="0038432B">
      <w:pPr>
        <w:pStyle w:val="BodyText"/>
      </w:pPr>
      <w:r w:rsidRPr="005C5E32">
        <w:t xml:space="preserve">The Ministry </w:t>
      </w:r>
      <w:r w:rsidR="003F11C1" w:rsidRPr="005C5E32">
        <w:t>continue</w:t>
      </w:r>
      <w:r w:rsidR="00173A56" w:rsidRPr="005C5E32">
        <w:t>d</w:t>
      </w:r>
      <w:r w:rsidR="003F11C1" w:rsidRPr="005C5E32">
        <w:t xml:space="preserve"> to promote diversity, equity and inclusion through</w:t>
      </w:r>
      <w:r w:rsidR="00594FCF" w:rsidRPr="005C5E32">
        <w:t xml:space="preserve"> our</w:t>
      </w:r>
      <w:r w:rsidR="003F11C1" w:rsidRPr="005C5E32">
        <w:t xml:space="preserve"> Tui Raumata strategy.</w:t>
      </w:r>
      <w:r w:rsidR="00D64965" w:rsidRPr="005C5E32">
        <w:t xml:space="preserve"> </w:t>
      </w:r>
      <w:r w:rsidR="003F11C1" w:rsidRPr="005C5E32">
        <w:t>In 2025/26, we updated Tui Raumata and our pay gaps action plans</w:t>
      </w:r>
      <w:r w:rsidR="00E76403" w:rsidRPr="005C5E32">
        <w:t xml:space="preserve">, </w:t>
      </w:r>
      <w:r w:rsidR="00625473" w:rsidRPr="005C5E32">
        <w:t xml:space="preserve">further strengthening our already mature landscape and aligning </w:t>
      </w:r>
      <w:r w:rsidR="00E76403" w:rsidRPr="005C5E32">
        <w:t>with</w:t>
      </w:r>
      <w:r w:rsidR="003F11C1" w:rsidRPr="005C5E32">
        <w:t xml:space="preserve"> the Public Service Commission</w:t>
      </w:r>
      <w:r w:rsidR="000369F8" w:rsidRPr="005C5E32">
        <w:t>’</w:t>
      </w:r>
      <w:r w:rsidR="003F11C1" w:rsidRPr="005C5E32">
        <w:t>s new diversity, equity and inclusion framework.</w:t>
      </w:r>
    </w:p>
    <w:p w14:paraId="1E9D6036" w14:textId="6805EF6D" w:rsidR="003F11C1" w:rsidRPr="005C5E32" w:rsidRDefault="00AC46CA">
      <w:pPr>
        <w:pStyle w:val="BodyText"/>
      </w:pPr>
      <w:r w:rsidRPr="005C5E32">
        <w:t>After w</w:t>
      </w:r>
      <w:r w:rsidR="00625473" w:rsidRPr="005C5E32">
        <w:t xml:space="preserve">e had completed the </w:t>
      </w:r>
      <w:r w:rsidR="002D3222" w:rsidRPr="005C5E32">
        <w:t>design phase and prepared the proposal for implement</w:t>
      </w:r>
      <w:r w:rsidRPr="005C5E32">
        <w:t xml:space="preserve">ing the </w:t>
      </w:r>
      <w:r w:rsidR="00990F42" w:rsidRPr="005C5E32">
        <w:rPr>
          <w:spacing w:val="-2"/>
        </w:rPr>
        <w:t xml:space="preserve">updated </w:t>
      </w:r>
      <w:r w:rsidRPr="005C5E32">
        <w:rPr>
          <w:spacing w:val="-2"/>
        </w:rPr>
        <w:t>strategy</w:t>
      </w:r>
      <w:r w:rsidR="00DF198E" w:rsidRPr="005C5E32">
        <w:rPr>
          <w:spacing w:val="-2"/>
        </w:rPr>
        <w:t xml:space="preserve">, </w:t>
      </w:r>
      <w:r w:rsidR="002D3222" w:rsidRPr="005C5E32">
        <w:rPr>
          <w:spacing w:val="-2"/>
        </w:rPr>
        <w:t xml:space="preserve">the transition to </w:t>
      </w:r>
      <w:r w:rsidR="003F11C1" w:rsidRPr="005C5E32">
        <w:rPr>
          <w:spacing w:val="-2"/>
        </w:rPr>
        <w:t>MCERT was announced</w:t>
      </w:r>
      <w:r w:rsidR="00DF198E" w:rsidRPr="005C5E32">
        <w:rPr>
          <w:spacing w:val="-2"/>
        </w:rPr>
        <w:t xml:space="preserve">, so we </w:t>
      </w:r>
      <w:r w:rsidR="003F11C1" w:rsidRPr="005C5E32">
        <w:rPr>
          <w:spacing w:val="-2"/>
        </w:rPr>
        <w:t>held approval of this strategy</w:t>
      </w:r>
      <w:r w:rsidR="003F11C1" w:rsidRPr="005C5E32">
        <w:t xml:space="preserve"> until it could be considered in the new organisation</w:t>
      </w:r>
      <w:r w:rsidR="00DF198E" w:rsidRPr="005C5E32">
        <w:t>al context</w:t>
      </w:r>
      <w:r w:rsidR="003F11C1" w:rsidRPr="005C5E32">
        <w:t>. In the interim, we continued to</w:t>
      </w:r>
      <w:r w:rsidR="00671542" w:rsidRPr="005C5E32">
        <w:t> </w:t>
      </w:r>
      <w:r w:rsidR="003F11C1" w:rsidRPr="005C5E32">
        <w:t xml:space="preserve">maintain existing systems, practices and processes to support diversity and inclusion. </w:t>
      </w:r>
    </w:p>
    <w:p w14:paraId="63ABCCCF" w14:textId="14AE190F" w:rsidR="003F11C1" w:rsidRPr="005C5E32" w:rsidRDefault="003F11C1">
      <w:pPr>
        <w:pStyle w:val="BodyText"/>
      </w:pPr>
      <w:r w:rsidRPr="005C5E32">
        <w:t xml:space="preserve">Employee-led networks, accessibility initiatives, leadership development and a variety of flexible working arrangements helped support an inclusive workplace </w:t>
      </w:r>
      <w:r w:rsidR="00A21E59" w:rsidRPr="005C5E32">
        <w:t xml:space="preserve">with </w:t>
      </w:r>
      <w:r w:rsidRPr="005C5E32">
        <w:t>equitable opportunities. As we prepared for the transition to MCERT, we continued to prioritise embedding inclusive practices across our systems, leadership and ways of working.</w:t>
      </w:r>
    </w:p>
    <w:p w14:paraId="50DD048E" w14:textId="3343E4CA" w:rsidR="003F11C1" w:rsidRPr="005C5E32" w:rsidRDefault="003F11C1">
      <w:pPr>
        <w:pStyle w:val="BodyText"/>
      </w:pPr>
      <w:r w:rsidRPr="005C5E32">
        <w:t xml:space="preserve">Over </w:t>
      </w:r>
      <w:r w:rsidR="00AC46CA" w:rsidRPr="005C5E32">
        <w:t>2025/26</w:t>
      </w:r>
      <w:r w:rsidRPr="005C5E32">
        <w:t xml:space="preserve">, women represented 66.7 percent of employees and 64.7 percent of people leaders at the Ministry. </w:t>
      </w:r>
      <w:r w:rsidR="009D1EEF" w:rsidRPr="005C5E32">
        <w:t>Of all</w:t>
      </w:r>
      <w:r w:rsidR="00B73088" w:rsidRPr="005C5E32">
        <w:t xml:space="preserve"> Ministry employees</w:t>
      </w:r>
      <w:r w:rsidR="009D1EEF" w:rsidRPr="005C5E32">
        <w:t xml:space="preserve"> over the period</w:t>
      </w:r>
      <w:r w:rsidR="00B73088" w:rsidRPr="005C5E32">
        <w:t xml:space="preserve">, </w:t>
      </w:r>
      <w:r w:rsidR="005C530D" w:rsidRPr="005C5E32">
        <w:t>11.9 percent identif</w:t>
      </w:r>
      <w:r w:rsidR="00AC46CA" w:rsidRPr="005C5E32">
        <w:t>ied</w:t>
      </w:r>
      <w:r w:rsidR="005C530D" w:rsidRPr="005C5E32">
        <w:t xml:space="preserve"> as</w:t>
      </w:r>
      <w:r w:rsidR="00A74BCA" w:rsidRPr="005C5E32">
        <w:t> </w:t>
      </w:r>
      <w:r w:rsidRPr="005C5E32">
        <w:t>Māori,</w:t>
      </w:r>
      <w:r w:rsidR="005C530D" w:rsidRPr="005C5E32">
        <w:t xml:space="preserve"> 7.5 percent identif</w:t>
      </w:r>
      <w:r w:rsidR="00AC46CA" w:rsidRPr="005C5E32">
        <w:t>ied</w:t>
      </w:r>
      <w:r w:rsidR="005C530D" w:rsidRPr="005C5E32">
        <w:t xml:space="preserve"> as</w:t>
      </w:r>
      <w:r w:rsidRPr="005C5E32">
        <w:t xml:space="preserve"> Asian</w:t>
      </w:r>
      <w:r w:rsidRPr="005C5E32" w:rsidDel="005C530D">
        <w:t xml:space="preserve"> </w:t>
      </w:r>
      <w:r w:rsidRPr="005C5E32">
        <w:t xml:space="preserve">and </w:t>
      </w:r>
      <w:r w:rsidR="005C530D" w:rsidRPr="005C5E32">
        <w:t>1.6 percent identif</w:t>
      </w:r>
      <w:r w:rsidR="00AC46CA" w:rsidRPr="005C5E32">
        <w:t>ied</w:t>
      </w:r>
      <w:r w:rsidR="005C530D" w:rsidRPr="005C5E32">
        <w:t xml:space="preserve"> as </w:t>
      </w:r>
      <w:r w:rsidRPr="005C5E32">
        <w:t xml:space="preserve">Pacific peoples. </w:t>
      </w:r>
    </w:p>
    <w:p w14:paraId="56B43136" w14:textId="59C27CFC" w:rsidR="00043EC3" w:rsidRPr="005C5E32" w:rsidRDefault="00043EC3" w:rsidP="00043EC3">
      <w:pPr>
        <w:pStyle w:val="BodyText"/>
      </w:pPr>
      <w:r w:rsidRPr="005C5E32">
        <w:rPr>
          <w:spacing w:val="-2"/>
        </w:rPr>
        <w:t>We continue</w:t>
      </w:r>
      <w:r w:rsidR="00AC46CA" w:rsidRPr="005C5E32">
        <w:rPr>
          <w:spacing w:val="-2"/>
        </w:rPr>
        <w:t>d</w:t>
      </w:r>
      <w:r w:rsidRPr="005C5E32">
        <w:rPr>
          <w:spacing w:val="-2"/>
        </w:rPr>
        <w:t xml:space="preserve"> to monitor progress and refine our approach to ensure meaningful and measurable</w:t>
      </w:r>
      <w:r w:rsidRPr="005C5E32">
        <w:t xml:space="preserve"> outcomes. Our commitment to equity </w:t>
      </w:r>
      <w:r w:rsidR="00AC46CA" w:rsidRPr="005C5E32">
        <w:t xml:space="preserve">was </w:t>
      </w:r>
      <w:r w:rsidRPr="005C5E32">
        <w:t>reflected not only in our policies but</w:t>
      </w:r>
      <w:r w:rsidR="00A74BCA" w:rsidRPr="005C5E32">
        <w:t> </w:t>
      </w:r>
      <w:r w:rsidRPr="005C5E32">
        <w:t>also in the lived experiences of our people.</w:t>
      </w:r>
    </w:p>
    <w:p w14:paraId="2C1091D7" w14:textId="77777777" w:rsidR="003F11C1" w:rsidRPr="005C5E32" w:rsidRDefault="003F11C1" w:rsidP="003B4A7F">
      <w:pPr>
        <w:pStyle w:val="Heading4"/>
      </w:pPr>
      <w:bookmarkStart w:id="222" w:name="_Toc173852930"/>
      <w:bookmarkStart w:id="223" w:name="_Toc173931499"/>
      <w:bookmarkStart w:id="224" w:name="_Toc173932233"/>
      <w:r w:rsidRPr="005C5E32">
        <w:t>Equal employment and pay gaps</w:t>
      </w:r>
    </w:p>
    <w:p w14:paraId="12B7BC8D" w14:textId="5C870FB5" w:rsidR="003F11C1" w:rsidRPr="005C5E32" w:rsidRDefault="003F11C1" w:rsidP="003B4A7F">
      <w:pPr>
        <w:pStyle w:val="BodyText"/>
      </w:pPr>
      <w:r w:rsidRPr="005C5E32">
        <w:t>We remain</w:t>
      </w:r>
      <w:r w:rsidR="00AC46CA" w:rsidRPr="005C5E32">
        <w:t>ed</w:t>
      </w:r>
      <w:r w:rsidRPr="005C5E32">
        <w:t xml:space="preserve"> committed to fostering a workplace that provide</w:t>
      </w:r>
      <w:r w:rsidR="005B78BA" w:rsidRPr="005C5E32">
        <w:t>d</w:t>
      </w:r>
      <w:r w:rsidRPr="005C5E32">
        <w:t xml:space="preserve"> equal opportunities for growth, progression and pay</w:t>
      </w:r>
      <w:r w:rsidR="007C1EB6" w:rsidRPr="005C5E32">
        <w:t xml:space="preserve">. </w:t>
      </w:r>
      <w:r w:rsidR="005E3F2A" w:rsidRPr="005C5E32">
        <w:t xml:space="preserve">Flexible working arrangements </w:t>
      </w:r>
      <w:r w:rsidR="00AC46CA" w:rsidRPr="005C5E32">
        <w:t>help</w:t>
      </w:r>
      <w:r w:rsidR="00CE0772" w:rsidRPr="005C5E32">
        <w:t>ed</w:t>
      </w:r>
      <w:r w:rsidR="00AC46CA" w:rsidRPr="005C5E32">
        <w:t xml:space="preserve"> to</w:t>
      </w:r>
      <w:r w:rsidR="005E3F2A" w:rsidRPr="005C5E32">
        <w:t xml:space="preserve"> attract and </w:t>
      </w:r>
      <w:r w:rsidR="00AC46CA" w:rsidRPr="005C5E32">
        <w:t>retain</w:t>
      </w:r>
      <w:r w:rsidR="005E3F2A" w:rsidRPr="005C5E32">
        <w:t xml:space="preserve"> a diverse talent pool. </w:t>
      </w:r>
      <w:r w:rsidRPr="005C5E32">
        <w:t>Our recruitment</w:t>
      </w:r>
      <w:r w:rsidR="002E01EB" w:rsidRPr="005C5E32">
        <w:t xml:space="preserve"> and employment</w:t>
      </w:r>
      <w:r w:rsidRPr="005C5E32">
        <w:t xml:space="preserve"> </w:t>
      </w:r>
      <w:r w:rsidR="007C1EB6" w:rsidRPr="005C5E32">
        <w:t xml:space="preserve">practices and employment processes </w:t>
      </w:r>
      <w:r w:rsidRPr="005C5E32">
        <w:t>support</w:t>
      </w:r>
      <w:r w:rsidR="00CE0772" w:rsidRPr="005C5E32">
        <w:t>ed</w:t>
      </w:r>
      <w:r w:rsidRPr="005C5E32">
        <w:t xml:space="preserve"> merit-based appointments</w:t>
      </w:r>
      <w:r w:rsidR="00CE0772" w:rsidRPr="005C5E32">
        <w:t>, such as by</w:t>
      </w:r>
      <w:r w:rsidRPr="005C5E32">
        <w:t xml:space="preserve"> leveraging panel interviews, </w:t>
      </w:r>
      <w:r w:rsidR="00CE0772" w:rsidRPr="005C5E32">
        <w:t xml:space="preserve">having </w:t>
      </w:r>
      <w:r w:rsidRPr="005C5E32">
        <w:t>clear hiring criteria and consistent</w:t>
      </w:r>
      <w:r w:rsidR="00CE0772" w:rsidRPr="005C5E32">
        <w:t>ly</w:t>
      </w:r>
      <w:r w:rsidRPr="005C5E32">
        <w:t xml:space="preserve"> appl</w:t>
      </w:r>
      <w:r w:rsidR="00CE0772" w:rsidRPr="005C5E32">
        <w:t>ying</w:t>
      </w:r>
      <w:r w:rsidRPr="005C5E32">
        <w:t xml:space="preserve"> pre-employment checks.</w:t>
      </w:r>
      <w:r w:rsidR="0052504F" w:rsidRPr="005C5E32">
        <w:t xml:space="preserve"> </w:t>
      </w:r>
    </w:p>
    <w:p w14:paraId="2DC91FBA" w14:textId="77777777" w:rsidR="003F11C1" w:rsidRPr="005C5E32" w:rsidRDefault="003F11C1" w:rsidP="003B4A7F">
      <w:pPr>
        <w:pStyle w:val="Heading2"/>
      </w:pPr>
      <w:bookmarkStart w:id="225" w:name="_Our_relationships"/>
      <w:bookmarkStart w:id="226" w:name="_Toc143698436"/>
      <w:bookmarkStart w:id="227" w:name="_Toc177626490"/>
      <w:bookmarkStart w:id="228" w:name="_Toc207017395"/>
      <w:bookmarkStart w:id="229" w:name="_Toc210136382"/>
      <w:bookmarkStart w:id="230" w:name="_Toc240445570"/>
      <w:bookmarkEnd w:id="222"/>
      <w:bookmarkEnd w:id="223"/>
      <w:bookmarkEnd w:id="224"/>
      <w:bookmarkEnd w:id="225"/>
      <w:r w:rsidRPr="005C5E32">
        <w:lastRenderedPageBreak/>
        <w:t xml:space="preserve">Our </w:t>
      </w:r>
      <w:bookmarkEnd w:id="226"/>
      <w:bookmarkEnd w:id="227"/>
      <w:r w:rsidRPr="005C5E32">
        <w:t>organisational systems and processes</w:t>
      </w:r>
      <w:bookmarkEnd w:id="228"/>
      <w:bookmarkEnd w:id="229"/>
      <w:bookmarkEnd w:id="230"/>
    </w:p>
    <w:p w14:paraId="17D2E662" w14:textId="00BD3D4E" w:rsidR="003F11C1" w:rsidRPr="005C5E32" w:rsidRDefault="003F11C1">
      <w:pPr>
        <w:pStyle w:val="BodyText"/>
      </w:pPr>
      <w:bookmarkStart w:id="231" w:name="_Toc143698437"/>
      <w:r w:rsidRPr="005C5E32">
        <w:t>During 2025/26, the Ministry continued to strengthen the systems</w:t>
      </w:r>
      <w:r w:rsidR="00DF716A" w:rsidRPr="005C5E32">
        <w:t xml:space="preserve"> </w:t>
      </w:r>
      <w:r w:rsidRPr="005C5E32">
        <w:t>and processes that support</w:t>
      </w:r>
      <w:r w:rsidR="00CE0772" w:rsidRPr="005C5E32">
        <w:t>ed</w:t>
      </w:r>
      <w:r w:rsidRPr="005C5E32">
        <w:t xml:space="preserve"> </w:t>
      </w:r>
      <w:r w:rsidR="0008308E" w:rsidRPr="005C5E32">
        <w:t>its</w:t>
      </w:r>
      <w:r w:rsidRPr="005C5E32">
        <w:t xml:space="preserve"> work while preparing for the establishment of MCERT. </w:t>
      </w:r>
      <w:r w:rsidR="007D0F1A" w:rsidRPr="005C5E32">
        <w:t xml:space="preserve">Core business </w:t>
      </w:r>
      <w:r w:rsidR="002B503E" w:rsidRPr="005C5E32">
        <w:t xml:space="preserve">systems and services </w:t>
      </w:r>
      <w:r w:rsidR="007D0F1A" w:rsidRPr="005C5E32">
        <w:t>remained stable and secure t</w:t>
      </w:r>
      <w:r w:rsidRPr="005C5E32">
        <w:t xml:space="preserve">hroughout </w:t>
      </w:r>
      <w:r w:rsidR="00CD4B9E" w:rsidRPr="005C5E32">
        <w:t xml:space="preserve">a </w:t>
      </w:r>
      <w:r w:rsidRPr="005C5E32">
        <w:t>year</w:t>
      </w:r>
      <w:r w:rsidR="00CD4B9E" w:rsidRPr="005C5E32">
        <w:t xml:space="preserve"> of significant organisational change</w:t>
      </w:r>
      <w:r w:rsidR="00A74BCA" w:rsidRPr="005C5E32">
        <w:t> </w:t>
      </w:r>
      <w:r w:rsidR="00CD4B9E" w:rsidRPr="005C5E32">
        <w:t>and increased demand for digital services</w:t>
      </w:r>
      <w:r w:rsidRPr="005C5E32">
        <w:t xml:space="preserve">. </w:t>
      </w:r>
    </w:p>
    <w:p w14:paraId="10DCFFD7" w14:textId="643B27CA" w:rsidR="003F11C1" w:rsidRPr="005C5E32" w:rsidRDefault="001C1039" w:rsidP="00B04DF3">
      <w:pPr>
        <w:pStyle w:val="BodyText"/>
      </w:pPr>
      <w:r w:rsidRPr="005C5E32">
        <w:t>To</w:t>
      </w:r>
      <w:r w:rsidRPr="005C5E32" w:rsidDel="00A65B05">
        <w:t xml:space="preserve"> </w:t>
      </w:r>
      <w:r w:rsidR="00A65B05" w:rsidRPr="005C5E32">
        <w:t>improve reliability</w:t>
      </w:r>
      <w:r w:rsidR="00825FB9" w:rsidRPr="005C5E32">
        <w:t>, resilience and efficiency, the Ministry invest</w:t>
      </w:r>
      <w:r w:rsidR="00A96073" w:rsidRPr="005C5E32">
        <w:t>ed</w:t>
      </w:r>
      <w:r w:rsidR="00825FB9" w:rsidRPr="005C5E32">
        <w:t xml:space="preserve"> in cloud services, end-user technology and automation. </w:t>
      </w:r>
      <w:r w:rsidR="00D93614" w:rsidRPr="005C5E32">
        <w:t>This include</w:t>
      </w:r>
      <w:r w:rsidR="00E62B18" w:rsidRPr="005C5E32">
        <w:t>d upgrades</w:t>
      </w:r>
      <w:r w:rsidR="0051001E" w:rsidRPr="005C5E32">
        <w:t xml:space="preserve"> </w:t>
      </w:r>
      <w:r w:rsidR="00E62B18" w:rsidRPr="005C5E32">
        <w:t xml:space="preserve">to </w:t>
      </w:r>
      <w:r w:rsidR="0051001E" w:rsidRPr="005C5E32">
        <w:t>device management</w:t>
      </w:r>
      <w:r w:rsidRPr="005C5E32">
        <w:t xml:space="preserve"> </w:t>
      </w:r>
      <w:r w:rsidR="00462316" w:rsidRPr="005C5E32">
        <w:t>and operating environments, enhanced backup and recovery capabilities, expanded workflow automation and reporting</w:t>
      </w:r>
      <w:r w:rsidR="00CE0772" w:rsidRPr="005C5E32">
        <w:t>. In addition, we</w:t>
      </w:r>
      <w:r w:rsidR="00FF4C88" w:rsidRPr="005C5E32">
        <w:t xml:space="preserve"> continued </w:t>
      </w:r>
      <w:r w:rsidR="00CE0772" w:rsidRPr="005C5E32">
        <w:t xml:space="preserve">to </w:t>
      </w:r>
      <w:r w:rsidR="00FF4C88" w:rsidRPr="005C5E32">
        <w:t>migrat</w:t>
      </w:r>
      <w:r w:rsidR="00CE0772" w:rsidRPr="005C5E32">
        <w:t>e</w:t>
      </w:r>
      <w:r w:rsidR="00FF4C88" w:rsidRPr="005C5E32">
        <w:t xml:space="preserve"> services to public cloud platforms.</w:t>
      </w:r>
      <w:r w:rsidR="003F11C1" w:rsidRPr="005C5E32" w:rsidDel="000567B4">
        <w:rPr>
          <w:color w:val="FF0000"/>
        </w:rPr>
        <w:t xml:space="preserve"> </w:t>
      </w:r>
    </w:p>
    <w:p w14:paraId="094FA477" w14:textId="66B2AC47" w:rsidR="003F11C1" w:rsidRPr="005C5E32" w:rsidRDefault="003C64A1">
      <w:pPr>
        <w:pStyle w:val="BodyText"/>
      </w:pPr>
      <w:r w:rsidRPr="005C5E32">
        <w:t xml:space="preserve">The Ministry </w:t>
      </w:r>
      <w:r w:rsidR="00E62B18" w:rsidRPr="005C5E32">
        <w:t xml:space="preserve">also </w:t>
      </w:r>
      <w:r w:rsidR="003F11C1" w:rsidRPr="005C5E32">
        <w:t>progressed the</w:t>
      </w:r>
      <w:r w:rsidR="002212EB" w:rsidRPr="005C5E32">
        <w:t xml:space="preserve"> responsible adoption</w:t>
      </w:r>
      <w:r w:rsidR="002C4EA5" w:rsidRPr="005C5E32">
        <w:t xml:space="preserve"> of artificial intelligence (AI)</w:t>
      </w:r>
      <w:r w:rsidR="000D0288" w:rsidRPr="005C5E32">
        <w:t xml:space="preserve"> in line with the Public Service AI Framework</w:t>
      </w:r>
      <w:r w:rsidR="00CE0772" w:rsidRPr="005C5E32">
        <w:t>. Advances</w:t>
      </w:r>
      <w:r w:rsidR="003F5C89" w:rsidRPr="005C5E32">
        <w:t xml:space="preserve"> includ</w:t>
      </w:r>
      <w:r w:rsidR="00CE0772" w:rsidRPr="005C5E32">
        <w:t>ed establishing</w:t>
      </w:r>
      <w:r w:rsidR="00A46369" w:rsidRPr="005C5E32">
        <w:t xml:space="preserve"> </w:t>
      </w:r>
      <w:r w:rsidR="000031CB" w:rsidRPr="005C5E32">
        <w:t xml:space="preserve">governance arrangements for </w:t>
      </w:r>
      <w:r w:rsidR="003F11C1" w:rsidRPr="005C5E32">
        <w:t xml:space="preserve">Microsoft Copilot and </w:t>
      </w:r>
      <w:r w:rsidR="003F5C89" w:rsidRPr="005C5E32">
        <w:t>updat</w:t>
      </w:r>
      <w:r w:rsidR="00CE0772" w:rsidRPr="005C5E32">
        <w:t>ing our</w:t>
      </w:r>
      <w:r w:rsidR="003E069A" w:rsidRPr="005C5E32">
        <w:t xml:space="preserve"> digital strategic direction to support the secure, transparent and appropriate use of AI.</w:t>
      </w:r>
      <w:r w:rsidR="003F11C1" w:rsidRPr="005C5E32">
        <w:t xml:space="preserve"> </w:t>
      </w:r>
    </w:p>
    <w:p w14:paraId="23D61114" w14:textId="1ECCF7F4" w:rsidR="006E6157" w:rsidRPr="005C5E32" w:rsidRDefault="000F395B">
      <w:pPr>
        <w:pStyle w:val="BodyText"/>
        <w:rPr>
          <w:i/>
          <w:iCs/>
        </w:rPr>
      </w:pPr>
      <w:r w:rsidRPr="005C5E32">
        <w:t>Technology</w:t>
      </w:r>
      <w:r w:rsidR="00061A60" w:rsidRPr="005C5E32">
        <w:t xml:space="preserve"> investment governance was strengthened</w:t>
      </w:r>
      <w:r w:rsidR="008E1A40" w:rsidRPr="005C5E32">
        <w:t xml:space="preserve"> </w:t>
      </w:r>
      <w:r w:rsidR="000C694B" w:rsidRPr="005C5E32">
        <w:t xml:space="preserve">through </w:t>
      </w:r>
      <w:r w:rsidR="0000156D" w:rsidRPr="005C5E32">
        <w:t xml:space="preserve">the Ministry’s </w:t>
      </w:r>
      <w:r w:rsidR="000C694B" w:rsidRPr="005C5E32">
        <w:t>IT Investment Framework</w:t>
      </w:r>
      <w:r w:rsidR="00CE0772" w:rsidRPr="005C5E32">
        <w:t>. The framework</w:t>
      </w:r>
      <w:r w:rsidR="000C694B" w:rsidRPr="005C5E32">
        <w:t xml:space="preserve"> support</w:t>
      </w:r>
      <w:r w:rsidR="00CE0772" w:rsidRPr="005C5E32">
        <w:t>ed</w:t>
      </w:r>
      <w:r w:rsidR="000C694B" w:rsidRPr="005C5E32">
        <w:t xml:space="preserve"> more </w:t>
      </w:r>
      <w:r w:rsidR="00473D1F" w:rsidRPr="005C5E32">
        <w:t xml:space="preserve">transparent investment </w:t>
      </w:r>
      <w:r w:rsidR="002F5630" w:rsidRPr="005C5E32">
        <w:t>decisions</w:t>
      </w:r>
      <w:r w:rsidR="00473D1F" w:rsidRPr="005C5E32">
        <w:t xml:space="preserve"> and </w:t>
      </w:r>
      <w:r w:rsidR="002F5630" w:rsidRPr="005C5E32">
        <w:t>lifecycle management in line with Cabinet Circular CO (23) 9</w:t>
      </w:r>
      <w:r w:rsidR="002F5630" w:rsidRPr="005C5E32">
        <w:rPr>
          <w:i/>
          <w:iCs/>
        </w:rPr>
        <w:t xml:space="preserve">: </w:t>
      </w:r>
      <w:r w:rsidR="002F5630" w:rsidRPr="005C5E32">
        <w:t>Investment Management and Asset Performance in Departments and Other Entities.</w:t>
      </w:r>
    </w:p>
    <w:p w14:paraId="5E0F4518" w14:textId="5FC2B35D" w:rsidR="00A822F9" w:rsidRPr="005C5E32" w:rsidRDefault="00602005">
      <w:pPr>
        <w:pStyle w:val="BodyText"/>
      </w:pPr>
      <w:r w:rsidRPr="005C5E32">
        <w:t>Together</w:t>
      </w:r>
      <w:r w:rsidR="00AB091D" w:rsidRPr="005C5E32">
        <w:t>, t</w:t>
      </w:r>
      <w:r w:rsidR="00875AB6" w:rsidRPr="005C5E32">
        <w:t xml:space="preserve">hese improvements </w:t>
      </w:r>
      <w:r w:rsidR="0044709C" w:rsidRPr="005C5E32">
        <w:t>helped the</w:t>
      </w:r>
      <w:r w:rsidR="00F11468" w:rsidRPr="005C5E32">
        <w:t xml:space="preserve"> Ministry </w:t>
      </w:r>
      <w:r w:rsidR="0081102A" w:rsidRPr="005C5E32">
        <w:t xml:space="preserve">continue delivering </w:t>
      </w:r>
      <w:r w:rsidR="00CE0772" w:rsidRPr="005C5E32">
        <w:t>G</w:t>
      </w:r>
      <w:r w:rsidR="0081102A" w:rsidRPr="005C5E32">
        <w:t xml:space="preserve">overnment priorities during a period of significant change </w:t>
      </w:r>
      <w:r w:rsidRPr="005C5E32">
        <w:t xml:space="preserve">and </w:t>
      </w:r>
      <w:r w:rsidR="0044709C" w:rsidRPr="005C5E32">
        <w:t>supported</w:t>
      </w:r>
      <w:r w:rsidR="00CE0772" w:rsidRPr="005C5E32">
        <w:t xml:space="preserve"> our</w:t>
      </w:r>
      <w:r w:rsidR="0044709C" w:rsidRPr="005C5E32">
        <w:t xml:space="preserve"> preparation for </w:t>
      </w:r>
      <w:r w:rsidR="00CE0772" w:rsidRPr="005C5E32">
        <w:t>the establishment of</w:t>
      </w:r>
      <w:r w:rsidR="00A74BCA" w:rsidRPr="005C5E32">
        <w:t> </w:t>
      </w:r>
      <w:r w:rsidRPr="005C5E32">
        <w:t>MCERT.</w:t>
      </w:r>
      <w:r w:rsidR="005B7E42" w:rsidRPr="005C5E32">
        <w:t xml:space="preserve"> </w:t>
      </w:r>
    </w:p>
    <w:p w14:paraId="6B8811C4" w14:textId="2AD87CD3" w:rsidR="003F11C1" w:rsidRPr="005C5E32" w:rsidRDefault="003F11C1">
      <w:pPr>
        <w:pStyle w:val="BodyText"/>
      </w:pPr>
      <w:r w:rsidRPr="005C5E32">
        <w:t>The Ministry identified no service critical assets in line with the reporting requirements in</w:t>
      </w:r>
      <w:r w:rsidR="00671542" w:rsidRPr="005C5E32">
        <w:t> </w:t>
      </w:r>
      <w:r w:rsidRPr="005C5E32">
        <w:t>CO</w:t>
      </w:r>
      <w:r w:rsidR="0032617F" w:rsidRPr="005C5E32">
        <w:t> </w:t>
      </w:r>
      <w:r w:rsidRPr="005C5E32">
        <w:t>(23)</w:t>
      </w:r>
      <w:r w:rsidR="0032617F" w:rsidRPr="005C5E32">
        <w:t> </w:t>
      </w:r>
      <w:r w:rsidRPr="005C5E32">
        <w:t>9.</w:t>
      </w:r>
    </w:p>
    <w:p w14:paraId="5E1E8210" w14:textId="77777777" w:rsidR="003F11C1" w:rsidRPr="005C5E32" w:rsidRDefault="003F11C1" w:rsidP="003B4A7F">
      <w:pPr>
        <w:pStyle w:val="BodyText"/>
        <w:spacing w:before="100" w:after="100"/>
      </w:pPr>
    </w:p>
    <w:p w14:paraId="53709560" w14:textId="77777777" w:rsidR="003F11C1" w:rsidRPr="005C5E32" w:rsidRDefault="003F11C1" w:rsidP="003B4A7F">
      <w:pPr>
        <w:pStyle w:val="BodyText"/>
        <w:spacing w:before="100" w:after="100"/>
      </w:pPr>
      <w:r w:rsidRPr="005C5E32">
        <w:br w:type="page"/>
      </w:r>
    </w:p>
    <w:p w14:paraId="211F5D7E" w14:textId="77777777" w:rsidR="003F11C1" w:rsidRPr="005C5E32" w:rsidRDefault="003F11C1" w:rsidP="00096116">
      <w:pPr>
        <w:pStyle w:val="Heading2"/>
      </w:pPr>
      <w:bookmarkStart w:id="232" w:name="_Toc210136383"/>
      <w:bookmarkStart w:id="233" w:name="_Toc240445571"/>
      <w:bookmarkStart w:id="234" w:name="_Toc207017396"/>
      <w:bookmarkStart w:id="235" w:name="_Hlk204935175"/>
      <w:bookmarkStart w:id="236" w:name="_Toc143698439"/>
      <w:bookmarkStart w:id="237" w:name="_Toc177626492"/>
      <w:bookmarkEnd w:id="231"/>
      <w:r w:rsidRPr="005C5E32">
        <w:lastRenderedPageBreak/>
        <w:t>Sustainability</w:t>
      </w:r>
      <w:bookmarkEnd w:id="232"/>
      <w:bookmarkEnd w:id="233"/>
      <w:r w:rsidRPr="005C5E32">
        <w:t xml:space="preserve"> </w:t>
      </w:r>
    </w:p>
    <w:p w14:paraId="693016C4" w14:textId="20D29FDE" w:rsidR="00702109" w:rsidRPr="005C5E32" w:rsidRDefault="00702109" w:rsidP="00A74BCA">
      <w:pPr>
        <w:pStyle w:val="Heading3"/>
        <w:spacing w:before="240"/>
      </w:pPr>
      <w:r w:rsidRPr="005C5E32">
        <w:t>Our emissions reduction performance</w:t>
      </w:r>
    </w:p>
    <w:p w14:paraId="74E65815" w14:textId="67D929E7" w:rsidR="00702109" w:rsidRPr="005C5E32" w:rsidRDefault="00702109" w:rsidP="00366E97">
      <w:pPr>
        <w:pStyle w:val="BodyText"/>
        <w:rPr>
          <w:rFonts w:eastAsia="MS Mincho" w:cs="Arial"/>
        </w:rPr>
      </w:pPr>
      <w:r w:rsidRPr="005C5E32">
        <w:rPr>
          <w:rFonts w:eastAsia="MS Mincho" w:cs="Arial"/>
        </w:rPr>
        <w:t xml:space="preserve">In </w:t>
      </w:r>
      <w:r w:rsidR="00B946DB" w:rsidRPr="005C5E32">
        <w:rPr>
          <w:rFonts w:eastAsia="MS Mincho" w:cs="Arial"/>
        </w:rPr>
        <w:t xml:space="preserve">our </w:t>
      </w:r>
      <w:r w:rsidRPr="005C5E32">
        <w:rPr>
          <w:rFonts w:eastAsia="MS Mincho" w:cs="Arial"/>
        </w:rPr>
        <w:t xml:space="preserve">final year, the Ministry remained on track </w:t>
      </w:r>
      <w:r w:rsidR="0032617F" w:rsidRPr="005C5E32">
        <w:rPr>
          <w:rFonts w:eastAsia="MS Mincho" w:cs="Arial"/>
        </w:rPr>
        <w:t xml:space="preserve">in meeting </w:t>
      </w:r>
      <w:r w:rsidR="00B9747A" w:rsidRPr="005C5E32">
        <w:rPr>
          <w:rFonts w:eastAsia="MS Mincho" w:cs="Arial"/>
        </w:rPr>
        <w:t>our</w:t>
      </w:r>
      <w:r w:rsidR="00B946DB" w:rsidRPr="005C5E32">
        <w:rPr>
          <w:rFonts w:eastAsia="MS Mincho" w:cs="Arial"/>
        </w:rPr>
        <w:t xml:space="preserve"> commitment to</w:t>
      </w:r>
      <w:r w:rsidR="00B9747A" w:rsidRPr="005C5E32">
        <w:rPr>
          <w:rFonts w:eastAsia="MS Mincho" w:cs="Arial"/>
        </w:rPr>
        <w:t xml:space="preserve"> </w:t>
      </w:r>
      <w:r w:rsidRPr="005C5E32">
        <w:rPr>
          <w:rFonts w:eastAsia="MS Mincho" w:cs="Arial"/>
        </w:rPr>
        <w:t>long-term emissions reduction. Total gross emissions were 586.39</w:t>
      </w:r>
      <w:r w:rsidR="00831EFD" w:rsidRPr="005C5E32">
        <w:rPr>
          <w:rFonts w:eastAsia="MS Mincho" w:cs="Arial"/>
        </w:rPr>
        <w:t xml:space="preserve"> tonnes of carbon dioxide equivalent (</w:t>
      </w:r>
      <w:r w:rsidRPr="005C5E32">
        <w:rPr>
          <w:rFonts w:eastAsia="MS Mincho" w:cs="Arial"/>
        </w:rPr>
        <w:t>t</w:t>
      </w:r>
      <w:r w:rsidR="00B946DB" w:rsidRPr="005C5E32">
        <w:rPr>
          <w:rFonts w:eastAsia="MS Mincho" w:cs="Arial"/>
        </w:rPr>
        <w:t> </w:t>
      </w:r>
      <w:r w:rsidRPr="005C5E32">
        <w:rPr>
          <w:rFonts w:eastAsia="MS Mincho" w:cs="Arial"/>
        </w:rPr>
        <w:t>CO₂e</w:t>
      </w:r>
      <w:r w:rsidR="00831EFD" w:rsidRPr="005C5E32">
        <w:rPr>
          <w:rFonts w:eastAsia="MS Mincho" w:cs="Arial"/>
        </w:rPr>
        <w:t>)</w:t>
      </w:r>
      <w:r w:rsidRPr="005C5E32">
        <w:rPr>
          <w:rFonts w:eastAsia="MS Mincho" w:cs="Arial"/>
        </w:rPr>
        <w:t xml:space="preserve"> in 2025/26</w:t>
      </w:r>
      <w:r w:rsidR="00831EFD" w:rsidRPr="005C5E32">
        <w:rPr>
          <w:rFonts w:eastAsia="MS Mincho" w:cs="Arial"/>
        </w:rPr>
        <w:t xml:space="preserve"> – </w:t>
      </w:r>
      <w:r w:rsidRPr="005C5E32">
        <w:rPr>
          <w:rFonts w:eastAsia="MS Mincho" w:cs="Arial"/>
        </w:rPr>
        <w:t>55.3 percent lower than the 2017/18 base year</w:t>
      </w:r>
      <w:r w:rsidR="0041423C" w:rsidRPr="005C5E32">
        <w:rPr>
          <w:rFonts w:eastAsia="MS Mincho" w:cs="Arial"/>
        </w:rPr>
        <w:t>,</w:t>
      </w:r>
      <w:r w:rsidRPr="005C5E32">
        <w:rPr>
          <w:rFonts w:eastAsia="MS Mincho" w:cs="Arial"/>
        </w:rPr>
        <w:t xml:space="preserve"> and below the level required to halve emissions by 2030 under the Carbon Neutral Government Programme</w:t>
      </w:r>
      <w:r w:rsidR="00D74B14">
        <w:rPr>
          <w:rFonts w:eastAsia="MS Mincho" w:cs="Arial"/>
        </w:rPr>
        <w:t xml:space="preserve"> (figure 4)</w:t>
      </w:r>
      <w:r w:rsidRPr="005C5E32">
        <w:rPr>
          <w:rFonts w:eastAsia="MS Mincho" w:cs="Arial"/>
        </w:rPr>
        <w:t>.</w:t>
      </w:r>
    </w:p>
    <w:p w14:paraId="43CE19A3" w14:textId="5F1D5132" w:rsidR="00702109" w:rsidRPr="005C5E32" w:rsidRDefault="00702109" w:rsidP="00366E97">
      <w:pPr>
        <w:pStyle w:val="BodyText"/>
        <w:rPr>
          <w:rFonts w:eastAsia="MS Mincho" w:cs="Arial"/>
        </w:rPr>
      </w:pPr>
      <w:r w:rsidRPr="005C5E32">
        <w:rPr>
          <w:rFonts w:eastAsia="MS Mincho" w:cs="Arial"/>
        </w:rPr>
        <w:t>Emissions increased 6.3 percent from 2024/25 but remained 8.9 percent below 2023/24</w:t>
      </w:r>
      <w:r w:rsidR="002F2205" w:rsidRPr="005C5E32">
        <w:rPr>
          <w:rFonts w:eastAsia="MS Mincho" w:cs="Arial"/>
        </w:rPr>
        <w:t xml:space="preserve"> levels</w:t>
      </w:r>
      <w:r w:rsidRPr="005C5E32">
        <w:rPr>
          <w:rFonts w:eastAsia="MS Mincho" w:cs="Arial"/>
        </w:rPr>
        <w:t xml:space="preserve">. </w:t>
      </w:r>
      <w:r w:rsidRPr="005C5E32">
        <w:rPr>
          <w:rFonts w:eastAsia="MS Mincho" w:cs="Arial"/>
          <w:spacing w:val="-2"/>
        </w:rPr>
        <w:t>Th</w:t>
      </w:r>
      <w:r w:rsidR="007E21BD" w:rsidRPr="005C5E32">
        <w:rPr>
          <w:rFonts w:eastAsia="MS Mincho" w:cs="Arial"/>
          <w:spacing w:val="-2"/>
        </w:rPr>
        <w:t>e increase</w:t>
      </w:r>
      <w:r w:rsidRPr="005C5E32">
        <w:rPr>
          <w:rFonts w:eastAsia="MS Mincho" w:cs="Arial"/>
          <w:spacing w:val="-2"/>
        </w:rPr>
        <w:t xml:space="preserve"> reflected higher activity during a year of policy delivery, consultation, engagement</w:t>
      </w:r>
      <w:r w:rsidRPr="005C5E32">
        <w:rPr>
          <w:rFonts w:eastAsia="MS Mincho" w:cs="Arial"/>
        </w:rPr>
        <w:t xml:space="preserve"> and organisational transition</w:t>
      </w:r>
      <w:r w:rsidR="003A4BEE" w:rsidRPr="005C5E32">
        <w:rPr>
          <w:rFonts w:eastAsia="MS Mincho" w:cs="Arial"/>
        </w:rPr>
        <w:t xml:space="preserve">. </w:t>
      </w:r>
      <w:r w:rsidR="00B47A69" w:rsidRPr="005C5E32">
        <w:rPr>
          <w:rFonts w:eastAsia="MS Mincho" w:cs="Arial"/>
        </w:rPr>
        <w:t xml:space="preserve">Despite this </w:t>
      </w:r>
      <w:r w:rsidR="00A22745" w:rsidRPr="005C5E32">
        <w:rPr>
          <w:rFonts w:eastAsia="MS Mincho" w:cs="Arial"/>
        </w:rPr>
        <w:t xml:space="preserve">increase, the Ministry concluded its final reporting year </w:t>
      </w:r>
      <w:r w:rsidR="0093017C" w:rsidRPr="005C5E32">
        <w:rPr>
          <w:rFonts w:eastAsia="MS Mincho" w:cs="Arial"/>
        </w:rPr>
        <w:t xml:space="preserve">emissions </w:t>
      </w:r>
      <w:r w:rsidRPr="005C5E32">
        <w:rPr>
          <w:rFonts w:eastAsia="MS Mincho" w:cs="Arial"/>
        </w:rPr>
        <w:t>substantia</w:t>
      </w:r>
      <w:r w:rsidR="00A22745" w:rsidRPr="005C5E32">
        <w:rPr>
          <w:rFonts w:eastAsia="MS Mincho" w:cs="Arial"/>
        </w:rPr>
        <w:t>l</w:t>
      </w:r>
      <w:r w:rsidRPr="005C5E32">
        <w:rPr>
          <w:rFonts w:eastAsia="MS Mincho" w:cs="Arial"/>
        </w:rPr>
        <w:t>l</w:t>
      </w:r>
      <w:r w:rsidR="00A22745" w:rsidRPr="005C5E32">
        <w:rPr>
          <w:rFonts w:eastAsia="MS Mincho" w:cs="Arial"/>
        </w:rPr>
        <w:t>y</w:t>
      </w:r>
      <w:r w:rsidRPr="005C5E32">
        <w:rPr>
          <w:rFonts w:eastAsia="MS Mincho" w:cs="Arial"/>
        </w:rPr>
        <w:t xml:space="preserve"> </w:t>
      </w:r>
      <w:r w:rsidR="0093017C" w:rsidRPr="005C5E32">
        <w:rPr>
          <w:rFonts w:eastAsia="MS Mincho" w:cs="Arial"/>
        </w:rPr>
        <w:t xml:space="preserve">below </w:t>
      </w:r>
      <w:r w:rsidRPr="005C5E32">
        <w:rPr>
          <w:rFonts w:eastAsia="MS Mincho" w:cs="Arial"/>
        </w:rPr>
        <w:t>base year</w:t>
      </w:r>
      <w:r w:rsidR="00872293" w:rsidRPr="005C5E32">
        <w:rPr>
          <w:rFonts w:eastAsia="MS Mincho" w:cs="Arial"/>
        </w:rPr>
        <w:t xml:space="preserve"> and </w:t>
      </w:r>
      <w:r w:rsidR="0093017C" w:rsidRPr="005C5E32">
        <w:rPr>
          <w:rFonts w:eastAsia="MS Mincho" w:cs="Arial"/>
        </w:rPr>
        <w:t>below</w:t>
      </w:r>
      <w:r w:rsidR="00D315E1" w:rsidRPr="005C5E32">
        <w:rPr>
          <w:rFonts w:eastAsia="MS Mincho" w:cs="Arial"/>
        </w:rPr>
        <w:t xml:space="preserve"> the emissions reduction pathway set out in the </w:t>
      </w:r>
      <w:hyperlink r:id="rId92" w:history="1">
        <w:r w:rsidR="00D315E1" w:rsidRPr="005C5E32">
          <w:rPr>
            <w:rStyle w:val="Hyperlink"/>
            <w:rFonts w:eastAsia="MS Mincho" w:cs="Arial"/>
          </w:rPr>
          <w:t>Sustainability Strategy</w:t>
        </w:r>
        <w:r w:rsidR="00644A8C" w:rsidRPr="00C93D27">
          <w:rPr>
            <w:rStyle w:val="Hyperlink"/>
            <w:rFonts w:eastAsia="MS Mincho" w:cs="Arial"/>
          </w:rPr>
          <w:t xml:space="preserve"> 2026–28</w:t>
        </w:r>
      </w:hyperlink>
      <w:r w:rsidRPr="005C5E32">
        <w:rPr>
          <w:rFonts w:eastAsia="MS Mincho" w:cs="Arial"/>
        </w:rPr>
        <w:t>.</w:t>
      </w:r>
    </w:p>
    <w:p w14:paraId="54BA4D5E" w14:textId="75C709CD" w:rsidR="00702109" w:rsidRPr="005C5E32" w:rsidRDefault="00702109" w:rsidP="005458B4">
      <w:pPr>
        <w:pStyle w:val="Figureheading"/>
      </w:pPr>
      <w:bookmarkStart w:id="238" w:name="_Ref238702103"/>
      <w:r w:rsidRPr="005C5E32">
        <w:t>Figure</w:t>
      </w:r>
      <w:r w:rsidR="0047527D" w:rsidRPr="005C5E32">
        <w:t xml:space="preserve"> </w:t>
      </w:r>
      <w:fldSimple w:instr=" SEQ Figure \* ARABIC ">
        <w:r w:rsidR="00D8311D">
          <w:rPr>
            <w:noProof/>
          </w:rPr>
          <w:t>4</w:t>
        </w:r>
      </w:fldSimple>
      <w:bookmarkEnd w:id="238"/>
      <w:r w:rsidRPr="005C5E32">
        <w:t xml:space="preserve">: </w:t>
      </w:r>
      <w:r w:rsidRPr="005C5E32">
        <w:tab/>
      </w:r>
      <w:r w:rsidR="00FA00D7" w:rsidRPr="005C5E32">
        <w:t>A</w:t>
      </w:r>
      <w:r w:rsidRPr="005C5E32">
        <w:t>nnual emissions reduction performance,</w:t>
      </w:r>
      <w:r w:rsidR="003657BF" w:rsidRPr="005C5E32">
        <w:t xml:space="preserve"> </w:t>
      </w:r>
      <w:r w:rsidR="00B946DB" w:rsidRPr="005C5E32">
        <w:t xml:space="preserve">actual and targeted, </w:t>
      </w:r>
      <w:r w:rsidRPr="005C5E32">
        <w:t>2017/18 to 2029/30</w:t>
      </w:r>
    </w:p>
    <w:p w14:paraId="0A36F01C" w14:textId="69EA46CD" w:rsidR="00702109" w:rsidRPr="005C5E32" w:rsidRDefault="00D91FC5" w:rsidP="001849B0">
      <w:pPr>
        <w:pStyle w:val="BodyText"/>
        <w:rPr>
          <w:highlight w:val="yellow"/>
        </w:rPr>
      </w:pPr>
      <w:r w:rsidRPr="005C5E32">
        <w:rPr>
          <w:noProof/>
        </w:rPr>
        <w:drawing>
          <wp:inline distT="0" distB="0" distL="0" distR="0" wp14:anchorId="2447EB8A" wp14:editId="4C9C97F9">
            <wp:extent cx="5400675" cy="3566160"/>
            <wp:effectExtent l="0" t="0" r="9525" b="0"/>
            <wp:docPr id="8521191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19141" name="Picture 852119141"/>
                    <pic:cNvPicPr/>
                  </pic:nvPicPr>
                  <pic:blipFill>
                    <a:blip r:embed="rId93"/>
                    <a:stretch>
                      <a:fillRect/>
                    </a:stretch>
                  </pic:blipFill>
                  <pic:spPr>
                    <a:xfrm>
                      <a:off x="0" y="0"/>
                      <a:ext cx="5400675" cy="3566160"/>
                    </a:xfrm>
                    <a:prstGeom prst="rect">
                      <a:avLst/>
                    </a:prstGeom>
                  </pic:spPr>
                </pic:pic>
              </a:graphicData>
            </a:graphic>
          </wp:inline>
        </w:drawing>
      </w:r>
    </w:p>
    <w:p w14:paraId="78A6174B" w14:textId="77777777" w:rsidR="00702109" w:rsidRPr="005C5E32" w:rsidRDefault="00702109" w:rsidP="001849B0">
      <w:pPr>
        <w:pStyle w:val="Note"/>
        <w:spacing w:before="60"/>
      </w:pPr>
      <w:r w:rsidRPr="005C5E32">
        <w:t>Note: t CO</w:t>
      </w:r>
      <w:r w:rsidRPr="005C5E32">
        <w:rPr>
          <w:vertAlign w:val="subscript"/>
        </w:rPr>
        <w:t>2</w:t>
      </w:r>
      <w:r w:rsidRPr="005C5E32">
        <w:t>e = tonnes of carbon dioxide equivalent.</w:t>
      </w:r>
    </w:p>
    <w:p w14:paraId="0D1E33CF" w14:textId="2BFCD2AA" w:rsidR="00702109" w:rsidRPr="00A03EBE" w:rsidRDefault="00702109" w:rsidP="00A03EBE">
      <w:pPr>
        <w:pStyle w:val="Heading3"/>
        <w:spacing w:before="240"/>
      </w:pPr>
      <w:r w:rsidRPr="00A03EBE">
        <w:t>The Ministry</w:t>
      </w:r>
      <w:r w:rsidR="000369F8" w:rsidRPr="00A03EBE">
        <w:t>’</w:t>
      </w:r>
      <w:r w:rsidRPr="00A03EBE">
        <w:t>s emissions profile</w:t>
      </w:r>
    </w:p>
    <w:p w14:paraId="03EBF1C7" w14:textId="6D7EE6E5" w:rsidR="00DD64ED" w:rsidRPr="005C5E32" w:rsidRDefault="004B4045" w:rsidP="00B379C3">
      <w:pPr>
        <w:pStyle w:val="BodyText"/>
        <w:rPr>
          <w:rFonts w:cs="Calibri"/>
        </w:rPr>
      </w:pPr>
      <w:r w:rsidRPr="005C5E32">
        <w:rPr>
          <w:rFonts w:cs="Calibri"/>
        </w:rPr>
        <w:t>The Ministry did not report any direct emissions in 2025/26. All reported emissions were indirect emissions</w:t>
      </w:r>
      <w:r w:rsidR="004A3622" w:rsidRPr="005C5E32">
        <w:rPr>
          <w:rFonts w:cs="Calibri"/>
        </w:rPr>
        <w:t xml:space="preserve"> </w:t>
      </w:r>
      <w:r w:rsidR="0016404F" w:rsidRPr="005C5E32">
        <w:rPr>
          <w:rFonts w:cs="Calibri"/>
        </w:rPr>
        <w:t xml:space="preserve">arising from </w:t>
      </w:r>
      <w:r w:rsidR="004A3622" w:rsidRPr="005C5E32">
        <w:rPr>
          <w:rFonts w:cs="Calibri"/>
        </w:rPr>
        <w:t>the Ministry’s operations and activities rather than</w:t>
      </w:r>
      <w:r w:rsidR="003A4BEE" w:rsidRPr="005C5E32">
        <w:rPr>
          <w:rFonts w:cs="Calibri"/>
        </w:rPr>
        <w:t xml:space="preserve"> from</w:t>
      </w:r>
      <w:r w:rsidR="004A3622" w:rsidRPr="005C5E32">
        <w:rPr>
          <w:rFonts w:cs="Calibri"/>
        </w:rPr>
        <w:t xml:space="preserve"> assets under its direct control. </w:t>
      </w:r>
    </w:p>
    <w:p w14:paraId="5AB63C4D" w14:textId="150A1315" w:rsidR="00702109" w:rsidRPr="005C5E32" w:rsidRDefault="00702109" w:rsidP="00B379C3">
      <w:pPr>
        <w:pStyle w:val="BodyText"/>
        <w:rPr>
          <w:rFonts w:cs="Calibri"/>
        </w:rPr>
      </w:pPr>
      <w:r w:rsidRPr="005C5E32">
        <w:rPr>
          <w:rFonts w:cs="Calibri"/>
        </w:rPr>
        <w:t>Travel remained the largest source of emissions and the main driver of the increase from 2024/25</w:t>
      </w:r>
      <w:r w:rsidR="00D74B14">
        <w:rPr>
          <w:rFonts w:cs="Calibri"/>
        </w:rPr>
        <w:t xml:space="preserve"> (figure 5)</w:t>
      </w:r>
      <w:r w:rsidRPr="005C5E32">
        <w:rPr>
          <w:rFonts w:cs="Calibri"/>
        </w:rPr>
        <w:t>. Domestic aircraft-related emissions increased 25.8 percent in the Ministry</w:t>
      </w:r>
      <w:r w:rsidR="000369F8" w:rsidRPr="005C5E32">
        <w:rPr>
          <w:rFonts w:cs="Calibri"/>
        </w:rPr>
        <w:t>’</w:t>
      </w:r>
      <w:r w:rsidRPr="005C5E32">
        <w:rPr>
          <w:rFonts w:cs="Calibri"/>
        </w:rPr>
        <w:t xml:space="preserve">s </w:t>
      </w:r>
      <w:r w:rsidRPr="005C5E32">
        <w:rPr>
          <w:rFonts w:cs="Calibri"/>
          <w:spacing w:val="-2"/>
        </w:rPr>
        <w:t>final year. International air travel emissions fell 5.7 percent</w:t>
      </w:r>
      <w:r w:rsidR="0013398D" w:rsidRPr="005C5E32">
        <w:rPr>
          <w:rFonts w:cs="Calibri"/>
          <w:spacing w:val="-2"/>
        </w:rPr>
        <w:t>,</w:t>
      </w:r>
      <w:r w:rsidRPr="005C5E32">
        <w:rPr>
          <w:rFonts w:cs="Calibri"/>
          <w:spacing w:val="-2"/>
        </w:rPr>
        <w:t xml:space="preserve"> despite higher passenger kilometre</w:t>
      </w:r>
      <w:r w:rsidRPr="005C5E32">
        <w:rPr>
          <w:rFonts w:cs="Calibri"/>
        </w:rPr>
        <w:t>s, with long-haul business-class emissions reducing 65.</w:t>
      </w:r>
      <w:r w:rsidR="00BB5E65" w:rsidRPr="005C5E32">
        <w:rPr>
          <w:rFonts w:cs="Calibri"/>
        </w:rPr>
        <w:t xml:space="preserve">7 </w:t>
      </w:r>
      <w:r w:rsidRPr="005C5E32">
        <w:rPr>
          <w:rFonts w:cs="Calibri"/>
        </w:rPr>
        <w:t xml:space="preserve">percent. </w:t>
      </w:r>
    </w:p>
    <w:p w14:paraId="1C344757" w14:textId="4B0B9CD6" w:rsidR="00702109" w:rsidRPr="005C5E32" w:rsidRDefault="00702109" w:rsidP="005458B4">
      <w:pPr>
        <w:pStyle w:val="Figureheading"/>
      </w:pPr>
      <w:bookmarkStart w:id="239" w:name="_Ref238711768"/>
      <w:r w:rsidRPr="005C5E32">
        <w:lastRenderedPageBreak/>
        <w:t>Figure</w:t>
      </w:r>
      <w:r w:rsidR="003A4BEE" w:rsidRPr="005C5E32">
        <w:t xml:space="preserve"> </w:t>
      </w:r>
      <w:fldSimple w:instr=" SEQ Figure \* ARABIC ">
        <w:r w:rsidR="00D8311D">
          <w:rPr>
            <w:noProof/>
          </w:rPr>
          <w:t>5</w:t>
        </w:r>
      </w:fldSimple>
      <w:bookmarkEnd w:id="239"/>
      <w:r w:rsidRPr="005C5E32">
        <w:t xml:space="preserve">: </w:t>
      </w:r>
      <w:r w:rsidRPr="005C5E32">
        <w:tab/>
      </w:r>
      <w:r w:rsidR="00FA00D7" w:rsidRPr="005C5E32">
        <w:t>T</w:t>
      </w:r>
      <w:r w:rsidRPr="005C5E32">
        <w:t>otal transport emissions, 2017/18 to 2025/26</w:t>
      </w:r>
    </w:p>
    <w:p w14:paraId="1CA1A7A1" w14:textId="5BAB0DA6" w:rsidR="00702109" w:rsidRPr="005C5E32" w:rsidRDefault="005C7CD3" w:rsidP="00702109">
      <w:pPr>
        <w:rPr>
          <w:rFonts w:eastAsia="MS Mincho" w:cs="Times New Roman"/>
          <w:b/>
          <w:sz w:val="20"/>
          <w:szCs w:val="18"/>
        </w:rPr>
      </w:pPr>
      <w:r w:rsidRPr="005C5E32">
        <w:rPr>
          <w:rFonts w:eastAsia="MS Mincho" w:cs="Times New Roman"/>
          <w:b/>
          <w:noProof/>
          <w:sz w:val="20"/>
          <w:szCs w:val="18"/>
        </w:rPr>
        <w:drawing>
          <wp:inline distT="0" distB="0" distL="0" distR="0" wp14:anchorId="2E988B71" wp14:editId="202432CC">
            <wp:extent cx="5400675" cy="3395980"/>
            <wp:effectExtent l="0" t="0" r="9525" b="0"/>
            <wp:docPr id="187430088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00887" name="Picture 1874300887"/>
                    <pic:cNvPicPr/>
                  </pic:nvPicPr>
                  <pic:blipFill>
                    <a:blip r:embed="rId94"/>
                    <a:stretch>
                      <a:fillRect/>
                    </a:stretch>
                  </pic:blipFill>
                  <pic:spPr>
                    <a:xfrm>
                      <a:off x="0" y="0"/>
                      <a:ext cx="5400675" cy="3395980"/>
                    </a:xfrm>
                    <a:prstGeom prst="rect">
                      <a:avLst/>
                    </a:prstGeom>
                  </pic:spPr>
                </pic:pic>
              </a:graphicData>
            </a:graphic>
          </wp:inline>
        </w:drawing>
      </w:r>
    </w:p>
    <w:p w14:paraId="5C970A54" w14:textId="2C1CC990" w:rsidR="00702109" w:rsidRPr="005C5E32" w:rsidRDefault="00702109" w:rsidP="00B379C3">
      <w:pPr>
        <w:spacing w:before="60" w:line="240" w:lineRule="atLeast"/>
        <w:rPr>
          <w:rFonts w:eastAsia="MS Mincho" w:cs="Arial"/>
          <w:sz w:val="18"/>
        </w:rPr>
      </w:pPr>
      <w:r w:rsidRPr="005C5E32">
        <w:rPr>
          <w:rFonts w:eastAsia="MS Mincho" w:cs="Arial"/>
          <w:sz w:val="18"/>
        </w:rPr>
        <w:t>Note: t CO</w:t>
      </w:r>
      <w:r w:rsidRPr="005C5E32">
        <w:rPr>
          <w:rFonts w:eastAsia="MS Mincho" w:cs="Arial"/>
          <w:sz w:val="18"/>
          <w:vertAlign w:val="subscript"/>
        </w:rPr>
        <w:t>2</w:t>
      </w:r>
      <w:r w:rsidRPr="005C5E32">
        <w:rPr>
          <w:rFonts w:eastAsia="MS Mincho" w:cs="Arial"/>
          <w:sz w:val="18"/>
        </w:rPr>
        <w:t>e = tonnes of carbon dioxide equivalent.</w:t>
      </w:r>
    </w:p>
    <w:p w14:paraId="4BF7E74C" w14:textId="3983BCD4" w:rsidR="00942BEB" w:rsidRPr="005C5E32" w:rsidRDefault="00E20421" w:rsidP="00990F42">
      <w:pPr>
        <w:pStyle w:val="BodyText"/>
      </w:pPr>
      <w:r w:rsidRPr="00D74B14">
        <w:t>Figure 6</w:t>
      </w:r>
      <w:r w:rsidR="003822A5" w:rsidRPr="005C5E32">
        <w:t xml:space="preserve"> shows </w:t>
      </w:r>
      <w:r w:rsidR="00DC48E4" w:rsidRPr="005C5E32">
        <w:t>trends in</w:t>
      </w:r>
      <w:r w:rsidR="003822A5" w:rsidRPr="005C5E32">
        <w:t xml:space="preserve"> the Ministry’s measured and reported emissions </w:t>
      </w:r>
      <w:r w:rsidR="00DC48E4" w:rsidRPr="005C5E32">
        <w:t>from 2017/18 to 2025/26, broken down by activity</w:t>
      </w:r>
      <w:r w:rsidR="003822A5" w:rsidRPr="005C5E32">
        <w:t>.</w:t>
      </w:r>
      <w:r w:rsidR="009A4A9C" w:rsidRPr="005C5E32">
        <w:t xml:space="preserve"> </w:t>
      </w:r>
      <w:r w:rsidR="00485517" w:rsidRPr="005C5E32">
        <w:t>Air travel remained the largest source of emissions and the primary contributor to total emissions.</w:t>
      </w:r>
    </w:p>
    <w:p w14:paraId="29743161" w14:textId="271E72A8" w:rsidR="00702109" w:rsidRPr="005C5E32" w:rsidRDefault="00702109" w:rsidP="005458B4">
      <w:pPr>
        <w:pStyle w:val="Figureheading"/>
        <w:rPr>
          <w:b w:val="0"/>
        </w:rPr>
      </w:pPr>
      <w:bookmarkStart w:id="240" w:name="_Ref238713439"/>
      <w:r w:rsidRPr="005C5E32">
        <w:lastRenderedPageBreak/>
        <w:t>Figure</w:t>
      </w:r>
      <w:r w:rsidR="003A4BEE" w:rsidRPr="005C5E32">
        <w:rPr>
          <w:rFonts w:eastAsia="MS Mincho"/>
        </w:rPr>
        <w:t xml:space="preserve"> </w:t>
      </w:r>
      <w:fldSimple w:instr=" SEQ Figure \* ARABIC ">
        <w:r w:rsidR="00D8311D">
          <w:rPr>
            <w:noProof/>
          </w:rPr>
          <w:t>6</w:t>
        </w:r>
      </w:fldSimple>
      <w:bookmarkEnd w:id="240"/>
      <w:r w:rsidRPr="005C5E32">
        <w:t xml:space="preserve">: </w:t>
      </w:r>
      <w:r w:rsidRPr="005C5E32">
        <w:tab/>
      </w:r>
      <w:r w:rsidR="00FA00D7" w:rsidRPr="005C5E32">
        <w:t>Total</w:t>
      </w:r>
      <w:r w:rsidRPr="005C5E32">
        <w:t xml:space="preserve"> emissions by activity, 2017/18 to 2025/26</w:t>
      </w:r>
    </w:p>
    <w:p w14:paraId="699714A7" w14:textId="4C3777B7" w:rsidR="00702109" w:rsidRPr="005C5E32" w:rsidRDefault="00174E37" w:rsidP="00702109">
      <w:pPr>
        <w:spacing w:before="80" w:after="80"/>
        <w:jc w:val="center"/>
        <w:rPr>
          <w:rFonts w:eastAsia="MS Mincho" w:cs="Arial"/>
          <w:highlight w:val="yellow"/>
        </w:rPr>
      </w:pPr>
      <w:r w:rsidRPr="005C5E32">
        <w:rPr>
          <w:rFonts w:eastAsia="MS Mincho" w:cs="Arial"/>
          <w:noProof/>
        </w:rPr>
        <w:drawing>
          <wp:inline distT="0" distB="0" distL="0" distR="0" wp14:anchorId="0140A5CA" wp14:editId="20BAA639">
            <wp:extent cx="5400675" cy="5331460"/>
            <wp:effectExtent l="0" t="0" r="0" b="5715"/>
            <wp:docPr id="185618896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88960" name="Picture 1856188960"/>
                    <pic:cNvPicPr/>
                  </pic:nvPicPr>
                  <pic:blipFill>
                    <a:blip r:embed="rId95"/>
                    <a:stretch>
                      <a:fillRect/>
                    </a:stretch>
                  </pic:blipFill>
                  <pic:spPr>
                    <a:xfrm>
                      <a:off x="0" y="0"/>
                      <a:ext cx="5400675" cy="5331460"/>
                    </a:xfrm>
                    <a:prstGeom prst="rect">
                      <a:avLst/>
                    </a:prstGeom>
                  </pic:spPr>
                </pic:pic>
              </a:graphicData>
            </a:graphic>
          </wp:inline>
        </w:drawing>
      </w:r>
    </w:p>
    <w:p w14:paraId="64003045" w14:textId="77777777" w:rsidR="00702109" w:rsidRPr="005C5E32" w:rsidRDefault="00702109" w:rsidP="00EE010E">
      <w:pPr>
        <w:pStyle w:val="Note"/>
        <w:spacing w:before="60"/>
      </w:pPr>
      <w:r w:rsidRPr="005C5E32">
        <w:t>Note: t CO</w:t>
      </w:r>
      <w:r w:rsidRPr="005C5E32">
        <w:rPr>
          <w:vertAlign w:val="subscript"/>
        </w:rPr>
        <w:t>2</w:t>
      </w:r>
      <w:r w:rsidRPr="005C5E32">
        <w:t>e = tonnes of carbon dioxide equivalent.</w:t>
      </w:r>
    </w:p>
    <w:p w14:paraId="7648AC97" w14:textId="2150EBAA" w:rsidR="00702109" w:rsidRPr="005C5E32" w:rsidRDefault="00702109" w:rsidP="00817A70">
      <w:pPr>
        <w:pStyle w:val="BodyText"/>
      </w:pPr>
      <w:r w:rsidRPr="005C5E32">
        <w:t>Reported emissions are calculated by applying published emissions factors to activity data. Year-on-year movements may therefore reflect changes in activity</w:t>
      </w:r>
      <w:r w:rsidR="005B42FD" w:rsidRPr="005C5E32">
        <w:t xml:space="preserve"> or</w:t>
      </w:r>
      <w:r w:rsidRPr="005C5E32">
        <w:t xml:space="preserve"> changes in emissions factors</w:t>
      </w:r>
      <w:r w:rsidR="005B42FD" w:rsidRPr="005C5E32">
        <w:t>,</w:t>
      </w:r>
      <w:r w:rsidRPr="005C5E32">
        <w:t xml:space="preserve"> or both. In 2025/26, accommodation and electricity emissions decreased despite higher activity</w:t>
      </w:r>
      <w:r w:rsidR="00D74B14">
        <w:t xml:space="preserve"> (figure 6)</w:t>
      </w:r>
      <w:r w:rsidRPr="005C5E32">
        <w:t>, reflecting updates to</w:t>
      </w:r>
      <w:r w:rsidR="00EB7DB3" w:rsidRPr="005C5E32">
        <w:t xml:space="preserve"> emission</w:t>
      </w:r>
      <w:r w:rsidR="00CE077F" w:rsidRPr="005C5E32">
        <w:t>s</w:t>
      </w:r>
      <w:r w:rsidR="00EB7DB3" w:rsidRPr="005C5E32">
        <w:t xml:space="preserve"> factors published</w:t>
      </w:r>
      <w:r w:rsidR="00294A6E" w:rsidRPr="005C5E32">
        <w:t xml:space="preserve"> in</w:t>
      </w:r>
      <w:r w:rsidRPr="005C5E32">
        <w:t xml:space="preserve"> the</w:t>
      </w:r>
      <w:r w:rsidR="004E504E" w:rsidRPr="005C5E32">
        <w:t xml:space="preserve"> 2026</w:t>
      </w:r>
      <w:r w:rsidRPr="005C5E32">
        <w:t xml:space="preserve"> Measuring Emissions Guide</w:t>
      </w:r>
      <w:r w:rsidR="00230F20" w:rsidRPr="005C5E32">
        <w:t xml:space="preserve">. </w:t>
      </w:r>
      <w:r w:rsidR="00294A6E" w:rsidRPr="005C5E32">
        <w:t xml:space="preserve">The Ministry used these published factors when calculating </w:t>
      </w:r>
      <w:r w:rsidR="00ED5E50" w:rsidRPr="005C5E32">
        <w:t xml:space="preserve">its emissions for reporting under the Carbon </w:t>
      </w:r>
      <w:r w:rsidR="0011636C" w:rsidRPr="005C5E32">
        <w:t>Neutral</w:t>
      </w:r>
      <w:r w:rsidR="00ED5E50" w:rsidRPr="005C5E32">
        <w:t xml:space="preserve"> Government Programme</w:t>
      </w:r>
      <w:r w:rsidRPr="005C5E32">
        <w:t>. The reported activity data, calculations and application of emissions factors were subject to independent audit and verification.</w:t>
      </w:r>
    </w:p>
    <w:p w14:paraId="5D1221C7" w14:textId="56CD43ED" w:rsidR="00702109" w:rsidRPr="005C5E32" w:rsidRDefault="00702109" w:rsidP="00B379C3">
      <w:pPr>
        <w:pStyle w:val="BodyText"/>
      </w:pPr>
      <w:r w:rsidRPr="005C5E32">
        <w:rPr>
          <w:rFonts w:cs="Calibri"/>
        </w:rPr>
        <w:t>Working-from-home emissions decreased in 2025/26, consistent with</w:t>
      </w:r>
      <w:r w:rsidR="004F5FD0" w:rsidRPr="005C5E32">
        <w:rPr>
          <w:rFonts w:cs="Calibri"/>
        </w:rPr>
        <w:t xml:space="preserve"> the</w:t>
      </w:r>
      <w:r w:rsidRPr="005C5E32">
        <w:rPr>
          <w:rFonts w:cs="Calibri"/>
        </w:rPr>
        <w:t xml:space="preserve"> </w:t>
      </w:r>
      <w:r w:rsidR="004F5FD0" w:rsidRPr="005C5E32">
        <w:rPr>
          <w:rFonts w:cs="Calibri"/>
        </w:rPr>
        <w:t xml:space="preserve">drop in </w:t>
      </w:r>
      <w:r w:rsidRPr="005C5E32">
        <w:rPr>
          <w:rFonts w:cs="Calibri"/>
        </w:rPr>
        <w:t>reported flexible remote working days and</w:t>
      </w:r>
      <w:r w:rsidR="004F5FD0" w:rsidRPr="005C5E32">
        <w:rPr>
          <w:rFonts w:cs="Calibri"/>
        </w:rPr>
        <w:t xml:space="preserve"> the</w:t>
      </w:r>
      <w:r w:rsidRPr="005C5E32">
        <w:rPr>
          <w:rFonts w:cs="Calibri"/>
        </w:rPr>
        <w:t xml:space="preserve"> lower headcount in the Ministry</w:t>
      </w:r>
      <w:r w:rsidR="000369F8" w:rsidRPr="005C5E32">
        <w:rPr>
          <w:rFonts w:cs="Calibri"/>
        </w:rPr>
        <w:t>’</w:t>
      </w:r>
      <w:r w:rsidRPr="005C5E32">
        <w:rPr>
          <w:rFonts w:cs="Calibri"/>
        </w:rPr>
        <w:t>s final year.</w:t>
      </w:r>
    </w:p>
    <w:p w14:paraId="1F5CB199" w14:textId="60B4B77D" w:rsidR="00702109" w:rsidRPr="005C5E32" w:rsidRDefault="00702109" w:rsidP="00EE010E">
      <w:pPr>
        <w:pStyle w:val="BodyText"/>
        <w:keepLines/>
        <w:rPr>
          <w:rFonts w:cs="Calibri"/>
        </w:rPr>
      </w:pPr>
      <w:r w:rsidRPr="005C5E32">
        <w:rPr>
          <w:rFonts w:cs="Calibri"/>
        </w:rPr>
        <w:t>Waste and wastewater results are not directly comparable with previous years</w:t>
      </w:r>
      <w:r w:rsidR="008A37F6" w:rsidRPr="005C5E32">
        <w:rPr>
          <w:rFonts w:cs="Calibri"/>
        </w:rPr>
        <w:t>,</w:t>
      </w:r>
      <w:r w:rsidRPr="005C5E32">
        <w:rPr>
          <w:rFonts w:cs="Calibri"/>
        </w:rPr>
        <w:t xml:space="preserve"> because the 2025/26 inventory captured additional material streams, including recycling treated as waste for emissions reporting. This</w:t>
      </w:r>
      <w:r w:rsidR="004F5FD0" w:rsidRPr="005C5E32">
        <w:rPr>
          <w:rFonts w:cs="Calibri"/>
        </w:rPr>
        <w:t xml:space="preserve"> expansion</w:t>
      </w:r>
      <w:r w:rsidRPr="005C5E32">
        <w:rPr>
          <w:rFonts w:cs="Calibri"/>
        </w:rPr>
        <w:t xml:space="preserve"> </w:t>
      </w:r>
      <w:r w:rsidR="004F5FD0" w:rsidRPr="005C5E32">
        <w:rPr>
          <w:rFonts w:cs="Calibri"/>
        </w:rPr>
        <w:t xml:space="preserve">broadened the coverage of the </w:t>
      </w:r>
      <w:r w:rsidRPr="005C5E32">
        <w:rPr>
          <w:rFonts w:cs="Calibri"/>
        </w:rPr>
        <w:t>inventory but limit</w:t>
      </w:r>
      <w:r w:rsidR="004F5FD0" w:rsidRPr="005C5E32">
        <w:rPr>
          <w:rFonts w:cs="Calibri"/>
        </w:rPr>
        <w:t>ed</w:t>
      </w:r>
      <w:r w:rsidRPr="005C5E32">
        <w:rPr>
          <w:rFonts w:cs="Calibri"/>
        </w:rPr>
        <w:t xml:space="preserve"> like-for-like comparison with earlier years.</w:t>
      </w:r>
      <w:r w:rsidR="007246C6" w:rsidRPr="005C5E32">
        <w:rPr>
          <w:rFonts w:cs="Calibri"/>
        </w:rPr>
        <w:t xml:space="preserve"> </w:t>
      </w:r>
    </w:p>
    <w:p w14:paraId="07E6F7FF" w14:textId="39E69E0B" w:rsidR="00AD5FE2" w:rsidRPr="005C5E32" w:rsidRDefault="00AD5FE2" w:rsidP="00B379C3">
      <w:pPr>
        <w:pStyle w:val="BodyText"/>
      </w:pPr>
      <w:r w:rsidRPr="005C5E32">
        <w:rPr>
          <w:rFonts w:cs="Calibri"/>
        </w:rPr>
        <w:lastRenderedPageBreak/>
        <w:t xml:space="preserve">During </w:t>
      </w:r>
      <w:r w:rsidR="00FB58FC" w:rsidRPr="005C5E32">
        <w:rPr>
          <w:rFonts w:cs="Calibri"/>
        </w:rPr>
        <w:t>its</w:t>
      </w:r>
      <w:r w:rsidRPr="005C5E32">
        <w:rPr>
          <w:rFonts w:cs="Calibri"/>
        </w:rPr>
        <w:t xml:space="preserve"> final year, the Ministry maintained a structured approach to emissions management</w:t>
      </w:r>
      <w:r w:rsidR="00EB266D" w:rsidRPr="005C5E32">
        <w:rPr>
          <w:rFonts w:cs="Calibri"/>
        </w:rPr>
        <w:t xml:space="preserve"> through monitoring, </w:t>
      </w:r>
      <w:r w:rsidR="00AC7838" w:rsidRPr="005C5E32">
        <w:rPr>
          <w:rFonts w:cs="Calibri"/>
        </w:rPr>
        <w:t xml:space="preserve">reporting and </w:t>
      </w:r>
      <w:r w:rsidR="00EB266D" w:rsidRPr="005C5E32">
        <w:rPr>
          <w:rFonts w:cs="Calibri"/>
        </w:rPr>
        <w:t>travel emission</w:t>
      </w:r>
      <w:r w:rsidR="00A70081" w:rsidRPr="005C5E32">
        <w:rPr>
          <w:rFonts w:cs="Calibri"/>
        </w:rPr>
        <w:t>s</w:t>
      </w:r>
      <w:r w:rsidR="00EB266D" w:rsidRPr="005C5E32">
        <w:rPr>
          <w:rFonts w:cs="Calibri"/>
        </w:rPr>
        <w:t xml:space="preserve"> budget</w:t>
      </w:r>
      <w:r w:rsidR="00CF4301" w:rsidRPr="005C5E32">
        <w:rPr>
          <w:rFonts w:cs="Calibri"/>
        </w:rPr>
        <w:t xml:space="preserve"> controls</w:t>
      </w:r>
      <w:r w:rsidR="00EB266D" w:rsidRPr="005C5E32">
        <w:rPr>
          <w:rFonts w:cs="Calibri"/>
        </w:rPr>
        <w:t xml:space="preserve">. </w:t>
      </w:r>
      <w:r w:rsidR="002E656E" w:rsidRPr="005C5E32">
        <w:rPr>
          <w:rFonts w:cs="Calibri"/>
        </w:rPr>
        <w:t>The</w:t>
      </w:r>
      <w:r w:rsidR="00AC7838" w:rsidRPr="005C5E32">
        <w:rPr>
          <w:rFonts w:cs="Calibri"/>
        </w:rPr>
        <w:t>se arrangements</w:t>
      </w:r>
      <w:r w:rsidR="00B75C56" w:rsidRPr="005C5E32">
        <w:rPr>
          <w:rFonts w:cs="Calibri"/>
        </w:rPr>
        <w:t xml:space="preserve"> </w:t>
      </w:r>
      <w:r w:rsidR="00AC7838" w:rsidRPr="005C5E32">
        <w:rPr>
          <w:rFonts w:cs="Calibri"/>
        </w:rPr>
        <w:t>support the delivery o</w:t>
      </w:r>
      <w:r w:rsidR="00A048FC" w:rsidRPr="005C5E32">
        <w:rPr>
          <w:rFonts w:cs="Calibri"/>
        </w:rPr>
        <w:t xml:space="preserve">f its emission reduction commitments under the </w:t>
      </w:r>
      <w:r w:rsidR="00BD781C" w:rsidRPr="005C5E32">
        <w:rPr>
          <w:rFonts w:cs="Calibri"/>
        </w:rPr>
        <w:t>Carbon Neutral Government Programme</w:t>
      </w:r>
      <w:r w:rsidR="00A048FC" w:rsidRPr="005C5E32">
        <w:rPr>
          <w:rFonts w:cs="Calibri"/>
        </w:rPr>
        <w:t xml:space="preserve"> and </w:t>
      </w:r>
      <w:r w:rsidR="001A2040" w:rsidRPr="005C5E32">
        <w:rPr>
          <w:rFonts w:cs="Calibri"/>
        </w:rPr>
        <w:t xml:space="preserve">helped </w:t>
      </w:r>
      <w:r w:rsidR="004F5FD0" w:rsidRPr="005C5E32">
        <w:rPr>
          <w:rFonts w:cs="Calibri"/>
        </w:rPr>
        <w:t xml:space="preserve">with preparations </w:t>
      </w:r>
      <w:r w:rsidR="00A048FC" w:rsidRPr="005C5E32">
        <w:rPr>
          <w:rFonts w:cs="Calibri"/>
        </w:rPr>
        <w:t xml:space="preserve">for future emissions management under MCERT. </w:t>
      </w:r>
    </w:p>
    <w:p w14:paraId="421605BC" w14:textId="77777777" w:rsidR="00702109" w:rsidRPr="005C5E32" w:rsidRDefault="00702109" w:rsidP="00B548B0">
      <w:pPr>
        <w:pStyle w:val="Heading3"/>
        <w:spacing w:before="240"/>
      </w:pPr>
      <w:r w:rsidRPr="005C5E32">
        <w:t>Emissions by source</w:t>
      </w:r>
    </w:p>
    <w:p w14:paraId="61E6DE41" w14:textId="368030B5" w:rsidR="00702109" w:rsidRPr="005C5E32" w:rsidRDefault="002C6CD2" w:rsidP="00AB4E57">
      <w:pPr>
        <w:pStyle w:val="BodyText"/>
      </w:pPr>
      <w:r>
        <w:t xml:space="preserve">Table 10 </w:t>
      </w:r>
      <w:r w:rsidR="00F80DFA" w:rsidRPr="005C5E32">
        <w:t xml:space="preserve">shows </w:t>
      </w:r>
      <w:r w:rsidR="00702109" w:rsidRPr="005C5E32">
        <w:t xml:space="preserve">all </w:t>
      </w:r>
      <w:r w:rsidR="004F5FD0" w:rsidRPr="005C5E32">
        <w:t xml:space="preserve">of </w:t>
      </w:r>
      <w:r w:rsidR="00702109" w:rsidRPr="005C5E32">
        <w:t>the Ministry</w:t>
      </w:r>
      <w:r w:rsidR="000369F8" w:rsidRPr="005C5E32">
        <w:t>’</w:t>
      </w:r>
      <w:r w:rsidR="00702109" w:rsidRPr="005C5E32">
        <w:t>s measured and reported emissions sources</w:t>
      </w:r>
      <w:r w:rsidR="005B42FD" w:rsidRPr="005C5E32">
        <w:t xml:space="preserve"> over its final three years</w:t>
      </w:r>
      <w:r w:rsidR="00702109" w:rsidRPr="005C5E32">
        <w:t>.</w:t>
      </w:r>
    </w:p>
    <w:p w14:paraId="70E93F19" w14:textId="2E575A18" w:rsidR="00702109" w:rsidRPr="005C5E32" w:rsidRDefault="00702109" w:rsidP="00702109">
      <w:pPr>
        <w:keepNext/>
        <w:spacing w:line="260" w:lineRule="atLeast"/>
        <w:ind w:left="1134" w:hanging="1134"/>
        <w:rPr>
          <w:rFonts w:eastAsia="MS Mincho" w:cs="Arial"/>
          <w:b/>
          <w:sz w:val="20"/>
        </w:rPr>
      </w:pPr>
      <w:bookmarkStart w:id="241" w:name="_Ref237590642"/>
      <w:r w:rsidRPr="005C5E32">
        <w:rPr>
          <w:rFonts w:eastAsia="MS Mincho" w:cs="Arial"/>
          <w:b/>
          <w:sz w:val="20"/>
        </w:rPr>
        <w:t xml:space="preserve">Table </w:t>
      </w:r>
      <w:r w:rsidRPr="005C5E32">
        <w:rPr>
          <w:rFonts w:eastAsia="MS Mincho" w:cs="Arial"/>
          <w:b/>
          <w:sz w:val="20"/>
        </w:rPr>
        <w:fldChar w:fldCharType="begin"/>
      </w:r>
      <w:r w:rsidRPr="005C5E32">
        <w:rPr>
          <w:rFonts w:eastAsia="MS Mincho" w:cs="Arial"/>
          <w:b/>
          <w:sz w:val="20"/>
        </w:rPr>
        <w:instrText xml:space="preserve"> SEQ Table \* ARABIC </w:instrText>
      </w:r>
      <w:r w:rsidRPr="005C5E32">
        <w:rPr>
          <w:rFonts w:eastAsia="MS Mincho" w:cs="Arial"/>
          <w:b/>
          <w:sz w:val="20"/>
        </w:rPr>
        <w:fldChar w:fldCharType="separate"/>
      </w:r>
      <w:r w:rsidR="00D8311D">
        <w:rPr>
          <w:rFonts w:eastAsia="MS Mincho" w:cs="Arial"/>
          <w:b/>
          <w:noProof/>
          <w:sz w:val="20"/>
        </w:rPr>
        <w:t>10</w:t>
      </w:r>
      <w:r w:rsidRPr="005C5E32">
        <w:rPr>
          <w:rFonts w:eastAsia="MS Mincho" w:cs="Arial"/>
          <w:b/>
          <w:sz w:val="20"/>
        </w:rPr>
        <w:fldChar w:fldCharType="end"/>
      </w:r>
      <w:bookmarkEnd w:id="241"/>
      <w:r w:rsidRPr="005C5E32">
        <w:rPr>
          <w:rFonts w:eastAsia="MS Mincho" w:cs="Arial"/>
          <w:b/>
          <w:sz w:val="20"/>
        </w:rPr>
        <w:t>:</w:t>
      </w:r>
      <w:r w:rsidRPr="005C5E32">
        <w:rPr>
          <w:rFonts w:eastAsia="MS Mincho" w:cs="Arial"/>
          <w:b/>
          <w:sz w:val="20"/>
        </w:rPr>
        <w:tab/>
      </w:r>
      <w:r w:rsidR="009E358B" w:rsidRPr="005C5E32">
        <w:rPr>
          <w:rFonts w:eastAsia="MS Mincho" w:cs="Arial"/>
          <w:b/>
          <w:sz w:val="20"/>
        </w:rPr>
        <w:t>T</w:t>
      </w:r>
      <w:r w:rsidRPr="005C5E32">
        <w:rPr>
          <w:rFonts w:eastAsia="MS Mincho" w:cs="Arial"/>
          <w:b/>
          <w:sz w:val="20"/>
        </w:rPr>
        <w:t>otal gross emissions by source</w:t>
      </w:r>
      <w:r w:rsidR="006B399D" w:rsidRPr="005C5E32">
        <w:rPr>
          <w:rFonts w:eastAsia="MS Mincho" w:cs="Arial"/>
          <w:b/>
          <w:sz w:val="20"/>
        </w:rPr>
        <w:t>, 2023/24 to 2025/26</w:t>
      </w:r>
    </w:p>
    <w:tbl>
      <w:tblPr>
        <w:tblW w:w="8505" w:type="dxa"/>
        <w:tblBorders>
          <w:top w:val="single" w:sz="4" w:space="0" w:color="0E7B7E"/>
          <w:bottom w:val="single" w:sz="4" w:space="0" w:color="0E7B7E"/>
          <w:insideH w:val="single" w:sz="4" w:space="0" w:color="0E7B7E"/>
          <w:insideV w:val="single" w:sz="4" w:space="0" w:color="0E7B7E"/>
        </w:tblBorders>
        <w:tblCellMar>
          <w:left w:w="85" w:type="dxa"/>
          <w:right w:w="85" w:type="dxa"/>
        </w:tblCellMar>
        <w:tblLook w:val="04A0" w:firstRow="1" w:lastRow="0" w:firstColumn="1" w:lastColumn="0" w:noHBand="0" w:noVBand="1"/>
      </w:tblPr>
      <w:tblGrid>
        <w:gridCol w:w="4395"/>
        <w:gridCol w:w="1417"/>
        <w:gridCol w:w="1418"/>
        <w:gridCol w:w="1275"/>
      </w:tblGrid>
      <w:tr w:rsidR="00577C95" w:rsidRPr="005C5E32" w14:paraId="3AB4D87C" w14:textId="77777777" w:rsidTr="00F722D3">
        <w:trPr>
          <w:tblHeader/>
        </w:trPr>
        <w:tc>
          <w:tcPr>
            <w:tcW w:w="4395" w:type="dxa"/>
            <w:vMerge w:val="restart"/>
            <w:tcBorders>
              <w:top w:val="single" w:sz="4" w:space="0" w:color="0E7B7E"/>
              <w:bottom w:val="nil"/>
              <w:right w:val="single" w:sz="4" w:space="0" w:color="0E7B7E"/>
            </w:tcBorders>
            <w:shd w:val="clear" w:color="auto" w:fill="0E7B7E"/>
            <w:noWrap/>
            <w:vAlign w:val="bottom"/>
          </w:tcPr>
          <w:p w14:paraId="24A795D9" w14:textId="77777777" w:rsidR="00577C95" w:rsidRPr="005C5E32" w:rsidRDefault="00577C95" w:rsidP="00577C95">
            <w:pPr>
              <w:pStyle w:val="TableboldGreen"/>
              <w:spacing w:before="0"/>
              <w:rPr>
                <w:color w:val="FFFFFF" w:themeColor="background1"/>
              </w:rPr>
            </w:pPr>
            <w:r w:rsidRPr="005C5E32">
              <w:rPr>
                <w:color w:val="FFFFFF" w:themeColor="background1"/>
              </w:rPr>
              <w:t>Activity</w:t>
            </w:r>
          </w:p>
        </w:tc>
        <w:tc>
          <w:tcPr>
            <w:tcW w:w="4110" w:type="dxa"/>
            <w:gridSpan w:val="3"/>
            <w:tcBorders>
              <w:top w:val="single" w:sz="4" w:space="0" w:color="0E7B7E"/>
              <w:left w:val="single" w:sz="4" w:space="0" w:color="0E7B7E"/>
              <w:bottom w:val="nil"/>
            </w:tcBorders>
            <w:shd w:val="clear" w:color="auto" w:fill="0E7B7E"/>
          </w:tcPr>
          <w:p w14:paraId="5D485369" w14:textId="77777777" w:rsidR="00577C95" w:rsidRPr="005C5E32" w:rsidRDefault="00577C95" w:rsidP="00577C95">
            <w:pPr>
              <w:pStyle w:val="TableboldGreen"/>
              <w:spacing w:before="0" w:after="0"/>
              <w:jc w:val="center"/>
              <w:rPr>
                <w:color w:val="FFFFFF" w:themeColor="background1"/>
              </w:rPr>
            </w:pPr>
            <w:r w:rsidRPr="005C5E32">
              <w:rPr>
                <w:color w:val="FFFFFF" w:themeColor="background1"/>
              </w:rPr>
              <w:t>t CO</w:t>
            </w:r>
            <w:r w:rsidRPr="005C5E32">
              <w:rPr>
                <w:color w:val="FFFFFF" w:themeColor="background1"/>
                <w:vertAlign w:val="subscript"/>
              </w:rPr>
              <w:t>2</w:t>
            </w:r>
            <w:r w:rsidRPr="005C5E32">
              <w:rPr>
                <w:color w:val="FFFFFF" w:themeColor="background1"/>
              </w:rPr>
              <w:t>e</w:t>
            </w:r>
          </w:p>
        </w:tc>
      </w:tr>
      <w:tr w:rsidR="00E326C4" w:rsidRPr="005C5E32" w14:paraId="2B59E51E" w14:textId="77777777" w:rsidTr="00F722D3">
        <w:trPr>
          <w:tblHeader/>
        </w:trPr>
        <w:tc>
          <w:tcPr>
            <w:tcW w:w="4395" w:type="dxa"/>
            <w:vMerge/>
            <w:tcBorders>
              <w:top w:val="nil"/>
              <w:bottom w:val="single" w:sz="4" w:space="0" w:color="0E7B7E"/>
            </w:tcBorders>
            <w:shd w:val="clear" w:color="auto" w:fill="0E7B7E"/>
            <w:noWrap/>
            <w:vAlign w:val="bottom"/>
          </w:tcPr>
          <w:p w14:paraId="46E1D1C2" w14:textId="77777777" w:rsidR="00E326C4" w:rsidRPr="005C5E32" w:rsidRDefault="00E326C4" w:rsidP="00AD04C8">
            <w:pPr>
              <w:pStyle w:val="TableboldGreen"/>
              <w:rPr>
                <w:color w:val="FFFFFF" w:themeColor="background1"/>
              </w:rPr>
            </w:pPr>
          </w:p>
        </w:tc>
        <w:tc>
          <w:tcPr>
            <w:tcW w:w="1417" w:type="dxa"/>
            <w:tcBorders>
              <w:top w:val="nil"/>
              <w:bottom w:val="single" w:sz="4" w:space="0" w:color="0E7B7E"/>
            </w:tcBorders>
            <w:shd w:val="clear" w:color="auto" w:fill="0E7B7E"/>
          </w:tcPr>
          <w:p w14:paraId="6038C89B" w14:textId="75877899" w:rsidR="00E326C4" w:rsidRPr="005C5E32" w:rsidRDefault="00E326C4" w:rsidP="00577C95">
            <w:pPr>
              <w:pStyle w:val="TableboldGreen"/>
              <w:spacing w:before="0"/>
              <w:jc w:val="center"/>
              <w:rPr>
                <w:color w:val="FFFFFF" w:themeColor="background1"/>
              </w:rPr>
            </w:pPr>
            <w:r w:rsidRPr="005C5E32">
              <w:rPr>
                <w:color w:val="FFFFFF" w:themeColor="background1"/>
              </w:rPr>
              <w:t>2023/24</w:t>
            </w:r>
          </w:p>
        </w:tc>
        <w:tc>
          <w:tcPr>
            <w:tcW w:w="1418" w:type="dxa"/>
            <w:tcBorders>
              <w:top w:val="nil"/>
              <w:bottom w:val="single" w:sz="4" w:space="0" w:color="0E7B7E"/>
            </w:tcBorders>
            <w:shd w:val="clear" w:color="auto" w:fill="0E7B7E"/>
            <w:noWrap/>
            <w:vAlign w:val="bottom"/>
          </w:tcPr>
          <w:p w14:paraId="7D74C6EF" w14:textId="427E5704" w:rsidR="00E326C4" w:rsidRPr="005C5E32" w:rsidRDefault="00E326C4" w:rsidP="00577C95">
            <w:pPr>
              <w:pStyle w:val="TableboldGreen"/>
              <w:spacing w:before="0"/>
              <w:jc w:val="center"/>
              <w:rPr>
                <w:color w:val="FFFFFF" w:themeColor="background1"/>
              </w:rPr>
            </w:pPr>
            <w:r w:rsidRPr="005C5E32">
              <w:rPr>
                <w:color w:val="FFFFFF" w:themeColor="background1"/>
              </w:rPr>
              <w:t>2024/25</w:t>
            </w:r>
          </w:p>
        </w:tc>
        <w:tc>
          <w:tcPr>
            <w:tcW w:w="1275" w:type="dxa"/>
            <w:tcBorders>
              <w:top w:val="nil"/>
              <w:bottom w:val="single" w:sz="4" w:space="0" w:color="0E7B7E"/>
            </w:tcBorders>
            <w:shd w:val="clear" w:color="auto" w:fill="0E7B7E"/>
            <w:noWrap/>
            <w:vAlign w:val="bottom"/>
          </w:tcPr>
          <w:p w14:paraId="0400BCDC" w14:textId="208D71A1" w:rsidR="00E326C4" w:rsidRPr="005C5E32" w:rsidRDefault="00E326C4" w:rsidP="00577C95">
            <w:pPr>
              <w:pStyle w:val="TableboldGreen"/>
              <w:spacing w:before="0"/>
              <w:jc w:val="center"/>
              <w:rPr>
                <w:color w:val="FFFFFF" w:themeColor="background1"/>
              </w:rPr>
            </w:pPr>
            <w:r w:rsidRPr="005C5E32">
              <w:rPr>
                <w:color w:val="FFFFFF" w:themeColor="background1"/>
              </w:rPr>
              <w:t>2025/26</w:t>
            </w:r>
            <w:r w:rsidR="006B399D" w:rsidRPr="005C5E32">
              <w:rPr>
                <w:color w:val="FFFFFF" w:themeColor="background1"/>
              </w:rPr>
              <w:t>*</w:t>
            </w:r>
          </w:p>
        </w:tc>
      </w:tr>
      <w:tr w:rsidR="00E326C4" w:rsidRPr="005C5E32" w14:paraId="431B2CA3" w14:textId="77777777" w:rsidTr="00EE010E">
        <w:tc>
          <w:tcPr>
            <w:tcW w:w="8505" w:type="dxa"/>
            <w:gridSpan w:val="4"/>
            <w:noWrap/>
            <w:vAlign w:val="bottom"/>
          </w:tcPr>
          <w:p w14:paraId="32B77548" w14:textId="77777777" w:rsidR="00E326C4" w:rsidRPr="005C5E32" w:rsidRDefault="00E326C4" w:rsidP="000740D2">
            <w:pPr>
              <w:spacing w:before="30" w:after="30" w:line="240" w:lineRule="atLeast"/>
              <w:rPr>
                <w:rFonts w:eastAsia="MS Mincho" w:cs="Times New Roman"/>
                <w:b/>
                <w:bCs/>
                <w:color w:val="000000"/>
                <w:sz w:val="18"/>
              </w:rPr>
            </w:pPr>
            <w:r w:rsidRPr="005C5E32">
              <w:rPr>
                <w:rFonts w:eastAsia="MS Mincho" w:cs="Times New Roman"/>
                <w:b/>
                <w:bCs/>
                <w:color w:val="000000"/>
                <w:sz w:val="18"/>
              </w:rPr>
              <w:t>Accommodation</w:t>
            </w:r>
          </w:p>
        </w:tc>
      </w:tr>
      <w:tr w:rsidR="00E326C4" w:rsidRPr="005C5E32" w14:paraId="29B9218A" w14:textId="77777777" w:rsidTr="00EE010E">
        <w:tc>
          <w:tcPr>
            <w:tcW w:w="4395" w:type="dxa"/>
            <w:noWrap/>
            <w:vAlign w:val="bottom"/>
          </w:tcPr>
          <w:p w14:paraId="048C4F1F"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Accommodation – New Zealand</w:t>
            </w:r>
          </w:p>
        </w:tc>
        <w:tc>
          <w:tcPr>
            <w:tcW w:w="1417" w:type="dxa"/>
          </w:tcPr>
          <w:p w14:paraId="15C40CF0"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33.76</w:t>
            </w:r>
          </w:p>
        </w:tc>
        <w:tc>
          <w:tcPr>
            <w:tcW w:w="1418" w:type="dxa"/>
            <w:noWrap/>
            <w:vAlign w:val="bottom"/>
          </w:tcPr>
          <w:p w14:paraId="1D312144"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20.79</w:t>
            </w:r>
          </w:p>
        </w:tc>
        <w:tc>
          <w:tcPr>
            <w:tcW w:w="1275" w:type="dxa"/>
            <w:noWrap/>
            <w:vAlign w:val="bottom"/>
          </w:tcPr>
          <w:p w14:paraId="00D5EB86" w14:textId="708CBA5D"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17.</w:t>
            </w:r>
            <w:r w:rsidR="00F43A49" w:rsidRPr="005C5E32">
              <w:rPr>
                <w:rFonts w:eastAsia="MS Mincho" w:cs="Times New Roman"/>
                <w:color w:val="000000"/>
                <w:sz w:val="18"/>
              </w:rPr>
              <w:t>02</w:t>
            </w:r>
          </w:p>
        </w:tc>
      </w:tr>
      <w:tr w:rsidR="00E326C4" w:rsidRPr="005C5E32" w14:paraId="08DFDD50" w14:textId="77777777" w:rsidTr="00EE010E">
        <w:tc>
          <w:tcPr>
            <w:tcW w:w="4395" w:type="dxa"/>
            <w:noWrap/>
            <w:vAlign w:val="bottom"/>
          </w:tcPr>
          <w:p w14:paraId="3E4864E7"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Accommodation – International</w:t>
            </w:r>
          </w:p>
        </w:tc>
        <w:tc>
          <w:tcPr>
            <w:tcW w:w="1417" w:type="dxa"/>
          </w:tcPr>
          <w:p w14:paraId="7A53D8FB"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5.04</w:t>
            </w:r>
          </w:p>
        </w:tc>
        <w:tc>
          <w:tcPr>
            <w:tcW w:w="1418" w:type="dxa"/>
            <w:noWrap/>
            <w:vAlign w:val="bottom"/>
          </w:tcPr>
          <w:p w14:paraId="7DB7FC48"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3.87</w:t>
            </w:r>
          </w:p>
        </w:tc>
        <w:tc>
          <w:tcPr>
            <w:tcW w:w="1275" w:type="dxa"/>
            <w:noWrap/>
            <w:vAlign w:val="bottom"/>
          </w:tcPr>
          <w:p w14:paraId="165653F7"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6.20</w:t>
            </w:r>
          </w:p>
        </w:tc>
      </w:tr>
      <w:tr w:rsidR="00E326C4" w:rsidRPr="005C5E32" w14:paraId="3BE52ECD" w14:textId="77777777" w:rsidTr="00EE010E">
        <w:tc>
          <w:tcPr>
            <w:tcW w:w="8505" w:type="dxa"/>
            <w:gridSpan w:val="4"/>
            <w:noWrap/>
            <w:vAlign w:val="bottom"/>
          </w:tcPr>
          <w:p w14:paraId="0F39EA7B"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b/>
                <w:bCs/>
                <w:color w:val="000000"/>
                <w:sz w:val="18"/>
              </w:rPr>
              <w:t xml:space="preserve">Air travel </w:t>
            </w:r>
          </w:p>
        </w:tc>
      </w:tr>
      <w:tr w:rsidR="00E326C4" w:rsidRPr="005C5E32" w14:paraId="3CA9676B" w14:textId="77777777" w:rsidTr="00EE010E">
        <w:tc>
          <w:tcPr>
            <w:tcW w:w="4395" w:type="dxa"/>
            <w:noWrap/>
            <w:vAlign w:val="bottom"/>
            <w:hideMark/>
          </w:tcPr>
          <w:p w14:paraId="62413833"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Domestic Large aircraft</w:t>
            </w:r>
          </w:p>
        </w:tc>
        <w:tc>
          <w:tcPr>
            <w:tcW w:w="1417" w:type="dxa"/>
          </w:tcPr>
          <w:p w14:paraId="7B15F289"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134.77</w:t>
            </w:r>
          </w:p>
        </w:tc>
        <w:tc>
          <w:tcPr>
            <w:tcW w:w="1418" w:type="dxa"/>
            <w:noWrap/>
            <w:vAlign w:val="bottom"/>
            <w:hideMark/>
          </w:tcPr>
          <w:p w14:paraId="14067532"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109.09</w:t>
            </w:r>
          </w:p>
        </w:tc>
        <w:tc>
          <w:tcPr>
            <w:tcW w:w="1275" w:type="dxa"/>
            <w:noWrap/>
            <w:vAlign w:val="bottom"/>
          </w:tcPr>
          <w:p w14:paraId="56CAC9B7"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117.67</w:t>
            </w:r>
          </w:p>
        </w:tc>
      </w:tr>
      <w:tr w:rsidR="00E326C4" w:rsidRPr="005C5E32" w14:paraId="6AEEE9D5" w14:textId="77777777" w:rsidTr="00EE010E">
        <w:tc>
          <w:tcPr>
            <w:tcW w:w="4395" w:type="dxa"/>
            <w:noWrap/>
            <w:vAlign w:val="bottom"/>
            <w:hideMark/>
          </w:tcPr>
          <w:p w14:paraId="49F149F7"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Domestic Medium aircraft</w:t>
            </w:r>
          </w:p>
        </w:tc>
        <w:tc>
          <w:tcPr>
            <w:tcW w:w="1417" w:type="dxa"/>
          </w:tcPr>
          <w:p w14:paraId="48AF5741"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104.4</w:t>
            </w:r>
          </w:p>
        </w:tc>
        <w:tc>
          <w:tcPr>
            <w:tcW w:w="1418" w:type="dxa"/>
            <w:noWrap/>
            <w:vAlign w:val="bottom"/>
            <w:hideMark/>
          </w:tcPr>
          <w:p w14:paraId="09B3403E"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91.68</w:t>
            </w:r>
          </w:p>
        </w:tc>
        <w:tc>
          <w:tcPr>
            <w:tcW w:w="1275" w:type="dxa"/>
            <w:noWrap/>
            <w:vAlign w:val="bottom"/>
          </w:tcPr>
          <w:p w14:paraId="3CB44604"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128.46</w:t>
            </w:r>
          </w:p>
        </w:tc>
      </w:tr>
      <w:tr w:rsidR="00E326C4" w:rsidRPr="005C5E32" w14:paraId="337966C6" w14:textId="77777777" w:rsidTr="00EE010E">
        <w:tc>
          <w:tcPr>
            <w:tcW w:w="4395" w:type="dxa"/>
            <w:noWrap/>
            <w:vAlign w:val="bottom"/>
            <w:hideMark/>
          </w:tcPr>
          <w:p w14:paraId="6A8D7D2C"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Domestic Small aircraft</w:t>
            </w:r>
          </w:p>
        </w:tc>
        <w:tc>
          <w:tcPr>
            <w:tcW w:w="1417" w:type="dxa"/>
          </w:tcPr>
          <w:p w14:paraId="5107F74C"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9.26</w:t>
            </w:r>
          </w:p>
        </w:tc>
        <w:tc>
          <w:tcPr>
            <w:tcW w:w="1418" w:type="dxa"/>
            <w:noWrap/>
            <w:vAlign w:val="bottom"/>
            <w:hideMark/>
          </w:tcPr>
          <w:p w14:paraId="39A6F12E"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8.27</w:t>
            </w:r>
          </w:p>
        </w:tc>
        <w:tc>
          <w:tcPr>
            <w:tcW w:w="1275" w:type="dxa"/>
            <w:noWrap/>
            <w:vAlign w:val="bottom"/>
          </w:tcPr>
          <w:p w14:paraId="547F51FE"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16.87</w:t>
            </w:r>
          </w:p>
        </w:tc>
      </w:tr>
      <w:tr w:rsidR="00E326C4" w:rsidRPr="005C5E32" w14:paraId="4EE0663E" w14:textId="77777777" w:rsidTr="00EE010E">
        <w:tc>
          <w:tcPr>
            <w:tcW w:w="4395" w:type="dxa"/>
            <w:noWrap/>
            <w:vAlign w:val="bottom"/>
            <w:hideMark/>
          </w:tcPr>
          <w:p w14:paraId="53688A2D"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International Long haul business class</w:t>
            </w:r>
          </w:p>
        </w:tc>
        <w:tc>
          <w:tcPr>
            <w:tcW w:w="1417" w:type="dxa"/>
          </w:tcPr>
          <w:p w14:paraId="6C89CECA"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12.18</w:t>
            </w:r>
          </w:p>
        </w:tc>
        <w:tc>
          <w:tcPr>
            <w:tcW w:w="1418" w:type="dxa"/>
            <w:noWrap/>
            <w:vAlign w:val="bottom"/>
            <w:hideMark/>
          </w:tcPr>
          <w:p w14:paraId="7DCF118B"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21.23</w:t>
            </w:r>
          </w:p>
        </w:tc>
        <w:tc>
          <w:tcPr>
            <w:tcW w:w="1275" w:type="dxa"/>
            <w:noWrap/>
            <w:vAlign w:val="bottom"/>
          </w:tcPr>
          <w:p w14:paraId="0BE0EC92"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7.29</w:t>
            </w:r>
          </w:p>
        </w:tc>
      </w:tr>
      <w:tr w:rsidR="00E326C4" w:rsidRPr="005C5E32" w14:paraId="5FBCF9D1" w14:textId="77777777" w:rsidTr="00EE010E">
        <w:tc>
          <w:tcPr>
            <w:tcW w:w="4395" w:type="dxa"/>
            <w:noWrap/>
            <w:vAlign w:val="bottom"/>
          </w:tcPr>
          <w:p w14:paraId="11BF4420"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International Long haul premium economy class</w:t>
            </w:r>
          </w:p>
        </w:tc>
        <w:tc>
          <w:tcPr>
            <w:tcW w:w="1417" w:type="dxa"/>
          </w:tcPr>
          <w:p w14:paraId="71A52CCE"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125.72</w:t>
            </w:r>
          </w:p>
        </w:tc>
        <w:tc>
          <w:tcPr>
            <w:tcW w:w="1418" w:type="dxa"/>
            <w:noWrap/>
            <w:vAlign w:val="bottom"/>
          </w:tcPr>
          <w:p w14:paraId="68B4C8FA"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135.93</w:t>
            </w:r>
          </w:p>
        </w:tc>
        <w:tc>
          <w:tcPr>
            <w:tcW w:w="1275" w:type="dxa"/>
            <w:noWrap/>
            <w:vAlign w:val="bottom"/>
          </w:tcPr>
          <w:p w14:paraId="7A8F1F9E"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118.66</w:t>
            </w:r>
          </w:p>
        </w:tc>
      </w:tr>
      <w:tr w:rsidR="00E326C4" w:rsidRPr="005C5E32" w14:paraId="15975376" w14:textId="77777777" w:rsidTr="00EE010E">
        <w:tc>
          <w:tcPr>
            <w:tcW w:w="4395" w:type="dxa"/>
            <w:noWrap/>
            <w:vAlign w:val="bottom"/>
            <w:hideMark/>
          </w:tcPr>
          <w:p w14:paraId="6FC8A5DB"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International Long haul economy class</w:t>
            </w:r>
          </w:p>
        </w:tc>
        <w:tc>
          <w:tcPr>
            <w:tcW w:w="1417" w:type="dxa"/>
          </w:tcPr>
          <w:p w14:paraId="7F8FC814"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28.70</w:t>
            </w:r>
          </w:p>
        </w:tc>
        <w:tc>
          <w:tcPr>
            <w:tcW w:w="1418" w:type="dxa"/>
            <w:noWrap/>
            <w:vAlign w:val="bottom"/>
            <w:hideMark/>
          </w:tcPr>
          <w:p w14:paraId="49FB9B7B"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9.01</w:t>
            </w:r>
          </w:p>
        </w:tc>
        <w:tc>
          <w:tcPr>
            <w:tcW w:w="1275" w:type="dxa"/>
            <w:noWrap/>
            <w:vAlign w:val="bottom"/>
          </w:tcPr>
          <w:p w14:paraId="54888D08" w14:textId="004F77CE"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22.</w:t>
            </w:r>
            <w:r w:rsidR="00DE561F" w:rsidRPr="005C5E32">
              <w:rPr>
                <w:rFonts w:eastAsia="MS Mincho" w:cs="Times New Roman"/>
                <w:color w:val="000000"/>
                <w:sz w:val="18"/>
              </w:rPr>
              <w:t>65</w:t>
            </w:r>
          </w:p>
        </w:tc>
      </w:tr>
      <w:tr w:rsidR="00E326C4" w:rsidRPr="005C5E32" w14:paraId="198B9EB6" w14:textId="77777777" w:rsidTr="00EE010E">
        <w:tc>
          <w:tcPr>
            <w:tcW w:w="4395" w:type="dxa"/>
            <w:noWrap/>
            <w:vAlign w:val="bottom"/>
          </w:tcPr>
          <w:p w14:paraId="69698A64"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International Short haul business class</w:t>
            </w:r>
          </w:p>
        </w:tc>
        <w:tc>
          <w:tcPr>
            <w:tcW w:w="1417" w:type="dxa"/>
          </w:tcPr>
          <w:p w14:paraId="10EF04D5"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0.00</w:t>
            </w:r>
          </w:p>
        </w:tc>
        <w:tc>
          <w:tcPr>
            <w:tcW w:w="1418" w:type="dxa"/>
            <w:noWrap/>
            <w:vAlign w:val="bottom"/>
          </w:tcPr>
          <w:p w14:paraId="3C992570"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1.44</w:t>
            </w:r>
          </w:p>
        </w:tc>
        <w:tc>
          <w:tcPr>
            <w:tcW w:w="1275" w:type="dxa"/>
            <w:noWrap/>
            <w:vAlign w:val="bottom"/>
          </w:tcPr>
          <w:p w14:paraId="5A3E0D28"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1.30</w:t>
            </w:r>
          </w:p>
        </w:tc>
      </w:tr>
      <w:tr w:rsidR="00E326C4" w:rsidRPr="005C5E32" w14:paraId="4705931E" w14:textId="77777777" w:rsidTr="00EE010E">
        <w:tc>
          <w:tcPr>
            <w:tcW w:w="4395" w:type="dxa"/>
            <w:noWrap/>
            <w:vAlign w:val="bottom"/>
            <w:hideMark/>
          </w:tcPr>
          <w:p w14:paraId="1C54642B"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International Short haul economy class</w:t>
            </w:r>
          </w:p>
        </w:tc>
        <w:tc>
          <w:tcPr>
            <w:tcW w:w="1417" w:type="dxa"/>
          </w:tcPr>
          <w:p w14:paraId="6C937400"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15.70</w:t>
            </w:r>
          </w:p>
        </w:tc>
        <w:tc>
          <w:tcPr>
            <w:tcW w:w="1418" w:type="dxa"/>
            <w:noWrap/>
            <w:vAlign w:val="bottom"/>
            <w:hideMark/>
          </w:tcPr>
          <w:p w14:paraId="6FD60E8C"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15.65</w:t>
            </w:r>
          </w:p>
        </w:tc>
        <w:tc>
          <w:tcPr>
            <w:tcW w:w="1275" w:type="dxa"/>
            <w:noWrap/>
            <w:vAlign w:val="bottom"/>
          </w:tcPr>
          <w:p w14:paraId="01F8F617" w14:textId="1460D62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22.</w:t>
            </w:r>
            <w:r w:rsidR="0052365D" w:rsidRPr="005C5E32">
              <w:rPr>
                <w:rFonts w:eastAsia="MS Mincho" w:cs="Times New Roman"/>
                <w:color w:val="000000"/>
                <w:sz w:val="18"/>
              </w:rPr>
              <w:t>90</w:t>
            </w:r>
          </w:p>
        </w:tc>
      </w:tr>
      <w:tr w:rsidR="00E326C4" w:rsidRPr="005C5E32" w14:paraId="1084C8D0" w14:textId="77777777" w:rsidTr="00EE010E">
        <w:tc>
          <w:tcPr>
            <w:tcW w:w="8505" w:type="dxa"/>
            <w:gridSpan w:val="4"/>
          </w:tcPr>
          <w:p w14:paraId="3BE9B9AC" w14:textId="77777777" w:rsidR="00E326C4" w:rsidRPr="005C5E32" w:rsidRDefault="00E326C4" w:rsidP="000740D2">
            <w:pPr>
              <w:spacing w:before="30" w:after="30" w:line="240" w:lineRule="atLeast"/>
              <w:rPr>
                <w:rFonts w:eastAsia="MS Mincho" w:cs="Times New Roman"/>
                <w:b/>
                <w:color w:val="000000"/>
                <w:sz w:val="18"/>
              </w:rPr>
            </w:pPr>
            <w:r w:rsidRPr="005C5E32">
              <w:rPr>
                <w:rFonts w:eastAsia="MS Mincho" w:cs="Calibri"/>
                <w:b/>
                <w:sz w:val="18"/>
              </w:rPr>
              <w:t>Ground travel</w:t>
            </w:r>
          </w:p>
        </w:tc>
      </w:tr>
      <w:tr w:rsidR="00E326C4" w:rsidRPr="005C5E32" w14:paraId="0BB2C179" w14:textId="77777777" w:rsidTr="00EE010E">
        <w:tc>
          <w:tcPr>
            <w:tcW w:w="4395" w:type="dxa"/>
            <w:noWrap/>
            <w:vAlign w:val="bottom"/>
            <w:hideMark/>
          </w:tcPr>
          <w:p w14:paraId="5118986C"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Bus travel (electric and other fuel sources)</w:t>
            </w:r>
          </w:p>
        </w:tc>
        <w:tc>
          <w:tcPr>
            <w:tcW w:w="1417" w:type="dxa"/>
          </w:tcPr>
          <w:p w14:paraId="379C3E4D"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0.08</w:t>
            </w:r>
          </w:p>
        </w:tc>
        <w:tc>
          <w:tcPr>
            <w:tcW w:w="1418" w:type="dxa"/>
            <w:noWrap/>
            <w:vAlign w:val="bottom"/>
            <w:hideMark/>
          </w:tcPr>
          <w:p w14:paraId="000EEC5D"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0.12</w:t>
            </w:r>
          </w:p>
        </w:tc>
        <w:tc>
          <w:tcPr>
            <w:tcW w:w="1275" w:type="dxa"/>
            <w:noWrap/>
            <w:vAlign w:val="bottom"/>
          </w:tcPr>
          <w:p w14:paraId="578E5DD6"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0.11</w:t>
            </w:r>
          </w:p>
        </w:tc>
      </w:tr>
      <w:tr w:rsidR="00E326C4" w:rsidRPr="005C5E32" w14:paraId="5BBEA002" w14:textId="77777777" w:rsidTr="00EE010E">
        <w:tc>
          <w:tcPr>
            <w:tcW w:w="4395" w:type="dxa"/>
            <w:noWrap/>
            <w:vAlign w:val="bottom"/>
          </w:tcPr>
          <w:p w14:paraId="63B50131" w14:textId="1EB078F1"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Ferry travel (N</w:t>
            </w:r>
            <w:r w:rsidR="005B42FD" w:rsidRPr="005C5E32">
              <w:rPr>
                <w:rFonts w:eastAsia="MS Mincho" w:cs="Times New Roman"/>
                <w:color w:val="000000"/>
                <w:sz w:val="18"/>
              </w:rPr>
              <w:t>ew Zealand</w:t>
            </w:r>
            <w:r w:rsidRPr="005C5E32">
              <w:rPr>
                <w:rFonts w:eastAsia="MS Mincho" w:cs="Times New Roman"/>
                <w:color w:val="000000"/>
                <w:sz w:val="18"/>
              </w:rPr>
              <w:t xml:space="preserve"> passenger ferry)</w:t>
            </w:r>
          </w:p>
        </w:tc>
        <w:tc>
          <w:tcPr>
            <w:tcW w:w="1417" w:type="dxa"/>
          </w:tcPr>
          <w:p w14:paraId="31FBA485"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0.01</w:t>
            </w:r>
          </w:p>
        </w:tc>
        <w:tc>
          <w:tcPr>
            <w:tcW w:w="1418" w:type="dxa"/>
            <w:noWrap/>
            <w:vAlign w:val="bottom"/>
          </w:tcPr>
          <w:p w14:paraId="1DE3557D"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0.02</w:t>
            </w:r>
          </w:p>
        </w:tc>
        <w:tc>
          <w:tcPr>
            <w:tcW w:w="1275" w:type="dxa"/>
            <w:noWrap/>
            <w:vAlign w:val="bottom"/>
          </w:tcPr>
          <w:p w14:paraId="355367B7"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0.38</w:t>
            </w:r>
          </w:p>
        </w:tc>
      </w:tr>
      <w:tr w:rsidR="00E326C4" w:rsidRPr="005C5E32" w14:paraId="5A93F688" w14:textId="77777777" w:rsidTr="00EE010E">
        <w:tc>
          <w:tcPr>
            <w:tcW w:w="4395" w:type="dxa"/>
            <w:noWrap/>
            <w:vAlign w:val="bottom"/>
          </w:tcPr>
          <w:p w14:paraId="3B0D6656"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Rail travel (national and international)</w:t>
            </w:r>
          </w:p>
        </w:tc>
        <w:tc>
          <w:tcPr>
            <w:tcW w:w="1417" w:type="dxa"/>
          </w:tcPr>
          <w:p w14:paraId="0C1BC384"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0.04</w:t>
            </w:r>
          </w:p>
        </w:tc>
        <w:tc>
          <w:tcPr>
            <w:tcW w:w="1418" w:type="dxa"/>
            <w:noWrap/>
            <w:vAlign w:val="bottom"/>
          </w:tcPr>
          <w:p w14:paraId="2028635D"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0.01</w:t>
            </w:r>
          </w:p>
        </w:tc>
        <w:tc>
          <w:tcPr>
            <w:tcW w:w="1275" w:type="dxa"/>
            <w:noWrap/>
            <w:vAlign w:val="bottom"/>
          </w:tcPr>
          <w:p w14:paraId="4878BA68"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0.07</w:t>
            </w:r>
          </w:p>
        </w:tc>
      </w:tr>
      <w:tr w:rsidR="00E326C4" w:rsidRPr="005C5E32" w14:paraId="75CBF4F0" w14:textId="77777777" w:rsidTr="00EE010E">
        <w:tc>
          <w:tcPr>
            <w:tcW w:w="4395" w:type="dxa"/>
            <w:noWrap/>
            <w:vAlign w:val="bottom"/>
          </w:tcPr>
          <w:p w14:paraId="79659592"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 xml:space="preserve">Private Car average </w:t>
            </w:r>
          </w:p>
        </w:tc>
        <w:tc>
          <w:tcPr>
            <w:tcW w:w="1417" w:type="dxa"/>
          </w:tcPr>
          <w:p w14:paraId="4927FDE5"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17.86</w:t>
            </w:r>
          </w:p>
        </w:tc>
        <w:tc>
          <w:tcPr>
            <w:tcW w:w="1418" w:type="dxa"/>
            <w:noWrap/>
            <w:vAlign w:val="bottom"/>
          </w:tcPr>
          <w:p w14:paraId="1E441DC6"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8.22</w:t>
            </w:r>
          </w:p>
        </w:tc>
        <w:tc>
          <w:tcPr>
            <w:tcW w:w="1275" w:type="dxa"/>
            <w:noWrap/>
            <w:vAlign w:val="bottom"/>
          </w:tcPr>
          <w:p w14:paraId="3636F7C4"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8.26</w:t>
            </w:r>
          </w:p>
        </w:tc>
      </w:tr>
      <w:tr w:rsidR="00E326C4" w:rsidRPr="005C5E32" w14:paraId="4842BA79" w14:textId="77777777" w:rsidTr="00EE010E">
        <w:tc>
          <w:tcPr>
            <w:tcW w:w="4395" w:type="dxa"/>
            <w:noWrap/>
            <w:vAlign w:val="bottom"/>
          </w:tcPr>
          <w:p w14:paraId="2C809A1E"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Rental Car average (hybrid)</w:t>
            </w:r>
          </w:p>
        </w:tc>
        <w:tc>
          <w:tcPr>
            <w:tcW w:w="1417" w:type="dxa"/>
          </w:tcPr>
          <w:p w14:paraId="5CA53F59"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1.33</w:t>
            </w:r>
          </w:p>
        </w:tc>
        <w:tc>
          <w:tcPr>
            <w:tcW w:w="1418" w:type="dxa"/>
            <w:noWrap/>
            <w:vAlign w:val="bottom"/>
          </w:tcPr>
          <w:p w14:paraId="4A7C19FD"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1.28</w:t>
            </w:r>
          </w:p>
        </w:tc>
        <w:tc>
          <w:tcPr>
            <w:tcW w:w="1275" w:type="dxa"/>
            <w:noWrap/>
            <w:vAlign w:val="bottom"/>
          </w:tcPr>
          <w:p w14:paraId="15FDE4E4"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0.86</w:t>
            </w:r>
          </w:p>
        </w:tc>
      </w:tr>
      <w:tr w:rsidR="00E326C4" w:rsidRPr="005C5E32" w14:paraId="109ACC05" w14:textId="77777777" w:rsidTr="00EE010E">
        <w:tc>
          <w:tcPr>
            <w:tcW w:w="4395" w:type="dxa"/>
            <w:noWrap/>
            <w:vAlign w:val="bottom"/>
          </w:tcPr>
          <w:p w14:paraId="42F87DE9"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Rental Car XL (petrol over 3000cc)</w:t>
            </w:r>
          </w:p>
        </w:tc>
        <w:tc>
          <w:tcPr>
            <w:tcW w:w="1417" w:type="dxa"/>
          </w:tcPr>
          <w:p w14:paraId="52033833"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9.06</w:t>
            </w:r>
          </w:p>
        </w:tc>
        <w:tc>
          <w:tcPr>
            <w:tcW w:w="1418" w:type="dxa"/>
            <w:noWrap/>
            <w:vAlign w:val="bottom"/>
          </w:tcPr>
          <w:p w14:paraId="608FCD39"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0.26</w:t>
            </w:r>
          </w:p>
        </w:tc>
        <w:tc>
          <w:tcPr>
            <w:tcW w:w="1275" w:type="dxa"/>
            <w:noWrap/>
            <w:vAlign w:val="bottom"/>
          </w:tcPr>
          <w:p w14:paraId="07C0F59A"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0.03</w:t>
            </w:r>
          </w:p>
        </w:tc>
      </w:tr>
      <w:tr w:rsidR="00E326C4" w:rsidRPr="005C5E32" w14:paraId="206B5C93" w14:textId="77777777" w:rsidTr="00EE010E">
        <w:tc>
          <w:tcPr>
            <w:tcW w:w="4395" w:type="dxa"/>
            <w:noWrap/>
            <w:vAlign w:val="bottom"/>
          </w:tcPr>
          <w:p w14:paraId="1D91A2B3" w14:textId="7C7E28FD"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Rental Car Large (petrol 2000</w:t>
            </w:r>
            <w:r w:rsidR="00CD7D8C" w:rsidRPr="005C5E32">
              <w:rPr>
                <w:rFonts w:eastAsia="MS Mincho" w:cs="Times New Roman"/>
                <w:color w:val="000000"/>
                <w:sz w:val="18"/>
              </w:rPr>
              <w:t>–</w:t>
            </w:r>
            <w:r w:rsidRPr="005C5E32">
              <w:rPr>
                <w:rFonts w:eastAsia="MS Mincho" w:cs="Times New Roman"/>
                <w:color w:val="000000"/>
                <w:sz w:val="18"/>
              </w:rPr>
              <w:t>2999cc)</w:t>
            </w:r>
          </w:p>
        </w:tc>
        <w:tc>
          <w:tcPr>
            <w:tcW w:w="1417" w:type="dxa"/>
          </w:tcPr>
          <w:p w14:paraId="771B806B"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2.47</w:t>
            </w:r>
          </w:p>
        </w:tc>
        <w:tc>
          <w:tcPr>
            <w:tcW w:w="1418" w:type="dxa"/>
            <w:noWrap/>
            <w:vAlign w:val="bottom"/>
          </w:tcPr>
          <w:p w14:paraId="751A8F70"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0.67</w:t>
            </w:r>
          </w:p>
        </w:tc>
        <w:tc>
          <w:tcPr>
            <w:tcW w:w="1275" w:type="dxa"/>
            <w:noWrap/>
            <w:vAlign w:val="bottom"/>
          </w:tcPr>
          <w:p w14:paraId="16FDC496"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0.88</w:t>
            </w:r>
          </w:p>
        </w:tc>
      </w:tr>
      <w:tr w:rsidR="00E326C4" w:rsidRPr="005C5E32" w14:paraId="6E84F655" w14:textId="77777777" w:rsidTr="00EE010E">
        <w:tc>
          <w:tcPr>
            <w:tcW w:w="4395" w:type="dxa"/>
            <w:noWrap/>
            <w:vAlign w:val="bottom"/>
          </w:tcPr>
          <w:p w14:paraId="51CB4214" w14:textId="4439EBD6"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Rental Car Medium (petrol 1600</w:t>
            </w:r>
            <w:r w:rsidR="00CD7D8C" w:rsidRPr="005C5E32">
              <w:rPr>
                <w:rFonts w:eastAsia="MS Mincho" w:cs="Times New Roman"/>
                <w:color w:val="000000"/>
                <w:sz w:val="18"/>
              </w:rPr>
              <w:t>–</w:t>
            </w:r>
            <w:r w:rsidRPr="005C5E32">
              <w:rPr>
                <w:rFonts w:eastAsia="MS Mincho" w:cs="Times New Roman"/>
                <w:color w:val="000000"/>
                <w:sz w:val="18"/>
              </w:rPr>
              <w:t>2000cc)</w:t>
            </w:r>
          </w:p>
        </w:tc>
        <w:tc>
          <w:tcPr>
            <w:tcW w:w="1417" w:type="dxa"/>
          </w:tcPr>
          <w:p w14:paraId="7DB2C876"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12.37</w:t>
            </w:r>
          </w:p>
        </w:tc>
        <w:tc>
          <w:tcPr>
            <w:tcW w:w="1418" w:type="dxa"/>
            <w:noWrap/>
            <w:vAlign w:val="bottom"/>
          </w:tcPr>
          <w:p w14:paraId="4EC156D8"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1.61</w:t>
            </w:r>
          </w:p>
        </w:tc>
        <w:tc>
          <w:tcPr>
            <w:tcW w:w="1275" w:type="dxa"/>
            <w:noWrap/>
            <w:vAlign w:val="bottom"/>
          </w:tcPr>
          <w:p w14:paraId="6A2D7F99"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0.54</w:t>
            </w:r>
          </w:p>
        </w:tc>
      </w:tr>
      <w:tr w:rsidR="00E326C4" w:rsidRPr="005C5E32" w14:paraId="750E9334" w14:textId="77777777" w:rsidTr="00EE010E">
        <w:tc>
          <w:tcPr>
            <w:tcW w:w="4395" w:type="dxa"/>
            <w:noWrap/>
            <w:vAlign w:val="bottom"/>
          </w:tcPr>
          <w:p w14:paraId="7DEB0E57" w14:textId="2B1FA36A"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Rental Car Small (petrol 1350</w:t>
            </w:r>
            <w:r w:rsidR="00CD7D8C" w:rsidRPr="005C5E32">
              <w:rPr>
                <w:rFonts w:eastAsia="MS Mincho" w:cs="Times New Roman"/>
                <w:color w:val="000000"/>
                <w:sz w:val="18"/>
              </w:rPr>
              <w:t>–</w:t>
            </w:r>
            <w:r w:rsidRPr="005C5E32">
              <w:rPr>
                <w:rFonts w:eastAsia="MS Mincho" w:cs="Times New Roman"/>
                <w:color w:val="000000"/>
                <w:sz w:val="18"/>
              </w:rPr>
              <w:t>1600cc)</w:t>
            </w:r>
          </w:p>
        </w:tc>
        <w:tc>
          <w:tcPr>
            <w:tcW w:w="1417" w:type="dxa"/>
          </w:tcPr>
          <w:p w14:paraId="3D921C5D"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3.86</w:t>
            </w:r>
          </w:p>
        </w:tc>
        <w:tc>
          <w:tcPr>
            <w:tcW w:w="1418" w:type="dxa"/>
            <w:noWrap/>
            <w:vAlign w:val="bottom"/>
          </w:tcPr>
          <w:p w14:paraId="2956DFE6"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1.33</w:t>
            </w:r>
          </w:p>
        </w:tc>
        <w:tc>
          <w:tcPr>
            <w:tcW w:w="1275" w:type="dxa"/>
            <w:noWrap/>
            <w:vAlign w:val="bottom"/>
          </w:tcPr>
          <w:p w14:paraId="04D8324E"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0.97</w:t>
            </w:r>
          </w:p>
        </w:tc>
      </w:tr>
      <w:tr w:rsidR="00E326C4" w:rsidRPr="005C5E32" w14:paraId="02B5703E" w14:textId="77777777" w:rsidTr="00EE010E">
        <w:tc>
          <w:tcPr>
            <w:tcW w:w="4395" w:type="dxa"/>
            <w:noWrap/>
            <w:vAlign w:val="bottom"/>
          </w:tcPr>
          <w:p w14:paraId="4B322CEC" w14:textId="02592841"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Rental Car Large (diesel 2000</w:t>
            </w:r>
            <w:r w:rsidR="00CD7D8C" w:rsidRPr="005C5E32">
              <w:rPr>
                <w:rFonts w:eastAsia="MS Mincho" w:cs="Times New Roman"/>
                <w:color w:val="000000"/>
                <w:sz w:val="18"/>
              </w:rPr>
              <w:t>–</w:t>
            </w:r>
            <w:r w:rsidRPr="005C5E32">
              <w:rPr>
                <w:rFonts w:eastAsia="MS Mincho" w:cs="Times New Roman"/>
                <w:color w:val="000000"/>
                <w:sz w:val="18"/>
              </w:rPr>
              <w:t>2999cc)</w:t>
            </w:r>
          </w:p>
        </w:tc>
        <w:tc>
          <w:tcPr>
            <w:tcW w:w="1417" w:type="dxa"/>
          </w:tcPr>
          <w:p w14:paraId="5EF23D76"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1.93</w:t>
            </w:r>
          </w:p>
        </w:tc>
        <w:tc>
          <w:tcPr>
            <w:tcW w:w="1418" w:type="dxa"/>
            <w:noWrap/>
            <w:vAlign w:val="bottom"/>
          </w:tcPr>
          <w:p w14:paraId="0E2CCF02"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0.11</w:t>
            </w:r>
          </w:p>
        </w:tc>
        <w:tc>
          <w:tcPr>
            <w:tcW w:w="1275" w:type="dxa"/>
            <w:noWrap/>
            <w:vAlign w:val="bottom"/>
          </w:tcPr>
          <w:p w14:paraId="680E2BDB"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0.00</w:t>
            </w:r>
          </w:p>
        </w:tc>
      </w:tr>
      <w:tr w:rsidR="00E326C4" w:rsidRPr="005C5E32" w14:paraId="7B89D46E" w14:textId="77777777" w:rsidTr="00EE010E">
        <w:tc>
          <w:tcPr>
            <w:tcW w:w="4395" w:type="dxa"/>
            <w:noWrap/>
            <w:vAlign w:val="bottom"/>
          </w:tcPr>
          <w:p w14:paraId="059F9B6C" w14:textId="77777777" w:rsidR="00E326C4" w:rsidRPr="005C5E32" w:rsidRDefault="00E326C4" w:rsidP="000740D2">
            <w:pPr>
              <w:spacing w:before="30" w:after="30" w:line="240" w:lineRule="atLeast"/>
              <w:rPr>
                <w:rFonts w:eastAsia="MS Mincho" w:cs="Calibri"/>
                <w:b/>
                <w:bCs/>
                <w:sz w:val="18"/>
              </w:rPr>
            </w:pPr>
            <w:r w:rsidRPr="005C5E32">
              <w:rPr>
                <w:rFonts w:eastAsia="MS Mincho" w:cs="Times New Roman"/>
                <w:color w:val="000000"/>
                <w:sz w:val="18"/>
              </w:rPr>
              <w:t>Taxi (regular)</w:t>
            </w:r>
          </w:p>
        </w:tc>
        <w:tc>
          <w:tcPr>
            <w:tcW w:w="1417" w:type="dxa"/>
          </w:tcPr>
          <w:p w14:paraId="571A27BF"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6.22</w:t>
            </w:r>
          </w:p>
        </w:tc>
        <w:tc>
          <w:tcPr>
            <w:tcW w:w="1418" w:type="dxa"/>
            <w:noWrap/>
            <w:vAlign w:val="bottom"/>
          </w:tcPr>
          <w:p w14:paraId="2173ACFC"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5.20</w:t>
            </w:r>
          </w:p>
        </w:tc>
        <w:tc>
          <w:tcPr>
            <w:tcW w:w="1275" w:type="dxa"/>
            <w:noWrap/>
            <w:vAlign w:val="bottom"/>
          </w:tcPr>
          <w:p w14:paraId="6DC00B99"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5.93</w:t>
            </w:r>
          </w:p>
        </w:tc>
      </w:tr>
      <w:tr w:rsidR="00E326C4" w:rsidRPr="005C5E32" w14:paraId="148F3F54" w14:textId="77777777" w:rsidTr="00EE010E">
        <w:tc>
          <w:tcPr>
            <w:tcW w:w="4395" w:type="dxa"/>
            <w:noWrap/>
            <w:vAlign w:val="bottom"/>
          </w:tcPr>
          <w:p w14:paraId="71A776DF" w14:textId="77777777" w:rsidR="00E326C4" w:rsidRPr="005C5E32" w:rsidRDefault="00E326C4" w:rsidP="000740D2">
            <w:pPr>
              <w:spacing w:before="30" w:after="30" w:line="240" w:lineRule="atLeast"/>
              <w:rPr>
                <w:rFonts w:eastAsia="MS Mincho" w:cs="Calibri"/>
                <w:b/>
                <w:bCs/>
                <w:sz w:val="18"/>
              </w:rPr>
            </w:pPr>
            <w:r w:rsidRPr="005C5E32">
              <w:rPr>
                <w:rFonts w:eastAsia="MS Mincho" w:cs="Times New Roman"/>
                <w:color w:val="000000"/>
                <w:sz w:val="18"/>
              </w:rPr>
              <w:t>Taxis (hybrid/EV)</w:t>
            </w:r>
          </w:p>
        </w:tc>
        <w:tc>
          <w:tcPr>
            <w:tcW w:w="1417" w:type="dxa"/>
          </w:tcPr>
          <w:p w14:paraId="40882D0B"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0.00</w:t>
            </w:r>
          </w:p>
        </w:tc>
        <w:tc>
          <w:tcPr>
            <w:tcW w:w="1418" w:type="dxa"/>
            <w:noWrap/>
            <w:vAlign w:val="bottom"/>
          </w:tcPr>
          <w:p w14:paraId="4334C55B"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0.09</w:t>
            </w:r>
          </w:p>
        </w:tc>
        <w:tc>
          <w:tcPr>
            <w:tcW w:w="1275" w:type="dxa"/>
            <w:noWrap/>
            <w:vAlign w:val="bottom"/>
          </w:tcPr>
          <w:p w14:paraId="5A83FD0A"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0.01</w:t>
            </w:r>
          </w:p>
        </w:tc>
      </w:tr>
      <w:tr w:rsidR="00E326C4" w:rsidRPr="005C5E32" w14:paraId="1C1CB379" w14:textId="77777777" w:rsidTr="00EE010E">
        <w:tc>
          <w:tcPr>
            <w:tcW w:w="8505" w:type="dxa"/>
            <w:gridSpan w:val="4"/>
          </w:tcPr>
          <w:p w14:paraId="567D330F"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Calibri"/>
                <w:b/>
                <w:sz w:val="18"/>
              </w:rPr>
              <w:t>Electricity</w:t>
            </w:r>
          </w:p>
        </w:tc>
      </w:tr>
      <w:tr w:rsidR="00E326C4" w:rsidRPr="005C5E32" w14:paraId="0C219991" w14:textId="77777777" w:rsidTr="00EE010E">
        <w:tc>
          <w:tcPr>
            <w:tcW w:w="4395" w:type="dxa"/>
            <w:noWrap/>
            <w:vAlign w:val="bottom"/>
          </w:tcPr>
          <w:p w14:paraId="141DE773"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Electricity</w:t>
            </w:r>
          </w:p>
        </w:tc>
        <w:tc>
          <w:tcPr>
            <w:tcW w:w="1417" w:type="dxa"/>
          </w:tcPr>
          <w:p w14:paraId="5A44ECFC"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42.06</w:t>
            </w:r>
          </w:p>
        </w:tc>
        <w:tc>
          <w:tcPr>
            <w:tcW w:w="1418" w:type="dxa"/>
            <w:noWrap/>
            <w:vAlign w:val="bottom"/>
          </w:tcPr>
          <w:p w14:paraId="214460F5"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44.13</w:t>
            </w:r>
          </w:p>
        </w:tc>
        <w:tc>
          <w:tcPr>
            <w:tcW w:w="1275" w:type="dxa"/>
            <w:noWrap/>
            <w:vAlign w:val="bottom"/>
          </w:tcPr>
          <w:p w14:paraId="57484F93"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39.51</w:t>
            </w:r>
          </w:p>
        </w:tc>
      </w:tr>
      <w:tr w:rsidR="00E326C4" w:rsidRPr="005C5E32" w14:paraId="57DC292C" w14:textId="77777777" w:rsidTr="00EE010E">
        <w:tc>
          <w:tcPr>
            <w:tcW w:w="4395" w:type="dxa"/>
            <w:noWrap/>
            <w:vAlign w:val="bottom"/>
            <w:hideMark/>
          </w:tcPr>
          <w:p w14:paraId="000CF704"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Electricity distributed T&amp;D losses</w:t>
            </w:r>
          </w:p>
        </w:tc>
        <w:tc>
          <w:tcPr>
            <w:tcW w:w="1417" w:type="dxa"/>
          </w:tcPr>
          <w:p w14:paraId="0C6D15CB"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3.09</w:t>
            </w:r>
          </w:p>
        </w:tc>
        <w:tc>
          <w:tcPr>
            <w:tcW w:w="1418" w:type="dxa"/>
            <w:noWrap/>
            <w:vAlign w:val="bottom"/>
            <w:hideMark/>
          </w:tcPr>
          <w:p w14:paraId="4FE9CF35"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3.36</w:t>
            </w:r>
          </w:p>
        </w:tc>
        <w:tc>
          <w:tcPr>
            <w:tcW w:w="1275" w:type="dxa"/>
            <w:noWrap/>
            <w:vAlign w:val="bottom"/>
          </w:tcPr>
          <w:p w14:paraId="57BF102B"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2.99</w:t>
            </w:r>
          </w:p>
        </w:tc>
      </w:tr>
      <w:tr w:rsidR="00E326C4" w:rsidRPr="005C5E32" w14:paraId="714BEC83" w14:textId="77777777" w:rsidTr="00EE010E">
        <w:tc>
          <w:tcPr>
            <w:tcW w:w="8505" w:type="dxa"/>
            <w:gridSpan w:val="4"/>
          </w:tcPr>
          <w:p w14:paraId="342457E0"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Calibri"/>
                <w:b/>
                <w:sz w:val="18"/>
              </w:rPr>
              <w:t>Indirect emissions from products used by organisation</w:t>
            </w:r>
          </w:p>
        </w:tc>
      </w:tr>
      <w:tr w:rsidR="00E326C4" w:rsidRPr="005C5E32" w14:paraId="47F8C537" w14:textId="77777777" w:rsidTr="00EE010E">
        <w:tc>
          <w:tcPr>
            <w:tcW w:w="4395" w:type="dxa"/>
            <w:noWrap/>
            <w:vAlign w:val="bottom"/>
            <w:hideMark/>
          </w:tcPr>
          <w:p w14:paraId="08BD4A04"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 xml:space="preserve">Freight Air travel </w:t>
            </w:r>
          </w:p>
        </w:tc>
        <w:tc>
          <w:tcPr>
            <w:tcW w:w="1417" w:type="dxa"/>
          </w:tcPr>
          <w:p w14:paraId="60CD28A2"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0.46</w:t>
            </w:r>
          </w:p>
        </w:tc>
        <w:tc>
          <w:tcPr>
            <w:tcW w:w="1418" w:type="dxa"/>
            <w:noWrap/>
            <w:vAlign w:val="bottom"/>
            <w:hideMark/>
          </w:tcPr>
          <w:p w14:paraId="399CBCFF"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2.09</w:t>
            </w:r>
          </w:p>
        </w:tc>
        <w:tc>
          <w:tcPr>
            <w:tcW w:w="1275" w:type="dxa"/>
            <w:noWrap/>
            <w:vAlign w:val="bottom"/>
          </w:tcPr>
          <w:p w14:paraId="4D0B5CED"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0.91</w:t>
            </w:r>
          </w:p>
        </w:tc>
      </w:tr>
      <w:tr w:rsidR="00E326C4" w:rsidRPr="005C5E32" w14:paraId="12F0B117" w14:textId="77777777" w:rsidTr="00EE010E">
        <w:tc>
          <w:tcPr>
            <w:tcW w:w="4395" w:type="dxa"/>
            <w:noWrap/>
            <w:vAlign w:val="bottom"/>
            <w:hideMark/>
          </w:tcPr>
          <w:p w14:paraId="2DB2B602" w14:textId="45CFF41E"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 xml:space="preserve">Freight Road </w:t>
            </w:r>
            <w:r w:rsidR="0072093D" w:rsidRPr="005C5E32">
              <w:rPr>
                <w:rFonts w:eastAsia="MS Mincho" w:cs="Times New Roman"/>
                <w:color w:val="000000"/>
                <w:sz w:val="18"/>
              </w:rPr>
              <w:t>and Ferry</w:t>
            </w:r>
          </w:p>
        </w:tc>
        <w:tc>
          <w:tcPr>
            <w:tcW w:w="1417" w:type="dxa"/>
          </w:tcPr>
          <w:p w14:paraId="3BFD3B33"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0.29</w:t>
            </w:r>
          </w:p>
        </w:tc>
        <w:tc>
          <w:tcPr>
            <w:tcW w:w="1418" w:type="dxa"/>
            <w:noWrap/>
            <w:vAlign w:val="bottom"/>
            <w:hideMark/>
          </w:tcPr>
          <w:p w14:paraId="7CD4F083"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0.21</w:t>
            </w:r>
          </w:p>
        </w:tc>
        <w:tc>
          <w:tcPr>
            <w:tcW w:w="1275" w:type="dxa"/>
            <w:noWrap/>
            <w:vAlign w:val="bottom"/>
          </w:tcPr>
          <w:p w14:paraId="101BBB64" w14:textId="4715B2DB"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w:t>
            </w:r>
            <w:r w:rsidR="00683D39" w:rsidRPr="005C5E32">
              <w:rPr>
                <w:rFonts w:eastAsia="MS Mincho" w:cs="Times New Roman"/>
                <w:color w:val="000000"/>
                <w:sz w:val="18"/>
              </w:rPr>
              <w:t>31</w:t>
            </w:r>
          </w:p>
        </w:tc>
      </w:tr>
      <w:tr w:rsidR="00E326C4" w:rsidRPr="005C5E32" w14:paraId="5A3A06E3" w14:textId="77777777" w:rsidTr="00EE010E">
        <w:tc>
          <w:tcPr>
            <w:tcW w:w="4395" w:type="dxa"/>
            <w:noWrap/>
            <w:vAlign w:val="bottom"/>
            <w:hideMark/>
          </w:tcPr>
          <w:p w14:paraId="36C676F4" w14:textId="7493D314"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 xml:space="preserve">Paper use </w:t>
            </w:r>
            <w:r w:rsidR="00CD7D8C" w:rsidRPr="005C5E32">
              <w:rPr>
                <w:rFonts w:eastAsia="MS Mincho" w:cs="Times New Roman"/>
                <w:color w:val="000000"/>
                <w:sz w:val="18"/>
              </w:rPr>
              <w:t>–</w:t>
            </w:r>
            <w:r w:rsidRPr="005C5E32">
              <w:rPr>
                <w:rFonts w:eastAsia="MS Mincho" w:cs="Times New Roman"/>
                <w:color w:val="000000"/>
                <w:sz w:val="18"/>
              </w:rPr>
              <w:t xml:space="preserve"> default</w:t>
            </w:r>
          </w:p>
        </w:tc>
        <w:tc>
          <w:tcPr>
            <w:tcW w:w="1417" w:type="dxa"/>
          </w:tcPr>
          <w:p w14:paraId="76CE3FEF"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1.54</w:t>
            </w:r>
          </w:p>
        </w:tc>
        <w:tc>
          <w:tcPr>
            <w:tcW w:w="1418" w:type="dxa"/>
            <w:noWrap/>
            <w:vAlign w:val="bottom"/>
            <w:hideMark/>
          </w:tcPr>
          <w:p w14:paraId="6177B719"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1.81</w:t>
            </w:r>
          </w:p>
        </w:tc>
        <w:tc>
          <w:tcPr>
            <w:tcW w:w="1275" w:type="dxa"/>
            <w:noWrap/>
            <w:vAlign w:val="bottom"/>
          </w:tcPr>
          <w:p w14:paraId="48B81CEA"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1.51</w:t>
            </w:r>
          </w:p>
        </w:tc>
      </w:tr>
      <w:tr w:rsidR="00E326C4" w:rsidRPr="005C5E32" w14:paraId="7152CCD3" w14:textId="77777777" w:rsidTr="00EE010E">
        <w:tc>
          <w:tcPr>
            <w:tcW w:w="4395" w:type="dxa"/>
            <w:noWrap/>
            <w:vAlign w:val="bottom"/>
            <w:hideMark/>
          </w:tcPr>
          <w:p w14:paraId="7F27100C"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Paper use office 100% recycled</w:t>
            </w:r>
          </w:p>
        </w:tc>
        <w:tc>
          <w:tcPr>
            <w:tcW w:w="1417" w:type="dxa"/>
          </w:tcPr>
          <w:p w14:paraId="189F978B"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0.33</w:t>
            </w:r>
          </w:p>
        </w:tc>
        <w:tc>
          <w:tcPr>
            <w:tcW w:w="1418" w:type="dxa"/>
            <w:noWrap/>
            <w:vAlign w:val="bottom"/>
            <w:hideMark/>
          </w:tcPr>
          <w:p w14:paraId="3D857AA6"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0.00</w:t>
            </w:r>
          </w:p>
        </w:tc>
        <w:tc>
          <w:tcPr>
            <w:tcW w:w="1275" w:type="dxa"/>
            <w:noWrap/>
            <w:vAlign w:val="bottom"/>
          </w:tcPr>
          <w:p w14:paraId="44BF1343"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0.00</w:t>
            </w:r>
          </w:p>
        </w:tc>
      </w:tr>
      <w:tr w:rsidR="00E326C4" w:rsidRPr="005C5E32" w14:paraId="14459689" w14:textId="77777777" w:rsidTr="00EE010E">
        <w:tc>
          <w:tcPr>
            <w:tcW w:w="4395" w:type="dxa"/>
            <w:noWrap/>
            <w:vAlign w:val="bottom"/>
          </w:tcPr>
          <w:p w14:paraId="1088B28A"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Cloud-based emissions</w:t>
            </w:r>
          </w:p>
        </w:tc>
        <w:tc>
          <w:tcPr>
            <w:tcW w:w="1417" w:type="dxa"/>
          </w:tcPr>
          <w:p w14:paraId="67362395"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0.00</w:t>
            </w:r>
          </w:p>
        </w:tc>
        <w:tc>
          <w:tcPr>
            <w:tcW w:w="1418" w:type="dxa"/>
            <w:noWrap/>
            <w:vAlign w:val="bottom"/>
          </w:tcPr>
          <w:p w14:paraId="230007F6"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0.00</w:t>
            </w:r>
          </w:p>
        </w:tc>
        <w:tc>
          <w:tcPr>
            <w:tcW w:w="1275" w:type="dxa"/>
            <w:noWrap/>
            <w:vAlign w:val="bottom"/>
          </w:tcPr>
          <w:p w14:paraId="533E335F"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1.91</w:t>
            </w:r>
          </w:p>
        </w:tc>
      </w:tr>
      <w:tr w:rsidR="00E326C4" w:rsidRPr="005C5E32" w14:paraId="1AC6E67D" w14:textId="77777777" w:rsidTr="00EE010E">
        <w:tc>
          <w:tcPr>
            <w:tcW w:w="8505" w:type="dxa"/>
            <w:gridSpan w:val="4"/>
          </w:tcPr>
          <w:p w14:paraId="4CACC323"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Calibri"/>
                <w:b/>
                <w:bCs/>
                <w:sz w:val="18"/>
              </w:rPr>
              <w:lastRenderedPageBreak/>
              <w:t>Indirect emissions from the organisation</w:t>
            </w:r>
          </w:p>
        </w:tc>
      </w:tr>
      <w:tr w:rsidR="00E326C4" w:rsidRPr="005C5E32" w14:paraId="67A263C9" w14:textId="77777777" w:rsidTr="00EE010E">
        <w:tc>
          <w:tcPr>
            <w:tcW w:w="4395" w:type="dxa"/>
            <w:noWrap/>
            <w:vAlign w:val="bottom"/>
          </w:tcPr>
          <w:p w14:paraId="5B851BE8"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Working from home</w:t>
            </w:r>
          </w:p>
        </w:tc>
        <w:tc>
          <w:tcPr>
            <w:tcW w:w="1417" w:type="dxa"/>
          </w:tcPr>
          <w:p w14:paraId="1C8C6C99"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65.93</w:t>
            </w:r>
          </w:p>
        </w:tc>
        <w:tc>
          <w:tcPr>
            <w:tcW w:w="1418" w:type="dxa"/>
            <w:noWrap/>
            <w:vAlign w:val="bottom"/>
          </w:tcPr>
          <w:p w14:paraId="522EF0D7"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61.36</w:t>
            </w:r>
          </w:p>
        </w:tc>
        <w:tc>
          <w:tcPr>
            <w:tcW w:w="1275" w:type="dxa"/>
            <w:noWrap/>
            <w:vAlign w:val="bottom"/>
          </w:tcPr>
          <w:p w14:paraId="6DDA37FA"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48.00</w:t>
            </w:r>
          </w:p>
        </w:tc>
      </w:tr>
      <w:tr w:rsidR="00E326C4" w:rsidRPr="005C5E32" w14:paraId="6B4DFB93" w14:textId="77777777" w:rsidTr="00EE010E">
        <w:tc>
          <w:tcPr>
            <w:tcW w:w="4395" w:type="dxa"/>
            <w:noWrap/>
            <w:vAlign w:val="bottom"/>
          </w:tcPr>
          <w:p w14:paraId="5BDAFA7F"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 xml:space="preserve">Recycling </w:t>
            </w:r>
          </w:p>
        </w:tc>
        <w:tc>
          <w:tcPr>
            <w:tcW w:w="1417" w:type="dxa"/>
          </w:tcPr>
          <w:p w14:paraId="7AC8CA3A"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0.00</w:t>
            </w:r>
          </w:p>
        </w:tc>
        <w:tc>
          <w:tcPr>
            <w:tcW w:w="1418" w:type="dxa"/>
            <w:noWrap/>
            <w:vAlign w:val="bottom"/>
          </w:tcPr>
          <w:p w14:paraId="04030916"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0.00</w:t>
            </w:r>
          </w:p>
        </w:tc>
        <w:tc>
          <w:tcPr>
            <w:tcW w:w="1275" w:type="dxa"/>
            <w:noWrap/>
            <w:vAlign w:val="bottom"/>
          </w:tcPr>
          <w:p w14:paraId="038047C5"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8.68</w:t>
            </w:r>
          </w:p>
        </w:tc>
      </w:tr>
      <w:tr w:rsidR="00E326C4" w:rsidRPr="005C5E32" w14:paraId="18308EF7" w14:textId="77777777" w:rsidTr="00EE010E">
        <w:tc>
          <w:tcPr>
            <w:tcW w:w="4395" w:type="dxa"/>
            <w:noWrap/>
            <w:vAlign w:val="bottom"/>
            <w:hideMark/>
          </w:tcPr>
          <w:p w14:paraId="29B91A49"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Waste landfilled LFGR Mixed waste</w:t>
            </w:r>
          </w:p>
        </w:tc>
        <w:tc>
          <w:tcPr>
            <w:tcW w:w="1417" w:type="dxa"/>
          </w:tcPr>
          <w:p w14:paraId="3D321AF1"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2.39</w:t>
            </w:r>
          </w:p>
        </w:tc>
        <w:tc>
          <w:tcPr>
            <w:tcW w:w="1418" w:type="dxa"/>
            <w:noWrap/>
            <w:vAlign w:val="bottom"/>
            <w:hideMark/>
          </w:tcPr>
          <w:p w14:paraId="464060C6"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2.17</w:t>
            </w:r>
          </w:p>
        </w:tc>
        <w:tc>
          <w:tcPr>
            <w:tcW w:w="1275" w:type="dxa"/>
            <w:noWrap/>
            <w:vAlign w:val="bottom"/>
          </w:tcPr>
          <w:p w14:paraId="2ECD61E0"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2.11</w:t>
            </w:r>
          </w:p>
        </w:tc>
      </w:tr>
      <w:tr w:rsidR="00E326C4" w:rsidRPr="005C5E32" w14:paraId="7BB40073" w14:textId="77777777" w:rsidTr="00EE010E">
        <w:tc>
          <w:tcPr>
            <w:tcW w:w="4395" w:type="dxa"/>
            <w:noWrap/>
            <w:vAlign w:val="bottom"/>
            <w:hideMark/>
          </w:tcPr>
          <w:p w14:paraId="19E9633D"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Wastewater for treatment plants (average)</w:t>
            </w:r>
          </w:p>
        </w:tc>
        <w:tc>
          <w:tcPr>
            <w:tcW w:w="1417" w:type="dxa"/>
          </w:tcPr>
          <w:p w14:paraId="2990D5E8"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2.64</w:t>
            </w:r>
          </w:p>
        </w:tc>
        <w:tc>
          <w:tcPr>
            <w:tcW w:w="1418" w:type="dxa"/>
            <w:noWrap/>
            <w:vAlign w:val="bottom"/>
            <w:hideMark/>
          </w:tcPr>
          <w:p w14:paraId="346AE858"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0.60</w:t>
            </w:r>
          </w:p>
        </w:tc>
        <w:tc>
          <w:tcPr>
            <w:tcW w:w="1275" w:type="dxa"/>
            <w:noWrap/>
            <w:vAlign w:val="bottom"/>
          </w:tcPr>
          <w:p w14:paraId="04604141"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3.27</w:t>
            </w:r>
          </w:p>
        </w:tc>
      </w:tr>
      <w:tr w:rsidR="00E326C4" w:rsidRPr="005C5E32" w14:paraId="0F5A1312" w14:textId="77777777" w:rsidTr="00EE010E">
        <w:tc>
          <w:tcPr>
            <w:tcW w:w="4395" w:type="dxa"/>
            <w:noWrap/>
            <w:vAlign w:val="bottom"/>
            <w:hideMark/>
          </w:tcPr>
          <w:p w14:paraId="43823191"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Times New Roman"/>
                <w:color w:val="000000"/>
                <w:sz w:val="18"/>
              </w:rPr>
              <w:t>Water supply</w:t>
            </w:r>
          </w:p>
        </w:tc>
        <w:tc>
          <w:tcPr>
            <w:tcW w:w="1417" w:type="dxa"/>
          </w:tcPr>
          <w:p w14:paraId="74B44FD4"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0.22</w:t>
            </w:r>
          </w:p>
        </w:tc>
        <w:tc>
          <w:tcPr>
            <w:tcW w:w="1418" w:type="dxa"/>
            <w:noWrap/>
            <w:vAlign w:val="bottom"/>
            <w:hideMark/>
          </w:tcPr>
          <w:p w14:paraId="44677525"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0.07</w:t>
            </w:r>
          </w:p>
        </w:tc>
        <w:tc>
          <w:tcPr>
            <w:tcW w:w="1275" w:type="dxa"/>
            <w:noWrap/>
            <w:vAlign w:val="bottom"/>
          </w:tcPr>
          <w:p w14:paraId="5005F378"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Times New Roman"/>
                <w:color w:val="000000"/>
                <w:sz w:val="18"/>
              </w:rPr>
              <w:t>0.06</w:t>
            </w:r>
          </w:p>
        </w:tc>
      </w:tr>
      <w:tr w:rsidR="00E326C4" w:rsidRPr="005C5E32" w14:paraId="69300054" w14:textId="77777777" w:rsidTr="00EE010E">
        <w:tc>
          <w:tcPr>
            <w:tcW w:w="4395" w:type="dxa"/>
            <w:noWrap/>
            <w:vAlign w:val="center"/>
          </w:tcPr>
          <w:p w14:paraId="0D9A502A" w14:textId="77777777" w:rsidR="00E326C4" w:rsidRPr="005C5E32" w:rsidRDefault="00E326C4" w:rsidP="000740D2">
            <w:pPr>
              <w:spacing w:before="30" w:after="30" w:line="240" w:lineRule="atLeast"/>
              <w:rPr>
                <w:rFonts w:eastAsia="MS Mincho" w:cs="Times New Roman"/>
                <w:color w:val="000000"/>
                <w:sz w:val="18"/>
              </w:rPr>
            </w:pPr>
            <w:r w:rsidRPr="005C5E32">
              <w:rPr>
                <w:rFonts w:eastAsia="MS Mincho" w:cs="Calibri"/>
                <w:b/>
                <w:bCs/>
                <w:color w:val="000000"/>
                <w:sz w:val="18"/>
              </w:rPr>
              <w:t>Total</w:t>
            </w:r>
          </w:p>
        </w:tc>
        <w:tc>
          <w:tcPr>
            <w:tcW w:w="1417" w:type="dxa"/>
          </w:tcPr>
          <w:p w14:paraId="74021EB1" w14:textId="77777777" w:rsidR="00E326C4" w:rsidRPr="005C5E32" w:rsidRDefault="00E326C4" w:rsidP="000740D2">
            <w:pPr>
              <w:spacing w:before="30" w:after="30" w:line="240" w:lineRule="atLeast"/>
              <w:jc w:val="center"/>
              <w:rPr>
                <w:rFonts w:eastAsia="MS Mincho" w:cs="Calibri"/>
                <w:b/>
                <w:color w:val="000000"/>
                <w:sz w:val="18"/>
              </w:rPr>
            </w:pPr>
            <w:r w:rsidRPr="005C5E32">
              <w:rPr>
                <w:rFonts w:eastAsia="MS Mincho" w:cs="Calibri"/>
                <w:b/>
                <w:color w:val="000000"/>
                <w:sz w:val="18"/>
              </w:rPr>
              <w:t>643.71</w:t>
            </w:r>
          </w:p>
        </w:tc>
        <w:tc>
          <w:tcPr>
            <w:tcW w:w="1418" w:type="dxa"/>
            <w:noWrap/>
            <w:vAlign w:val="bottom"/>
          </w:tcPr>
          <w:p w14:paraId="1060586D" w14:textId="77777777" w:rsidR="00E326C4" w:rsidRPr="005C5E32" w:rsidRDefault="00E326C4" w:rsidP="000740D2">
            <w:pPr>
              <w:spacing w:before="30" w:after="30" w:line="240" w:lineRule="atLeast"/>
              <w:jc w:val="center"/>
              <w:rPr>
                <w:rFonts w:eastAsia="MS Mincho" w:cs="Times New Roman"/>
                <w:color w:val="000000"/>
                <w:sz w:val="18"/>
              </w:rPr>
            </w:pPr>
            <w:r w:rsidRPr="005C5E32">
              <w:rPr>
                <w:rFonts w:eastAsia="MS Mincho" w:cs="Calibri"/>
                <w:b/>
                <w:color w:val="000000"/>
                <w:sz w:val="18"/>
              </w:rPr>
              <w:t>551.</w:t>
            </w:r>
            <w:r w:rsidRPr="005C5E32">
              <w:rPr>
                <w:rFonts w:eastAsia="MS Mincho" w:cs="Calibri"/>
                <w:b/>
                <w:bCs/>
                <w:color w:val="000000"/>
                <w:sz w:val="18"/>
              </w:rPr>
              <w:t>69</w:t>
            </w:r>
          </w:p>
        </w:tc>
        <w:tc>
          <w:tcPr>
            <w:tcW w:w="1275" w:type="dxa"/>
            <w:noWrap/>
            <w:vAlign w:val="bottom"/>
          </w:tcPr>
          <w:p w14:paraId="5B2D0545" w14:textId="5FDAF3C3" w:rsidR="00E326C4" w:rsidRPr="005C5E32" w:rsidRDefault="00E326C4" w:rsidP="000740D2">
            <w:pPr>
              <w:spacing w:before="30" w:after="30" w:line="240" w:lineRule="atLeast"/>
              <w:jc w:val="center"/>
              <w:rPr>
                <w:rFonts w:eastAsia="MS Mincho" w:cs="Times New Roman"/>
                <w:b/>
                <w:bCs/>
                <w:color w:val="000000"/>
                <w:sz w:val="18"/>
              </w:rPr>
            </w:pPr>
            <w:r w:rsidRPr="005C5E32">
              <w:rPr>
                <w:rFonts w:eastAsia="MS Mincho" w:cs="Times New Roman"/>
                <w:b/>
                <w:bCs/>
                <w:color w:val="000000"/>
                <w:sz w:val="18"/>
              </w:rPr>
              <w:t>586.39</w:t>
            </w:r>
          </w:p>
        </w:tc>
      </w:tr>
    </w:tbl>
    <w:p w14:paraId="34C011AA" w14:textId="02ABBE09" w:rsidR="00702109" w:rsidRPr="005C5E32" w:rsidRDefault="00702109" w:rsidP="007E2FD7">
      <w:pPr>
        <w:pStyle w:val="Note"/>
        <w:spacing w:after="0"/>
      </w:pPr>
      <w:r w:rsidRPr="005C5E32">
        <w:t xml:space="preserve">Note: </w:t>
      </w:r>
      <w:r w:rsidR="005B42FD" w:rsidRPr="005C5E32">
        <w:t xml:space="preserve">EV = electric vehicle; </w:t>
      </w:r>
      <w:r w:rsidRPr="005C5E32">
        <w:t>LFGR = landfill gas recovery; t CO</w:t>
      </w:r>
      <w:r w:rsidRPr="005C5E32">
        <w:rPr>
          <w:vertAlign w:val="subscript"/>
        </w:rPr>
        <w:t>2</w:t>
      </w:r>
      <w:r w:rsidRPr="005C5E32">
        <w:t>e = tonnes of carbon dioxide equivalent</w:t>
      </w:r>
      <w:r w:rsidR="005B42FD" w:rsidRPr="005C5E32">
        <w:t>; T&amp;D = transmission and distribution</w:t>
      </w:r>
      <w:r w:rsidRPr="005C5E32">
        <w:t>.</w:t>
      </w:r>
      <w:r w:rsidR="00F746EF" w:rsidRPr="005C5E32">
        <w:t xml:space="preserve"> Recycling has been reported as waste to landfill because the available recycling conversion data </w:t>
      </w:r>
      <w:r w:rsidR="005B42FD" w:rsidRPr="005C5E32">
        <w:t xml:space="preserve">are </w:t>
      </w:r>
      <w:r w:rsidR="00F746EF" w:rsidRPr="005C5E32">
        <w:t xml:space="preserve">based on quarterly manual waste audits and </w:t>
      </w:r>
      <w:r w:rsidR="005B42FD" w:rsidRPr="005C5E32">
        <w:t xml:space="preserve">were </w:t>
      </w:r>
      <w:r w:rsidR="00F746EF" w:rsidRPr="005C5E32">
        <w:t>not extrapolated to the full reporting year.</w:t>
      </w:r>
    </w:p>
    <w:p w14:paraId="4EF40A14" w14:textId="60B68C2A" w:rsidR="00EB10C4" w:rsidRPr="005C5E32" w:rsidRDefault="006B399D" w:rsidP="007E2FD7">
      <w:pPr>
        <w:pStyle w:val="Note"/>
      </w:pPr>
      <w:r w:rsidRPr="005C5E32">
        <w:t>*</w:t>
      </w:r>
      <w:r w:rsidR="00A35695" w:rsidRPr="005C5E32">
        <w:t xml:space="preserve"> The Ministry reported no direct emissions in 2025/26. All reported emissions were indirect emissions under Carbon Neutral Government Programme categories 2–4. </w:t>
      </w:r>
      <w:r w:rsidR="003B18D0" w:rsidRPr="005C5E32">
        <w:t>Emission</w:t>
      </w:r>
      <w:r w:rsidR="00A35695" w:rsidRPr="005C5E32">
        <w:t xml:space="preserve"> figures are rounded to two decimal places.</w:t>
      </w:r>
      <w:r w:rsidR="00E83A37" w:rsidRPr="005C5E32">
        <w:t xml:space="preserve"> As a</w:t>
      </w:r>
      <w:r w:rsidR="00B2540F" w:rsidRPr="005C5E32">
        <w:t> </w:t>
      </w:r>
      <w:r w:rsidR="00E83A37" w:rsidRPr="005C5E32">
        <w:t xml:space="preserve">result, the sum of individual line items differs from the reported total by 0.01 tCO₂e for </w:t>
      </w:r>
      <w:r w:rsidR="0045691D" w:rsidRPr="005C5E32">
        <w:t>2024/25 and</w:t>
      </w:r>
      <w:r w:rsidR="00E83A37" w:rsidRPr="005C5E32">
        <w:t xml:space="preserve"> 2025/26.</w:t>
      </w:r>
    </w:p>
    <w:p w14:paraId="477284A5" w14:textId="4B7FDE3A" w:rsidR="00702109" w:rsidRPr="005C5E32" w:rsidRDefault="00702109" w:rsidP="002E1D31">
      <w:pPr>
        <w:pStyle w:val="Tableheading"/>
      </w:pPr>
      <w:r w:rsidRPr="005C5E32">
        <w:t xml:space="preserve">Table </w:t>
      </w:r>
      <w:fldSimple w:instr=" SEQ Table \* ARABIC ">
        <w:r w:rsidR="00D8311D">
          <w:rPr>
            <w:noProof/>
          </w:rPr>
          <w:t>11</w:t>
        </w:r>
      </w:fldSimple>
      <w:r w:rsidRPr="005C5E32">
        <w:t>:</w:t>
      </w:r>
      <w:r w:rsidRPr="005C5E32">
        <w:tab/>
        <w:t>Key performance indicators for full-time equivalent</w:t>
      </w:r>
      <w:r w:rsidR="0094406E" w:rsidRPr="005C5E32">
        <w:t xml:space="preserve"> staff</w:t>
      </w:r>
      <w:r w:rsidRPr="005C5E32">
        <w:t xml:space="preserve"> and expenditure,</w:t>
      </w:r>
      <w:r w:rsidR="00B2540F" w:rsidRPr="005C5E32">
        <w:br/>
      </w:r>
      <w:r w:rsidRPr="005C5E32">
        <w:t>2017/18 to 2025/26</w:t>
      </w:r>
    </w:p>
    <w:tbl>
      <w:tblPr>
        <w:tblStyle w:val="TableGrid"/>
        <w:tblW w:w="8505" w:type="dxa"/>
        <w:tblBorders>
          <w:top w:val="single" w:sz="4" w:space="0" w:color="0E7B7E"/>
          <w:left w:val="none" w:sz="0" w:space="0" w:color="auto"/>
          <w:bottom w:val="single" w:sz="4" w:space="0" w:color="0E7B7E"/>
          <w:right w:val="none" w:sz="0" w:space="0" w:color="auto"/>
          <w:insideH w:val="single" w:sz="4" w:space="0" w:color="0E7B7E"/>
          <w:insideV w:val="single" w:sz="4" w:space="0" w:color="0E7B7E"/>
        </w:tblBorders>
        <w:tblLayout w:type="fixed"/>
        <w:tblCellMar>
          <w:left w:w="85" w:type="dxa"/>
          <w:right w:w="57" w:type="dxa"/>
        </w:tblCellMar>
        <w:tblLook w:val="04A0" w:firstRow="1" w:lastRow="0" w:firstColumn="1" w:lastColumn="0" w:noHBand="0" w:noVBand="1"/>
      </w:tblPr>
      <w:tblGrid>
        <w:gridCol w:w="1440"/>
        <w:gridCol w:w="785"/>
        <w:gridCol w:w="785"/>
        <w:gridCol w:w="785"/>
        <w:gridCol w:w="785"/>
        <w:gridCol w:w="785"/>
        <w:gridCol w:w="785"/>
        <w:gridCol w:w="785"/>
        <w:gridCol w:w="785"/>
        <w:gridCol w:w="785"/>
      </w:tblGrid>
      <w:tr w:rsidR="00702109" w:rsidRPr="005C5E32" w14:paraId="21A7DB99" w14:textId="77777777" w:rsidTr="007E2FD7">
        <w:trPr>
          <w:tblHeader/>
        </w:trPr>
        <w:tc>
          <w:tcPr>
            <w:tcW w:w="1601" w:type="dxa"/>
            <w:shd w:val="clear" w:color="auto" w:fill="0E7B7E"/>
            <w:vAlign w:val="bottom"/>
          </w:tcPr>
          <w:p w14:paraId="0F577846" w14:textId="20CACAA2" w:rsidR="00702109" w:rsidRPr="005C5E32" w:rsidRDefault="00702109" w:rsidP="00675623">
            <w:pPr>
              <w:keepNext/>
              <w:spacing w:before="60" w:after="60" w:line="240" w:lineRule="atLeast"/>
              <w:jc w:val="left"/>
              <w:rPr>
                <w:rFonts w:eastAsia="MS Mincho"/>
                <w:b/>
                <w:color w:val="FFFFFF"/>
                <w:sz w:val="18"/>
                <w:szCs w:val="18"/>
              </w:rPr>
            </w:pPr>
            <w:r w:rsidRPr="005C5E32">
              <w:rPr>
                <w:rFonts w:eastAsia="MS Mincho"/>
                <w:b/>
                <w:color w:val="FFFFFF"/>
                <w:sz w:val="18"/>
                <w:szCs w:val="18"/>
              </w:rPr>
              <w:t>K</w:t>
            </w:r>
            <w:r w:rsidR="000100D6" w:rsidRPr="005C5E32">
              <w:rPr>
                <w:rFonts w:eastAsia="MS Mincho"/>
                <w:b/>
                <w:color w:val="FFFFFF"/>
                <w:sz w:val="18"/>
                <w:szCs w:val="18"/>
              </w:rPr>
              <w:t>ey performance indicator</w:t>
            </w:r>
          </w:p>
        </w:tc>
        <w:tc>
          <w:tcPr>
            <w:tcW w:w="863" w:type="dxa"/>
            <w:shd w:val="clear" w:color="auto" w:fill="0E7B7E"/>
            <w:vAlign w:val="bottom"/>
          </w:tcPr>
          <w:p w14:paraId="29ADD01A" w14:textId="6C127047" w:rsidR="00702109" w:rsidRPr="005C5E32" w:rsidRDefault="00702109">
            <w:pPr>
              <w:keepNext/>
              <w:spacing w:before="60" w:after="60" w:line="240" w:lineRule="atLeast"/>
              <w:jc w:val="right"/>
              <w:rPr>
                <w:rFonts w:eastAsia="MS Mincho"/>
                <w:b/>
                <w:color w:val="FFFFFF"/>
                <w:sz w:val="18"/>
                <w:szCs w:val="18"/>
              </w:rPr>
            </w:pPr>
            <w:r w:rsidRPr="005C5E32">
              <w:rPr>
                <w:rFonts w:cs="Calibri"/>
                <w:b/>
                <w:color w:val="FFFFFF"/>
                <w:sz w:val="18"/>
                <w:szCs w:val="18"/>
              </w:rPr>
              <w:t>2017/18</w:t>
            </w:r>
          </w:p>
        </w:tc>
        <w:tc>
          <w:tcPr>
            <w:tcW w:w="863" w:type="dxa"/>
            <w:shd w:val="clear" w:color="auto" w:fill="0E7B7E"/>
            <w:vAlign w:val="bottom"/>
          </w:tcPr>
          <w:p w14:paraId="0C15318B" w14:textId="10B44165" w:rsidR="00702109" w:rsidRPr="005C5E32" w:rsidRDefault="00702109">
            <w:pPr>
              <w:keepNext/>
              <w:spacing w:before="60" w:after="60" w:line="240" w:lineRule="atLeast"/>
              <w:jc w:val="right"/>
              <w:rPr>
                <w:rFonts w:eastAsia="MS Mincho"/>
                <w:b/>
                <w:color w:val="FFFFFF"/>
                <w:sz w:val="18"/>
                <w:szCs w:val="18"/>
              </w:rPr>
            </w:pPr>
            <w:r w:rsidRPr="005C5E32">
              <w:rPr>
                <w:rFonts w:cs="Calibri"/>
                <w:b/>
                <w:color w:val="FFFFFF"/>
                <w:sz w:val="18"/>
                <w:szCs w:val="18"/>
              </w:rPr>
              <w:t>2018/19</w:t>
            </w:r>
          </w:p>
        </w:tc>
        <w:tc>
          <w:tcPr>
            <w:tcW w:w="863" w:type="dxa"/>
            <w:shd w:val="clear" w:color="auto" w:fill="0E7B7E"/>
            <w:vAlign w:val="bottom"/>
          </w:tcPr>
          <w:p w14:paraId="241A4889" w14:textId="6E3D818D" w:rsidR="00702109" w:rsidRPr="005C5E32" w:rsidRDefault="00702109">
            <w:pPr>
              <w:keepNext/>
              <w:spacing w:before="60" w:after="60" w:line="240" w:lineRule="atLeast"/>
              <w:jc w:val="right"/>
              <w:rPr>
                <w:rFonts w:eastAsia="MS Mincho"/>
                <w:b/>
                <w:color w:val="FFFFFF"/>
                <w:sz w:val="18"/>
                <w:szCs w:val="18"/>
              </w:rPr>
            </w:pPr>
            <w:r w:rsidRPr="005C5E32">
              <w:rPr>
                <w:rFonts w:cs="Calibri"/>
                <w:b/>
                <w:color w:val="FFFFFF"/>
                <w:sz w:val="18"/>
                <w:szCs w:val="18"/>
              </w:rPr>
              <w:t>2019/20</w:t>
            </w:r>
          </w:p>
        </w:tc>
        <w:tc>
          <w:tcPr>
            <w:tcW w:w="863" w:type="dxa"/>
            <w:shd w:val="clear" w:color="auto" w:fill="0E7B7E"/>
            <w:vAlign w:val="bottom"/>
          </w:tcPr>
          <w:p w14:paraId="1F5D7B99" w14:textId="489FF176" w:rsidR="00702109" w:rsidRPr="005C5E32" w:rsidRDefault="00702109">
            <w:pPr>
              <w:keepNext/>
              <w:spacing w:before="60" w:after="60" w:line="240" w:lineRule="atLeast"/>
              <w:jc w:val="right"/>
              <w:rPr>
                <w:rFonts w:eastAsia="MS Mincho"/>
                <w:b/>
                <w:color w:val="FFFFFF"/>
                <w:sz w:val="18"/>
                <w:szCs w:val="18"/>
              </w:rPr>
            </w:pPr>
            <w:r w:rsidRPr="005C5E32">
              <w:rPr>
                <w:rFonts w:cs="Calibri"/>
                <w:b/>
                <w:color w:val="FFFFFF"/>
                <w:sz w:val="18"/>
                <w:szCs w:val="18"/>
              </w:rPr>
              <w:t>2020/21</w:t>
            </w:r>
          </w:p>
        </w:tc>
        <w:tc>
          <w:tcPr>
            <w:tcW w:w="863" w:type="dxa"/>
            <w:shd w:val="clear" w:color="auto" w:fill="0E7B7E"/>
            <w:vAlign w:val="bottom"/>
          </w:tcPr>
          <w:p w14:paraId="605B6F87" w14:textId="3AFF23CB" w:rsidR="00702109" w:rsidRPr="005C5E32" w:rsidRDefault="00702109">
            <w:pPr>
              <w:keepNext/>
              <w:spacing w:before="60" w:after="60" w:line="240" w:lineRule="atLeast"/>
              <w:jc w:val="right"/>
              <w:rPr>
                <w:rFonts w:eastAsia="MS Mincho"/>
                <w:b/>
                <w:color w:val="FFFFFF"/>
                <w:sz w:val="18"/>
                <w:szCs w:val="18"/>
              </w:rPr>
            </w:pPr>
            <w:r w:rsidRPr="005C5E32">
              <w:rPr>
                <w:rFonts w:cs="Calibri"/>
                <w:b/>
                <w:color w:val="FFFFFF"/>
                <w:sz w:val="18"/>
                <w:szCs w:val="18"/>
              </w:rPr>
              <w:t>2021/22</w:t>
            </w:r>
          </w:p>
        </w:tc>
        <w:tc>
          <w:tcPr>
            <w:tcW w:w="863" w:type="dxa"/>
            <w:shd w:val="clear" w:color="auto" w:fill="0E7B7E"/>
            <w:vAlign w:val="bottom"/>
          </w:tcPr>
          <w:p w14:paraId="2ED26ACE" w14:textId="77777777" w:rsidR="00702109" w:rsidRPr="005C5E32" w:rsidRDefault="00702109">
            <w:pPr>
              <w:keepNext/>
              <w:spacing w:before="60" w:after="60" w:line="240" w:lineRule="atLeast"/>
              <w:jc w:val="right"/>
              <w:rPr>
                <w:rFonts w:eastAsia="MS Mincho"/>
                <w:b/>
                <w:color w:val="FFFFFF"/>
                <w:sz w:val="18"/>
                <w:szCs w:val="18"/>
              </w:rPr>
            </w:pPr>
            <w:r w:rsidRPr="005C5E32">
              <w:rPr>
                <w:rFonts w:cs="Calibri"/>
                <w:b/>
                <w:color w:val="FFFFFF"/>
                <w:sz w:val="18"/>
                <w:szCs w:val="18"/>
              </w:rPr>
              <w:t>2022/23</w:t>
            </w:r>
          </w:p>
        </w:tc>
        <w:tc>
          <w:tcPr>
            <w:tcW w:w="863" w:type="dxa"/>
            <w:shd w:val="clear" w:color="auto" w:fill="0E7B7E"/>
            <w:vAlign w:val="bottom"/>
          </w:tcPr>
          <w:p w14:paraId="595835BA" w14:textId="77777777" w:rsidR="00702109" w:rsidRPr="005C5E32" w:rsidRDefault="00702109">
            <w:pPr>
              <w:keepNext/>
              <w:spacing w:before="60" w:after="60" w:line="240" w:lineRule="atLeast"/>
              <w:jc w:val="right"/>
              <w:rPr>
                <w:rFonts w:cs="Calibri"/>
                <w:b/>
                <w:color w:val="FFFFFF"/>
                <w:sz w:val="18"/>
                <w:szCs w:val="18"/>
              </w:rPr>
            </w:pPr>
            <w:r w:rsidRPr="005C5E32">
              <w:rPr>
                <w:rFonts w:cs="Calibri"/>
                <w:b/>
                <w:color w:val="FFFFFF"/>
                <w:sz w:val="18"/>
                <w:szCs w:val="18"/>
              </w:rPr>
              <w:t>2023/24</w:t>
            </w:r>
          </w:p>
        </w:tc>
        <w:tc>
          <w:tcPr>
            <w:tcW w:w="863" w:type="dxa"/>
            <w:shd w:val="clear" w:color="auto" w:fill="0E7B7E"/>
            <w:vAlign w:val="bottom"/>
          </w:tcPr>
          <w:p w14:paraId="2812190F" w14:textId="77777777" w:rsidR="00702109" w:rsidRPr="005C5E32" w:rsidRDefault="00702109">
            <w:pPr>
              <w:keepNext/>
              <w:spacing w:before="60" w:after="60" w:line="240" w:lineRule="atLeast"/>
              <w:jc w:val="right"/>
              <w:rPr>
                <w:rFonts w:cs="Calibri"/>
                <w:b/>
                <w:color w:val="FFFFFF"/>
                <w:sz w:val="18"/>
                <w:szCs w:val="18"/>
              </w:rPr>
            </w:pPr>
            <w:r w:rsidRPr="005C5E32">
              <w:rPr>
                <w:rFonts w:cs="Calibri"/>
                <w:b/>
                <w:color w:val="FFFFFF"/>
                <w:sz w:val="18"/>
                <w:szCs w:val="18"/>
              </w:rPr>
              <w:t>2024/25</w:t>
            </w:r>
          </w:p>
        </w:tc>
        <w:tc>
          <w:tcPr>
            <w:tcW w:w="863" w:type="dxa"/>
            <w:shd w:val="clear" w:color="auto" w:fill="0E7B7E"/>
            <w:vAlign w:val="bottom"/>
          </w:tcPr>
          <w:p w14:paraId="59580AEC" w14:textId="77777777" w:rsidR="00702109" w:rsidRPr="005C5E32" w:rsidRDefault="00702109">
            <w:pPr>
              <w:keepNext/>
              <w:spacing w:before="60" w:after="60" w:line="240" w:lineRule="atLeast"/>
              <w:jc w:val="right"/>
              <w:rPr>
                <w:rFonts w:cs="Calibri"/>
                <w:b/>
                <w:color w:val="FFFFFF"/>
                <w:sz w:val="18"/>
                <w:szCs w:val="18"/>
              </w:rPr>
            </w:pPr>
            <w:r w:rsidRPr="005C5E32">
              <w:rPr>
                <w:rFonts w:cs="Calibri"/>
                <w:b/>
                <w:color w:val="FFFFFF"/>
                <w:sz w:val="18"/>
                <w:szCs w:val="18"/>
              </w:rPr>
              <w:t>2025/26</w:t>
            </w:r>
          </w:p>
        </w:tc>
      </w:tr>
      <w:tr w:rsidR="00702109" w:rsidRPr="005C5E32" w14:paraId="7D2AA25D" w14:textId="77777777" w:rsidTr="007E2FD7">
        <w:tc>
          <w:tcPr>
            <w:tcW w:w="1601" w:type="dxa"/>
            <w:vAlign w:val="center"/>
          </w:tcPr>
          <w:p w14:paraId="3FA04A95" w14:textId="11FBF015" w:rsidR="00702109" w:rsidRPr="005C5E32" w:rsidRDefault="00702109" w:rsidP="007E2FD7">
            <w:pPr>
              <w:pStyle w:val="TableText"/>
              <w:spacing w:line="230" w:lineRule="atLeast"/>
              <w:rPr>
                <w:rFonts w:eastAsia="MS Mincho"/>
              </w:rPr>
            </w:pPr>
            <w:r w:rsidRPr="005C5E32">
              <w:t>F</w:t>
            </w:r>
            <w:r w:rsidR="00B65E0A" w:rsidRPr="005C5E32">
              <w:t>ull-time equiva</w:t>
            </w:r>
            <w:r w:rsidR="00115D77" w:rsidRPr="005C5E32">
              <w:t>lents (FTE)</w:t>
            </w:r>
            <w:r w:rsidRPr="005C5E32">
              <w:t>*</w:t>
            </w:r>
          </w:p>
        </w:tc>
        <w:tc>
          <w:tcPr>
            <w:tcW w:w="863" w:type="dxa"/>
            <w:vAlign w:val="bottom"/>
          </w:tcPr>
          <w:p w14:paraId="035A1358"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360</w:t>
            </w:r>
          </w:p>
        </w:tc>
        <w:tc>
          <w:tcPr>
            <w:tcW w:w="863" w:type="dxa"/>
            <w:vAlign w:val="bottom"/>
          </w:tcPr>
          <w:p w14:paraId="31A4C8F2"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414</w:t>
            </w:r>
          </w:p>
        </w:tc>
        <w:tc>
          <w:tcPr>
            <w:tcW w:w="863" w:type="dxa"/>
            <w:vAlign w:val="bottom"/>
          </w:tcPr>
          <w:p w14:paraId="19BDCBAD"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504</w:t>
            </w:r>
          </w:p>
        </w:tc>
        <w:tc>
          <w:tcPr>
            <w:tcW w:w="863" w:type="dxa"/>
            <w:vAlign w:val="bottom"/>
          </w:tcPr>
          <w:p w14:paraId="213B6492"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659</w:t>
            </w:r>
          </w:p>
        </w:tc>
        <w:tc>
          <w:tcPr>
            <w:tcW w:w="863" w:type="dxa"/>
            <w:vAlign w:val="bottom"/>
          </w:tcPr>
          <w:p w14:paraId="7E8DFBC5"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828</w:t>
            </w:r>
          </w:p>
        </w:tc>
        <w:tc>
          <w:tcPr>
            <w:tcW w:w="863" w:type="dxa"/>
            <w:vAlign w:val="bottom"/>
          </w:tcPr>
          <w:p w14:paraId="2800A064"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978</w:t>
            </w:r>
          </w:p>
        </w:tc>
        <w:tc>
          <w:tcPr>
            <w:tcW w:w="863" w:type="dxa"/>
            <w:vAlign w:val="bottom"/>
          </w:tcPr>
          <w:p w14:paraId="3B15DE7E" w14:textId="77777777" w:rsidR="00702109" w:rsidRPr="005C5E32" w:rsidRDefault="00702109" w:rsidP="007E2FD7">
            <w:pPr>
              <w:keepNext/>
              <w:spacing w:before="60" w:after="60" w:line="230" w:lineRule="atLeast"/>
              <w:jc w:val="right"/>
              <w:rPr>
                <w:rFonts w:cs="Calibri"/>
                <w:sz w:val="18"/>
                <w:szCs w:val="18"/>
              </w:rPr>
            </w:pPr>
            <w:r w:rsidRPr="005C5E32">
              <w:rPr>
                <w:rFonts w:cs="Calibri"/>
                <w:sz w:val="18"/>
                <w:szCs w:val="18"/>
              </w:rPr>
              <w:t>1,129</w:t>
            </w:r>
          </w:p>
        </w:tc>
        <w:tc>
          <w:tcPr>
            <w:tcW w:w="863" w:type="dxa"/>
            <w:vAlign w:val="bottom"/>
          </w:tcPr>
          <w:p w14:paraId="51054A29" w14:textId="77777777" w:rsidR="00702109" w:rsidRPr="005C5E32" w:rsidRDefault="00702109" w:rsidP="007E2FD7">
            <w:pPr>
              <w:keepNext/>
              <w:spacing w:before="60" w:after="60" w:line="230" w:lineRule="atLeast"/>
              <w:jc w:val="right"/>
              <w:rPr>
                <w:rFonts w:cs="Calibri"/>
                <w:sz w:val="18"/>
                <w:szCs w:val="18"/>
              </w:rPr>
            </w:pPr>
            <w:r w:rsidRPr="005C5E32">
              <w:rPr>
                <w:rFonts w:cs="Calibri"/>
                <w:sz w:val="18"/>
                <w:szCs w:val="18"/>
              </w:rPr>
              <w:t>811</w:t>
            </w:r>
          </w:p>
        </w:tc>
        <w:tc>
          <w:tcPr>
            <w:tcW w:w="863" w:type="dxa"/>
            <w:vAlign w:val="bottom"/>
          </w:tcPr>
          <w:p w14:paraId="52FADE2F" w14:textId="77777777" w:rsidR="00702109" w:rsidRPr="005C5E32" w:rsidRDefault="00702109" w:rsidP="007E2FD7">
            <w:pPr>
              <w:keepNext/>
              <w:spacing w:before="60" w:after="60" w:line="230" w:lineRule="atLeast"/>
              <w:jc w:val="right"/>
              <w:rPr>
                <w:rFonts w:cs="Calibri"/>
                <w:sz w:val="18"/>
                <w:szCs w:val="18"/>
              </w:rPr>
            </w:pPr>
            <w:r w:rsidRPr="005C5E32">
              <w:rPr>
                <w:rFonts w:cs="Calibri"/>
                <w:sz w:val="18"/>
                <w:szCs w:val="18"/>
              </w:rPr>
              <w:t>780.1</w:t>
            </w:r>
          </w:p>
        </w:tc>
      </w:tr>
      <w:tr w:rsidR="00702109" w:rsidRPr="005C5E32" w14:paraId="17B81E07" w14:textId="77777777" w:rsidTr="007E2FD7">
        <w:tc>
          <w:tcPr>
            <w:tcW w:w="1601" w:type="dxa"/>
            <w:vAlign w:val="center"/>
          </w:tcPr>
          <w:p w14:paraId="67A3BC33" w14:textId="77777777" w:rsidR="00702109" w:rsidRPr="005C5E32" w:rsidRDefault="00702109" w:rsidP="007E2FD7">
            <w:pPr>
              <w:pStyle w:val="TableText"/>
              <w:rPr>
                <w:rFonts w:eastAsia="MS Mincho"/>
              </w:rPr>
            </w:pPr>
            <w:r w:rsidRPr="005C5E32">
              <w:t>Expenditure ($m)</w:t>
            </w:r>
          </w:p>
        </w:tc>
        <w:tc>
          <w:tcPr>
            <w:tcW w:w="863" w:type="dxa"/>
            <w:vAlign w:val="bottom"/>
          </w:tcPr>
          <w:p w14:paraId="0F77D875"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70.39</w:t>
            </w:r>
          </w:p>
        </w:tc>
        <w:tc>
          <w:tcPr>
            <w:tcW w:w="863" w:type="dxa"/>
            <w:vAlign w:val="bottom"/>
          </w:tcPr>
          <w:p w14:paraId="03B7B183"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77.46</w:t>
            </w:r>
          </w:p>
        </w:tc>
        <w:tc>
          <w:tcPr>
            <w:tcW w:w="863" w:type="dxa"/>
            <w:vAlign w:val="bottom"/>
          </w:tcPr>
          <w:p w14:paraId="39219A20"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95.54</w:t>
            </w:r>
          </w:p>
        </w:tc>
        <w:tc>
          <w:tcPr>
            <w:tcW w:w="863" w:type="dxa"/>
            <w:vAlign w:val="bottom"/>
          </w:tcPr>
          <w:p w14:paraId="5922858E"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123.96</w:t>
            </w:r>
          </w:p>
        </w:tc>
        <w:tc>
          <w:tcPr>
            <w:tcW w:w="863" w:type="dxa"/>
            <w:vAlign w:val="bottom"/>
          </w:tcPr>
          <w:p w14:paraId="1C6A80D0"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170.33</w:t>
            </w:r>
          </w:p>
        </w:tc>
        <w:tc>
          <w:tcPr>
            <w:tcW w:w="863" w:type="dxa"/>
            <w:vAlign w:val="bottom"/>
          </w:tcPr>
          <w:p w14:paraId="3CDC7870" w14:textId="77777777" w:rsidR="00702109" w:rsidRPr="005C5E32" w:rsidRDefault="00702109" w:rsidP="007E2FD7">
            <w:pPr>
              <w:keepNext/>
              <w:spacing w:before="60" w:after="60" w:line="230" w:lineRule="atLeast"/>
              <w:jc w:val="right"/>
              <w:rPr>
                <w:rFonts w:eastAsia="MS Mincho"/>
                <w:sz w:val="18"/>
                <w:szCs w:val="18"/>
              </w:rPr>
            </w:pPr>
            <w:r w:rsidRPr="005C5E32">
              <w:rPr>
                <w:rFonts w:cs="Calibri"/>
                <w:sz w:val="18"/>
                <w:szCs w:val="18"/>
              </w:rPr>
              <w:t>237.11</w:t>
            </w:r>
          </w:p>
        </w:tc>
        <w:tc>
          <w:tcPr>
            <w:tcW w:w="863" w:type="dxa"/>
            <w:vAlign w:val="bottom"/>
          </w:tcPr>
          <w:p w14:paraId="71054876" w14:textId="77777777" w:rsidR="00702109" w:rsidRPr="005C5E32" w:rsidRDefault="00702109" w:rsidP="007E2FD7">
            <w:pPr>
              <w:keepNext/>
              <w:spacing w:before="60" w:after="60" w:line="230" w:lineRule="atLeast"/>
              <w:jc w:val="right"/>
              <w:rPr>
                <w:rFonts w:cs="Calibri"/>
                <w:sz w:val="18"/>
                <w:szCs w:val="18"/>
              </w:rPr>
            </w:pPr>
            <w:r w:rsidRPr="005C5E32">
              <w:rPr>
                <w:rFonts w:cs="Calibri"/>
                <w:sz w:val="18"/>
                <w:szCs w:val="18"/>
              </w:rPr>
              <w:t>267.86</w:t>
            </w:r>
          </w:p>
        </w:tc>
        <w:tc>
          <w:tcPr>
            <w:tcW w:w="863" w:type="dxa"/>
            <w:vAlign w:val="bottom"/>
          </w:tcPr>
          <w:p w14:paraId="72B9C6A8" w14:textId="5EE8E3E4" w:rsidR="00702109" w:rsidRPr="005C5E32" w:rsidRDefault="00702109" w:rsidP="007E2FD7">
            <w:pPr>
              <w:keepNext/>
              <w:spacing w:before="60" w:after="60" w:line="230" w:lineRule="atLeast"/>
              <w:jc w:val="right"/>
              <w:rPr>
                <w:rFonts w:cs="Calibri"/>
                <w:sz w:val="18"/>
                <w:szCs w:val="18"/>
              </w:rPr>
            </w:pPr>
            <w:r w:rsidRPr="005C5E32">
              <w:rPr>
                <w:rFonts w:cs="Calibri"/>
                <w:sz w:val="18"/>
                <w:szCs w:val="18"/>
              </w:rPr>
              <w:t>190.19</w:t>
            </w:r>
          </w:p>
        </w:tc>
        <w:tc>
          <w:tcPr>
            <w:tcW w:w="863" w:type="dxa"/>
            <w:vAlign w:val="bottom"/>
          </w:tcPr>
          <w:p w14:paraId="5C071B88" w14:textId="29D43EC3" w:rsidR="00702109" w:rsidRPr="005C5E32" w:rsidRDefault="00B01F65" w:rsidP="007E2FD7">
            <w:pPr>
              <w:keepNext/>
              <w:spacing w:before="60" w:after="60" w:line="230" w:lineRule="atLeast"/>
              <w:jc w:val="right"/>
              <w:rPr>
                <w:rFonts w:cs="Calibri"/>
                <w:sz w:val="18"/>
                <w:szCs w:val="18"/>
              </w:rPr>
            </w:pPr>
            <w:r w:rsidRPr="005C5E32">
              <w:rPr>
                <w:rFonts w:cs="Calibri"/>
                <w:sz w:val="18"/>
                <w:szCs w:val="18"/>
              </w:rPr>
              <w:t>213.39</w:t>
            </w:r>
          </w:p>
        </w:tc>
      </w:tr>
      <w:tr w:rsidR="00702109" w:rsidRPr="005C5E32" w14:paraId="6305D819" w14:textId="77777777" w:rsidTr="007E2FD7">
        <w:tc>
          <w:tcPr>
            <w:tcW w:w="1601" w:type="dxa"/>
            <w:vAlign w:val="center"/>
          </w:tcPr>
          <w:p w14:paraId="0D64C26C" w14:textId="0AC3DED5" w:rsidR="00702109" w:rsidRPr="005C5E32" w:rsidRDefault="00702109" w:rsidP="00675623">
            <w:pPr>
              <w:spacing w:before="60" w:after="60" w:line="230" w:lineRule="atLeast"/>
              <w:jc w:val="left"/>
              <w:rPr>
                <w:rFonts w:eastAsia="MS Mincho"/>
                <w:sz w:val="18"/>
                <w:szCs w:val="18"/>
              </w:rPr>
            </w:pPr>
            <w:r w:rsidRPr="005C5E32">
              <w:rPr>
                <w:rFonts w:cs="Calibri"/>
                <w:sz w:val="18"/>
                <w:szCs w:val="18"/>
              </w:rPr>
              <w:t>Total gross emissions per FTE</w:t>
            </w:r>
            <w:r w:rsidRPr="005C5E32" w:rsidDel="00D64965">
              <w:rPr>
                <w:rFonts w:cs="Calibri"/>
                <w:sz w:val="18"/>
                <w:szCs w:val="18"/>
              </w:rPr>
              <w:t xml:space="preserve"> </w:t>
            </w:r>
            <w:r w:rsidRPr="005C5E32">
              <w:rPr>
                <w:rFonts w:cs="Calibri"/>
                <w:sz w:val="18"/>
                <w:szCs w:val="18"/>
              </w:rPr>
              <w:t>(t</w:t>
            </w:r>
            <w:r w:rsidR="004E504E" w:rsidRPr="005C5E32">
              <w:rPr>
                <w:rFonts w:cs="Calibri"/>
                <w:sz w:val="18"/>
                <w:szCs w:val="18"/>
              </w:rPr>
              <w:t> </w:t>
            </w:r>
            <w:r w:rsidRPr="005C5E32">
              <w:rPr>
                <w:rFonts w:cs="Calibri"/>
                <w:sz w:val="18"/>
                <w:szCs w:val="18"/>
              </w:rPr>
              <w:t>CO</w:t>
            </w:r>
            <w:r w:rsidRPr="005C5E32">
              <w:rPr>
                <w:rFonts w:cs="Calibri"/>
                <w:sz w:val="18"/>
                <w:szCs w:val="18"/>
                <w:vertAlign w:val="subscript"/>
              </w:rPr>
              <w:t>2</w:t>
            </w:r>
            <w:r w:rsidRPr="005C5E32">
              <w:rPr>
                <w:rFonts w:cs="Calibri"/>
                <w:sz w:val="18"/>
                <w:szCs w:val="18"/>
              </w:rPr>
              <w:t>e)</w:t>
            </w:r>
          </w:p>
        </w:tc>
        <w:tc>
          <w:tcPr>
            <w:tcW w:w="863" w:type="dxa"/>
            <w:vAlign w:val="bottom"/>
          </w:tcPr>
          <w:p w14:paraId="6D834E79"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3.65</w:t>
            </w:r>
          </w:p>
        </w:tc>
        <w:tc>
          <w:tcPr>
            <w:tcW w:w="863" w:type="dxa"/>
            <w:vAlign w:val="bottom"/>
          </w:tcPr>
          <w:p w14:paraId="61665C5C"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3.12</w:t>
            </w:r>
          </w:p>
        </w:tc>
        <w:tc>
          <w:tcPr>
            <w:tcW w:w="863" w:type="dxa"/>
            <w:vAlign w:val="bottom"/>
          </w:tcPr>
          <w:p w14:paraId="2EF21E8C"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1.33</w:t>
            </w:r>
          </w:p>
        </w:tc>
        <w:tc>
          <w:tcPr>
            <w:tcW w:w="863" w:type="dxa"/>
            <w:vAlign w:val="bottom"/>
          </w:tcPr>
          <w:p w14:paraId="198AB4A2"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0.58</w:t>
            </w:r>
          </w:p>
        </w:tc>
        <w:tc>
          <w:tcPr>
            <w:tcW w:w="863" w:type="dxa"/>
            <w:vAlign w:val="bottom"/>
          </w:tcPr>
          <w:p w14:paraId="7940612C"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0.56</w:t>
            </w:r>
          </w:p>
        </w:tc>
        <w:tc>
          <w:tcPr>
            <w:tcW w:w="863" w:type="dxa"/>
            <w:vAlign w:val="bottom"/>
          </w:tcPr>
          <w:p w14:paraId="35DCC946"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0.77</w:t>
            </w:r>
          </w:p>
        </w:tc>
        <w:tc>
          <w:tcPr>
            <w:tcW w:w="863" w:type="dxa"/>
            <w:vAlign w:val="bottom"/>
          </w:tcPr>
          <w:p w14:paraId="2AB09AF3" w14:textId="255D426B" w:rsidR="00702109" w:rsidRPr="005C5E32" w:rsidRDefault="00EB10C4" w:rsidP="007E2FD7">
            <w:pPr>
              <w:spacing w:before="60" w:after="60" w:line="230" w:lineRule="atLeast"/>
              <w:jc w:val="right"/>
              <w:rPr>
                <w:rFonts w:cs="Calibri"/>
                <w:sz w:val="18"/>
                <w:szCs w:val="18"/>
              </w:rPr>
            </w:pPr>
            <w:r w:rsidRPr="005C5E32">
              <w:rPr>
                <w:rFonts w:cs="Calibri"/>
                <w:sz w:val="18"/>
                <w:szCs w:val="18"/>
              </w:rPr>
              <w:t xml:space="preserve"> </w:t>
            </w:r>
            <w:r w:rsidR="00702109" w:rsidRPr="005C5E32">
              <w:rPr>
                <w:rFonts w:cs="Calibri"/>
                <w:sz w:val="18"/>
                <w:szCs w:val="18"/>
              </w:rPr>
              <w:t>0.57</w:t>
            </w:r>
          </w:p>
        </w:tc>
        <w:tc>
          <w:tcPr>
            <w:tcW w:w="863" w:type="dxa"/>
            <w:vAlign w:val="bottom"/>
          </w:tcPr>
          <w:p w14:paraId="54351572" w14:textId="77777777" w:rsidR="00702109" w:rsidRPr="005C5E32" w:rsidRDefault="00702109" w:rsidP="007E2FD7">
            <w:pPr>
              <w:spacing w:before="60" w:after="60" w:line="230" w:lineRule="atLeast"/>
              <w:jc w:val="right"/>
              <w:rPr>
                <w:rFonts w:cs="Calibri"/>
                <w:sz w:val="18"/>
                <w:szCs w:val="18"/>
              </w:rPr>
            </w:pPr>
            <w:r w:rsidRPr="005C5E32">
              <w:rPr>
                <w:rFonts w:cs="Calibri"/>
                <w:sz w:val="18"/>
                <w:szCs w:val="18"/>
              </w:rPr>
              <w:t>0.68</w:t>
            </w:r>
          </w:p>
        </w:tc>
        <w:tc>
          <w:tcPr>
            <w:tcW w:w="863" w:type="dxa"/>
            <w:vAlign w:val="bottom"/>
          </w:tcPr>
          <w:p w14:paraId="1384A6F6" w14:textId="77777777" w:rsidR="00702109" w:rsidRPr="005C5E32" w:rsidRDefault="00702109" w:rsidP="007E2FD7">
            <w:pPr>
              <w:spacing w:before="60" w:after="60" w:line="230" w:lineRule="atLeast"/>
              <w:jc w:val="right"/>
              <w:rPr>
                <w:rFonts w:cs="Calibri"/>
                <w:sz w:val="18"/>
                <w:szCs w:val="18"/>
              </w:rPr>
            </w:pPr>
            <w:r w:rsidRPr="005C5E32">
              <w:rPr>
                <w:rFonts w:cs="Calibri"/>
                <w:sz w:val="18"/>
                <w:szCs w:val="18"/>
              </w:rPr>
              <w:t>0.75</w:t>
            </w:r>
          </w:p>
        </w:tc>
      </w:tr>
      <w:tr w:rsidR="00702109" w:rsidRPr="005C5E32" w14:paraId="4BC1E01F" w14:textId="77777777" w:rsidTr="007E2FD7">
        <w:tc>
          <w:tcPr>
            <w:tcW w:w="1601" w:type="dxa"/>
            <w:vAlign w:val="center"/>
          </w:tcPr>
          <w:p w14:paraId="724021C7" w14:textId="77777777" w:rsidR="00702109" w:rsidRPr="005C5E32" w:rsidRDefault="00702109" w:rsidP="00675623">
            <w:pPr>
              <w:spacing w:before="60" w:after="60" w:line="230" w:lineRule="atLeast"/>
              <w:jc w:val="left"/>
              <w:rPr>
                <w:rFonts w:eastAsia="MS Mincho"/>
                <w:sz w:val="18"/>
                <w:szCs w:val="18"/>
              </w:rPr>
            </w:pPr>
            <w:r w:rsidRPr="005C5E32">
              <w:rPr>
                <w:rFonts w:cs="Calibri"/>
                <w:sz w:val="18"/>
                <w:szCs w:val="18"/>
              </w:rPr>
              <w:t>Total gross emissions per $1 million of expenditure (t CO</w:t>
            </w:r>
            <w:r w:rsidRPr="005C5E32">
              <w:rPr>
                <w:rFonts w:cs="Calibri"/>
                <w:sz w:val="18"/>
                <w:szCs w:val="18"/>
                <w:vertAlign w:val="subscript"/>
              </w:rPr>
              <w:t>2</w:t>
            </w:r>
            <w:r w:rsidRPr="005C5E32">
              <w:rPr>
                <w:rFonts w:cs="Calibri"/>
                <w:sz w:val="18"/>
                <w:szCs w:val="18"/>
              </w:rPr>
              <w:t>e)</w:t>
            </w:r>
          </w:p>
        </w:tc>
        <w:tc>
          <w:tcPr>
            <w:tcW w:w="863" w:type="dxa"/>
            <w:vAlign w:val="bottom"/>
          </w:tcPr>
          <w:p w14:paraId="215CC24F"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18.64</w:t>
            </w:r>
          </w:p>
        </w:tc>
        <w:tc>
          <w:tcPr>
            <w:tcW w:w="863" w:type="dxa"/>
            <w:vAlign w:val="bottom"/>
          </w:tcPr>
          <w:p w14:paraId="7E9723A4"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16.65</w:t>
            </w:r>
          </w:p>
        </w:tc>
        <w:tc>
          <w:tcPr>
            <w:tcW w:w="863" w:type="dxa"/>
            <w:vAlign w:val="bottom"/>
          </w:tcPr>
          <w:p w14:paraId="073F4DB5"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7.02</w:t>
            </w:r>
          </w:p>
        </w:tc>
        <w:tc>
          <w:tcPr>
            <w:tcW w:w="863" w:type="dxa"/>
            <w:vAlign w:val="bottom"/>
          </w:tcPr>
          <w:p w14:paraId="2294C770"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3.09</w:t>
            </w:r>
          </w:p>
        </w:tc>
        <w:tc>
          <w:tcPr>
            <w:tcW w:w="863" w:type="dxa"/>
            <w:vAlign w:val="bottom"/>
          </w:tcPr>
          <w:p w14:paraId="40B3CD62"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2.71</w:t>
            </w:r>
          </w:p>
        </w:tc>
        <w:tc>
          <w:tcPr>
            <w:tcW w:w="863" w:type="dxa"/>
            <w:vAlign w:val="bottom"/>
          </w:tcPr>
          <w:p w14:paraId="4CDAFD32" w14:textId="77777777" w:rsidR="00702109" w:rsidRPr="005C5E32" w:rsidRDefault="00702109" w:rsidP="007E2FD7">
            <w:pPr>
              <w:spacing w:before="60" w:after="60" w:line="230" w:lineRule="atLeast"/>
              <w:jc w:val="right"/>
              <w:rPr>
                <w:rFonts w:eastAsia="MS Mincho"/>
                <w:sz w:val="18"/>
                <w:szCs w:val="18"/>
              </w:rPr>
            </w:pPr>
            <w:r w:rsidRPr="005C5E32">
              <w:rPr>
                <w:rFonts w:cs="Calibri"/>
                <w:sz w:val="18"/>
                <w:szCs w:val="18"/>
              </w:rPr>
              <w:t>3.17</w:t>
            </w:r>
          </w:p>
        </w:tc>
        <w:tc>
          <w:tcPr>
            <w:tcW w:w="863" w:type="dxa"/>
            <w:vAlign w:val="bottom"/>
          </w:tcPr>
          <w:p w14:paraId="083043C7" w14:textId="77777777" w:rsidR="00702109" w:rsidRPr="005C5E32" w:rsidRDefault="00702109" w:rsidP="007E2FD7">
            <w:pPr>
              <w:spacing w:before="60" w:after="60" w:line="230" w:lineRule="atLeast"/>
              <w:jc w:val="right"/>
              <w:rPr>
                <w:rFonts w:cs="Calibri"/>
                <w:sz w:val="18"/>
                <w:szCs w:val="18"/>
              </w:rPr>
            </w:pPr>
            <w:r w:rsidRPr="005C5E32">
              <w:rPr>
                <w:rFonts w:cs="Calibri"/>
                <w:sz w:val="18"/>
                <w:szCs w:val="18"/>
              </w:rPr>
              <w:t>2.40</w:t>
            </w:r>
          </w:p>
        </w:tc>
        <w:tc>
          <w:tcPr>
            <w:tcW w:w="863" w:type="dxa"/>
            <w:vAlign w:val="bottom"/>
          </w:tcPr>
          <w:p w14:paraId="3EA4F040" w14:textId="77777777" w:rsidR="00702109" w:rsidRPr="005C5E32" w:rsidRDefault="00702109" w:rsidP="007E2FD7">
            <w:pPr>
              <w:spacing w:before="60" w:after="60" w:line="230" w:lineRule="atLeast"/>
              <w:jc w:val="right"/>
              <w:rPr>
                <w:rFonts w:cs="Calibri"/>
                <w:sz w:val="18"/>
                <w:szCs w:val="18"/>
              </w:rPr>
            </w:pPr>
            <w:r w:rsidRPr="005C5E32">
              <w:rPr>
                <w:rFonts w:cs="Calibri"/>
                <w:sz w:val="18"/>
                <w:szCs w:val="18"/>
              </w:rPr>
              <w:t>2.90</w:t>
            </w:r>
          </w:p>
        </w:tc>
        <w:tc>
          <w:tcPr>
            <w:tcW w:w="863" w:type="dxa"/>
            <w:vAlign w:val="bottom"/>
          </w:tcPr>
          <w:p w14:paraId="58A1A19D" w14:textId="77777777" w:rsidR="00702109" w:rsidRPr="005C5E32" w:rsidRDefault="00702109" w:rsidP="007E2FD7">
            <w:pPr>
              <w:spacing w:before="60" w:after="60" w:line="230" w:lineRule="atLeast"/>
              <w:jc w:val="right"/>
              <w:rPr>
                <w:rFonts w:cs="Calibri"/>
                <w:sz w:val="18"/>
                <w:szCs w:val="18"/>
              </w:rPr>
            </w:pPr>
            <w:r w:rsidRPr="005C5E32">
              <w:rPr>
                <w:rFonts w:cs="Calibri"/>
                <w:sz w:val="18"/>
                <w:szCs w:val="18"/>
              </w:rPr>
              <w:t>2.75</w:t>
            </w:r>
          </w:p>
        </w:tc>
      </w:tr>
    </w:tbl>
    <w:p w14:paraId="67BFE82A" w14:textId="6F232540" w:rsidR="00702109" w:rsidRPr="005C5E32" w:rsidRDefault="00702109" w:rsidP="007E2FD7">
      <w:pPr>
        <w:pStyle w:val="Note"/>
        <w:spacing w:after="0"/>
      </w:pPr>
      <w:r w:rsidRPr="005C5E32">
        <w:t>*</w:t>
      </w:r>
      <w:r w:rsidR="004E504E" w:rsidRPr="005C5E32">
        <w:t xml:space="preserve"> </w:t>
      </w:r>
      <w:r w:rsidRPr="005C5E32">
        <w:t>FTE methodology applied in emissions reporting: FTE</w:t>
      </w:r>
      <w:r w:rsidRPr="005C5E32" w:rsidDel="00115BB6">
        <w:t xml:space="preserve"> </w:t>
      </w:r>
      <w:r w:rsidRPr="005C5E32">
        <w:t>figures used in emissions intensity calculations are derived from monthly headcount data provided by the People and Culture business unit, adjusted for full-time equivalency, remote work, and leave, to reflect actual operational presence. Data</w:t>
      </w:r>
      <w:r w:rsidRPr="005C5E32" w:rsidDel="00495D85">
        <w:t xml:space="preserve"> </w:t>
      </w:r>
      <w:r w:rsidR="00495D85" w:rsidRPr="005C5E32">
        <w:t xml:space="preserve">have </w:t>
      </w:r>
      <w:r w:rsidRPr="005C5E32">
        <w:t xml:space="preserve">been cross-verified using supplementary sources, including energy consumption records, facility access records and IT device connection data. </w:t>
      </w:r>
    </w:p>
    <w:p w14:paraId="483A8A78" w14:textId="4B71EA05" w:rsidR="00702109" w:rsidRPr="005C5E32" w:rsidRDefault="00702109" w:rsidP="007E2FD7">
      <w:pPr>
        <w:pStyle w:val="Note"/>
      </w:pPr>
      <w:r w:rsidRPr="005C5E32">
        <w:t>This methodology differs from the FTE</w:t>
      </w:r>
      <w:r w:rsidR="004E504E" w:rsidRPr="005C5E32">
        <w:t xml:space="preserve"> data</w:t>
      </w:r>
      <w:r w:rsidRPr="005C5E32">
        <w:t xml:space="preserve"> reported in financial statements and elsewhere in the annual report, which reflect headcount as at 30 June. This approach aligns with ISO 14064-1:2018 and Toitū </w:t>
      </w:r>
      <w:r w:rsidR="00495D85" w:rsidRPr="005C5E32">
        <w:t>c</w:t>
      </w:r>
      <w:r w:rsidRPr="005C5E32">
        <w:t>arbon</w:t>
      </w:r>
      <w:r w:rsidR="00495D85" w:rsidRPr="005C5E32">
        <w:t>reduce</w:t>
      </w:r>
      <w:r w:rsidRPr="005C5E32" w:rsidDel="00495D85">
        <w:t xml:space="preserve"> </w:t>
      </w:r>
      <w:r w:rsidRPr="005C5E32">
        <w:t>programme requirements, and has been subject to independent assurance.</w:t>
      </w:r>
    </w:p>
    <w:p w14:paraId="550AACBB" w14:textId="77777777" w:rsidR="00B548B0" w:rsidRDefault="00B548B0">
      <w:pPr>
        <w:spacing w:before="0" w:after="200" w:line="276" w:lineRule="auto"/>
        <w:jc w:val="left"/>
        <w:rPr>
          <w:rFonts w:ascii="Georgia" w:eastAsiaTheme="majorEastAsia" w:hAnsi="Georgia" w:cstheme="majorBidi"/>
          <w:b/>
          <w:bCs/>
          <w:sz w:val="28"/>
        </w:rPr>
      </w:pPr>
      <w:r>
        <w:br w:type="page"/>
      </w:r>
    </w:p>
    <w:p w14:paraId="7E3CD015" w14:textId="77777777" w:rsidR="003F11C1" w:rsidRPr="005C5E32" w:rsidRDefault="003F11C1" w:rsidP="00807C3F">
      <w:pPr>
        <w:pStyle w:val="Heading3"/>
      </w:pPr>
      <w:r w:rsidRPr="005C5E32">
        <w:lastRenderedPageBreak/>
        <w:t>Independent verification</w:t>
      </w:r>
    </w:p>
    <w:p w14:paraId="7E07A352" w14:textId="53695092" w:rsidR="003F11C1" w:rsidRPr="005C5E32" w:rsidRDefault="003F11C1" w:rsidP="00D2665F">
      <w:pPr>
        <w:pStyle w:val="BodyText"/>
      </w:pPr>
      <w:r w:rsidRPr="005C5E32">
        <w:rPr>
          <w:noProof/>
        </w:rPr>
        <w:drawing>
          <wp:anchor distT="0" distB="0" distL="114300" distR="114300" simplePos="0" relativeHeight="251657216" behindDoc="1" locked="0" layoutInCell="1" allowOverlap="1" wp14:anchorId="2E437AE7" wp14:editId="796EB36F">
            <wp:simplePos x="0" y="0"/>
            <wp:positionH relativeFrom="column">
              <wp:posOffset>20320</wp:posOffset>
            </wp:positionH>
            <wp:positionV relativeFrom="paragraph">
              <wp:posOffset>60960</wp:posOffset>
            </wp:positionV>
            <wp:extent cx="841375" cy="1108075"/>
            <wp:effectExtent l="0" t="0" r="0" b="0"/>
            <wp:wrapSquare wrapText="bothSides"/>
            <wp:docPr id="166611451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114512" name="Picture 2" descr="A black and white logo&#10;&#10;Description automatically generated"/>
                    <pic:cNvPicPr/>
                  </pic:nvPicPr>
                  <pic:blipFill rotWithShape="1">
                    <a:blip r:embed="rId96">
                      <a:extLst>
                        <a:ext uri="{28A0092B-C50C-407E-A947-70E740481C1C}">
                          <a14:useLocalDpi xmlns:a14="http://schemas.microsoft.com/office/drawing/2010/main" val="0"/>
                        </a:ext>
                      </a:extLst>
                    </a:blip>
                    <a:srcRect l="7965" t="1" b="4127"/>
                    <a:stretch/>
                  </pic:blipFill>
                  <pic:spPr bwMode="auto">
                    <a:xfrm>
                      <a:off x="0" y="0"/>
                      <a:ext cx="841375" cy="1108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C5E32">
        <w:t>The Ministry</w:t>
      </w:r>
      <w:r w:rsidR="000369F8" w:rsidRPr="005C5E32">
        <w:t>’</w:t>
      </w:r>
      <w:r w:rsidRPr="005C5E32">
        <w:t>s greenhouse gas emissions measurement</w:t>
      </w:r>
      <w:r w:rsidR="00466AE0" w:rsidRPr="005C5E32">
        <w:t xml:space="preserve">, including </w:t>
      </w:r>
      <w:r w:rsidRPr="005C5E32">
        <w:t>emissions data and</w:t>
      </w:r>
      <w:r w:rsidR="00466AE0" w:rsidRPr="005C5E32">
        <w:t xml:space="preserve"> </w:t>
      </w:r>
      <w:r w:rsidRPr="005C5E32">
        <w:t>calculations</w:t>
      </w:r>
      <w:r w:rsidR="00466AE0" w:rsidRPr="005C5E32">
        <w:t>, was</w:t>
      </w:r>
      <w:r w:rsidRPr="005C5E32">
        <w:t xml:space="preserve"> independently verified by Toitū Envirocare</w:t>
      </w:r>
      <w:r w:rsidR="00466AE0" w:rsidRPr="005C5E32">
        <w:t>.</w:t>
      </w:r>
    </w:p>
    <w:p w14:paraId="69DBF95E" w14:textId="53D0DF00" w:rsidR="00466AE0" w:rsidRPr="005C5E32" w:rsidRDefault="00466AE0" w:rsidP="00466AE0">
      <w:pPr>
        <w:pStyle w:val="BodyText"/>
      </w:pPr>
      <w:r w:rsidRPr="005C5E32">
        <w:t>For 2025/26, the Ministry held Toitū carbonreduce certification. This means its emissions were measured and reported in accordance with ISO 14064-1:</w:t>
      </w:r>
      <w:r w:rsidR="0029549A" w:rsidRPr="005C5E32">
        <w:t xml:space="preserve"> </w:t>
      </w:r>
      <w:r w:rsidRPr="005C5E32">
        <w:t>2018 and Toitū carbonreduce programme requirements.</w:t>
      </w:r>
    </w:p>
    <w:p w14:paraId="36FA67FC" w14:textId="0DA91A15" w:rsidR="00466AE0" w:rsidRPr="005C5E32" w:rsidRDefault="00466AE0" w:rsidP="00466AE0">
      <w:pPr>
        <w:pStyle w:val="BodyText"/>
      </w:pPr>
      <w:r w:rsidRPr="005C5E32">
        <w:t>The certification provides third-party assurance over the Ministry</w:t>
      </w:r>
      <w:r w:rsidR="000369F8" w:rsidRPr="005C5E32">
        <w:t>’</w:t>
      </w:r>
      <w:r w:rsidRPr="005C5E32">
        <w:t>s final-year emissions reporting.</w:t>
      </w:r>
    </w:p>
    <w:p w14:paraId="44FF1257" w14:textId="07D1174F" w:rsidR="003F11C1" w:rsidRPr="005C5E32" w:rsidRDefault="00466AE0" w:rsidP="00D93E31">
      <w:pPr>
        <w:pStyle w:val="BodyText"/>
      </w:pPr>
      <w:r w:rsidRPr="005C5E32">
        <w:t>The</w:t>
      </w:r>
      <w:r w:rsidR="003F11C1" w:rsidRPr="005C5E32">
        <w:t xml:space="preserve"> emissions results align with the 2026 </w:t>
      </w:r>
      <w:r w:rsidRPr="005C5E32">
        <w:t>Measuring Emissions Guide</w:t>
      </w:r>
      <w:r w:rsidR="003F11C1" w:rsidRPr="005C5E32">
        <w:t xml:space="preserve">, which </w:t>
      </w:r>
      <w:r w:rsidRPr="005C5E32">
        <w:t xml:space="preserve">applies </w:t>
      </w:r>
      <w:r w:rsidR="003F11C1" w:rsidRPr="005C5E32">
        <w:t xml:space="preserve">100-year </w:t>
      </w:r>
      <w:r w:rsidR="007560AF" w:rsidRPr="005C5E32">
        <w:t>g</w:t>
      </w:r>
      <w:r w:rsidR="003F11C1" w:rsidRPr="005C5E32">
        <w:t xml:space="preserve">lobal </w:t>
      </w:r>
      <w:r w:rsidR="007560AF" w:rsidRPr="005C5E32">
        <w:t>w</w:t>
      </w:r>
      <w:r w:rsidR="003F11C1" w:rsidRPr="005C5E32">
        <w:t xml:space="preserve">arming </w:t>
      </w:r>
      <w:r w:rsidR="007560AF" w:rsidRPr="005C5E32">
        <w:t>p</w:t>
      </w:r>
      <w:r w:rsidR="003F11C1" w:rsidRPr="005C5E32">
        <w:t xml:space="preserve">otential </w:t>
      </w:r>
      <w:r w:rsidR="001A5459" w:rsidRPr="005C5E32">
        <w:t xml:space="preserve">(GWP) </w:t>
      </w:r>
      <w:r w:rsidR="003F11C1" w:rsidRPr="005C5E32">
        <w:t xml:space="preserve">values </w:t>
      </w:r>
      <w:r w:rsidRPr="005C5E32">
        <w:t>from</w:t>
      </w:r>
      <w:r w:rsidR="003F11C1" w:rsidRPr="005C5E32">
        <w:t xml:space="preserve"> the Intergovernmental Panel on Climate Change Fifth Assessment Report. These </w:t>
      </w:r>
      <w:r w:rsidR="001A5459" w:rsidRPr="005C5E32">
        <w:t xml:space="preserve">GWP </w:t>
      </w:r>
      <w:r w:rsidR="003F11C1" w:rsidRPr="005C5E32">
        <w:t xml:space="preserve">values </w:t>
      </w:r>
      <w:r w:rsidRPr="005C5E32">
        <w:t>support consistent</w:t>
      </w:r>
      <w:r w:rsidR="003F11C1" w:rsidRPr="005C5E32">
        <w:t xml:space="preserve"> greenhouse gas inventory reporting under the Paris Agreement.</w:t>
      </w:r>
    </w:p>
    <w:p w14:paraId="086F7996" w14:textId="77777777" w:rsidR="003F11C1" w:rsidRPr="005C5E32" w:rsidRDefault="003F11C1">
      <w:pPr>
        <w:spacing w:before="0" w:after="200" w:line="276" w:lineRule="auto"/>
        <w:jc w:val="left"/>
      </w:pPr>
      <w:r w:rsidRPr="005C5E32">
        <w:br w:type="page"/>
      </w:r>
    </w:p>
    <w:p w14:paraId="37982B23" w14:textId="77777777" w:rsidR="003F11C1" w:rsidRPr="005C5E32" w:rsidRDefault="003F11C1" w:rsidP="003B4A7F">
      <w:pPr>
        <w:pStyle w:val="Heading2"/>
      </w:pPr>
      <w:bookmarkStart w:id="242" w:name="_Toc207017399"/>
      <w:bookmarkStart w:id="243" w:name="_Toc210136385"/>
      <w:bookmarkStart w:id="244" w:name="_Toc240445572"/>
      <w:bookmarkEnd w:id="234"/>
      <w:bookmarkEnd w:id="235"/>
      <w:r w:rsidRPr="005C5E32">
        <w:lastRenderedPageBreak/>
        <w:t>Our ao Māori strategy</w:t>
      </w:r>
      <w:bookmarkEnd w:id="236"/>
      <w:bookmarkEnd w:id="237"/>
      <w:bookmarkEnd w:id="242"/>
      <w:bookmarkEnd w:id="243"/>
      <w:bookmarkEnd w:id="244"/>
    </w:p>
    <w:p w14:paraId="63BBA7AB" w14:textId="3C6FE2A9" w:rsidR="003F11C1" w:rsidRPr="005C5E32" w:rsidRDefault="003F11C1" w:rsidP="003C2E71">
      <w:pPr>
        <w:pStyle w:val="Heading3"/>
        <w:spacing w:before="240"/>
      </w:pPr>
      <w:bookmarkStart w:id="245" w:name="_Toc136349068"/>
      <w:bookmarkStart w:id="246" w:name="_Toc173852935"/>
      <w:bookmarkStart w:id="247" w:name="_Toc173931504"/>
      <w:bookmarkStart w:id="248" w:name="_Toc173932238"/>
      <w:r w:rsidRPr="005C5E32">
        <w:t xml:space="preserve">Building </w:t>
      </w:r>
      <w:bookmarkEnd w:id="245"/>
      <w:bookmarkEnd w:id="246"/>
      <w:bookmarkEnd w:id="247"/>
      <w:bookmarkEnd w:id="248"/>
      <w:r w:rsidRPr="005C5E32">
        <w:t>capability and readiness during</w:t>
      </w:r>
      <w:r w:rsidR="007679CC" w:rsidRPr="005C5E32">
        <w:br/>
      </w:r>
      <w:r w:rsidRPr="005C5E32">
        <w:t>a period of</w:t>
      </w:r>
      <w:r w:rsidR="0029549A" w:rsidRPr="005C5E32">
        <w:t> </w:t>
      </w:r>
      <w:r w:rsidRPr="005C5E32">
        <w:t>transition</w:t>
      </w:r>
    </w:p>
    <w:p w14:paraId="311C2FAD" w14:textId="01381E56" w:rsidR="003F11C1" w:rsidRPr="005C5E32" w:rsidRDefault="0094406E" w:rsidP="001B7BA2">
      <w:pPr>
        <w:pStyle w:val="BodyText"/>
        <w:spacing w:before="100" w:after="100"/>
      </w:pPr>
      <w:r w:rsidRPr="005C5E32">
        <w:t>In 2025/26, t</w:t>
      </w:r>
      <w:r w:rsidR="003F11C1" w:rsidRPr="005C5E32">
        <w:t xml:space="preserve">he Ministry continued </w:t>
      </w:r>
      <w:r w:rsidR="00F8618E" w:rsidRPr="005C5E32">
        <w:t xml:space="preserve">our </w:t>
      </w:r>
      <w:r w:rsidR="003F11C1" w:rsidRPr="005C5E32">
        <w:t xml:space="preserve">work to ensure sufficient organisational capability to engage with Māori and understand Māori perspectives. </w:t>
      </w:r>
      <w:r w:rsidR="00972B04" w:rsidRPr="005C5E32">
        <w:t xml:space="preserve">Our </w:t>
      </w:r>
      <w:r w:rsidR="00DE6BF6" w:rsidRPr="005C5E32">
        <w:t>strategy</w:t>
      </w:r>
      <w:r w:rsidR="001464C7">
        <w:t>,</w:t>
      </w:r>
      <w:r w:rsidR="00972B04" w:rsidRPr="005C5E32">
        <w:t xml:space="preserve"> </w:t>
      </w:r>
      <w:r w:rsidR="003F11C1" w:rsidRPr="005C5E32">
        <w:t>Te Ao Hurihuri</w:t>
      </w:r>
      <w:r w:rsidR="001464C7">
        <w:t>,</w:t>
      </w:r>
      <w:r w:rsidR="003F11C1" w:rsidRPr="005C5E32">
        <w:t xml:space="preserve"> continued </w:t>
      </w:r>
      <w:r w:rsidR="003F11C1" w:rsidRPr="005C5E32">
        <w:rPr>
          <w:spacing w:val="-2"/>
        </w:rPr>
        <w:t>to provide the foundation for the Ministry</w:t>
      </w:r>
      <w:r w:rsidR="000369F8" w:rsidRPr="005C5E32">
        <w:rPr>
          <w:spacing w:val="-2"/>
        </w:rPr>
        <w:t>’</w:t>
      </w:r>
      <w:r w:rsidR="003F11C1" w:rsidRPr="005C5E32">
        <w:rPr>
          <w:spacing w:val="-2"/>
        </w:rPr>
        <w:t>s approach to strengthening Māori cultural capability</w:t>
      </w:r>
      <w:r w:rsidR="003F11C1" w:rsidRPr="005C5E32">
        <w:t xml:space="preserve">, supporting Māori–Crown relationships, and building confidence in giving practical effect to </w:t>
      </w:r>
      <w:r w:rsidR="002B3972" w:rsidRPr="005C5E32">
        <w:t>t</w:t>
      </w:r>
      <w:r w:rsidR="003F11C1" w:rsidRPr="005C5E32">
        <w:t xml:space="preserve">e Tiriti o Waitangi </w:t>
      </w:r>
      <w:r w:rsidR="00CD12C7" w:rsidRPr="005C5E32">
        <w:t>(</w:t>
      </w:r>
      <w:r w:rsidR="005F7DE2" w:rsidRPr="005C5E32">
        <w:t>the Treaty of Waitangi</w:t>
      </w:r>
      <w:r w:rsidR="00CD12C7" w:rsidRPr="005C5E32">
        <w:t xml:space="preserve">) </w:t>
      </w:r>
      <w:r w:rsidR="003F11C1" w:rsidRPr="005C5E32">
        <w:t>across our work. During 2025/26, our focus remained on embedding capability into everyday organisational practice and strengthening the systems, resources and learning environments that support this work. </w:t>
      </w:r>
    </w:p>
    <w:p w14:paraId="215DD08C" w14:textId="6AD71C21" w:rsidR="003F11C1" w:rsidRPr="005C5E32" w:rsidRDefault="003F11C1" w:rsidP="001B7BA2">
      <w:pPr>
        <w:pStyle w:val="BodyText"/>
        <w:spacing w:before="100" w:after="100"/>
      </w:pPr>
      <w:r w:rsidRPr="005C5E32">
        <w:t xml:space="preserve">Throughout the year, we continued to deliver the Tōnui baseline capability programme, cultural capability wānanga, te reo Māori learning opportunities, tikanga guidance, one-to-one cultural support, and practical resources for staff and leaders. These activities were designed to support the development of capability across the organisation and help </w:t>
      </w:r>
      <w:r w:rsidR="00E91FCC" w:rsidRPr="005C5E32">
        <w:t>our people</w:t>
      </w:r>
      <w:r w:rsidRPr="005C5E32">
        <w:t xml:space="preserve"> apply </w:t>
      </w:r>
      <w:r w:rsidR="00CD12C7" w:rsidRPr="005C5E32">
        <w:t>t</w:t>
      </w:r>
      <w:r w:rsidRPr="005C5E32">
        <w:t>e</w:t>
      </w:r>
      <w:r w:rsidR="0029549A" w:rsidRPr="005C5E32">
        <w:t> </w:t>
      </w:r>
      <w:r w:rsidR="00CD12C7" w:rsidRPr="005C5E32">
        <w:t>a</w:t>
      </w:r>
      <w:r w:rsidRPr="005C5E32">
        <w:t xml:space="preserve">o Māori perspectives, tikanga Māori and </w:t>
      </w:r>
      <w:r w:rsidR="00CD12C7" w:rsidRPr="005C5E32">
        <w:t>t</w:t>
      </w:r>
      <w:r w:rsidRPr="005C5E32">
        <w:t>e Tiriti considerations in their day-to-day work. The Ministry also continued to support capability development through Te Tautuhi o Rongo, Māori-centred policy approaches, cultural resources, leadership support and organisation-wide learning initiatives. </w:t>
      </w:r>
    </w:p>
    <w:p w14:paraId="27165664" w14:textId="74679010" w:rsidR="003F11C1" w:rsidRPr="005C5E32" w:rsidRDefault="003F11C1" w:rsidP="001B7BA2">
      <w:pPr>
        <w:pStyle w:val="BodyText"/>
        <w:spacing w:before="100" w:after="100"/>
      </w:pPr>
      <w:r w:rsidRPr="005C5E32">
        <w:t>During the second half of the</w:t>
      </w:r>
      <w:r w:rsidR="005F7DE2" w:rsidRPr="005C5E32">
        <w:t xml:space="preserve"> financial</w:t>
      </w:r>
      <w:r w:rsidRPr="005C5E32">
        <w:t xml:space="preserve"> year, the Ministry entered a significant period of organisational transition as work progressed toward</w:t>
      </w:r>
      <w:r w:rsidR="00EB49DB" w:rsidRPr="005C5E32">
        <w:t>s</w:t>
      </w:r>
      <w:r w:rsidRPr="005C5E32">
        <w:t xml:space="preserve"> the establishment of MCERT. In January 2026, the planned evolution and refresh of Te Ao Hurihuri was paused, due to the changing operating environment and the need to prioritise transition activity. While collective leadership wānanga were paused, tailored one-to-one cultural capability support for senior leaders remained available throughout the transition period</w:t>
      </w:r>
      <w:r w:rsidR="00FB503F" w:rsidRPr="005C5E32">
        <w:t>,</w:t>
      </w:r>
      <w:r w:rsidRPr="005C5E32">
        <w:t xml:space="preserve"> to help leaders navigate organisational change.</w:t>
      </w:r>
    </w:p>
    <w:p w14:paraId="68C5C34C" w14:textId="246F53C1" w:rsidR="003F11C1" w:rsidRPr="005C5E32" w:rsidRDefault="003F11C1" w:rsidP="001B7BA2">
      <w:pPr>
        <w:pStyle w:val="BodyText"/>
        <w:spacing w:before="100" w:after="100"/>
      </w:pPr>
      <w:r w:rsidRPr="005C5E32">
        <w:t xml:space="preserve">The transition to MCERT also created an opportunity to take stock of </w:t>
      </w:r>
      <w:r w:rsidR="009E1244" w:rsidRPr="005C5E32">
        <w:t xml:space="preserve">our </w:t>
      </w:r>
      <w:r w:rsidRPr="005C5E32">
        <w:t>capability artefacts, frameworks, learning programmes, cultural resources and organisational practices. The work</w:t>
      </w:r>
      <w:r w:rsidR="003C2E71" w:rsidRPr="005C5E32">
        <w:t> </w:t>
      </w:r>
      <w:r w:rsidRPr="005C5E32">
        <w:t xml:space="preserve">undertaken </w:t>
      </w:r>
      <w:r w:rsidR="00AA62BB" w:rsidRPr="005C5E32">
        <w:t>in 2025/26</w:t>
      </w:r>
      <w:r w:rsidRPr="005C5E32">
        <w:t xml:space="preserve"> reinforced the importance of aligning capability, engagement, leadership, organisational systems, and reporting to support enduring Māori–Crown relationships and improve organisational outcomes over time. </w:t>
      </w:r>
    </w:p>
    <w:p w14:paraId="05E2345F" w14:textId="77777777" w:rsidR="003F11C1" w:rsidRPr="005C5E32" w:rsidRDefault="003F11C1" w:rsidP="001B7BA2">
      <w:pPr>
        <w:pStyle w:val="Heading3"/>
        <w:spacing w:before="280"/>
      </w:pPr>
      <w:bookmarkStart w:id="249" w:name="_Tōnui"/>
      <w:bookmarkEnd w:id="249"/>
      <w:r w:rsidRPr="005C5E32">
        <w:t>Te Tiriti o Waitangi settlement commitments</w:t>
      </w:r>
    </w:p>
    <w:p w14:paraId="51FFDA5B" w14:textId="5A8790A4" w:rsidR="003F11C1" w:rsidRPr="005C5E32" w:rsidRDefault="003F11C1" w:rsidP="001B7BA2">
      <w:pPr>
        <w:pStyle w:val="BodyText"/>
        <w:spacing w:before="100" w:after="100"/>
      </w:pPr>
      <w:r w:rsidRPr="005C5E32">
        <w:t>Delivering on the Crown</w:t>
      </w:r>
      <w:r w:rsidR="000369F8" w:rsidRPr="005C5E32">
        <w:t>’</w:t>
      </w:r>
      <w:r w:rsidRPr="005C5E32">
        <w:t xml:space="preserve">s Treaty settlement commitments </w:t>
      </w:r>
      <w:r w:rsidR="00AA62BB" w:rsidRPr="005C5E32">
        <w:t xml:space="preserve">was </w:t>
      </w:r>
      <w:r w:rsidRPr="005C5E32">
        <w:t xml:space="preserve">central to achieving our strategic outcome to uphold </w:t>
      </w:r>
      <w:r w:rsidRPr="005C5E32">
        <w:rPr>
          <w:iCs/>
        </w:rPr>
        <w:t>te Tiriti and strengthen the Māori–Crown relationship.</w:t>
      </w:r>
    </w:p>
    <w:p w14:paraId="5F68B796" w14:textId="6CB54429" w:rsidR="003F11C1" w:rsidRPr="005C5E32" w:rsidRDefault="00AA62BB" w:rsidP="001B7BA2">
      <w:pPr>
        <w:pStyle w:val="BodyText"/>
        <w:spacing w:before="100" w:after="100"/>
      </w:pPr>
      <w:r w:rsidRPr="005C5E32">
        <w:t>In 2025/26</w:t>
      </w:r>
      <w:r w:rsidR="003F11C1" w:rsidRPr="005C5E32">
        <w:t>, we increased our compliance with Treaty settlement commitments</w:t>
      </w:r>
      <w:r w:rsidR="00B9484F" w:rsidRPr="005C5E32">
        <w:t>:</w:t>
      </w:r>
      <w:r w:rsidR="003F11C1" w:rsidRPr="005C5E32" w:rsidDel="00B9484F">
        <w:t xml:space="preserve"> </w:t>
      </w:r>
      <w:r w:rsidRPr="005C5E32">
        <w:t xml:space="preserve">we completed </w:t>
      </w:r>
      <w:r w:rsidR="00D97CC5" w:rsidRPr="005C5E32">
        <w:t xml:space="preserve">a larger proportion </w:t>
      </w:r>
      <w:r w:rsidR="00724EB0" w:rsidRPr="005C5E32">
        <w:t xml:space="preserve">of </w:t>
      </w:r>
      <w:r w:rsidR="00D97CC5" w:rsidRPr="005C5E32">
        <w:t>commitments</w:t>
      </w:r>
      <w:r w:rsidR="00724EB0" w:rsidRPr="005C5E32">
        <w:t xml:space="preserve">, </w:t>
      </w:r>
      <w:r w:rsidR="00D97CC5" w:rsidRPr="005C5E32">
        <w:t xml:space="preserve">and </w:t>
      </w:r>
      <w:r w:rsidR="00B9484F" w:rsidRPr="005C5E32">
        <w:t xml:space="preserve">fewer commitments </w:t>
      </w:r>
      <w:r w:rsidR="00724EB0" w:rsidRPr="005C5E32">
        <w:t>face</w:t>
      </w:r>
      <w:r w:rsidRPr="005C5E32">
        <w:t>d</w:t>
      </w:r>
      <w:r w:rsidR="00724EB0" w:rsidRPr="005C5E32">
        <w:t xml:space="preserve"> delivery </w:t>
      </w:r>
      <w:r w:rsidR="003F11C1" w:rsidRPr="005C5E32" w:rsidDel="00724EB0">
        <w:t>issues</w:t>
      </w:r>
      <w:r w:rsidR="003F11C1" w:rsidRPr="005C5E32">
        <w:t xml:space="preserve">. This shift </w:t>
      </w:r>
      <w:r w:rsidRPr="005C5E32">
        <w:t xml:space="preserve">was </w:t>
      </w:r>
      <w:r w:rsidR="003F11C1" w:rsidRPr="005C5E32">
        <w:t xml:space="preserve">the result of deliberate efforts to mature our performance and embed Treaty settlement commitments into our everyday work. </w:t>
      </w:r>
    </w:p>
    <w:p w14:paraId="4F57F039" w14:textId="1179F4CB" w:rsidR="003F11C1" w:rsidRPr="005C5E32" w:rsidRDefault="003F11C1" w:rsidP="001B7BA2">
      <w:pPr>
        <w:pStyle w:val="BodyText"/>
        <w:spacing w:before="100" w:after="100"/>
      </w:pPr>
      <w:r w:rsidRPr="005C5E32">
        <w:t>We invested in the tools and systems needed to deliver Treaty settlement commitments more consistently, helping us to proactively identify and resolve issues, lift performance maturity</w:t>
      </w:r>
      <w:r w:rsidR="0012381A" w:rsidRPr="005C5E32">
        <w:t>,</w:t>
      </w:r>
      <w:r w:rsidRPr="005C5E32">
        <w:t xml:space="preserve"> and improve clarity and transparency. Changes included:</w:t>
      </w:r>
    </w:p>
    <w:p w14:paraId="7BA7A8C6" w14:textId="77777777" w:rsidR="003F11C1" w:rsidRPr="005C5E32" w:rsidRDefault="003F11C1" w:rsidP="001B7BA2">
      <w:pPr>
        <w:pStyle w:val="Bullet"/>
        <w:spacing w:after="100"/>
        <w:rPr>
          <w:rFonts w:eastAsia="Calibri"/>
        </w:rPr>
      </w:pPr>
      <w:r w:rsidRPr="005C5E32">
        <w:rPr>
          <w:rFonts w:eastAsia="Calibri"/>
        </w:rPr>
        <w:t xml:space="preserve">focusing on mapping and monitoring key delivery dates </w:t>
      </w:r>
    </w:p>
    <w:p w14:paraId="6A02AD9C" w14:textId="77777777" w:rsidR="003F11C1" w:rsidRPr="00E0393E" w:rsidRDefault="003F11C1" w:rsidP="001B7BA2">
      <w:pPr>
        <w:pStyle w:val="Bullet"/>
        <w:spacing w:after="100"/>
        <w:rPr>
          <w:rFonts w:eastAsia="Calibri"/>
        </w:rPr>
      </w:pPr>
      <w:r w:rsidRPr="005C5E32">
        <w:rPr>
          <w:rFonts w:eastAsia="Calibri"/>
        </w:rPr>
        <w:t>improving record-keeping and tracking of historical commitments</w:t>
      </w:r>
    </w:p>
    <w:p w14:paraId="03CB3947" w14:textId="7C4215F9" w:rsidR="003F11C1" w:rsidRPr="00E0393E" w:rsidRDefault="007F0BBC" w:rsidP="0017328A">
      <w:pPr>
        <w:pStyle w:val="Bullet"/>
        <w:rPr>
          <w:rFonts w:eastAsia="Calibri"/>
        </w:rPr>
      </w:pPr>
      <w:r w:rsidRPr="005C21E9">
        <w:rPr>
          <w:rFonts w:eastAsia="Calibri"/>
        </w:rPr>
        <w:t xml:space="preserve">conducting </w:t>
      </w:r>
      <w:r w:rsidR="003F11C1" w:rsidRPr="005C21E9">
        <w:rPr>
          <w:rFonts w:eastAsia="Calibri"/>
        </w:rPr>
        <w:t>regular audits to assess accuracy and completeness of data.</w:t>
      </w:r>
    </w:p>
    <w:p w14:paraId="26611915" w14:textId="2507EA8F" w:rsidR="003F11C1" w:rsidRPr="005C5E32" w:rsidRDefault="003F11C1" w:rsidP="0013118A">
      <w:pPr>
        <w:pStyle w:val="Heading4"/>
      </w:pPr>
      <w:r w:rsidRPr="005C5E32">
        <w:lastRenderedPageBreak/>
        <w:t>The status of the Ministry</w:t>
      </w:r>
      <w:r w:rsidR="000369F8" w:rsidRPr="005C5E32">
        <w:t>’</w:t>
      </w:r>
      <w:r w:rsidRPr="005C5E32">
        <w:t xml:space="preserve">s settlement commitments </w:t>
      </w:r>
    </w:p>
    <w:p w14:paraId="760C0E9F" w14:textId="22C6CE14" w:rsidR="003F11C1" w:rsidRPr="005C5E32" w:rsidRDefault="003F11C1" w:rsidP="003B4A7F">
      <w:pPr>
        <w:pStyle w:val="BodyText"/>
      </w:pPr>
      <w:r w:rsidRPr="005C5E32">
        <w:rPr>
          <w:iCs/>
        </w:rPr>
        <w:t>He Korowai Whakamana</w:t>
      </w:r>
      <w:r w:rsidRPr="005C5E32">
        <w:t xml:space="preserve"> provides a whole-of-government framework for tracking the status</w:t>
      </w:r>
      <w:r w:rsidR="001B7BA2" w:rsidRPr="005C5E32">
        <w:t> </w:t>
      </w:r>
      <w:r w:rsidRPr="005C5E32">
        <w:t xml:space="preserve">of Treaty settlement commitments via </w:t>
      </w:r>
      <w:hyperlink r:id="rId97">
        <w:r w:rsidRPr="005C5E32">
          <w:rPr>
            <w:rStyle w:val="Hyperlink"/>
            <w:rFonts w:eastAsia="Calibri" w:cs="Calibri"/>
          </w:rPr>
          <w:t>Te Haeata</w:t>
        </w:r>
        <w:r w:rsidRPr="00E0393E">
          <w:rPr>
            <w:rStyle w:val="Hyperlink"/>
            <w:rFonts w:eastAsia="Calibri" w:cs="Calibri"/>
            <w:color w:val="auto"/>
          </w:rPr>
          <w:t>,</w:t>
        </w:r>
      </w:hyperlink>
      <w:r w:rsidRPr="005C5E32">
        <w:t xml:space="preserve"> the public online portal managed by</w:t>
      </w:r>
      <w:r w:rsidR="001B7BA2" w:rsidRPr="005C5E32">
        <w:t> </w:t>
      </w:r>
      <w:r w:rsidRPr="005C5E32">
        <w:t xml:space="preserve">Te Puni Kōkiri. </w:t>
      </w:r>
    </w:p>
    <w:p w14:paraId="4799DB5A" w14:textId="63F548E3" w:rsidR="003F11C1" w:rsidRPr="005C5E32" w:rsidRDefault="003F11C1" w:rsidP="003B4A7F">
      <w:pPr>
        <w:pStyle w:val="BodyText"/>
      </w:pPr>
      <w:r w:rsidRPr="005C5E32">
        <w:t xml:space="preserve">The Ministry </w:t>
      </w:r>
      <w:r w:rsidR="00AA62BB" w:rsidRPr="005C5E32">
        <w:t xml:space="preserve">was </w:t>
      </w:r>
      <w:r w:rsidRPr="005C5E32">
        <w:t>responsible for delivering more than 800 Treaty settlement commitments</w:t>
      </w:r>
      <w:r w:rsidR="00AA62BB" w:rsidRPr="005C5E32">
        <w:t>. Of</w:t>
      </w:r>
      <w:r w:rsidR="001B7BA2" w:rsidRPr="005C5E32">
        <w:t> </w:t>
      </w:r>
      <w:r w:rsidR="00AA62BB" w:rsidRPr="005C5E32">
        <w:t xml:space="preserve">those, </w:t>
      </w:r>
      <w:r w:rsidR="00CA17A8" w:rsidRPr="005C5E32">
        <w:t xml:space="preserve">in 2025/26 </w:t>
      </w:r>
      <w:r w:rsidR="00AA62BB" w:rsidRPr="005C5E32">
        <w:t>we reported</w:t>
      </w:r>
      <w:r w:rsidRPr="005C5E32">
        <w:t xml:space="preserve"> </w:t>
      </w:r>
      <w:r w:rsidR="00CA17A8" w:rsidRPr="005C5E32">
        <w:t xml:space="preserve">on the status of </w:t>
      </w:r>
      <w:r w:rsidRPr="005C5E32">
        <w:t>222 to Te Haeata</w:t>
      </w:r>
      <w:r w:rsidR="00AA62BB" w:rsidRPr="005C5E32">
        <w:t>, as</w:t>
      </w:r>
      <w:r w:rsidRPr="005C5E32">
        <w:t xml:space="preserve"> commitments with clearly defined obligations</w:t>
      </w:r>
      <w:r w:rsidR="00D74B14">
        <w:t xml:space="preserve"> (figure 7)</w:t>
      </w:r>
      <w:r w:rsidRPr="005C5E32">
        <w:t>.</w:t>
      </w:r>
    </w:p>
    <w:p w14:paraId="09D30C33" w14:textId="77777777" w:rsidR="004E6BB2" w:rsidRPr="005C5E32" w:rsidRDefault="004E6BB2" w:rsidP="004E6BB2">
      <w:pPr>
        <w:pStyle w:val="BodyText"/>
      </w:pPr>
      <w:r w:rsidRPr="005C5E32">
        <w:t>Commitments are categorised as follows:</w:t>
      </w:r>
    </w:p>
    <w:p w14:paraId="0087A77F" w14:textId="54416492" w:rsidR="004E6BB2" w:rsidRPr="005C5E32" w:rsidRDefault="004E6BB2" w:rsidP="004E6BB2">
      <w:pPr>
        <w:pStyle w:val="Bullet"/>
      </w:pPr>
      <w:r w:rsidRPr="005C5E32">
        <w:rPr>
          <w:b/>
        </w:rPr>
        <w:t>completed commitments</w:t>
      </w:r>
      <w:r w:rsidRPr="005C5E32">
        <w:t xml:space="preserve"> – all required actions fulfilled</w:t>
      </w:r>
    </w:p>
    <w:p w14:paraId="6F3151A1" w14:textId="5A5AE0E1" w:rsidR="004E6BB2" w:rsidRPr="005C5E32" w:rsidRDefault="004E6BB2" w:rsidP="004E6BB2">
      <w:pPr>
        <w:pStyle w:val="Bullet"/>
      </w:pPr>
      <w:r w:rsidRPr="005C5E32">
        <w:rPr>
          <w:b/>
        </w:rPr>
        <w:t>on track</w:t>
      </w:r>
      <w:r w:rsidRPr="005C5E32">
        <w:t xml:space="preserve"> – work is progressing as planned</w:t>
      </w:r>
    </w:p>
    <w:p w14:paraId="52158AEB" w14:textId="3E91B643" w:rsidR="004E6BB2" w:rsidRPr="005C5E32" w:rsidRDefault="004E6BB2" w:rsidP="004E6BB2">
      <w:pPr>
        <w:pStyle w:val="Bullet"/>
      </w:pPr>
      <w:r w:rsidRPr="005C5E32">
        <w:rPr>
          <w:b/>
        </w:rPr>
        <w:t>delivery issues</w:t>
      </w:r>
      <w:r w:rsidRPr="005C5E32">
        <w:t xml:space="preserve"> – delivery is delayed or hindered by complicating factors</w:t>
      </w:r>
    </w:p>
    <w:p w14:paraId="1F7F414D" w14:textId="6069D04F" w:rsidR="004E6BB2" w:rsidRPr="005C5E32" w:rsidRDefault="004E6BB2" w:rsidP="004E6BB2">
      <w:pPr>
        <w:pStyle w:val="Bullet"/>
      </w:pPr>
      <w:r w:rsidRPr="005C5E32">
        <w:rPr>
          <w:b/>
        </w:rPr>
        <w:t>yet to be triggered</w:t>
      </w:r>
      <w:r w:rsidRPr="005C5E32">
        <w:t xml:space="preserve"> – delivery is dependent on external events or timing.</w:t>
      </w:r>
    </w:p>
    <w:p w14:paraId="48EF69E0" w14:textId="4B186EF9" w:rsidR="004E6BB2" w:rsidRPr="005C5E32" w:rsidRDefault="004E6BB2" w:rsidP="004E6BB2">
      <w:pPr>
        <w:pStyle w:val="BodyText"/>
      </w:pPr>
      <w:r w:rsidRPr="005C5E32">
        <w:t>The Ministry supports a broad range of Treaty settlement commitments. These cover commitments to participation in natural resource management (63 percent of Ministry commitments), relationship redress (28 percent), transfer of Crown forest licensed land (3</w:t>
      </w:r>
      <w:r w:rsidR="00920A46" w:rsidRPr="005C5E32">
        <w:t> </w:t>
      </w:r>
      <w:r w:rsidRPr="005C5E32">
        <w:t>percent), bespoke arrangements (1 percent), cultural redress property transfers (1</w:t>
      </w:r>
      <w:r w:rsidR="00920A46" w:rsidRPr="005C5E32">
        <w:t> </w:t>
      </w:r>
      <w:r w:rsidRPr="005C5E32">
        <w:t>percent), legal identity redress (1 percent), cultural redress payments (1 percent), cash redress, and vesting and gift-back processes (less than 1 percent).</w:t>
      </w:r>
    </w:p>
    <w:p w14:paraId="7480F39E" w14:textId="37907F08" w:rsidR="003F11C1" w:rsidRPr="005C5E32" w:rsidRDefault="003F11C1" w:rsidP="00920A46">
      <w:pPr>
        <w:pStyle w:val="Figureheading"/>
        <w:spacing w:after="80"/>
      </w:pPr>
      <w:bookmarkStart w:id="250" w:name="_Ref238717519"/>
      <w:bookmarkStart w:id="251" w:name="_Ref206079584"/>
      <w:bookmarkStart w:id="252" w:name="figure7"/>
      <w:bookmarkStart w:id="253" w:name="_Ref206662690"/>
      <w:bookmarkStart w:id="254" w:name="_Toc209456227"/>
      <w:r w:rsidRPr="005C5E32">
        <w:t>Figure</w:t>
      </w:r>
      <w:r w:rsidR="00AA62BB" w:rsidRPr="005C5E32">
        <w:t xml:space="preserve"> </w:t>
      </w:r>
      <w:fldSimple w:instr=" SEQ Figure \* ARABIC ">
        <w:r w:rsidR="00D8311D">
          <w:rPr>
            <w:noProof/>
          </w:rPr>
          <w:t>7</w:t>
        </w:r>
      </w:fldSimple>
      <w:bookmarkEnd w:id="250"/>
      <w:bookmarkEnd w:id="251"/>
      <w:bookmarkEnd w:id="252"/>
      <w:r w:rsidRPr="005C5E32">
        <w:t>:</w:t>
      </w:r>
      <w:r w:rsidRPr="005C5E32">
        <w:tab/>
        <w:t xml:space="preserve">Overview of the </w:t>
      </w:r>
      <w:bookmarkStart w:id="255" w:name="_Hlk204072648"/>
      <w:r w:rsidRPr="005C5E32">
        <w:t>Ministry for the Environment</w:t>
      </w:r>
      <w:r w:rsidR="000369F8" w:rsidRPr="005C5E32">
        <w:t>’</w:t>
      </w:r>
      <w:r w:rsidRPr="005C5E32">
        <w:t xml:space="preserve">s Treaty settlement status </w:t>
      </w:r>
      <w:bookmarkEnd w:id="255"/>
      <w:r w:rsidRPr="005C5E32">
        <w:t>on Te Haeata</w:t>
      </w:r>
      <w:bookmarkEnd w:id="253"/>
      <w:r w:rsidRPr="005C5E32">
        <w:t xml:space="preserve">, 2023/24 </w:t>
      </w:r>
      <w:r w:rsidR="0057087C" w:rsidRPr="005C5E32">
        <w:t>–</w:t>
      </w:r>
      <w:r w:rsidRPr="005C5E32">
        <w:t xml:space="preserve"> 202</w:t>
      </w:r>
      <w:r w:rsidR="0057087C" w:rsidRPr="005C5E32">
        <w:t>5</w:t>
      </w:r>
      <w:r w:rsidRPr="005C5E32">
        <w:t>/2</w:t>
      </w:r>
      <w:r w:rsidR="0057087C" w:rsidRPr="005C5E32">
        <w:t>6</w:t>
      </w:r>
      <w:bookmarkEnd w:id="254"/>
    </w:p>
    <w:p w14:paraId="626BAE08" w14:textId="06F87C3A" w:rsidR="003F11C1" w:rsidRPr="005C5E32" w:rsidRDefault="00FB1207" w:rsidP="008E72E1">
      <w:pPr>
        <w:pStyle w:val="BodyText"/>
      </w:pPr>
      <w:r w:rsidRPr="005C5E32">
        <w:rPr>
          <w:noProof/>
        </w:rPr>
        <w:drawing>
          <wp:inline distT="0" distB="0" distL="0" distR="0" wp14:anchorId="1B5D62CC" wp14:editId="0A8366C5">
            <wp:extent cx="5400675" cy="2887345"/>
            <wp:effectExtent l="0" t="0" r="9525" b="8255"/>
            <wp:docPr id="92801934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19349" name="Picture 928019349"/>
                    <pic:cNvPicPr/>
                  </pic:nvPicPr>
                  <pic:blipFill>
                    <a:blip r:embed="rId98"/>
                    <a:stretch>
                      <a:fillRect/>
                    </a:stretch>
                  </pic:blipFill>
                  <pic:spPr>
                    <a:xfrm>
                      <a:off x="0" y="0"/>
                      <a:ext cx="5400675" cy="2887345"/>
                    </a:xfrm>
                    <a:prstGeom prst="rect">
                      <a:avLst/>
                    </a:prstGeom>
                  </pic:spPr>
                </pic:pic>
              </a:graphicData>
            </a:graphic>
          </wp:inline>
        </w:drawing>
      </w:r>
    </w:p>
    <w:p w14:paraId="58006523" w14:textId="00C3ABD8" w:rsidR="003F11C1" w:rsidRPr="005C5E32" w:rsidRDefault="003F11C1" w:rsidP="004723AC">
      <w:pPr>
        <w:pStyle w:val="BodyText"/>
      </w:pPr>
      <w:r w:rsidRPr="005C5E32">
        <w:t>The Ministry improve</w:t>
      </w:r>
      <w:r w:rsidR="003B4353" w:rsidRPr="005C5E32">
        <w:t>d</w:t>
      </w:r>
      <w:r w:rsidRPr="005C5E32">
        <w:t xml:space="preserve"> across all commitment categories, most notably in the increase</w:t>
      </w:r>
      <w:r w:rsidR="00CA17A8" w:rsidRPr="005C5E32">
        <w:t xml:space="preserve">d number of </w:t>
      </w:r>
      <w:r w:rsidRPr="005C5E32">
        <w:t xml:space="preserve">completed commitments and </w:t>
      </w:r>
      <w:r w:rsidR="00CA17A8" w:rsidRPr="005C5E32">
        <w:t xml:space="preserve">reduced number </w:t>
      </w:r>
      <w:r w:rsidRPr="005C5E32">
        <w:t xml:space="preserve">of delivery issues. </w:t>
      </w:r>
      <w:r w:rsidR="00537819" w:rsidRPr="005C5E32">
        <w:t>T</w:t>
      </w:r>
      <w:r w:rsidRPr="005C5E32">
        <w:t>he proportion of</w:t>
      </w:r>
      <w:r w:rsidR="00920A46" w:rsidRPr="005C5E32">
        <w:t> </w:t>
      </w:r>
      <w:r w:rsidRPr="005C5E32">
        <w:t>completed commitments rose from 40</w:t>
      </w:r>
      <w:r w:rsidR="004F605A" w:rsidRPr="005C5E32">
        <w:t xml:space="preserve"> percent</w:t>
      </w:r>
      <w:r w:rsidRPr="005C5E32">
        <w:t xml:space="preserve"> to 41</w:t>
      </w:r>
      <w:r w:rsidR="004F605A" w:rsidRPr="005C5E32">
        <w:t xml:space="preserve"> percent</w:t>
      </w:r>
      <w:r w:rsidRPr="005C5E32">
        <w:t xml:space="preserve"> over the past year, </w:t>
      </w:r>
      <w:r w:rsidR="003B4353" w:rsidRPr="005C5E32">
        <w:t xml:space="preserve">while </w:t>
      </w:r>
      <w:r w:rsidR="007C67A7" w:rsidRPr="005C5E32">
        <w:t xml:space="preserve">commitments </w:t>
      </w:r>
      <w:r w:rsidRPr="005C5E32">
        <w:t>facing delivery issues declined from 23</w:t>
      </w:r>
      <w:r w:rsidR="004F605A" w:rsidRPr="005C5E32">
        <w:t xml:space="preserve"> percent</w:t>
      </w:r>
      <w:r w:rsidRPr="005C5E32">
        <w:t xml:space="preserve"> to 14</w:t>
      </w:r>
      <w:r w:rsidR="004F605A" w:rsidRPr="005C5E32">
        <w:t xml:space="preserve"> percent</w:t>
      </w:r>
      <w:r w:rsidRPr="005C5E32">
        <w:t>.</w:t>
      </w:r>
    </w:p>
    <w:p w14:paraId="3229A3C8" w14:textId="77777777" w:rsidR="003F11C1" w:rsidRPr="005C5E32" w:rsidRDefault="003F11C1" w:rsidP="000C76FF">
      <w:pPr>
        <w:pStyle w:val="Heading2"/>
      </w:pPr>
      <w:bookmarkStart w:id="256" w:name="_Toc143698440"/>
      <w:bookmarkStart w:id="257" w:name="_Toc177626493"/>
      <w:bookmarkStart w:id="258" w:name="_Toc207017400"/>
      <w:bookmarkStart w:id="259" w:name="_Toc210136386"/>
      <w:bookmarkStart w:id="260" w:name="_Toc240445573"/>
      <w:r w:rsidRPr="005C5E32">
        <w:lastRenderedPageBreak/>
        <w:t>Our funding and impact</w:t>
      </w:r>
      <w:bookmarkEnd w:id="256"/>
      <w:bookmarkEnd w:id="257"/>
      <w:bookmarkEnd w:id="258"/>
      <w:bookmarkEnd w:id="259"/>
      <w:bookmarkEnd w:id="260"/>
    </w:p>
    <w:p w14:paraId="027CEBC1" w14:textId="0A0C7C57" w:rsidR="003F11C1" w:rsidRPr="005C5E32" w:rsidRDefault="002C6CD2" w:rsidP="000C76FF">
      <w:pPr>
        <w:pStyle w:val="BodyText"/>
      </w:pPr>
      <w:r>
        <w:t xml:space="preserve">Table 12 </w:t>
      </w:r>
      <w:r w:rsidR="003F11C1" w:rsidRPr="005C5E32">
        <w:t xml:space="preserve">shows the 2025/26 expenditure in Vote Environment. The next </w:t>
      </w:r>
      <w:r w:rsidR="007F0BBC" w:rsidRPr="005C5E32">
        <w:t xml:space="preserve">two </w:t>
      </w:r>
      <w:r w:rsidR="003F11C1" w:rsidRPr="005C5E32">
        <w:t xml:space="preserve">tables further </w:t>
      </w:r>
      <w:r w:rsidR="006B7571" w:rsidRPr="005C5E32">
        <w:t xml:space="preserve">break down </w:t>
      </w:r>
      <w:r w:rsidR="003F11C1" w:rsidRPr="005C5E32">
        <w:t>this expenditure as follows</w:t>
      </w:r>
      <w:r w:rsidR="0018139B" w:rsidRPr="005C5E32">
        <w:t>.</w:t>
      </w:r>
    </w:p>
    <w:p w14:paraId="0D6CF228" w14:textId="37D4E827" w:rsidR="003F11C1" w:rsidRPr="005C5E32" w:rsidRDefault="00D74B14" w:rsidP="003B4A7F">
      <w:pPr>
        <w:pStyle w:val="Bullet"/>
      </w:pPr>
      <w:r>
        <w:t xml:space="preserve">Table 13 </w:t>
      </w:r>
      <w:r w:rsidR="003F11C1" w:rsidRPr="005C5E32">
        <w:t xml:space="preserve">shows non-departmental funding administered on behalf of Ministers and distributed externally. </w:t>
      </w:r>
      <w:r w:rsidR="006B7571" w:rsidRPr="005C5E32">
        <w:t>It does not include funding for t</w:t>
      </w:r>
      <w:r w:rsidR="003F11C1" w:rsidRPr="005C5E32">
        <w:t xml:space="preserve">he </w:t>
      </w:r>
      <w:hyperlink r:id="rId99" w:history="1">
        <w:r w:rsidR="003F11C1" w:rsidRPr="005C5E32">
          <w:rPr>
            <w:rStyle w:val="Hyperlink"/>
          </w:rPr>
          <w:t>New Zealand Emissions Trading Scheme</w:t>
        </w:r>
      </w:hyperlink>
      <w:r w:rsidR="003F11C1" w:rsidRPr="005C5E32">
        <w:t xml:space="preserve"> and Crown entities, due to the scale of their appropriation.</w:t>
      </w:r>
    </w:p>
    <w:p w14:paraId="27928E00" w14:textId="4E4D1E8F" w:rsidR="003F11C1" w:rsidRPr="005C5E32" w:rsidRDefault="00D74B14" w:rsidP="003B4A7F">
      <w:pPr>
        <w:pStyle w:val="Bullet"/>
      </w:pPr>
      <w:r>
        <w:t xml:space="preserve">Table 14 </w:t>
      </w:r>
      <w:r w:rsidR="003F11C1" w:rsidRPr="005C5E32">
        <w:t xml:space="preserve">shows departmental funding for our work programme. </w:t>
      </w:r>
      <w:r w:rsidR="00934B54" w:rsidRPr="005C5E32">
        <w:t xml:space="preserve">The types of funding are shown </w:t>
      </w:r>
      <w:r w:rsidR="003F11C1" w:rsidRPr="005C5E32">
        <w:t>separately, because of their size and significance.</w:t>
      </w:r>
    </w:p>
    <w:p w14:paraId="3C5E5996" w14:textId="44FF1F99" w:rsidR="003F11C1" w:rsidRPr="005C5E32" w:rsidRDefault="003F11C1" w:rsidP="001424CD">
      <w:pPr>
        <w:pStyle w:val="Tableheading"/>
      </w:pPr>
      <w:bookmarkStart w:id="261" w:name="_Ref173236185"/>
      <w:bookmarkStart w:id="262" w:name="_Ref206081508"/>
      <w:r w:rsidRPr="005C5E32">
        <w:t xml:space="preserve">Table </w:t>
      </w:r>
      <w:bookmarkEnd w:id="261"/>
      <w:r w:rsidR="00376C81">
        <w:fldChar w:fldCharType="begin"/>
      </w:r>
      <w:r w:rsidR="00376C81">
        <w:instrText xml:space="preserve"> SEQ Table \* ARABIC </w:instrText>
      </w:r>
      <w:r w:rsidR="00376C81">
        <w:fldChar w:fldCharType="separate"/>
      </w:r>
      <w:r w:rsidR="00D8311D">
        <w:rPr>
          <w:noProof/>
        </w:rPr>
        <w:t>12</w:t>
      </w:r>
      <w:r w:rsidR="00376C81">
        <w:rPr>
          <w:noProof/>
        </w:rPr>
        <w:fldChar w:fldCharType="end"/>
      </w:r>
      <w:bookmarkEnd w:id="262"/>
      <w:r w:rsidRPr="005C5E32">
        <w:t xml:space="preserve">: </w:t>
      </w:r>
      <w:r w:rsidRPr="005C5E32">
        <w:tab/>
        <w:t>Vote Environment</w:t>
      </w:r>
      <w:r w:rsidR="006B7571" w:rsidRPr="005C5E32">
        <w:t xml:space="preserve"> expenditure</w:t>
      </w:r>
      <w:r w:rsidRPr="005C5E32">
        <w:t>, 2025/26</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5244"/>
        <w:gridCol w:w="1560"/>
        <w:gridCol w:w="1701"/>
      </w:tblGrid>
      <w:tr w:rsidR="003F11C1" w:rsidRPr="005C5E32" w14:paraId="463341A2" w14:textId="77777777" w:rsidTr="003D0CC1">
        <w:trPr>
          <w:tblHeader/>
        </w:trPr>
        <w:tc>
          <w:tcPr>
            <w:tcW w:w="3083" w:type="pct"/>
            <w:shd w:val="clear" w:color="auto" w:fill="1B556B"/>
            <w:vAlign w:val="bottom"/>
          </w:tcPr>
          <w:p w14:paraId="0A9FA331" w14:textId="0DF7B93C" w:rsidR="003F11C1" w:rsidRPr="005C5E32" w:rsidRDefault="00241A95" w:rsidP="003D0CC1">
            <w:pPr>
              <w:pStyle w:val="TableTextbold"/>
              <w:spacing w:before="40" w:after="40"/>
              <w:rPr>
                <w:rFonts w:cs="Calibri"/>
                <w:color w:val="FFFFFF" w:themeColor="background1"/>
                <w:szCs w:val="18"/>
              </w:rPr>
            </w:pPr>
            <w:r>
              <w:rPr>
                <w:rFonts w:cs="Calibri"/>
                <w:color w:val="FFFFFF" w:themeColor="background1"/>
                <w:szCs w:val="18"/>
              </w:rPr>
              <w:t>Vote Environment</w:t>
            </w:r>
          </w:p>
        </w:tc>
        <w:tc>
          <w:tcPr>
            <w:tcW w:w="917" w:type="pct"/>
            <w:shd w:val="clear" w:color="auto" w:fill="1B556B"/>
            <w:vAlign w:val="bottom"/>
          </w:tcPr>
          <w:p w14:paraId="29443E28" w14:textId="77777777" w:rsidR="003F11C1" w:rsidRPr="005C5E32" w:rsidRDefault="003F11C1" w:rsidP="003D0CC1">
            <w:pPr>
              <w:pStyle w:val="TableTextbold"/>
              <w:spacing w:before="40" w:after="40"/>
              <w:jc w:val="right"/>
              <w:rPr>
                <w:rFonts w:cs="Calibri"/>
                <w:color w:val="FFFFFF" w:themeColor="background1"/>
                <w:szCs w:val="18"/>
              </w:rPr>
            </w:pPr>
            <w:r w:rsidRPr="005C5E32">
              <w:rPr>
                <w:rFonts w:cs="Calibri"/>
                <w:color w:val="FFFFFF" w:themeColor="background1"/>
                <w:szCs w:val="18"/>
              </w:rPr>
              <w:t>Funding allocation ($000)</w:t>
            </w:r>
          </w:p>
        </w:tc>
        <w:tc>
          <w:tcPr>
            <w:tcW w:w="1000" w:type="pct"/>
            <w:shd w:val="clear" w:color="auto" w:fill="1B556B"/>
            <w:vAlign w:val="bottom"/>
          </w:tcPr>
          <w:p w14:paraId="3A115694" w14:textId="77777777" w:rsidR="003F11C1" w:rsidRPr="005C5E32" w:rsidRDefault="003F11C1" w:rsidP="003D0CC1">
            <w:pPr>
              <w:pStyle w:val="TableTextbold"/>
              <w:spacing w:before="40" w:after="40"/>
              <w:jc w:val="right"/>
              <w:rPr>
                <w:rFonts w:cs="Calibri"/>
                <w:color w:val="FFFFFF" w:themeColor="background1"/>
                <w:szCs w:val="18"/>
              </w:rPr>
            </w:pPr>
            <w:r w:rsidRPr="005C5E32">
              <w:rPr>
                <w:rFonts w:cs="Calibri"/>
                <w:color w:val="FFFFFF" w:themeColor="background1"/>
                <w:szCs w:val="18"/>
              </w:rPr>
              <w:t>Percentage of total funding (%)</w:t>
            </w:r>
          </w:p>
        </w:tc>
      </w:tr>
      <w:tr w:rsidR="003F11C1" w:rsidRPr="005C5E32" w14:paraId="3AC4E8C2" w14:textId="77777777" w:rsidTr="003D0CC1">
        <w:tc>
          <w:tcPr>
            <w:tcW w:w="3083" w:type="pct"/>
            <w:vAlign w:val="bottom"/>
          </w:tcPr>
          <w:p w14:paraId="3769C3D6" w14:textId="77777777" w:rsidR="003F11C1" w:rsidRPr="005C5E32" w:rsidRDefault="003F11C1" w:rsidP="003D0CC1">
            <w:pPr>
              <w:pStyle w:val="TableText"/>
              <w:spacing w:before="40" w:after="40"/>
              <w:rPr>
                <w:rFonts w:cs="Calibri"/>
                <w:szCs w:val="18"/>
              </w:rPr>
            </w:pPr>
            <w:r w:rsidRPr="005C5E32">
              <w:rPr>
                <w:rFonts w:eastAsia="Times New Roman" w:cs="Calibri"/>
                <w:szCs w:val="18"/>
              </w:rPr>
              <w:t>Departmental</w:t>
            </w:r>
          </w:p>
        </w:tc>
        <w:tc>
          <w:tcPr>
            <w:tcW w:w="917" w:type="pct"/>
            <w:vAlign w:val="center"/>
          </w:tcPr>
          <w:p w14:paraId="6F8AB65E" w14:textId="7E9A4CD8" w:rsidR="003F11C1" w:rsidRPr="005C5E32" w:rsidRDefault="00460B08" w:rsidP="003D0CC1">
            <w:pPr>
              <w:pStyle w:val="TableText"/>
              <w:spacing w:before="40" w:after="40"/>
              <w:jc w:val="right"/>
              <w:rPr>
                <w:rFonts w:cs="Calibri"/>
                <w:szCs w:val="18"/>
              </w:rPr>
            </w:pPr>
            <w:r w:rsidRPr="005C5E32">
              <w:rPr>
                <w:rFonts w:cs="Calibri"/>
                <w:szCs w:val="18"/>
              </w:rPr>
              <w:t>195,077</w:t>
            </w:r>
          </w:p>
        </w:tc>
        <w:tc>
          <w:tcPr>
            <w:tcW w:w="1000" w:type="pct"/>
          </w:tcPr>
          <w:p w14:paraId="378314E2" w14:textId="37ADFDAD" w:rsidR="003F11C1" w:rsidRPr="005C5E32" w:rsidRDefault="00460B08" w:rsidP="003D0CC1">
            <w:pPr>
              <w:pStyle w:val="TableText"/>
              <w:spacing w:before="40" w:after="40"/>
              <w:jc w:val="right"/>
              <w:rPr>
                <w:rFonts w:cs="Calibri"/>
                <w:szCs w:val="18"/>
              </w:rPr>
            </w:pPr>
            <w:r w:rsidRPr="005C5E32">
              <w:rPr>
                <w:rFonts w:cs="Calibri"/>
                <w:szCs w:val="18"/>
              </w:rPr>
              <w:t>11</w:t>
            </w:r>
          </w:p>
        </w:tc>
      </w:tr>
      <w:tr w:rsidR="003F11C1" w:rsidRPr="005C5E32" w14:paraId="4A4C96FD" w14:textId="77777777" w:rsidTr="003D0CC1">
        <w:tc>
          <w:tcPr>
            <w:tcW w:w="3083" w:type="pct"/>
            <w:vAlign w:val="bottom"/>
          </w:tcPr>
          <w:p w14:paraId="2F223F55" w14:textId="77777777" w:rsidR="003F11C1" w:rsidRPr="005C5E32" w:rsidRDefault="003F11C1" w:rsidP="003D0CC1">
            <w:pPr>
              <w:pStyle w:val="TableText"/>
              <w:spacing w:before="40" w:after="40"/>
              <w:rPr>
                <w:rFonts w:cs="Calibri"/>
                <w:szCs w:val="18"/>
              </w:rPr>
            </w:pPr>
            <w:r w:rsidRPr="005C5E32">
              <w:rPr>
                <w:rFonts w:eastAsia="Times New Roman" w:cs="Calibri"/>
                <w:szCs w:val="18"/>
              </w:rPr>
              <w:t>Non-departmental</w:t>
            </w:r>
          </w:p>
        </w:tc>
        <w:tc>
          <w:tcPr>
            <w:tcW w:w="917" w:type="pct"/>
            <w:vAlign w:val="center"/>
          </w:tcPr>
          <w:p w14:paraId="4FE46616" w14:textId="5EA1982D" w:rsidR="003F11C1" w:rsidRPr="005C5E32" w:rsidRDefault="00A02C7B" w:rsidP="003D0CC1">
            <w:pPr>
              <w:pStyle w:val="TableText"/>
              <w:spacing w:before="40" w:after="40"/>
              <w:jc w:val="right"/>
              <w:rPr>
                <w:rFonts w:cs="Calibri"/>
                <w:szCs w:val="18"/>
              </w:rPr>
            </w:pPr>
            <w:r w:rsidRPr="005C5E32">
              <w:rPr>
                <w:rFonts w:cs="Calibri"/>
                <w:szCs w:val="18"/>
              </w:rPr>
              <w:t>23</w:t>
            </w:r>
            <w:r w:rsidR="002E5B12" w:rsidRPr="005C5E32">
              <w:rPr>
                <w:rFonts w:cs="Calibri"/>
                <w:szCs w:val="18"/>
              </w:rPr>
              <w:t>4,</w:t>
            </w:r>
            <w:r w:rsidR="005761D7" w:rsidRPr="005C5E32">
              <w:rPr>
                <w:rFonts w:cs="Calibri"/>
                <w:szCs w:val="18"/>
              </w:rPr>
              <w:t>387</w:t>
            </w:r>
          </w:p>
        </w:tc>
        <w:tc>
          <w:tcPr>
            <w:tcW w:w="1000" w:type="pct"/>
          </w:tcPr>
          <w:p w14:paraId="082D3B67" w14:textId="6EBB8149" w:rsidR="003F11C1" w:rsidRPr="005C5E32" w:rsidRDefault="001A5E55" w:rsidP="003D0CC1">
            <w:pPr>
              <w:pStyle w:val="TableText"/>
              <w:spacing w:before="40" w:after="40"/>
              <w:jc w:val="right"/>
              <w:rPr>
                <w:rFonts w:cs="Calibri"/>
                <w:szCs w:val="18"/>
              </w:rPr>
            </w:pPr>
            <w:r w:rsidRPr="005C5E32">
              <w:rPr>
                <w:rFonts w:cs="Calibri"/>
                <w:szCs w:val="18"/>
              </w:rPr>
              <w:t>13</w:t>
            </w:r>
          </w:p>
        </w:tc>
      </w:tr>
      <w:tr w:rsidR="003F11C1" w:rsidRPr="005C5E32" w14:paraId="0166A29F" w14:textId="77777777" w:rsidTr="003D0CC1">
        <w:tc>
          <w:tcPr>
            <w:tcW w:w="3083" w:type="pct"/>
            <w:vAlign w:val="bottom"/>
          </w:tcPr>
          <w:p w14:paraId="77494711" w14:textId="77777777" w:rsidR="003F11C1" w:rsidRPr="005C5E32" w:rsidRDefault="003F11C1" w:rsidP="003D0CC1">
            <w:pPr>
              <w:pStyle w:val="TableText"/>
              <w:spacing w:before="40" w:after="40"/>
              <w:rPr>
                <w:rFonts w:cs="Calibri"/>
                <w:szCs w:val="18"/>
              </w:rPr>
            </w:pPr>
            <w:r w:rsidRPr="005C5E32">
              <w:rPr>
                <w:rFonts w:eastAsia="Times New Roman" w:cs="Calibri"/>
                <w:szCs w:val="18"/>
              </w:rPr>
              <w:t>Environmental Protection Authority</w:t>
            </w:r>
          </w:p>
        </w:tc>
        <w:tc>
          <w:tcPr>
            <w:tcW w:w="917" w:type="pct"/>
            <w:vAlign w:val="center"/>
          </w:tcPr>
          <w:p w14:paraId="51384B3D" w14:textId="56B75580" w:rsidR="003F11C1" w:rsidRPr="005C5E32" w:rsidRDefault="001A5E55" w:rsidP="003D0CC1">
            <w:pPr>
              <w:pStyle w:val="TableText"/>
              <w:spacing w:before="40" w:after="40"/>
              <w:jc w:val="right"/>
              <w:rPr>
                <w:rFonts w:cs="Calibri"/>
                <w:szCs w:val="18"/>
              </w:rPr>
            </w:pPr>
            <w:r w:rsidRPr="005C5E32">
              <w:rPr>
                <w:rFonts w:cs="Calibri"/>
                <w:szCs w:val="18"/>
              </w:rPr>
              <w:t>40,616</w:t>
            </w:r>
          </w:p>
        </w:tc>
        <w:tc>
          <w:tcPr>
            <w:tcW w:w="1000" w:type="pct"/>
          </w:tcPr>
          <w:p w14:paraId="77AB4AEF" w14:textId="00375100" w:rsidR="003F11C1" w:rsidRPr="005C5E32" w:rsidRDefault="00D95C63" w:rsidP="003D0CC1">
            <w:pPr>
              <w:pStyle w:val="TableText"/>
              <w:spacing w:before="40" w:after="40"/>
              <w:jc w:val="right"/>
              <w:rPr>
                <w:rFonts w:cs="Calibri"/>
                <w:szCs w:val="18"/>
              </w:rPr>
            </w:pPr>
            <w:r w:rsidRPr="005C5E32">
              <w:rPr>
                <w:rFonts w:cs="Calibri"/>
                <w:szCs w:val="18"/>
              </w:rPr>
              <w:t>2</w:t>
            </w:r>
          </w:p>
        </w:tc>
      </w:tr>
      <w:tr w:rsidR="003F11C1" w:rsidRPr="005C5E32" w14:paraId="79B3D6D0" w14:textId="77777777" w:rsidTr="003D0CC1">
        <w:tc>
          <w:tcPr>
            <w:tcW w:w="3083" w:type="pct"/>
            <w:vAlign w:val="bottom"/>
          </w:tcPr>
          <w:p w14:paraId="59796189" w14:textId="77777777" w:rsidR="003F11C1" w:rsidRPr="005C5E32" w:rsidRDefault="003F11C1" w:rsidP="003D0CC1">
            <w:pPr>
              <w:pStyle w:val="TableText"/>
              <w:spacing w:before="40" w:after="40"/>
              <w:rPr>
                <w:rFonts w:cs="Calibri"/>
                <w:szCs w:val="18"/>
              </w:rPr>
            </w:pPr>
            <w:r w:rsidRPr="005C5E32">
              <w:rPr>
                <w:rFonts w:eastAsia="Times New Roman" w:cs="Calibri"/>
                <w:szCs w:val="18"/>
              </w:rPr>
              <w:t xml:space="preserve">New Zealand Emissions Trading Scheme </w:t>
            </w:r>
          </w:p>
        </w:tc>
        <w:tc>
          <w:tcPr>
            <w:tcW w:w="917" w:type="pct"/>
            <w:vAlign w:val="center"/>
          </w:tcPr>
          <w:p w14:paraId="209FB251" w14:textId="38146939" w:rsidR="003F11C1" w:rsidRPr="005C5E32" w:rsidRDefault="00D95C63" w:rsidP="003D0CC1">
            <w:pPr>
              <w:pStyle w:val="TableText"/>
              <w:spacing w:before="40" w:after="40"/>
              <w:jc w:val="right"/>
              <w:rPr>
                <w:rFonts w:cs="Calibri"/>
                <w:szCs w:val="18"/>
              </w:rPr>
            </w:pPr>
            <w:r w:rsidRPr="005C5E32">
              <w:rPr>
                <w:rFonts w:cs="Calibri"/>
                <w:szCs w:val="18"/>
              </w:rPr>
              <w:t>1,330,033</w:t>
            </w:r>
          </w:p>
        </w:tc>
        <w:tc>
          <w:tcPr>
            <w:tcW w:w="1000" w:type="pct"/>
          </w:tcPr>
          <w:p w14:paraId="2988A1CC" w14:textId="638AFADD" w:rsidR="003F11C1" w:rsidRPr="005C5E32" w:rsidRDefault="00D95C63" w:rsidP="003D0CC1">
            <w:pPr>
              <w:pStyle w:val="TableText"/>
              <w:spacing w:before="40" w:after="40"/>
              <w:jc w:val="right"/>
              <w:rPr>
                <w:rFonts w:cs="Calibri"/>
                <w:szCs w:val="18"/>
              </w:rPr>
            </w:pPr>
            <w:r w:rsidRPr="005C5E32">
              <w:rPr>
                <w:rFonts w:cs="Calibri"/>
                <w:szCs w:val="18"/>
              </w:rPr>
              <w:t>73</w:t>
            </w:r>
          </w:p>
        </w:tc>
      </w:tr>
      <w:tr w:rsidR="003F11C1" w:rsidRPr="005C5E32" w14:paraId="7AC3C1C7" w14:textId="77777777" w:rsidTr="003D0CC1">
        <w:tc>
          <w:tcPr>
            <w:tcW w:w="3083" w:type="pct"/>
            <w:vAlign w:val="bottom"/>
          </w:tcPr>
          <w:p w14:paraId="0344E340" w14:textId="77777777" w:rsidR="003F11C1" w:rsidRPr="005C5E32" w:rsidRDefault="003F11C1" w:rsidP="003D0CC1">
            <w:pPr>
              <w:pStyle w:val="TableText"/>
              <w:spacing w:before="40" w:after="40"/>
              <w:rPr>
                <w:rFonts w:cs="Calibri"/>
                <w:szCs w:val="18"/>
              </w:rPr>
            </w:pPr>
            <w:r w:rsidRPr="005C5E32">
              <w:rPr>
                <w:rFonts w:eastAsia="Times New Roman" w:cs="Calibri"/>
                <w:szCs w:val="18"/>
              </w:rPr>
              <w:t>Climate Change Commission</w:t>
            </w:r>
          </w:p>
        </w:tc>
        <w:tc>
          <w:tcPr>
            <w:tcW w:w="917" w:type="pct"/>
            <w:vAlign w:val="center"/>
          </w:tcPr>
          <w:p w14:paraId="04CEC121" w14:textId="743A943A" w:rsidR="003F11C1" w:rsidRPr="005C5E32" w:rsidRDefault="00BC2C44" w:rsidP="003D0CC1">
            <w:pPr>
              <w:pStyle w:val="TableText"/>
              <w:spacing w:before="40" w:after="40"/>
              <w:jc w:val="right"/>
              <w:rPr>
                <w:rFonts w:cs="Calibri"/>
                <w:szCs w:val="18"/>
              </w:rPr>
            </w:pPr>
            <w:r w:rsidRPr="005C5E32">
              <w:rPr>
                <w:rFonts w:cs="Calibri"/>
                <w:szCs w:val="18"/>
              </w:rPr>
              <w:t>15,504</w:t>
            </w:r>
          </w:p>
        </w:tc>
        <w:tc>
          <w:tcPr>
            <w:tcW w:w="1000" w:type="pct"/>
          </w:tcPr>
          <w:p w14:paraId="0AD3CF48" w14:textId="04919C9E" w:rsidR="003F11C1" w:rsidRPr="005C5E32" w:rsidRDefault="00BC2C44" w:rsidP="003D0CC1">
            <w:pPr>
              <w:pStyle w:val="TableText"/>
              <w:spacing w:before="40" w:after="40"/>
              <w:jc w:val="right"/>
              <w:rPr>
                <w:rFonts w:cs="Calibri"/>
                <w:szCs w:val="18"/>
              </w:rPr>
            </w:pPr>
            <w:r w:rsidRPr="005C5E32">
              <w:rPr>
                <w:rFonts w:cs="Calibri"/>
                <w:szCs w:val="18"/>
              </w:rPr>
              <w:t>1</w:t>
            </w:r>
          </w:p>
        </w:tc>
      </w:tr>
      <w:tr w:rsidR="003F11C1" w:rsidRPr="005C5E32" w14:paraId="463E0AC5" w14:textId="77777777" w:rsidTr="003D0CC1">
        <w:tc>
          <w:tcPr>
            <w:tcW w:w="3083" w:type="pct"/>
            <w:vAlign w:val="bottom"/>
          </w:tcPr>
          <w:p w14:paraId="42EDEEED" w14:textId="77777777" w:rsidR="003F11C1" w:rsidRPr="005C5E32" w:rsidRDefault="003F11C1" w:rsidP="003D0CC1">
            <w:pPr>
              <w:pStyle w:val="TableText"/>
              <w:spacing w:before="40" w:after="40"/>
              <w:rPr>
                <w:rFonts w:cs="Calibri"/>
                <w:szCs w:val="18"/>
              </w:rPr>
            </w:pPr>
            <w:r w:rsidRPr="005C5E32">
              <w:rPr>
                <w:rFonts w:eastAsia="Times New Roman" w:cs="Calibri"/>
                <w:b/>
                <w:bCs/>
                <w:color w:val="000000"/>
                <w:szCs w:val="18"/>
              </w:rPr>
              <w:t>Total</w:t>
            </w:r>
          </w:p>
        </w:tc>
        <w:tc>
          <w:tcPr>
            <w:tcW w:w="917" w:type="pct"/>
            <w:vAlign w:val="center"/>
          </w:tcPr>
          <w:p w14:paraId="3CF3C1CE" w14:textId="17936A74" w:rsidR="003F11C1" w:rsidRPr="00064AD6" w:rsidRDefault="003A0ADB" w:rsidP="003D0CC1">
            <w:pPr>
              <w:pStyle w:val="TableText"/>
              <w:spacing w:before="40" w:after="40"/>
              <w:jc w:val="right"/>
              <w:rPr>
                <w:rFonts w:cs="Calibri"/>
                <w:b/>
                <w:szCs w:val="18"/>
              </w:rPr>
            </w:pPr>
            <w:r w:rsidRPr="00064AD6">
              <w:rPr>
                <w:rFonts w:cs="Calibri"/>
                <w:b/>
                <w:szCs w:val="18"/>
              </w:rPr>
              <w:t>1,81</w:t>
            </w:r>
            <w:r w:rsidR="009C7685" w:rsidRPr="00064AD6">
              <w:rPr>
                <w:rFonts w:cs="Calibri"/>
                <w:b/>
                <w:szCs w:val="18"/>
              </w:rPr>
              <w:t>5,</w:t>
            </w:r>
            <w:r w:rsidR="00A762B9" w:rsidRPr="00064AD6">
              <w:rPr>
                <w:rFonts w:cs="Calibri"/>
                <w:b/>
                <w:szCs w:val="18"/>
              </w:rPr>
              <w:t>617</w:t>
            </w:r>
          </w:p>
        </w:tc>
        <w:tc>
          <w:tcPr>
            <w:tcW w:w="1000" w:type="pct"/>
          </w:tcPr>
          <w:p w14:paraId="6E5ECF27" w14:textId="75F3C1A9" w:rsidR="003F11C1" w:rsidRPr="005C5E32" w:rsidRDefault="003A0ADB" w:rsidP="003D0CC1">
            <w:pPr>
              <w:pStyle w:val="TableText"/>
              <w:spacing w:before="40" w:after="40"/>
              <w:jc w:val="right"/>
              <w:rPr>
                <w:rFonts w:cs="Calibri"/>
                <w:b/>
                <w:bCs/>
                <w:szCs w:val="18"/>
              </w:rPr>
            </w:pPr>
            <w:r w:rsidRPr="005C5E32">
              <w:rPr>
                <w:rFonts w:cs="Calibri"/>
                <w:b/>
                <w:bCs/>
                <w:szCs w:val="18"/>
              </w:rPr>
              <w:t>100</w:t>
            </w:r>
          </w:p>
        </w:tc>
      </w:tr>
    </w:tbl>
    <w:p w14:paraId="55300E4B" w14:textId="1817A1F8" w:rsidR="003F11C1" w:rsidRPr="005C5E32" w:rsidRDefault="003F11C1" w:rsidP="005150FF">
      <w:pPr>
        <w:pStyle w:val="Tableheading"/>
        <w:spacing w:before="240"/>
      </w:pPr>
      <w:bookmarkStart w:id="263" w:name="_Ref173236343"/>
      <w:bookmarkStart w:id="264" w:name="_Ref206081522"/>
      <w:r w:rsidRPr="005C5E32">
        <w:t xml:space="preserve">Table </w:t>
      </w:r>
      <w:bookmarkEnd w:id="263"/>
      <w:r w:rsidRPr="005C5E32">
        <w:fldChar w:fldCharType="begin"/>
      </w:r>
      <w:r w:rsidRPr="005C5E32">
        <w:instrText xml:space="preserve"> SEQ Table \* ARABIC </w:instrText>
      </w:r>
      <w:r w:rsidRPr="005C5E32">
        <w:fldChar w:fldCharType="separate"/>
      </w:r>
      <w:r w:rsidR="00D8311D">
        <w:rPr>
          <w:noProof/>
        </w:rPr>
        <w:t>13</w:t>
      </w:r>
      <w:r w:rsidRPr="005C5E32">
        <w:fldChar w:fldCharType="end"/>
      </w:r>
      <w:bookmarkEnd w:id="264"/>
      <w:r w:rsidRPr="005C5E32">
        <w:t xml:space="preserve">: </w:t>
      </w:r>
      <w:r w:rsidRPr="005C5E32">
        <w:tab/>
        <w:t>Non-departmental funding (excluding Crown entities and New Zealand Emissions Trading Scheme), 2025/26</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5244"/>
        <w:gridCol w:w="1560"/>
        <w:gridCol w:w="1701"/>
      </w:tblGrid>
      <w:tr w:rsidR="003F11C1" w:rsidRPr="005C5E32" w14:paraId="12270013" w14:textId="77777777" w:rsidTr="003D0CC1">
        <w:trPr>
          <w:tblHeader/>
        </w:trPr>
        <w:tc>
          <w:tcPr>
            <w:tcW w:w="3083" w:type="pct"/>
            <w:shd w:val="clear" w:color="auto" w:fill="1B556B"/>
            <w:vAlign w:val="bottom"/>
          </w:tcPr>
          <w:p w14:paraId="2FA12E36" w14:textId="77777777" w:rsidR="003F11C1" w:rsidRPr="005C5E32" w:rsidRDefault="003F11C1" w:rsidP="003D0CC1">
            <w:pPr>
              <w:pStyle w:val="TableTextbold"/>
              <w:spacing w:before="40" w:after="40"/>
              <w:rPr>
                <w:rFonts w:cs="Calibri"/>
                <w:color w:val="FFFFFF" w:themeColor="background1"/>
                <w:szCs w:val="18"/>
              </w:rPr>
            </w:pPr>
            <w:r w:rsidRPr="005C5E32">
              <w:rPr>
                <w:rFonts w:cs="Calibri"/>
                <w:color w:val="FFFFFF" w:themeColor="background1"/>
                <w:szCs w:val="18"/>
              </w:rPr>
              <w:t>Non-departmental annual appropriations</w:t>
            </w:r>
          </w:p>
        </w:tc>
        <w:tc>
          <w:tcPr>
            <w:tcW w:w="917" w:type="pct"/>
            <w:shd w:val="clear" w:color="auto" w:fill="1B556B"/>
            <w:vAlign w:val="bottom"/>
          </w:tcPr>
          <w:p w14:paraId="557694B9" w14:textId="77777777" w:rsidR="003F11C1" w:rsidRPr="005C5E32" w:rsidRDefault="003F11C1" w:rsidP="003D0CC1">
            <w:pPr>
              <w:pStyle w:val="TableTextbold"/>
              <w:spacing w:before="40" w:after="40"/>
              <w:jc w:val="right"/>
              <w:rPr>
                <w:rFonts w:cs="Calibri"/>
                <w:color w:val="FFFFFF" w:themeColor="background1"/>
                <w:szCs w:val="18"/>
              </w:rPr>
            </w:pPr>
            <w:r w:rsidRPr="005C5E32">
              <w:rPr>
                <w:rFonts w:cs="Calibri"/>
                <w:color w:val="FFFFFF" w:themeColor="background1"/>
                <w:szCs w:val="18"/>
              </w:rPr>
              <w:t>Funding allocation ($000)</w:t>
            </w:r>
          </w:p>
        </w:tc>
        <w:tc>
          <w:tcPr>
            <w:tcW w:w="1000" w:type="pct"/>
            <w:shd w:val="clear" w:color="auto" w:fill="1B556B"/>
            <w:vAlign w:val="bottom"/>
          </w:tcPr>
          <w:p w14:paraId="41346582" w14:textId="77777777" w:rsidR="003F11C1" w:rsidRPr="005C5E32" w:rsidRDefault="003F11C1" w:rsidP="003D0CC1">
            <w:pPr>
              <w:pStyle w:val="TableTextbold"/>
              <w:spacing w:before="40" w:after="40"/>
              <w:jc w:val="right"/>
              <w:rPr>
                <w:rFonts w:cs="Calibri"/>
                <w:color w:val="FFFFFF" w:themeColor="background1"/>
                <w:szCs w:val="18"/>
              </w:rPr>
            </w:pPr>
            <w:r w:rsidRPr="005C5E32">
              <w:rPr>
                <w:rFonts w:cs="Calibri"/>
                <w:color w:val="FFFFFF" w:themeColor="background1"/>
                <w:szCs w:val="18"/>
              </w:rPr>
              <w:t>Percentage of total funding (%)</w:t>
            </w:r>
          </w:p>
        </w:tc>
      </w:tr>
      <w:tr w:rsidR="003F11C1" w:rsidRPr="005C5E32" w14:paraId="0A41CA17" w14:textId="77777777" w:rsidTr="003D0CC1">
        <w:tc>
          <w:tcPr>
            <w:tcW w:w="3083" w:type="pct"/>
            <w:vAlign w:val="bottom"/>
          </w:tcPr>
          <w:p w14:paraId="12D0901F" w14:textId="77777777" w:rsidR="003F11C1" w:rsidRPr="005C5E32" w:rsidRDefault="003F11C1" w:rsidP="003D0CC1">
            <w:pPr>
              <w:pStyle w:val="TableText"/>
              <w:spacing w:before="40" w:after="40"/>
              <w:rPr>
                <w:rFonts w:cs="Calibri"/>
                <w:szCs w:val="18"/>
              </w:rPr>
            </w:pPr>
            <w:r w:rsidRPr="005C5E32">
              <w:rPr>
                <w:rFonts w:eastAsia="Times New Roman" w:cs="Calibri"/>
                <w:szCs w:val="18"/>
              </w:rPr>
              <w:t>International obligations</w:t>
            </w:r>
          </w:p>
        </w:tc>
        <w:tc>
          <w:tcPr>
            <w:tcW w:w="917" w:type="pct"/>
            <w:vAlign w:val="center"/>
          </w:tcPr>
          <w:p w14:paraId="6635B3D3" w14:textId="45713E79" w:rsidR="003F11C1" w:rsidRPr="005C5E32" w:rsidRDefault="00B52AEB" w:rsidP="003D0CC1">
            <w:pPr>
              <w:pStyle w:val="TableText"/>
              <w:spacing w:before="40" w:after="40"/>
              <w:jc w:val="right"/>
              <w:rPr>
                <w:rFonts w:cs="Calibri"/>
                <w:szCs w:val="18"/>
              </w:rPr>
            </w:pPr>
            <w:r w:rsidRPr="005C5E32">
              <w:rPr>
                <w:rFonts w:cs="Calibri"/>
                <w:szCs w:val="18"/>
              </w:rPr>
              <w:t>797</w:t>
            </w:r>
          </w:p>
        </w:tc>
        <w:tc>
          <w:tcPr>
            <w:tcW w:w="1000" w:type="pct"/>
          </w:tcPr>
          <w:p w14:paraId="35409931" w14:textId="60876385" w:rsidR="003F11C1" w:rsidRPr="005C5E32" w:rsidRDefault="005449D1" w:rsidP="003D0CC1">
            <w:pPr>
              <w:pStyle w:val="TableText"/>
              <w:spacing w:before="40" w:after="40"/>
              <w:jc w:val="right"/>
              <w:rPr>
                <w:rFonts w:cs="Calibri"/>
                <w:szCs w:val="18"/>
              </w:rPr>
            </w:pPr>
            <w:r w:rsidRPr="005C5E32">
              <w:rPr>
                <w:rFonts w:cs="Calibri"/>
                <w:szCs w:val="18"/>
              </w:rPr>
              <w:t>&lt;0</w:t>
            </w:r>
          </w:p>
        </w:tc>
      </w:tr>
      <w:tr w:rsidR="003F11C1" w:rsidRPr="005C5E32" w14:paraId="2E5A2990" w14:textId="77777777" w:rsidTr="003D0CC1">
        <w:tc>
          <w:tcPr>
            <w:tcW w:w="3083" w:type="pct"/>
            <w:vAlign w:val="bottom"/>
          </w:tcPr>
          <w:p w14:paraId="18F28D4E" w14:textId="77777777" w:rsidR="003F11C1" w:rsidRPr="005C5E32" w:rsidRDefault="003F11C1" w:rsidP="003D0CC1">
            <w:pPr>
              <w:pStyle w:val="TableText"/>
              <w:spacing w:before="40" w:after="40"/>
              <w:rPr>
                <w:rFonts w:cs="Calibri"/>
                <w:szCs w:val="18"/>
              </w:rPr>
            </w:pPr>
            <w:r w:rsidRPr="005C5E32">
              <w:rPr>
                <w:rFonts w:eastAsia="Times New Roman" w:cs="Calibri"/>
                <w:szCs w:val="18"/>
              </w:rPr>
              <w:t>Climate change</w:t>
            </w:r>
          </w:p>
        </w:tc>
        <w:tc>
          <w:tcPr>
            <w:tcW w:w="917" w:type="pct"/>
            <w:vAlign w:val="center"/>
          </w:tcPr>
          <w:p w14:paraId="2C239E9D" w14:textId="3364A3EC" w:rsidR="003F11C1" w:rsidRPr="005C5E32" w:rsidRDefault="00B52AEB" w:rsidP="003D0CC1">
            <w:pPr>
              <w:pStyle w:val="TableText"/>
              <w:spacing w:before="40" w:after="40"/>
              <w:jc w:val="right"/>
              <w:rPr>
                <w:rFonts w:cs="Calibri"/>
                <w:szCs w:val="18"/>
              </w:rPr>
            </w:pPr>
            <w:r w:rsidRPr="005C5E32">
              <w:rPr>
                <w:rFonts w:cs="Calibri"/>
                <w:szCs w:val="18"/>
              </w:rPr>
              <w:t>8,</w:t>
            </w:r>
            <w:r w:rsidR="001533EC" w:rsidRPr="005C5E32">
              <w:rPr>
                <w:rFonts w:cs="Calibri"/>
                <w:szCs w:val="18"/>
              </w:rPr>
              <w:t>582</w:t>
            </w:r>
          </w:p>
        </w:tc>
        <w:tc>
          <w:tcPr>
            <w:tcW w:w="1000" w:type="pct"/>
          </w:tcPr>
          <w:p w14:paraId="6D88A621" w14:textId="22A15712" w:rsidR="003F11C1" w:rsidRPr="005C5E32" w:rsidRDefault="00BF5CF1" w:rsidP="003D0CC1">
            <w:pPr>
              <w:pStyle w:val="TableText"/>
              <w:spacing w:before="40" w:after="40"/>
              <w:jc w:val="right"/>
              <w:rPr>
                <w:rFonts w:cs="Calibri"/>
                <w:szCs w:val="18"/>
              </w:rPr>
            </w:pPr>
            <w:r w:rsidRPr="005C5E32">
              <w:rPr>
                <w:rFonts w:cs="Calibri"/>
                <w:szCs w:val="18"/>
              </w:rPr>
              <w:t>4</w:t>
            </w:r>
          </w:p>
        </w:tc>
      </w:tr>
      <w:tr w:rsidR="003F11C1" w:rsidRPr="005C5E32" w14:paraId="0F10B1A1" w14:textId="77777777" w:rsidTr="003D0CC1">
        <w:tc>
          <w:tcPr>
            <w:tcW w:w="3083" w:type="pct"/>
            <w:vAlign w:val="bottom"/>
          </w:tcPr>
          <w:p w14:paraId="3E594824" w14:textId="77777777" w:rsidR="003F11C1" w:rsidRPr="005C5E32" w:rsidRDefault="003F11C1" w:rsidP="003D0CC1">
            <w:pPr>
              <w:pStyle w:val="TableText"/>
              <w:spacing w:before="40" w:after="40"/>
              <w:rPr>
                <w:rFonts w:cs="Calibri"/>
                <w:szCs w:val="18"/>
              </w:rPr>
            </w:pPr>
            <w:r w:rsidRPr="005C5E32">
              <w:rPr>
                <w:rFonts w:eastAsia="Times New Roman" w:cs="Calibri"/>
                <w:szCs w:val="18"/>
              </w:rPr>
              <w:t>Treaty obligations</w:t>
            </w:r>
          </w:p>
        </w:tc>
        <w:tc>
          <w:tcPr>
            <w:tcW w:w="917" w:type="pct"/>
            <w:vAlign w:val="center"/>
          </w:tcPr>
          <w:p w14:paraId="02317109" w14:textId="2189BA38" w:rsidR="003F11C1" w:rsidRPr="005C5E32" w:rsidRDefault="00AC6874" w:rsidP="003D0CC1">
            <w:pPr>
              <w:pStyle w:val="TableText"/>
              <w:spacing w:before="40" w:after="40"/>
              <w:jc w:val="right"/>
              <w:rPr>
                <w:rFonts w:cs="Calibri"/>
                <w:szCs w:val="18"/>
              </w:rPr>
            </w:pPr>
            <w:r w:rsidRPr="005C5E32">
              <w:rPr>
                <w:rFonts w:cs="Calibri"/>
                <w:szCs w:val="18"/>
              </w:rPr>
              <w:t>5,182</w:t>
            </w:r>
          </w:p>
        </w:tc>
        <w:tc>
          <w:tcPr>
            <w:tcW w:w="1000" w:type="pct"/>
          </w:tcPr>
          <w:p w14:paraId="3DCA2596" w14:textId="464BFA9E" w:rsidR="003F11C1" w:rsidRPr="005C5E32" w:rsidRDefault="00EE2F92" w:rsidP="003D0CC1">
            <w:pPr>
              <w:pStyle w:val="TableText"/>
              <w:spacing w:before="40" w:after="40"/>
              <w:jc w:val="right"/>
              <w:rPr>
                <w:rFonts w:cs="Calibri"/>
                <w:szCs w:val="18"/>
              </w:rPr>
            </w:pPr>
            <w:r w:rsidRPr="005C5E32">
              <w:rPr>
                <w:rFonts w:cs="Calibri"/>
                <w:szCs w:val="18"/>
              </w:rPr>
              <w:t>2</w:t>
            </w:r>
          </w:p>
        </w:tc>
      </w:tr>
      <w:tr w:rsidR="003F11C1" w:rsidRPr="005C5E32" w14:paraId="1ED1884C" w14:textId="77777777" w:rsidTr="003D0CC1">
        <w:tc>
          <w:tcPr>
            <w:tcW w:w="3083" w:type="pct"/>
            <w:vAlign w:val="bottom"/>
          </w:tcPr>
          <w:p w14:paraId="0E7B3892" w14:textId="50219E1D" w:rsidR="003F11C1" w:rsidRPr="005C5E32" w:rsidRDefault="003F11C1" w:rsidP="003D0CC1">
            <w:pPr>
              <w:pStyle w:val="TableText"/>
              <w:spacing w:before="40" w:after="40"/>
              <w:rPr>
                <w:rFonts w:cs="Calibri"/>
                <w:szCs w:val="18"/>
              </w:rPr>
            </w:pPr>
            <w:r w:rsidRPr="005C5E32">
              <w:rPr>
                <w:rFonts w:eastAsia="Times New Roman" w:cs="Calibri"/>
                <w:szCs w:val="18"/>
              </w:rPr>
              <w:t>Waste minimisation</w:t>
            </w:r>
            <w:r w:rsidR="007A7755" w:rsidRPr="005C5E32">
              <w:rPr>
                <w:rFonts w:eastAsia="Times New Roman" w:cs="Calibri"/>
                <w:szCs w:val="18"/>
              </w:rPr>
              <w:t xml:space="preserve"> (see details under </w:t>
            </w:r>
            <w:hyperlink w:anchor="_Waste_Minimisation_–" w:history="1">
              <w:r w:rsidR="007A7755" w:rsidRPr="005C5E32">
                <w:rPr>
                  <w:rStyle w:val="Hyperlink"/>
                  <w:rFonts w:eastAsia="Times New Roman" w:cs="Calibri"/>
                  <w:szCs w:val="18"/>
                </w:rPr>
                <w:t>Waste minimisation – multi-category appropriation</w:t>
              </w:r>
            </w:hyperlink>
            <w:r w:rsidR="007A7755" w:rsidRPr="005C5E32">
              <w:rPr>
                <w:rFonts w:eastAsia="Times New Roman" w:cs="Calibri"/>
                <w:szCs w:val="18"/>
              </w:rPr>
              <w:t>)</w:t>
            </w:r>
          </w:p>
        </w:tc>
        <w:tc>
          <w:tcPr>
            <w:tcW w:w="917" w:type="pct"/>
            <w:vAlign w:val="center"/>
          </w:tcPr>
          <w:p w14:paraId="2835ECAB" w14:textId="05FF2103" w:rsidR="003F11C1" w:rsidRPr="005C5E32" w:rsidRDefault="0053319F" w:rsidP="003D0CC1">
            <w:pPr>
              <w:pStyle w:val="TableText"/>
              <w:spacing w:before="40" w:after="40"/>
              <w:jc w:val="right"/>
              <w:rPr>
                <w:rFonts w:cs="Calibri"/>
                <w:szCs w:val="18"/>
              </w:rPr>
            </w:pPr>
            <w:r w:rsidRPr="005C5E32">
              <w:rPr>
                <w:rFonts w:cs="Calibri"/>
                <w:szCs w:val="18"/>
              </w:rPr>
              <w:t>163,328</w:t>
            </w:r>
          </w:p>
        </w:tc>
        <w:tc>
          <w:tcPr>
            <w:tcW w:w="1000" w:type="pct"/>
          </w:tcPr>
          <w:p w14:paraId="37C5155E" w14:textId="145482A6" w:rsidR="003F11C1" w:rsidRPr="005C5E32" w:rsidRDefault="003D6EE4" w:rsidP="003D0CC1">
            <w:pPr>
              <w:pStyle w:val="TableText"/>
              <w:spacing w:before="40" w:after="40"/>
              <w:jc w:val="right"/>
              <w:rPr>
                <w:rFonts w:cs="Calibri"/>
                <w:szCs w:val="18"/>
              </w:rPr>
            </w:pPr>
            <w:r w:rsidRPr="005C5E32">
              <w:rPr>
                <w:rFonts w:cs="Calibri"/>
                <w:szCs w:val="18"/>
              </w:rPr>
              <w:t>70</w:t>
            </w:r>
          </w:p>
        </w:tc>
      </w:tr>
      <w:tr w:rsidR="002050E4" w:rsidRPr="005C5E32" w14:paraId="45880379" w14:textId="77777777" w:rsidTr="003D0CC1">
        <w:tc>
          <w:tcPr>
            <w:tcW w:w="3083" w:type="pct"/>
            <w:vAlign w:val="bottom"/>
          </w:tcPr>
          <w:p w14:paraId="23365F21" w14:textId="36F1B25F" w:rsidR="002050E4" w:rsidRPr="005C5E32" w:rsidRDefault="002050E4" w:rsidP="002050E4">
            <w:pPr>
              <w:pStyle w:val="TableText"/>
              <w:spacing w:before="40" w:after="40"/>
              <w:rPr>
                <w:rFonts w:eastAsia="Times New Roman" w:cs="Calibri"/>
                <w:szCs w:val="18"/>
              </w:rPr>
            </w:pPr>
            <w:r w:rsidRPr="005C5E32">
              <w:rPr>
                <w:rFonts w:eastAsia="Times New Roman" w:cs="Calibri"/>
                <w:szCs w:val="18"/>
              </w:rPr>
              <w:t xml:space="preserve">Product Stewardship </w:t>
            </w:r>
          </w:p>
        </w:tc>
        <w:tc>
          <w:tcPr>
            <w:tcW w:w="917" w:type="pct"/>
            <w:vAlign w:val="center"/>
          </w:tcPr>
          <w:p w14:paraId="77EC453C" w14:textId="7154B03D" w:rsidR="002050E4" w:rsidRPr="005C5E32" w:rsidRDefault="002050E4" w:rsidP="002050E4">
            <w:pPr>
              <w:pStyle w:val="TableText"/>
              <w:spacing w:before="40" w:after="40"/>
              <w:jc w:val="right"/>
              <w:rPr>
                <w:rFonts w:cs="Calibri"/>
                <w:szCs w:val="18"/>
              </w:rPr>
            </w:pPr>
            <w:r w:rsidRPr="005C5E32">
              <w:rPr>
                <w:rFonts w:cs="Calibri"/>
                <w:szCs w:val="18"/>
              </w:rPr>
              <w:t>55,598</w:t>
            </w:r>
          </w:p>
        </w:tc>
        <w:tc>
          <w:tcPr>
            <w:tcW w:w="1000" w:type="pct"/>
          </w:tcPr>
          <w:p w14:paraId="3E28FD3E" w14:textId="58FA0A2C" w:rsidR="002050E4" w:rsidRPr="005C5E32" w:rsidRDefault="002050E4" w:rsidP="002050E4">
            <w:pPr>
              <w:pStyle w:val="TableText"/>
              <w:spacing w:before="40" w:after="40"/>
              <w:jc w:val="right"/>
              <w:rPr>
                <w:rFonts w:cs="Calibri"/>
                <w:szCs w:val="18"/>
              </w:rPr>
            </w:pPr>
            <w:r w:rsidRPr="005C5E32">
              <w:rPr>
                <w:rFonts w:cs="Calibri"/>
                <w:szCs w:val="18"/>
              </w:rPr>
              <w:t>24</w:t>
            </w:r>
          </w:p>
        </w:tc>
      </w:tr>
      <w:tr w:rsidR="0036629E" w:rsidRPr="005C5E32" w14:paraId="7C05A2CD" w14:textId="77777777" w:rsidTr="003D0CC1">
        <w:tc>
          <w:tcPr>
            <w:tcW w:w="3083" w:type="pct"/>
            <w:vAlign w:val="bottom"/>
          </w:tcPr>
          <w:p w14:paraId="159547B4" w14:textId="35FC3C8C" w:rsidR="0036629E" w:rsidRPr="005C5E32" w:rsidRDefault="0036629E" w:rsidP="0036629E">
            <w:pPr>
              <w:pStyle w:val="TableText"/>
              <w:spacing w:before="40" w:after="40"/>
              <w:rPr>
                <w:rFonts w:eastAsia="Times New Roman" w:cs="Calibri"/>
                <w:szCs w:val="18"/>
              </w:rPr>
            </w:pPr>
            <w:r w:rsidRPr="005C5E32">
              <w:rPr>
                <w:rFonts w:eastAsia="Times New Roman" w:cs="Calibri"/>
                <w:szCs w:val="18"/>
              </w:rPr>
              <w:t>Fresh Start for Fresh Water: Rotorua Te Arawa Lakes Programme</w:t>
            </w:r>
          </w:p>
        </w:tc>
        <w:tc>
          <w:tcPr>
            <w:tcW w:w="917" w:type="pct"/>
            <w:vAlign w:val="center"/>
          </w:tcPr>
          <w:p w14:paraId="1AEC7612" w14:textId="28AB984F" w:rsidR="0036629E" w:rsidRPr="005C5E32" w:rsidRDefault="0036629E" w:rsidP="0036629E">
            <w:pPr>
              <w:pStyle w:val="TableText"/>
              <w:spacing w:before="40" w:after="40"/>
              <w:jc w:val="right"/>
              <w:rPr>
                <w:rFonts w:cs="Calibri"/>
                <w:szCs w:val="18"/>
              </w:rPr>
            </w:pPr>
            <w:r w:rsidRPr="005C5E32">
              <w:rPr>
                <w:rFonts w:cs="Calibri"/>
                <w:szCs w:val="18"/>
              </w:rPr>
              <w:t>900</w:t>
            </w:r>
          </w:p>
        </w:tc>
        <w:tc>
          <w:tcPr>
            <w:tcW w:w="1000" w:type="pct"/>
          </w:tcPr>
          <w:p w14:paraId="7C7A546C" w14:textId="59FED32F" w:rsidR="0036629E" w:rsidRPr="005C5E32" w:rsidRDefault="0036629E" w:rsidP="0036629E">
            <w:pPr>
              <w:pStyle w:val="TableText"/>
              <w:spacing w:before="40" w:after="40"/>
              <w:jc w:val="right"/>
              <w:rPr>
                <w:rFonts w:cs="Calibri"/>
                <w:szCs w:val="18"/>
              </w:rPr>
            </w:pPr>
            <w:r w:rsidRPr="005C5E32">
              <w:rPr>
                <w:rFonts w:cs="Calibri"/>
                <w:szCs w:val="18"/>
              </w:rPr>
              <w:t>&lt;0</w:t>
            </w:r>
          </w:p>
        </w:tc>
      </w:tr>
      <w:tr w:rsidR="0036629E" w:rsidRPr="005C5E32" w14:paraId="7F961EC4" w14:textId="77777777" w:rsidTr="003D0CC1">
        <w:tc>
          <w:tcPr>
            <w:tcW w:w="3083" w:type="pct"/>
            <w:vAlign w:val="bottom"/>
          </w:tcPr>
          <w:p w14:paraId="4678AA15" w14:textId="77777777" w:rsidR="0036629E" w:rsidRPr="005C5E32" w:rsidRDefault="0036629E" w:rsidP="0036629E">
            <w:pPr>
              <w:pStyle w:val="TableText"/>
              <w:spacing w:before="40" w:after="40"/>
              <w:rPr>
                <w:rFonts w:cs="Calibri"/>
                <w:szCs w:val="18"/>
              </w:rPr>
            </w:pPr>
            <w:r w:rsidRPr="005C5E32">
              <w:rPr>
                <w:rFonts w:eastAsia="Times New Roman" w:cs="Calibri"/>
                <w:b/>
                <w:bCs/>
                <w:color w:val="000000"/>
                <w:szCs w:val="18"/>
              </w:rPr>
              <w:t>Total</w:t>
            </w:r>
          </w:p>
        </w:tc>
        <w:tc>
          <w:tcPr>
            <w:tcW w:w="917" w:type="pct"/>
            <w:vAlign w:val="center"/>
          </w:tcPr>
          <w:p w14:paraId="1E21AF30" w14:textId="78E5FA6A" w:rsidR="0036629E" w:rsidRPr="00064AD6" w:rsidRDefault="00F706E7" w:rsidP="0036629E">
            <w:pPr>
              <w:pStyle w:val="TableText"/>
              <w:spacing w:before="40" w:after="40"/>
              <w:jc w:val="right"/>
              <w:rPr>
                <w:rFonts w:cs="Calibri"/>
                <w:b/>
                <w:szCs w:val="18"/>
              </w:rPr>
            </w:pPr>
            <w:r w:rsidRPr="00064AD6">
              <w:rPr>
                <w:rFonts w:cs="Calibri"/>
                <w:b/>
                <w:szCs w:val="18"/>
              </w:rPr>
              <w:t>234,387</w:t>
            </w:r>
          </w:p>
        </w:tc>
        <w:tc>
          <w:tcPr>
            <w:tcW w:w="1000" w:type="pct"/>
          </w:tcPr>
          <w:p w14:paraId="0D4A89D3" w14:textId="259524FD" w:rsidR="0036629E" w:rsidRPr="005C5E32" w:rsidRDefault="0036629E" w:rsidP="0036629E">
            <w:pPr>
              <w:pStyle w:val="TableText"/>
              <w:spacing w:before="40" w:after="40"/>
              <w:jc w:val="right"/>
              <w:rPr>
                <w:rFonts w:cs="Calibri"/>
                <w:b/>
                <w:bCs/>
                <w:szCs w:val="18"/>
              </w:rPr>
            </w:pPr>
            <w:r w:rsidRPr="005C5E32">
              <w:rPr>
                <w:rFonts w:cs="Calibri"/>
                <w:b/>
                <w:bCs/>
                <w:szCs w:val="18"/>
              </w:rPr>
              <w:t>100</w:t>
            </w:r>
          </w:p>
        </w:tc>
      </w:tr>
    </w:tbl>
    <w:p w14:paraId="3D275178" w14:textId="54008482" w:rsidR="003F11C1" w:rsidRPr="005C5E32" w:rsidRDefault="003F11C1" w:rsidP="005150FF">
      <w:pPr>
        <w:pStyle w:val="Tableheading"/>
        <w:spacing w:before="240"/>
      </w:pPr>
      <w:bookmarkStart w:id="265" w:name="_Ref173236347"/>
      <w:bookmarkStart w:id="266" w:name="_Ref206081541"/>
      <w:r w:rsidRPr="005C5E32">
        <w:t xml:space="preserve">Table </w:t>
      </w:r>
      <w:bookmarkEnd w:id="265"/>
      <w:r w:rsidRPr="005C5E32">
        <w:fldChar w:fldCharType="begin"/>
      </w:r>
      <w:r w:rsidRPr="005C5E32">
        <w:instrText xml:space="preserve"> SEQ Table \* ARABIC </w:instrText>
      </w:r>
      <w:r w:rsidRPr="005C5E32">
        <w:fldChar w:fldCharType="separate"/>
      </w:r>
      <w:r w:rsidR="00D8311D">
        <w:rPr>
          <w:noProof/>
        </w:rPr>
        <w:t>14</w:t>
      </w:r>
      <w:r w:rsidRPr="005C5E32">
        <w:fldChar w:fldCharType="end"/>
      </w:r>
      <w:bookmarkEnd w:id="266"/>
      <w:r w:rsidRPr="005C5E32">
        <w:t xml:space="preserve">: </w:t>
      </w:r>
      <w:r w:rsidRPr="005C5E32">
        <w:tab/>
        <w:t>Departmental funding, 2025/26</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5244"/>
        <w:gridCol w:w="1560"/>
        <w:gridCol w:w="1701"/>
      </w:tblGrid>
      <w:tr w:rsidR="003F11C1" w:rsidRPr="005C5E32" w14:paraId="26784304" w14:textId="77777777" w:rsidTr="003D0CC1">
        <w:trPr>
          <w:tblHeader/>
        </w:trPr>
        <w:tc>
          <w:tcPr>
            <w:tcW w:w="3083" w:type="pct"/>
            <w:shd w:val="clear" w:color="auto" w:fill="1B556B" w:themeFill="text2"/>
            <w:vAlign w:val="bottom"/>
          </w:tcPr>
          <w:p w14:paraId="286D43A2" w14:textId="77777777" w:rsidR="003F11C1" w:rsidRPr="005C5E32" w:rsidRDefault="003F11C1" w:rsidP="003D0CC1">
            <w:pPr>
              <w:pStyle w:val="TableTextbold"/>
              <w:keepNext/>
              <w:spacing w:before="40" w:after="40"/>
              <w:rPr>
                <w:color w:val="FFFFFF" w:themeColor="background1"/>
                <w:szCs w:val="18"/>
              </w:rPr>
            </w:pPr>
            <w:r w:rsidRPr="005C5E32">
              <w:rPr>
                <w:color w:val="FFFFFF" w:themeColor="background1"/>
                <w:szCs w:val="18"/>
              </w:rPr>
              <w:t>Departmental annual appropriations</w:t>
            </w:r>
          </w:p>
        </w:tc>
        <w:tc>
          <w:tcPr>
            <w:tcW w:w="917" w:type="pct"/>
            <w:shd w:val="clear" w:color="auto" w:fill="1B556B" w:themeFill="text2"/>
            <w:vAlign w:val="bottom"/>
          </w:tcPr>
          <w:p w14:paraId="02C86BEE" w14:textId="77777777" w:rsidR="003F11C1" w:rsidRPr="005C5E32" w:rsidRDefault="003F11C1" w:rsidP="003D0CC1">
            <w:pPr>
              <w:pStyle w:val="TableTextbold"/>
              <w:keepNext/>
              <w:spacing w:before="40" w:after="40"/>
              <w:jc w:val="right"/>
              <w:rPr>
                <w:color w:val="FFFFFF" w:themeColor="background1"/>
                <w:szCs w:val="18"/>
              </w:rPr>
            </w:pPr>
            <w:r w:rsidRPr="005C5E32">
              <w:rPr>
                <w:color w:val="FFFFFF" w:themeColor="background1"/>
                <w:szCs w:val="18"/>
              </w:rPr>
              <w:t>Funding allocation ($000)</w:t>
            </w:r>
          </w:p>
        </w:tc>
        <w:tc>
          <w:tcPr>
            <w:tcW w:w="1000" w:type="pct"/>
            <w:shd w:val="clear" w:color="auto" w:fill="1B556B" w:themeFill="text2"/>
            <w:vAlign w:val="bottom"/>
          </w:tcPr>
          <w:p w14:paraId="5DE14746" w14:textId="0F39CE49" w:rsidR="003F11C1" w:rsidRPr="005C5E32" w:rsidRDefault="003F11C1" w:rsidP="003D0CC1">
            <w:pPr>
              <w:pStyle w:val="TableTextbold"/>
              <w:keepNext/>
              <w:spacing w:before="40" w:after="40"/>
              <w:jc w:val="right"/>
              <w:rPr>
                <w:color w:val="FFFFFF" w:themeColor="background1"/>
                <w:szCs w:val="18"/>
              </w:rPr>
            </w:pPr>
            <w:r w:rsidRPr="005C5E32">
              <w:rPr>
                <w:color w:val="FFFFFF" w:themeColor="background1"/>
                <w:szCs w:val="18"/>
              </w:rPr>
              <w:t>Percentage of total funding</w:t>
            </w:r>
            <w:r w:rsidR="006B7571" w:rsidRPr="005C5E32">
              <w:rPr>
                <w:color w:val="FFFFFF" w:themeColor="background1"/>
                <w:szCs w:val="18"/>
              </w:rPr>
              <w:t>*</w:t>
            </w:r>
            <w:r w:rsidRPr="005C5E32">
              <w:rPr>
                <w:color w:val="FFFFFF" w:themeColor="background1"/>
                <w:szCs w:val="18"/>
              </w:rPr>
              <w:t xml:space="preserve"> (%)</w:t>
            </w:r>
          </w:p>
        </w:tc>
      </w:tr>
      <w:tr w:rsidR="003F11C1" w:rsidRPr="005C5E32" w14:paraId="0668BE68" w14:textId="77777777" w:rsidTr="00376258">
        <w:tc>
          <w:tcPr>
            <w:tcW w:w="3083" w:type="pct"/>
            <w:shd w:val="clear" w:color="auto" w:fill="FFFFFF" w:themeFill="background1"/>
          </w:tcPr>
          <w:p w14:paraId="6EAFC139" w14:textId="77777777" w:rsidR="003F11C1" w:rsidRPr="005C5E32" w:rsidRDefault="003F11C1" w:rsidP="003D0CC1">
            <w:pPr>
              <w:pStyle w:val="TableText"/>
              <w:keepNext/>
              <w:spacing w:before="40" w:after="40"/>
              <w:rPr>
                <w:rFonts w:asciiTheme="minorHAnsi" w:eastAsia="Times New Roman" w:hAnsiTheme="minorHAnsi" w:cstheme="minorHAnsi"/>
                <w:szCs w:val="18"/>
              </w:rPr>
            </w:pPr>
            <w:r w:rsidRPr="005C5E32">
              <w:rPr>
                <w:rFonts w:asciiTheme="minorHAnsi" w:eastAsia="Times New Roman" w:hAnsiTheme="minorHAnsi" w:cstheme="minorHAnsi"/>
                <w:szCs w:val="18"/>
              </w:rPr>
              <w:t>Product Stewardship Administration</w:t>
            </w:r>
          </w:p>
        </w:tc>
        <w:tc>
          <w:tcPr>
            <w:tcW w:w="917" w:type="pct"/>
            <w:shd w:val="clear" w:color="auto" w:fill="FFFFFF" w:themeFill="background1"/>
            <w:vAlign w:val="center"/>
          </w:tcPr>
          <w:p w14:paraId="6794A090" w14:textId="011E3DAD" w:rsidR="003F11C1" w:rsidRPr="005C5E32" w:rsidRDefault="007B1637" w:rsidP="003D0CC1">
            <w:pPr>
              <w:pStyle w:val="TableText"/>
              <w:keepNext/>
              <w:spacing w:before="40" w:after="40"/>
              <w:jc w:val="right"/>
              <w:rPr>
                <w:rFonts w:asciiTheme="minorHAnsi" w:eastAsia="Times New Roman" w:hAnsiTheme="minorHAnsi" w:cstheme="minorHAnsi"/>
                <w:szCs w:val="18"/>
              </w:rPr>
            </w:pPr>
            <w:r w:rsidRPr="005C5E32">
              <w:rPr>
                <w:rFonts w:asciiTheme="minorHAnsi" w:eastAsia="Times New Roman" w:hAnsiTheme="minorHAnsi" w:cstheme="minorHAnsi"/>
                <w:szCs w:val="18"/>
              </w:rPr>
              <w:t>552</w:t>
            </w:r>
          </w:p>
        </w:tc>
        <w:tc>
          <w:tcPr>
            <w:tcW w:w="1000" w:type="pct"/>
            <w:shd w:val="clear" w:color="auto" w:fill="FFFFFF" w:themeFill="background1"/>
          </w:tcPr>
          <w:p w14:paraId="4BE0B411" w14:textId="30C712A7" w:rsidR="003F11C1" w:rsidRPr="005C5E32" w:rsidRDefault="000643F4" w:rsidP="003D0CC1">
            <w:pPr>
              <w:pStyle w:val="TableText"/>
              <w:keepNext/>
              <w:spacing w:before="40" w:after="40"/>
              <w:jc w:val="right"/>
              <w:rPr>
                <w:rFonts w:asciiTheme="minorHAnsi" w:eastAsia="Times New Roman" w:hAnsiTheme="minorHAnsi" w:cstheme="minorHAnsi"/>
                <w:szCs w:val="18"/>
              </w:rPr>
            </w:pPr>
            <w:r w:rsidRPr="005C5E32">
              <w:rPr>
                <w:rFonts w:asciiTheme="minorHAnsi" w:eastAsia="Times New Roman" w:hAnsiTheme="minorHAnsi" w:cstheme="minorHAnsi"/>
                <w:szCs w:val="18"/>
              </w:rPr>
              <w:t>&lt;0</w:t>
            </w:r>
          </w:p>
        </w:tc>
      </w:tr>
      <w:tr w:rsidR="003F11C1" w:rsidRPr="005C5E32" w14:paraId="244C3183" w14:textId="77777777" w:rsidTr="00D83D60">
        <w:tc>
          <w:tcPr>
            <w:tcW w:w="3083" w:type="pct"/>
            <w:vAlign w:val="bottom"/>
          </w:tcPr>
          <w:p w14:paraId="7B5D412B" w14:textId="77777777" w:rsidR="003F11C1" w:rsidRPr="005C5E32" w:rsidRDefault="003F11C1" w:rsidP="003D0CC1">
            <w:pPr>
              <w:pStyle w:val="TableText"/>
              <w:keepNext/>
              <w:spacing w:before="40" w:after="40"/>
              <w:rPr>
                <w:rFonts w:asciiTheme="minorHAnsi" w:hAnsiTheme="minorHAnsi" w:cstheme="minorHAnsi"/>
                <w:szCs w:val="18"/>
              </w:rPr>
            </w:pPr>
            <w:r w:rsidRPr="005C5E32">
              <w:rPr>
                <w:rFonts w:asciiTheme="minorHAnsi" w:eastAsia="Times New Roman" w:hAnsiTheme="minorHAnsi" w:cstheme="minorHAnsi"/>
                <w:szCs w:val="18"/>
              </w:rPr>
              <w:t>Climate Change Chief Executives Board</w:t>
            </w:r>
          </w:p>
        </w:tc>
        <w:tc>
          <w:tcPr>
            <w:tcW w:w="917" w:type="pct"/>
            <w:vAlign w:val="center"/>
          </w:tcPr>
          <w:p w14:paraId="439A00F6" w14:textId="5F1B23CB" w:rsidR="003F11C1" w:rsidRPr="005C5E32" w:rsidRDefault="00C7043C" w:rsidP="003D0CC1">
            <w:pPr>
              <w:pStyle w:val="TableText"/>
              <w:keepNext/>
              <w:spacing w:before="40" w:after="40"/>
              <w:jc w:val="right"/>
              <w:rPr>
                <w:rFonts w:asciiTheme="minorHAnsi" w:hAnsiTheme="minorHAnsi" w:cstheme="minorHAnsi"/>
                <w:szCs w:val="18"/>
              </w:rPr>
            </w:pPr>
            <w:r w:rsidRPr="005C5E32">
              <w:rPr>
                <w:rFonts w:asciiTheme="minorHAnsi" w:hAnsiTheme="minorHAnsi" w:cstheme="minorHAnsi"/>
                <w:szCs w:val="18"/>
              </w:rPr>
              <w:t>2,694</w:t>
            </w:r>
          </w:p>
        </w:tc>
        <w:tc>
          <w:tcPr>
            <w:tcW w:w="1000" w:type="pct"/>
          </w:tcPr>
          <w:p w14:paraId="0623BE67" w14:textId="022BEFC8" w:rsidR="003F11C1" w:rsidRPr="005C5E32" w:rsidRDefault="000643F4" w:rsidP="003D0CC1">
            <w:pPr>
              <w:pStyle w:val="TableText"/>
              <w:keepNext/>
              <w:spacing w:before="40" w:after="40"/>
              <w:jc w:val="right"/>
              <w:rPr>
                <w:szCs w:val="18"/>
              </w:rPr>
            </w:pPr>
            <w:r w:rsidRPr="005C5E32">
              <w:rPr>
                <w:szCs w:val="18"/>
              </w:rPr>
              <w:t>2</w:t>
            </w:r>
          </w:p>
        </w:tc>
      </w:tr>
      <w:tr w:rsidR="003F11C1" w:rsidRPr="005C5E32" w14:paraId="68569416" w14:textId="77777777" w:rsidTr="00D83D60">
        <w:tc>
          <w:tcPr>
            <w:tcW w:w="3083" w:type="pct"/>
            <w:vAlign w:val="bottom"/>
          </w:tcPr>
          <w:p w14:paraId="1A143BFE" w14:textId="77777777" w:rsidR="003F11C1" w:rsidRPr="005C5E32" w:rsidRDefault="003F11C1" w:rsidP="003D0CC1">
            <w:pPr>
              <w:pStyle w:val="TableText"/>
              <w:keepNext/>
              <w:spacing w:before="40" w:after="40"/>
              <w:rPr>
                <w:rFonts w:asciiTheme="minorHAnsi" w:hAnsiTheme="minorHAnsi" w:cstheme="minorHAnsi"/>
                <w:szCs w:val="18"/>
              </w:rPr>
            </w:pPr>
            <w:r w:rsidRPr="005C5E32">
              <w:rPr>
                <w:rFonts w:asciiTheme="minorHAnsi" w:eastAsia="Times New Roman" w:hAnsiTheme="minorHAnsi" w:cstheme="minorHAnsi"/>
                <w:szCs w:val="18"/>
              </w:rPr>
              <w:t>Waste Minimisation Administration</w:t>
            </w:r>
          </w:p>
        </w:tc>
        <w:tc>
          <w:tcPr>
            <w:tcW w:w="917" w:type="pct"/>
            <w:vAlign w:val="center"/>
          </w:tcPr>
          <w:p w14:paraId="154E4B1B" w14:textId="386FC608" w:rsidR="003F11C1" w:rsidRPr="005C5E32" w:rsidRDefault="00C7043C" w:rsidP="003D0CC1">
            <w:pPr>
              <w:pStyle w:val="TableText"/>
              <w:keepNext/>
              <w:spacing w:before="40" w:after="40"/>
              <w:jc w:val="right"/>
              <w:rPr>
                <w:rFonts w:asciiTheme="minorHAnsi" w:hAnsiTheme="minorHAnsi" w:cstheme="minorHAnsi"/>
                <w:szCs w:val="18"/>
              </w:rPr>
            </w:pPr>
            <w:r w:rsidRPr="005C5E32">
              <w:rPr>
                <w:rFonts w:asciiTheme="minorHAnsi" w:hAnsiTheme="minorHAnsi" w:cstheme="minorHAnsi"/>
                <w:szCs w:val="18"/>
              </w:rPr>
              <w:t>14,003</w:t>
            </w:r>
          </w:p>
        </w:tc>
        <w:tc>
          <w:tcPr>
            <w:tcW w:w="1000" w:type="pct"/>
          </w:tcPr>
          <w:p w14:paraId="77A3F763" w14:textId="35708BAE" w:rsidR="003F11C1" w:rsidRPr="005C5E32" w:rsidRDefault="00C47686" w:rsidP="003D0CC1">
            <w:pPr>
              <w:pStyle w:val="TableText"/>
              <w:keepNext/>
              <w:spacing w:before="40" w:after="40"/>
              <w:jc w:val="right"/>
              <w:rPr>
                <w:szCs w:val="18"/>
              </w:rPr>
            </w:pPr>
            <w:r w:rsidRPr="005C5E32">
              <w:rPr>
                <w:szCs w:val="18"/>
              </w:rPr>
              <w:t>7</w:t>
            </w:r>
          </w:p>
        </w:tc>
      </w:tr>
      <w:tr w:rsidR="003F11C1" w:rsidRPr="005C5E32" w14:paraId="6F628F99" w14:textId="77777777" w:rsidTr="00D83D60">
        <w:tc>
          <w:tcPr>
            <w:tcW w:w="3083" w:type="pct"/>
            <w:vAlign w:val="bottom"/>
          </w:tcPr>
          <w:p w14:paraId="5C7C0B66" w14:textId="77777777" w:rsidR="003F11C1" w:rsidRPr="005C5E32" w:rsidRDefault="003F11C1" w:rsidP="003D0CC1">
            <w:pPr>
              <w:pStyle w:val="TableText"/>
              <w:spacing w:before="40" w:after="40"/>
              <w:rPr>
                <w:rFonts w:asciiTheme="minorHAnsi" w:eastAsia="Times New Roman" w:hAnsiTheme="minorHAnsi" w:cstheme="minorHAnsi"/>
                <w:szCs w:val="18"/>
              </w:rPr>
            </w:pPr>
            <w:r w:rsidRPr="005C5E32">
              <w:rPr>
                <w:rFonts w:asciiTheme="minorHAnsi" w:eastAsia="Times New Roman" w:hAnsiTheme="minorHAnsi" w:cstheme="minorHAnsi"/>
                <w:szCs w:val="18"/>
              </w:rPr>
              <w:t>Environment Work Programme</w:t>
            </w:r>
          </w:p>
        </w:tc>
        <w:tc>
          <w:tcPr>
            <w:tcW w:w="917" w:type="pct"/>
            <w:vAlign w:val="center"/>
          </w:tcPr>
          <w:p w14:paraId="1DCE281D" w14:textId="317FA2D1" w:rsidR="003F11C1" w:rsidRPr="005C5E32" w:rsidRDefault="004230DE" w:rsidP="003D0CC1">
            <w:pPr>
              <w:pStyle w:val="TableText"/>
              <w:spacing w:before="40" w:after="40"/>
              <w:jc w:val="right"/>
              <w:rPr>
                <w:rFonts w:asciiTheme="minorHAnsi" w:hAnsiTheme="minorHAnsi" w:cstheme="minorHAnsi"/>
                <w:szCs w:val="18"/>
              </w:rPr>
            </w:pPr>
            <w:r w:rsidRPr="005C5E32">
              <w:rPr>
                <w:rFonts w:asciiTheme="minorHAnsi" w:hAnsiTheme="minorHAnsi" w:cstheme="minorHAnsi"/>
                <w:szCs w:val="18"/>
              </w:rPr>
              <w:t>12,732</w:t>
            </w:r>
          </w:p>
        </w:tc>
        <w:tc>
          <w:tcPr>
            <w:tcW w:w="1000" w:type="pct"/>
          </w:tcPr>
          <w:p w14:paraId="08E5B522" w14:textId="33131AA5" w:rsidR="003F11C1" w:rsidRPr="005C5E32" w:rsidRDefault="001A2769" w:rsidP="003D0CC1">
            <w:pPr>
              <w:pStyle w:val="TableText"/>
              <w:spacing w:before="40" w:after="40"/>
              <w:jc w:val="right"/>
              <w:rPr>
                <w:szCs w:val="18"/>
              </w:rPr>
            </w:pPr>
            <w:r w:rsidRPr="005C5E32">
              <w:rPr>
                <w:szCs w:val="18"/>
              </w:rPr>
              <w:t>7</w:t>
            </w:r>
          </w:p>
        </w:tc>
      </w:tr>
      <w:tr w:rsidR="003F11C1" w:rsidRPr="005C5E32" w14:paraId="7E781E51" w14:textId="77777777" w:rsidTr="00D83D60">
        <w:tc>
          <w:tcPr>
            <w:tcW w:w="3083" w:type="pct"/>
            <w:vAlign w:val="bottom"/>
          </w:tcPr>
          <w:p w14:paraId="332BCDE7" w14:textId="77777777" w:rsidR="003F11C1" w:rsidRPr="005C5E32" w:rsidRDefault="003F11C1" w:rsidP="003D0CC1">
            <w:pPr>
              <w:pStyle w:val="TableText"/>
              <w:spacing w:before="40" w:after="40"/>
              <w:rPr>
                <w:rFonts w:asciiTheme="minorHAnsi" w:hAnsiTheme="minorHAnsi" w:cstheme="minorHAnsi"/>
                <w:szCs w:val="18"/>
              </w:rPr>
            </w:pPr>
            <w:r w:rsidRPr="005C5E32">
              <w:rPr>
                <w:rFonts w:asciiTheme="minorHAnsi" w:eastAsia="Times New Roman" w:hAnsiTheme="minorHAnsi" w:cstheme="minorHAnsi"/>
                <w:szCs w:val="18"/>
              </w:rPr>
              <w:t>Managing Climate Change in New Zealand</w:t>
            </w:r>
          </w:p>
        </w:tc>
        <w:tc>
          <w:tcPr>
            <w:tcW w:w="917" w:type="pct"/>
            <w:vAlign w:val="center"/>
          </w:tcPr>
          <w:p w14:paraId="3286F15C" w14:textId="09B46335" w:rsidR="003F11C1" w:rsidRPr="005C5E32" w:rsidRDefault="00EA35EC" w:rsidP="003D0CC1">
            <w:pPr>
              <w:pStyle w:val="TableText"/>
              <w:spacing w:before="40" w:after="40"/>
              <w:jc w:val="right"/>
              <w:rPr>
                <w:rFonts w:asciiTheme="minorHAnsi" w:hAnsiTheme="minorHAnsi" w:cstheme="minorHAnsi"/>
                <w:szCs w:val="18"/>
              </w:rPr>
            </w:pPr>
            <w:r w:rsidRPr="005C5E32">
              <w:rPr>
                <w:rFonts w:asciiTheme="minorHAnsi" w:hAnsiTheme="minorHAnsi" w:cstheme="minorHAnsi"/>
                <w:szCs w:val="18"/>
              </w:rPr>
              <w:t>39,720</w:t>
            </w:r>
          </w:p>
        </w:tc>
        <w:tc>
          <w:tcPr>
            <w:tcW w:w="1000" w:type="pct"/>
          </w:tcPr>
          <w:p w14:paraId="7DE6131C" w14:textId="59173548" w:rsidR="003F11C1" w:rsidRPr="005C5E32" w:rsidRDefault="001A2769" w:rsidP="003D0CC1">
            <w:pPr>
              <w:pStyle w:val="TableText"/>
              <w:spacing w:before="40" w:after="40"/>
              <w:jc w:val="right"/>
              <w:rPr>
                <w:szCs w:val="18"/>
              </w:rPr>
            </w:pPr>
            <w:r w:rsidRPr="005C5E32">
              <w:rPr>
                <w:szCs w:val="18"/>
              </w:rPr>
              <w:t>20</w:t>
            </w:r>
          </w:p>
        </w:tc>
      </w:tr>
      <w:tr w:rsidR="003F11C1" w:rsidRPr="005C5E32" w14:paraId="35A0E685" w14:textId="77777777" w:rsidTr="00D83D60">
        <w:tc>
          <w:tcPr>
            <w:tcW w:w="3083" w:type="pct"/>
            <w:vAlign w:val="bottom"/>
          </w:tcPr>
          <w:p w14:paraId="61300116" w14:textId="43E484B2" w:rsidR="003F11C1" w:rsidRPr="005C5E32" w:rsidRDefault="003F11C1" w:rsidP="003D0CC1">
            <w:pPr>
              <w:pStyle w:val="TableText"/>
              <w:spacing w:before="40" w:after="40"/>
              <w:rPr>
                <w:rFonts w:asciiTheme="minorHAnsi" w:hAnsiTheme="minorHAnsi" w:cstheme="minorHAnsi"/>
                <w:szCs w:val="18"/>
              </w:rPr>
            </w:pPr>
            <w:r w:rsidRPr="005C5E32">
              <w:rPr>
                <w:rFonts w:asciiTheme="minorHAnsi" w:eastAsia="Times New Roman" w:hAnsiTheme="minorHAnsi" w:cstheme="minorHAnsi"/>
                <w:szCs w:val="18"/>
              </w:rPr>
              <w:t>Improving New Zealand</w:t>
            </w:r>
            <w:r w:rsidR="000369F8" w:rsidRPr="005C5E32">
              <w:rPr>
                <w:rFonts w:asciiTheme="minorHAnsi" w:eastAsia="Times New Roman" w:hAnsiTheme="minorHAnsi" w:cstheme="minorHAnsi"/>
                <w:szCs w:val="18"/>
              </w:rPr>
              <w:t>’</w:t>
            </w:r>
            <w:r w:rsidRPr="005C5E32">
              <w:rPr>
                <w:rFonts w:asciiTheme="minorHAnsi" w:eastAsia="Times New Roman" w:hAnsiTheme="minorHAnsi" w:cstheme="minorHAnsi"/>
                <w:szCs w:val="18"/>
              </w:rPr>
              <w:t>s Environment</w:t>
            </w:r>
          </w:p>
        </w:tc>
        <w:tc>
          <w:tcPr>
            <w:tcW w:w="917" w:type="pct"/>
            <w:vAlign w:val="center"/>
          </w:tcPr>
          <w:p w14:paraId="09A685FB" w14:textId="5EBDE6AD" w:rsidR="003F11C1" w:rsidRPr="005C5E32" w:rsidRDefault="00EA35EC" w:rsidP="003D0CC1">
            <w:pPr>
              <w:pStyle w:val="TableText"/>
              <w:spacing w:before="40" w:after="40"/>
              <w:jc w:val="right"/>
              <w:rPr>
                <w:rFonts w:asciiTheme="minorHAnsi" w:hAnsiTheme="minorHAnsi" w:cstheme="minorHAnsi"/>
                <w:szCs w:val="18"/>
              </w:rPr>
            </w:pPr>
            <w:r w:rsidRPr="005C5E32">
              <w:rPr>
                <w:rFonts w:asciiTheme="minorHAnsi" w:hAnsiTheme="minorHAnsi" w:cstheme="minorHAnsi"/>
                <w:szCs w:val="18"/>
              </w:rPr>
              <w:t>125,</w:t>
            </w:r>
            <w:r w:rsidR="00EC740F" w:rsidRPr="005C5E32">
              <w:rPr>
                <w:rFonts w:asciiTheme="minorHAnsi" w:hAnsiTheme="minorHAnsi" w:cstheme="minorHAnsi"/>
                <w:szCs w:val="18"/>
              </w:rPr>
              <w:t>376</w:t>
            </w:r>
          </w:p>
        </w:tc>
        <w:tc>
          <w:tcPr>
            <w:tcW w:w="1000" w:type="pct"/>
          </w:tcPr>
          <w:p w14:paraId="546EB19E" w14:textId="00CBEA6E" w:rsidR="003F11C1" w:rsidRPr="005C5E32" w:rsidRDefault="001A2769" w:rsidP="003D0CC1">
            <w:pPr>
              <w:pStyle w:val="TableText"/>
              <w:spacing w:before="40" w:after="40"/>
              <w:jc w:val="right"/>
              <w:rPr>
                <w:szCs w:val="18"/>
              </w:rPr>
            </w:pPr>
            <w:r w:rsidRPr="005C5E32">
              <w:rPr>
                <w:szCs w:val="18"/>
              </w:rPr>
              <w:t>64</w:t>
            </w:r>
          </w:p>
        </w:tc>
      </w:tr>
      <w:tr w:rsidR="003F11C1" w:rsidRPr="005C5E32" w14:paraId="4D764567" w14:textId="77777777" w:rsidTr="00D83D60">
        <w:tc>
          <w:tcPr>
            <w:tcW w:w="3083" w:type="pct"/>
            <w:vAlign w:val="bottom"/>
          </w:tcPr>
          <w:p w14:paraId="78B85A46" w14:textId="77777777" w:rsidR="003F11C1" w:rsidRPr="005C5E32" w:rsidRDefault="003F11C1" w:rsidP="003D0CC1">
            <w:pPr>
              <w:pStyle w:val="TableText"/>
              <w:spacing w:before="40" w:after="40"/>
              <w:rPr>
                <w:rFonts w:asciiTheme="minorHAnsi" w:hAnsiTheme="minorHAnsi" w:cstheme="minorHAnsi"/>
                <w:b/>
                <w:bCs/>
                <w:szCs w:val="18"/>
              </w:rPr>
            </w:pPr>
            <w:r w:rsidRPr="005C5E32">
              <w:rPr>
                <w:rFonts w:asciiTheme="minorHAnsi" w:eastAsia="Times New Roman" w:hAnsiTheme="minorHAnsi" w:cstheme="minorHAnsi"/>
                <w:b/>
                <w:bCs/>
                <w:szCs w:val="18"/>
              </w:rPr>
              <w:t>Total departmental annual appropriations</w:t>
            </w:r>
          </w:p>
        </w:tc>
        <w:tc>
          <w:tcPr>
            <w:tcW w:w="917" w:type="pct"/>
            <w:vAlign w:val="center"/>
          </w:tcPr>
          <w:p w14:paraId="536C2717" w14:textId="0664ABE4" w:rsidR="003F11C1" w:rsidRPr="005C5E32" w:rsidRDefault="00EC740F" w:rsidP="003D0CC1">
            <w:pPr>
              <w:pStyle w:val="TableText"/>
              <w:spacing w:before="40" w:after="40"/>
              <w:jc w:val="right"/>
              <w:rPr>
                <w:rFonts w:asciiTheme="minorHAnsi" w:hAnsiTheme="minorHAnsi" w:cstheme="minorHAnsi"/>
                <w:b/>
                <w:bCs/>
                <w:szCs w:val="18"/>
              </w:rPr>
            </w:pPr>
            <w:r w:rsidRPr="005C5E32">
              <w:rPr>
                <w:rFonts w:asciiTheme="minorHAnsi" w:hAnsiTheme="minorHAnsi" w:cstheme="minorHAnsi"/>
                <w:b/>
                <w:bCs/>
                <w:szCs w:val="18"/>
              </w:rPr>
              <w:t>195,077</w:t>
            </w:r>
          </w:p>
        </w:tc>
        <w:tc>
          <w:tcPr>
            <w:tcW w:w="1000" w:type="pct"/>
          </w:tcPr>
          <w:p w14:paraId="77247A57" w14:textId="52BAC676" w:rsidR="003F11C1" w:rsidRPr="005C5E32" w:rsidRDefault="00416CFF" w:rsidP="003D0CC1">
            <w:pPr>
              <w:pStyle w:val="TableText"/>
              <w:spacing w:before="40" w:after="40"/>
              <w:jc w:val="right"/>
              <w:rPr>
                <w:b/>
                <w:bCs/>
                <w:szCs w:val="18"/>
              </w:rPr>
            </w:pPr>
            <w:r w:rsidRPr="005C5E32">
              <w:rPr>
                <w:b/>
                <w:bCs/>
                <w:szCs w:val="18"/>
              </w:rPr>
              <w:t>100</w:t>
            </w:r>
          </w:p>
        </w:tc>
      </w:tr>
    </w:tbl>
    <w:p w14:paraId="7B358910" w14:textId="6FFC6FF7" w:rsidR="006B7571" w:rsidRPr="005C5E32" w:rsidRDefault="006B7571" w:rsidP="003D4A8F">
      <w:pPr>
        <w:pStyle w:val="Note"/>
        <w:rPr>
          <w:rFonts w:asciiTheme="minorHAnsi" w:eastAsia="Times New Roman" w:hAnsiTheme="minorHAnsi" w:cstheme="minorHAnsi"/>
          <w:b/>
          <w:bCs/>
          <w:szCs w:val="18"/>
        </w:rPr>
      </w:pPr>
      <w:bookmarkStart w:id="267" w:name="_Toc207017401"/>
      <w:bookmarkStart w:id="268" w:name="_Toc210136387"/>
      <w:r w:rsidRPr="005C5E32">
        <w:t>* Percentages calculated to the nearest whole number.</w:t>
      </w:r>
    </w:p>
    <w:p w14:paraId="2EEF69FB" w14:textId="77777777" w:rsidR="00931FB9" w:rsidRPr="005C5E32" w:rsidRDefault="00931FB9" w:rsidP="00931FB9">
      <w:pPr>
        <w:pStyle w:val="Heading1"/>
        <w:rPr>
          <w:color w:val="0E7B7E"/>
          <w:sz w:val="56"/>
          <w:szCs w:val="36"/>
        </w:rPr>
      </w:pPr>
      <w:bookmarkStart w:id="269" w:name="_Toc240445574"/>
      <w:r w:rsidRPr="005C5E32">
        <w:rPr>
          <w:color w:val="0E7B7E"/>
          <w:sz w:val="56"/>
          <w:szCs w:val="36"/>
        </w:rPr>
        <w:lastRenderedPageBreak/>
        <w:t>4.</w:t>
      </w:r>
      <w:r w:rsidRPr="005C5E32">
        <w:rPr>
          <w:color w:val="0E7B7E"/>
          <w:sz w:val="56"/>
          <w:szCs w:val="36"/>
        </w:rPr>
        <w:tab/>
        <w:t>Our finances</w:t>
      </w:r>
      <w:r w:rsidRPr="005C5E32">
        <w:rPr>
          <w:color w:val="0E7B7E"/>
          <w:sz w:val="56"/>
          <w:szCs w:val="36"/>
        </w:rPr>
        <w:br/>
      </w:r>
      <w:r w:rsidRPr="005C5E32">
        <w:rPr>
          <w:i/>
          <w:color w:val="0E7B7E"/>
          <w:sz w:val="56"/>
          <w:szCs w:val="36"/>
        </w:rPr>
        <w:t>Kōrero pūtea</w:t>
      </w:r>
      <w:bookmarkEnd w:id="267"/>
      <w:bookmarkEnd w:id="268"/>
      <w:bookmarkEnd w:id="269"/>
    </w:p>
    <w:p w14:paraId="2008D8F4" w14:textId="1CF9F735" w:rsidR="00931FB9" w:rsidRPr="002E5FA8" w:rsidRDefault="00931FB9" w:rsidP="00170FD8">
      <w:pPr>
        <w:pStyle w:val="Heading3"/>
        <w:rPr>
          <w:color w:val="0E7B7E"/>
          <w:sz w:val="32"/>
          <w:szCs w:val="32"/>
        </w:rPr>
      </w:pPr>
      <w:bookmarkStart w:id="270" w:name="_Toc207017402"/>
      <w:bookmarkStart w:id="271" w:name="_Toc207017491"/>
      <w:bookmarkStart w:id="272" w:name="_Toc207192308"/>
      <w:bookmarkStart w:id="273" w:name="_Toc239677686"/>
      <w:r w:rsidRPr="002E5FA8">
        <w:rPr>
          <w:color w:val="0E7B7E"/>
          <w:sz w:val="32"/>
          <w:szCs w:val="32"/>
        </w:rPr>
        <w:t>The financial resources we have used to</w:t>
      </w:r>
      <w:r w:rsidR="002E5FA8">
        <w:rPr>
          <w:color w:val="0E7B7E"/>
          <w:sz w:val="32"/>
          <w:szCs w:val="32"/>
        </w:rPr>
        <w:t xml:space="preserve"> </w:t>
      </w:r>
      <w:r w:rsidRPr="002E5FA8">
        <w:rPr>
          <w:color w:val="0E7B7E"/>
          <w:sz w:val="32"/>
          <w:szCs w:val="32"/>
        </w:rPr>
        <w:t>deliver our services</w:t>
      </w:r>
      <w:bookmarkEnd w:id="270"/>
      <w:bookmarkEnd w:id="271"/>
      <w:bookmarkEnd w:id="272"/>
      <w:bookmarkEnd w:id="273"/>
    </w:p>
    <w:p w14:paraId="63EC54B8" w14:textId="33BA1B1F" w:rsidR="0079642D" w:rsidRPr="005C5E32" w:rsidRDefault="0079642D" w:rsidP="00B654DE">
      <w:pPr>
        <w:pStyle w:val="BodyText"/>
      </w:pPr>
    </w:p>
    <w:p w14:paraId="72F118DF" w14:textId="77777777" w:rsidR="004C71DC" w:rsidRPr="005C5E32" w:rsidRDefault="004C71DC">
      <w:pPr>
        <w:spacing w:before="0" w:after="200" w:line="276" w:lineRule="auto"/>
        <w:jc w:val="left"/>
      </w:pPr>
      <w:r w:rsidRPr="005C5E32">
        <w:br w:type="page"/>
      </w:r>
    </w:p>
    <w:p w14:paraId="16B472EF" w14:textId="77777777" w:rsidR="00D06CB2" w:rsidRPr="005C5E32" w:rsidRDefault="00D06CB2">
      <w:pPr>
        <w:pStyle w:val="Heading2green"/>
      </w:pPr>
      <w:bookmarkStart w:id="274" w:name="_Toc240445575"/>
      <w:r w:rsidRPr="005C5E32">
        <w:lastRenderedPageBreak/>
        <w:t>Financial statements for the</w:t>
      </w:r>
      <w:r w:rsidRPr="005C5E32">
        <w:br/>
        <w:t>Ministry for the Environment</w:t>
      </w:r>
      <w:bookmarkEnd w:id="274"/>
      <w:r w:rsidRPr="005C5E32">
        <w:t xml:space="preserve"> </w:t>
      </w:r>
    </w:p>
    <w:p w14:paraId="23A9F8F2" w14:textId="77777777" w:rsidR="00D06CB2" w:rsidRPr="005C5E32" w:rsidRDefault="00D06CB2">
      <w:pPr>
        <w:pStyle w:val="BodyText"/>
        <w:rPr>
          <w:sz w:val="28"/>
          <w:szCs w:val="28"/>
        </w:rPr>
      </w:pPr>
      <w:r w:rsidRPr="005C5E32">
        <w:rPr>
          <w:sz w:val="28"/>
          <w:szCs w:val="28"/>
        </w:rPr>
        <w:t>for the year ended 30 June 2026</w:t>
      </w:r>
    </w:p>
    <w:p w14:paraId="4AC01648" w14:textId="77777777" w:rsidR="00D06CB2" w:rsidRPr="005C5E32" w:rsidRDefault="00D06CB2">
      <w:pPr>
        <w:pStyle w:val="BodyText"/>
      </w:pPr>
      <w:r w:rsidRPr="005C5E32">
        <w:br w:type="page"/>
      </w:r>
    </w:p>
    <w:p w14:paraId="4623B51A" w14:textId="77777777" w:rsidR="00D06CB2" w:rsidRPr="005C5E32" w:rsidRDefault="00D06CB2" w:rsidP="005A645E">
      <w:pPr>
        <w:pStyle w:val="Heading2green"/>
      </w:pPr>
      <w:bookmarkStart w:id="275" w:name="_Toc112144611"/>
      <w:bookmarkStart w:id="276" w:name="_Toc207017404"/>
      <w:bookmarkStart w:id="277" w:name="_Toc207017493"/>
      <w:bookmarkStart w:id="278" w:name="_Toc207192310"/>
      <w:bookmarkStart w:id="279" w:name="_Toc239677688"/>
      <w:bookmarkStart w:id="280" w:name="_Toc240445576"/>
      <w:r w:rsidRPr="005C5E32">
        <w:lastRenderedPageBreak/>
        <w:t>Performance indicators</w:t>
      </w:r>
      <w:bookmarkEnd w:id="275"/>
      <w:bookmarkEnd w:id="276"/>
      <w:bookmarkEnd w:id="277"/>
      <w:bookmarkEnd w:id="278"/>
      <w:bookmarkEnd w:id="279"/>
      <w:bookmarkEnd w:id="280"/>
    </w:p>
    <w:p w14:paraId="62E78454" w14:textId="77777777" w:rsidR="00D06CB2" w:rsidRPr="005C5E32" w:rsidRDefault="00D06CB2" w:rsidP="00A03341">
      <w:pPr>
        <w:pStyle w:val="BodyText"/>
        <w:rPr>
          <w:sz w:val="28"/>
          <w:szCs w:val="28"/>
        </w:rPr>
      </w:pPr>
      <w:r w:rsidRPr="005C5E32">
        <w:rPr>
          <w:sz w:val="28"/>
          <w:szCs w:val="28"/>
        </w:rPr>
        <w:t>for the year ended 30 June 2026</w:t>
      </w:r>
    </w:p>
    <w:tbl>
      <w:tblPr>
        <w:tblStyle w:val="TableGrid"/>
        <w:tblW w:w="8505" w:type="dxa"/>
        <w:tblBorders>
          <w:left w:val="none" w:sz="0" w:space="0" w:color="auto"/>
          <w:right w:val="none" w:sz="0" w:space="0" w:color="auto"/>
        </w:tblBorders>
        <w:tblLook w:val="04A0" w:firstRow="1" w:lastRow="0" w:firstColumn="1" w:lastColumn="0" w:noHBand="0" w:noVBand="1"/>
      </w:tblPr>
      <w:tblGrid>
        <w:gridCol w:w="4460"/>
        <w:gridCol w:w="1071"/>
        <w:gridCol w:w="1487"/>
        <w:gridCol w:w="1487"/>
      </w:tblGrid>
      <w:tr w:rsidR="00D06CB2" w:rsidRPr="005C5E32" w14:paraId="7013719B" w14:textId="77777777" w:rsidTr="00DC65BC">
        <w:trPr>
          <w:trHeight w:val="20"/>
        </w:trPr>
        <w:tc>
          <w:tcPr>
            <w:tcW w:w="4253" w:type="dxa"/>
            <w:tcBorders>
              <w:top w:val="single" w:sz="8" w:space="0" w:color="0E7B7E"/>
              <w:right w:val="nil"/>
            </w:tcBorders>
          </w:tcPr>
          <w:p w14:paraId="66CC7B35" w14:textId="77777777" w:rsidR="00D06CB2" w:rsidRPr="005C5E32" w:rsidRDefault="00D06CB2">
            <w:pPr>
              <w:pStyle w:val="TableboldGreen"/>
              <w:spacing w:before="40" w:after="40"/>
              <w:rPr>
                <w:rFonts w:cs="Calibri"/>
                <w:szCs w:val="18"/>
              </w:rPr>
            </w:pPr>
          </w:p>
        </w:tc>
        <w:tc>
          <w:tcPr>
            <w:tcW w:w="1021" w:type="dxa"/>
            <w:tcBorders>
              <w:top w:val="single" w:sz="8" w:space="0" w:color="0E7B7E"/>
              <w:left w:val="nil"/>
              <w:bottom w:val="single" w:sz="4" w:space="0" w:color="auto"/>
              <w:right w:val="nil"/>
            </w:tcBorders>
            <w:vAlign w:val="bottom"/>
          </w:tcPr>
          <w:p w14:paraId="4D9F8149" w14:textId="77777777" w:rsidR="00D06CB2" w:rsidRPr="005C5E32" w:rsidRDefault="00D06CB2">
            <w:pPr>
              <w:pStyle w:val="TableboldGreen"/>
              <w:spacing w:before="40" w:after="40"/>
              <w:jc w:val="right"/>
              <w:rPr>
                <w:rFonts w:cs="Calibri"/>
                <w:szCs w:val="18"/>
              </w:rPr>
            </w:pPr>
            <w:r w:rsidRPr="005C5E32">
              <w:rPr>
                <w:rFonts w:cs="Calibri"/>
                <w:szCs w:val="18"/>
              </w:rPr>
              <w:t>Unit</w:t>
            </w:r>
          </w:p>
        </w:tc>
        <w:tc>
          <w:tcPr>
            <w:tcW w:w="1418" w:type="dxa"/>
            <w:tcBorders>
              <w:top w:val="single" w:sz="8" w:space="0" w:color="0E7B7E"/>
              <w:left w:val="nil"/>
              <w:bottom w:val="single" w:sz="4" w:space="0" w:color="auto"/>
              <w:right w:val="nil"/>
            </w:tcBorders>
            <w:shd w:val="clear" w:color="auto" w:fill="E7F2F2"/>
            <w:vAlign w:val="bottom"/>
          </w:tcPr>
          <w:p w14:paraId="7B2FAFF9" w14:textId="77777777" w:rsidR="00D06CB2" w:rsidRPr="005C5E32" w:rsidRDefault="00D06CB2">
            <w:pPr>
              <w:pStyle w:val="TableboldGreen"/>
              <w:spacing w:before="40" w:after="40"/>
              <w:jc w:val="right"/>
              <w:rPr>
                <w:rFonts w:cs="Calibri"/>
                <w:szCs w:val="18"/>
              </w:rPr>
            </w:pPr>
            <w:r w:rsidRPr="005C5E32">
              <w:rPr>
                <w:rFonts w:cs="Calibri"/>
                <w:szCs w:val="18"/>
              </w:rPr>
              <w:t xml:space="preserve">2025/26 </w:t>
            </w:r>
            <w:r w:rsidRPr="005C5E32">
              <w:rPr>
                <w:rFonts w:cs="Calibri"/>
                <w:szCs w:val="18"/>
              </w:rPr>
              <w:br/>
              <w:t>Actual</w:t>
            </w:r>
          </w:p>
        </w:tc>
        <w:tc>
          <w:tcPr>
            <w:tcW w:w="1418" w:type="dxa"/>
            <w:tcBorders>
              <w:top w:val="single" w:sz="8" w:space="0" w:color="0E7B7E"/>
              <w:left w:val="nil"/>
              <w:bottom w:val="single" w:sz="4" w:space="0" w:color="auto"/>
            </w:tcBorders>
            <w:vAlign w:val="bottom"/>
          </w:tcPr>
          <w:p w14:paraId="6F7ED738" w14:textId="77777777" w:rsidR="00D06CB2" w:rsidRPr="005C5E32" w:rsidRDefault="00D06CB2">
            <w:pPr>
              <w:pStyle w:val="TableboldGreen"/>
              <w:spacing w:before="40" w:after="40"/>
              <w:jc w:val="right"/>
              <w:rPr>
                <w:rFonts w:cs="Calibri"/>
                <w:szCs w:val="18"/>
              </w:rPr>
            </w:pPr>
            <w:r w:rsidRPr="005C5E32">
              <w:rPr>
                <w:rFonts w:cs="Calibri"/>
                <w:szCs w:val="18"/>
              </w:rPr>
              <w:t xml:space="preserve">2025/26 </w:t>
            </w:r>
            <w:r w:rsidRPr="005C5E32">
              <w:rPr>
                <w:rFonts w:cs="Calibri"/>
                <w:szCs w:val="18"/>
              </w:rPr>
              <w:br/>
              <w:t>Revised Budget*</w:t>
            </w:r>
          </w:p>
        </w:tc>
      </w:tr>
      <w:tr w:rsidR="00D06CB2" w:rsidRPr="005C5E32" w14:paraId="1DDC7034" w14:textId="77777777" w:rsidTr="00DC65BC">
        <w:trPr>
          <w:trHeight w:val="20"/>
        </w:trPr>
        <w:tc>
          <w:tcPr>
            <w:tcW w:w="4253" w:type="dxa"/>
            <w:tcBorders>
              <w:right w:val="nil"/>
            </w:tcBorders>
          </w:tcPr>
          <w:p w14:paraId="34FA47A9" w14:textId="77777777" w:rsidR="00D06CB2" w:rsidRPr="005C5E32" w:rsidRDefault="00D06CB2">
            <w:pPr>
              <w:pStyle w:val="TableboldGreen"/>
              <w:spacing w:before="40" w:after="40"/>
              <w:rPr>
                <w:rFonts w:cs="Calibri"/>
                <w:szCs w:val="18"/>
              </w:rPr>
            </w:pPr>
            <w:r w:rsidRPr="005C5E32">
              <w:rPr>
                <w:rFonts w:cs="Calibri"/>
                <w:szCs w:val="18"/>
              </w:rPr>
              <w:t>Operating results</w:t>
            </w:r>
          </w:p>
        </w:tc>
        <w:tc>
          <w:tcPr>
            <w:tcW w:w="1021" w:type="dxa"/>
            <w:tcBorders>
              <w:left w:val="nil"/>
              <w:right w:val="nil"/>
            </w:tcBorders>
            <w:vAlign w:val="bottom"/>
          </w:tcPr>
          <w:p w14:paraId="009BFE15" w14:textId="77777777" w:rsidR="00D06CB2" w:rsidRPr="005C5E32" w:rsidRDefault="00D06CB2">
            <w:pPr>
              <w:pStyle w:val="TableText"/>
              <w:spacing w:before="40" w:after="40"/>
              <w:jc w:val="right"/>
              <w:rPr>
                <w:rFonts w:cs="Calibri"/>
                <w:szCs w:val="18"/>
              </w:rPr>
            </w:pPr>
          </w:p>
        </w:tc>
        <w:tc>
          <w:tcPr>
            <w:tcW w:w="1418" w:type="dxa"/>
            <w:tcBorders>
              <w:left w:val="nil"/>
              <w:right w:val="nil"/>
            </w:tcBorders>
            <w:shd w:val="clear" w:color="auto" w:fill="E7F2F2"/>
            <w:vAlign w:val="bottom"/>
          </w:tcPr>
          <w:p w14:paraId="7B6F1D61" w14:textId="77777777" w:rsidR="00D06CB2" w:rsidRPr="005C5E32" w:rsidRDefault="00D06CB2">
            <w:pPr>
              <w:pStyle w:val="TableText"/>
              <w:spacing w:before="40" w:after="40"/>
              <w:jc w:val="right"/>
              <w:rPr>
                <w:rFonts w:cs="Calibri"/>
                <w:szCs w:val="18"/>
              </w:rPr>
            </w:pPr>
          </w:p>
        </w:tc>
        <w:tc>
          <w:tcPr>
            <w:tcW w:w="1418" w:type="dxa"/>
            <w:tcBorders>
              <w:left w:val="nil"/>
            </w:tcBorders>
            <w:vAlign w:val="bottom"/>
          </w:tcPr>
          <w:p w14:paraId="70C70374" w14:textId="77777777" w:rsidR="00D06CB2" w:rsidRPr="005C5E32" w:rsidRDefault="00D06CB2">
            <w:pPr>
              <w:pStyle w:val="TableText"/>
              <w:spacing w:before="40" w:after="40"/>
              <w:jc w:val="right"/>
              <w:rPr>
                <w:rFonts w:cs="Calibri"/>
                <w:szCs w:val="18"/>
              </w:rPr>
            </w:pPr>
          </w:p>
        </w:tc>
      </w:tr>
      <w:tr w:rsidR="00D06CB2" w:rsidRPr="005C5E32" w14:paraId="4349E042" w14:textId="77777777" w:rsidTr="00DC65BC">
        <w:trPr>
          <w:trHeight w:val="20"/>
        </w:trPr>
        <w:tc>
          <w:tcPr>
            <w:tcW w:w="4253" w:type="dxa"/>
            <w:tcBorders>
              <w:right w:val="nil"/>
            </w:tcBorders>
          </w:tcPr>
          <w:p w14:paraId="2CC9467F" w14:textId="77777777" w:rsidR="00D06CB2" w:rsidRPr="005C5E32" w:rsidRDefault="00D06CB2">
            <w:pPr>
              <w:pStyle w:val="TableText"/>
              <w:spacing w:before="40" w:after="40"/>
              <w:rPr>
                <w:rFonts w:cs="Calibri"/>
                <w:szCs w:val="18"/>
              </w:rPr>
            </w:pPr>
            <w:r w:rsidRPr="005C5E32">
              <w:rPr>
                <w:rFonts w:cs="Calibri"/>
                <w:szCs w:val="18"/>
              </w:rPr>
              <w:t>Revenue: Crown</w:t>
            </w:r>
          </w:p>
        </w:tc>
        <w:tc>
          <w:tcPr>
            <w:tcW w:w="1021" w:type="dxa"/>
            <w:tcBorders>
              <w:left w:val="nil"/>
              <w:right w:val="nil"/>
            </w:tcBorders>
            <w:vAlign w:val="bottom"/>
          </w:tcPr>
          <w:p w14:paraId="40A2342D"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vAlign w:val="bottom"/>
          </w:tcPr>
          <w:p w14:paraId="29B88B79" w14:textId="77777777" w:rsidR="00D06CB2" w:rsidRPr="005C5E32" w:rsidRDefault="00D06CB2">
            <w:pPr>
              <w:pStyle w:val="TableText"/>
              <w:spacing w:before="40" w:after="40"/>
              <w:jc w:val="right"/>
              <w:rPr>
                <w:rFonts w:cs="Calibri"/>
                <w:szCs w:val="18"/>
              </w:rPr>
            </w:pPr>
            <w:r w:rsidRPr="005C5E32">
              <w:rPr>
                <w:rFonts w:cs="Calibri"/>
                <w:szCs w:val="18"/>
              </w:rPr>
              <w:t>212,085</w:t>
            </w:r>
          </w:p>
        </w:tc>
        <w:tc>
          <w:tcPr>
            <w:tcW w:w="1418" w:type="dxa"/>
            <w:tcBorders>
              <w:left w:val="nil"/>
            </w:tcBorders>
            <w:vAlign w:val="bottom"/>
          </w:tcPr>
          <w:p w14:paraId="27CB74BB" w14:textId="77777777" w:rsidR="00D06CB2" w:rsidRPr="005C5E32" w:rsidRDefault="00D06CB2">
            <w:pPr>
              <w:pStyle w:val="TableText"/>
              <w:spacing w:before="40" w:after="40"/>
              <w:jc w:val="right"/>
              <w:rPr>
                <w:rFonts w:cs="Calibri"/>
                <w:szCs w:val="18"/>
              </w:rPr>
            </w:pPr>
            <w:r w:rsidRPr="005C5E32">
              <w:rPr>
                <w:rFonts w:cs="Calibri"/>
                <w:szCs w:val="18"/>
              </w:rPr>
              <w:t>212,085</w:t>
            </w:r>
          </w:p>
        </w:tc>
      </w:tr>
      <w:tr w:rsidR="00D06CB2" w:rsidRPr="005C5E32" w14:paraId="4CE2F9A8" w14:textId="77777777" w:rsidTr="00DC65BC">
        <w:trPr>
          <w:trHeight w:val="20"/>
        </w:trPr>
        <w:tc>
          <w:tcPr>
            <w:tcW w:w="4253" w:type="dxa"/>
            <w:tcBorders>
              <w:right w:val="nil"/>
            </w:tcBorders>
          </w:tcPr>
          <w:p w14:paraId="042D11E8" w14:textId="77777777" w:rsidR="00D06CB2" w:rsidRPr="005C5E32" w:rsidRDefault="00D06CB2">
            <w:pPr>
              <w:pStyle w:val="TableText"/>
              <w:spacing w:before="40" w:after="40"/>
              <w:rPr>
                <w:rFonts w:cs="Calibri"/>
                <w:szCs w:val="18"/>
              </w:rPr>
            </w:pPr>
            <w:r w:rsidRPr="005C5E32">
              <w:rPr>
                <w:rFonts w:cs="Calibri"/>
                <w:szCs w:val="18"/>
              </w:rPr>
              <w:t>Revenue: Departmental and other</w:t>
            </w:r>
          </w:p>
        </w:tc>
        <w:tc>
          <w:tcPr>
            <w:tcW w:w="1021" w:type="dxa"/>
            <w:tcBorders>
              <w:left w:val="nil"/>
              <w:right w:val="nil"/>
            </w:tcBorders>
            <w:vAlign w:val="bottom"/>
          </w:tcPr>
          <w:p w14:paraId="5014A129"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vAlign w:val="bottom"/>
          </w:tcPr>
          <w:p w14:paraId="42777E5B" w14:textId="77777777" w:rsidR="00D06CB2" w:rsidRPr="005C5E32" w:rsidRDefault="00D06CB2">
            <w:pPr>
              <w:pStyle w:val="TableText"/>
              <w:spacing w:before="40" w:after="40"/>
              <w:jc w:val="right"/>
              <w:rPr>
                <w:rFonts w:cs="Calibri"/>
                <w:szCs w:val="18"/>
              </w:rPr>
            </w:pPr>
            <w:r w:rsidRPr="005C5E32">
              <w:rPr>
                <w:rFonts w:cs="Calibri"/>
                <w:szCs w:val="18"/>
              </w:rPr>
              <w:t>1,301</w:t>
            </w:r>
          </w:p>
        </w:tc>
        <w:tc>
          <w:tcPr>
            <w:tcW w:w="1418" w:type="dxa"/>
            <w:tcBorders>
              <w:left w:val="nil"/>
            </w:tcBorders>
            <w:vAlign w:val="bottom"/>
          </w:tcPr>
          <w:p w14:paraId="7D374870" w14:textId="77777777" w:rsidR="00D06CB2" w:rsidRPr="005C5E32" w:rsidRDefault="00D06CB2">
            <w:pPr>
              <w:pStyle w:val="TableText"/>
              <w:spacing w:before="40" w:after="40"/>
              <w:jc w:val="right"/>
              <w:rPr>
                <w:rFonts w:cs="Calibri"/>
                <w:szCs w:val="18"/>
              </w:rPr>
            </w:pPr>
            <w:r w:rsidRPr="005C5E32">
              <w:rPr>
                <w:rFonts w:cs="Calibri"/>
                <w:szCs w:val="18"/>
              </w:rPr>
              <w:t>955</w:t>
            </w:r>
          </w:p>
        </w:tc>
      </w:tr>
      <w:tr w:rsidR="00D06CB2" w:rsidRPr="005C5E32" w14:paraId="6A10FC22" w14:textId="77777777" w:rsidTr="00DC65BC">
        <w:trPr>
          <w:trHeight w:val="20"/>
        </w:trPr>
        <w:tc>
          <w:tcPr>
            <w:tcW w:w="4253" w:type="dxa"/>
            <w:tcBorders>
              <w:right w:val="nil"/>
            </w:tcBorders>
          </w:tcPr>
          <w:p w14:paraId="3A907D5F" w14:textId="77777777" w:rsidR="00D06CB2" w:rsidRPr="005C5E32" w:rsidRDefault="00D06CB2">
            <w:pPr>
              <w:pStyle w:val="TableText"/>
              <w:spacing w:before="40" w:after="40"/>
              <w:rPr>
                <w:rFonts w:cs="Calibri"/>
                <w:szCs w:val="18"/>
              </w:rPr>
            </w:pPr>
            <w:r w:rsidRPr="005C5E32">
              <w:rPr>
                <w:rFonts w:cs="Calibri"/>
                <w:szCs w:val="18"/>
              </w:rPr>
              <w:t>Output expenses</w:t>
            </w:r>
          </w:p>
        </w:tc>
        <w:tc>
          <w:tcPr>
            <w:tcW w:w="1021" w:type="dxa"/>
            <w:tcBorders>
              <w:left w:val="nil"/>
              <w:right w:val="nil"/>
            </w:tcBorders>
            <w:vAlign w:val="bottom"/>
          </w:tcPr>
          <w:p w14:paraId="54266919"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vAlign w:val="bottom"/>
          </w:tcPr>
          <w:p w14:paraId="609AB7C6" w14:textId="77777777" w:rsidR="00D06CB2" w:rsidRPr="005C5E32" w:rsidRDefault="00D06CB2">
            <w:pPr>
              <w:pStyle w:val="TableText"/>
              <w:spacing w:before="40" w:after="40"/>
              <w:jc w:val="right"/>
              <w:rPr>
                <w:rFonts w:cs="Calibri"/>
                <w:szCs w:val="18"/>
              </w:rPr>
            </w:pPr>
            <w:r w:rsidRPr="005C5E32">
              <w:rPr>
                <w:rFonts w:cs="Calibri"/>
                <w:szCs w:val="18"/>
              </w:rPr>
              <w:t>195,077</w:t>
            </w:r>
          </w:p>
        </w:tc>
        <w:tc>
          <w:tcPr>
            <w:tcW w:w="1418" w:type="dxa"/>
            <w:tcBorders>
              <w:left w:val="nil"/>
            </w:tcBorders>
            <w:vAlign w:val="bottom"/>
          </w:tcPr>
          <w:p w14:paraId="2A892303" w14:textId="77777777" w:rsidR="00D06CB2" w:rsidRPr="005C5E32" w:rsidRDefault="00D06CB2">
            <w:pPr>
              <w:pStyle w:val="TableText"/>
              <w:spacing w:before="40" w:after="40"/>
              <w:jc w:val="right"/>
              <w:rPr>
                <w:rFonts w:cs="Calibri"/>
                <w:szCs w:val="18"/>
              </w:rPr>
            </w:pPr>
            <w:r w:rsidRPr="005C5E32">
              <w:rPr>
                <w:rFonts w:cs="Calibri"/>
                <w:szCs w:val="18"/>
              </w:rPr>
              <w:t>213,040</w:t>
            </w:r>
          </w:p>
        </w:tc>
      </w:tr>
      <w:tr w:rsidR="00D06CB2" w:rsidRPr="005C5E32" w14:paraId="3E383212" w14:textId="77777777" w:rsidTr="00DC65BC">
        <w:trPr>
          <w:trHeight w:val="20"/>
        </w:trPr>
        <w:tc>
          <w:tcPr>
            <w:tcW w:w="4253" w:type="dxa"/>
            <w:tcBorders>
              <w:right w:val="nil"/>
            </w:tcBorders>
          </w:tcPr>
          <w:p w14:paraId="28A5A096" w14:textId="77777777" w:rsidR="00D06CB2" w:rsidRPr="005C5E32" w:rsidRDefault="00D06CB2">
            <w:pPr>
              <w:pStyle w:val="TableText"/>
              <w:spacing w:before="40" w:after="40"/>
              <w:rPr>
                <w:rFonts w:cs="Calibri"/>
                <w:szCs w:val="18"/>
              </w:rPr>
            </w:pPr>
            <w:r w:rsidRPr="005C5E32">
              <w:rPr>
                <w:rFonts w:cs="Calibri"/>
                <w:szCs w:val="18"/>
              </w:rPr>
              <w:t>Gain on sale of assets</w:t>
            </w:r>
          </w:p>
        </w:tc>
        <w:tc>
          <w:tcPr>
            <w:tcW w:w="1021" w:type="dxa"/>
            <w:tcBorders>
              <w:left w:val="nil"/>
              <w:right w:val="nil"/>
            </w:tcBorders>
            <w:vAlign w:val="bottom"/>
          </w:tcPr>
          <w:p w14:paraId="750E541C"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vAlign w:val="bottom"/>
          </w:tcPr>
          <w:p w14:paraId="41BDAA29"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418" w:type="dxa"/>
            <w:tcBorders>
              <w:left w:val="nil"/>
            </w:tcBorders>
            <w:vAlign w:val="bottom"/>
          </w:tcPr>
          <w:p w14:paraId="2435C7A1" w14:textId="77777777" w:rsidR="00D06CB2" w:rsidRPr="005C5E32" w:rsidRDefault="00D06CB2">
            <w:pPr>
              <w:pStyle w:val="TableText"/>
              <w:spacing w:before="40" w:after="40"/>
              <w:jc w:val="right"/>
              <w:rPr>
                <w:rFonts w:cs="Calibri"/>
                <w:szCs w:val="18"/>
              </w:rPr>
            </w:pPr>
            <w:r w:rsidRPr="005C5E32">
              <w:rPr>
                <w:rFonts w:cs="Calibri"/>
                <w:szCs w:val="18"/>
              </w:rPr>
              <w:t>5</w:t>
            </w:r>
          </w:p>
        </w:tc>
      </w:tr>
      <w:tr w:rsidR="00D06CB2" w:rsidRPr="005C5E32" w14:paraId="0ECCA8D1" w14:textId="77777777" w:rsidTr="00DC65BC">
        <w:trPr>
          <w:trHeight w:val="20"/>
        </w:trPr>
        <w:tc>
          <w:tcPr>
            <w:tcW w:w="4253" w:type="dxa"/>
            <w:tcBorders>
              <w:right w:val="nil"/>
            </w:tcBorders>
          </w:tcPr>
          <w:p w14:paraId="0CE5BA6D" w14:textId="77777777" w:rsidR="00D06CB2" w:rsidRPr="005C5E32" w:rsidRDefault="00D06CB2">
            <w:pPr>
              <w:pStyle w:val="TableText"/>
              <w:spacing w:before="40" w:after="40"/>
              <w:rPr>
                <w:rFonts w:cs="Calibri"/>
                <w:szCs w:val="18"/>
              </w:rPr>
            </w:pPr>
            <w:r w:rsidRPr="005C5E32">
              <w:rPr>
                <w:rFonts w:cs="Calibri"/>
                <w:szCs w:val="18"/>
              </w:rPr>
              <w:t>Net surplus</w:t>
            </w:r>
          </w:p>
        </w:tc>
        <w:tc>
          <w:tcPr>
            <w:tcW w:w="1021" w:type="dxa"/>
            <w:tcBorders>
              <w:left w:val="nil"/>
              <w:right w:val="nil"/>
            </w:tcBorders>
            <w:vAlign w:val="bottom"/>
          </w:tcPr>
          <w:p w14:paraId="642DB1ED"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vAlign w:val="bottom"/>
          </w:tcPr>
          <w:p w14:paraId="480FB221" w14:textId="77777777" w:rsidR="00D06CB2" w:rsidRPr="005C5E32" w:rsidRDefault="00D06CB2">
            <w:pPr>
              <w:pStyle w:val="TableText"/>
              <w:spacing w:before="40" w:after="40"/>
              <w:jc w:val="right"/>
              <w:rPr>
                <w:rFonts w:cs="Calibri"/>
                <w:szCs w:val="18"/>
              </w:rPr>
            </w:pPr>
            <w:r w:rsidRPr="005C5E32">
              <w:rPr>
                <w:rFonts w:cs="Calibri"/>
                <w:szCs w:val="18"/>
              </w:rPr>
              <w:t>18,309</w:t>
            </w:r>
          </w:p>
        </w:tc>
        <w:tc>
          <w:tcPr>
            <w:tcW w:w="1418" w:type="dxa"/>
            <w:tcBorders>
              <w:left w:val="nil"/>
            </w:tcBorders>
            <w:vAlign w:val="bottom"/>
          </w:tcPr>
          <w:p w14:paraId="1D317E72" w14:textId="77777777" w:rsidR="00D06CB2" w:rsidRPr="005C5E32" w:rsidRDefault="00D06CB2">
            <w:pPr>
              <w:pStyle w:val="TableText"/>
              <w:spacing w:before="40" w:after="40"/>
              <w:jc w:val="right"/>
              <w:rPr>
                <w:rFonts w:cs="Calibri"/>
                <w:szCs w:val="18"/>
              </w:rPr>
            </w:pPr>
            <w:r w:rsidRPr="005C5E32">
              <w:rPr>
                <w:rFonts w:cs="Calibri"/>
                <w:szCs w:val="18"/>
              </w:rPr>
              <w:t>5</w:t>
            </w:r>
          </w:p>
        </w:tc>
      </w:tr>
      <w:tr w:rsidR="00D06CB2" w:rsidRPr="005C5E32" w14:paraId="26DA1BB7" w14:textId="77777777" w:rsidTr="00DC65BC">
        <w:trPr>
          <w:trHeight w:val="20"/>
        </w:trPr>
        <w:tc>
          <w:tcPr>
            <w:tcW w:w="4253" w:type="dxa"/>
            <w:tcBorders>
              <w:right w:val="nil"/>
            </w:tcBorders>
          </w:tcPr>
          <w:p w14:paraId="5C7525C0" w14:textId="77777777" w:rsidR="00D06CB2" w:rsidRPr="005C5E32" w:rsidRDefault="00D06CB2">
            <w:pPr>
              <w:pStyle w:val="TableboldGreen"/>
              <w:spacing w:before="40" w:after="40"/>
              <w:rPr>
                <w:rFonts w:cs="Calibri"/>
                <w:szCs w:val="18"/>
              </w:rPr>
            </w:pPr>
            <w:r w:rsidRPr="005C5E32">
              <w:rPr>
                <w:rFonts w:cs="Calibri"/>
                <w:szCs w:val="18"/>
              </w:rPr>
              <w:t>Working capital</w:t>
            </w:r>
          </w:p>
        </w:tc>
        <w:tc>
          <w:tcPr>
            <w:tcW w:w="1021" w:type="dxa"/>
            <w:tcBorders>
              <w:left w:val="nil"/>
              <w:right w:val="nil"/>
            </w:tcBorders>
            <w:vAlign w:val="bottom"/>
          </w:tcPr>
          <w:p w14:paraId="15363010" w14:textId="77777777" w:rsidR="00D06CB2" w:rsidRPr="005C5E32" w:rsidRDefault="00D06CB2">
            <w:pPr>
              <w:pStyle w:val="TableText"/>
              <w:spacing w:before="40" w:after="40"/>
              <w:jc w:val="right"/>
              <w:rPr>
                <w:rFonts w:cs="Calibri"/>
                <w:szCs w:val="18"/>
              </w:rPr>
            </w:pPr>
          </w:p>
        </w:tc>
        <w:tc>
          <w:tcPr>
            <w:tcW w:w="1418" w:type="dxa"/>
            <w:tcBorders>
              <w:left w:val="nil"/>
              <w:right w:val="nil"/>
            </w:tcBorders>
            <w:shd w:val="clear" w:color="auto" w:fill="E7F2F2"/>
            <w:vAlign w:val="bottom"/>
          </w:tcPr>
          <w:p w14:paraId="5ADE8C36" w14:textId="77777777" w:rsidR="00D06CB2" w:rsidRPr="005C5E32" w:rsidRDefault="00D06CB2">
            <w:pPr>
              <w:pStyle w:val="TableText"/>
              <w:spacing w:before="40" w:after="40"/>
              <w:jc w:val="right"/>
              <w:rPr>
                <w:rFonts w:cs="Calibri"/>
                <w:szCs w:val="18"/>
              </w:rPr>
            </w:pPr>
          </w:p>
        </w:tc>
        <w:tc>
          <w:tcPr>
            <w:tcW w:w="1418" w:type="dxa"/>
            <w:tcBorders>
              <w:left w:val="nil"/>
            </w:tcBorders>
            <w:vAlign w:val="bottom"/>
          </w:tcPr>
          <w:p w14:paraId="26B5C883" w14:textId="77777777" w:rsidR="00D06CB2" w:rsidRPr="005C5E32" w:rsidRDefault="00D06CB2">
            <w:pPr>
              <w:pStyle w:val="TableText"/>
              <w:spacing w:before="40" w:after="40"/>
              <w:jc w:val="right"/>
              <w:rPr>
                <w:rFonts w:cs="Calibri"/>
                <w:szCs w:val="18"/>
              </w:rPr>
            </w:pPr>
          </w:p>
        </w:tc>
      </w:tr>
      <w:tr w:rsidR="00D06CB2" w:rsidRPr="005C5E32" w14:paraId="68F29E7A" w14:textId="77777777" w:rsidTr="00DC65BC">
        <w:trPr>
          <w:trHeight w:val="20"/>
        </w:trPr>
        <w:tc>
          <w:tcPr>
            <w:tcW w:w="4253" w:type="dxa"/>
            <w:tcBorders>
              <w:right w:val="nil"/>
            </w:tcBorders>
          </w:tcPr>
          <w:p w14:paraId="1865F1F5" w14:textId="77777777" w:rsidR="00D06CB2" w:rsidRPr="005C5E32" w:rsidRDefault="00D06CB2">
            <w:pPr>
              <w:pStyle w:val="TableText"/>
              <w:spacing w:before="40" w:after="40"/>
              <w:rPr>
                <w:rFonts w:cs="Calibri"/>
                <w:szCs w:val="18"/>
              </w:rPr>
            </w:pPr>
            <w:r w:rsidRPr="005C5E32">
              <w:rPr>
                <w:rFonts w:cs="Calibri"/>
                <w:szCs w:val="18"/>
              </w:rPr>
              <w:t>Net current assets</w:t>
            </w:r>
          </w:p>
        </w:tc>
        <w:tc>
          <w:tcPr>
            <w:tcW w:w="1021" w:type="dxa"/>
            <w:tcBorders>
              <w:left w:val="nil"/>
              <w:right w:val="nil"/>
            </w:tcBorders>
            <w:vAlign w:val="bottom"/>
          </w:tcPr>
          <w:p w14:paraId="19FFF981"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vAlign w:val="bottom"/>
          </w:tcPr>
          <w:p w14:paraId="0C1397DE" w14:textId="77777777" w:rsidR="00D06CB2" w:rsidRPr="005C5E32" w:rsidRDefault="00D06CB2">
            <w:pPr>
              <w:pStyle w:val="TableText"/>
              <w:spacing w:before="40" w:after="40"/>
              <w:jc w:val="right"/>
              <w:rPr>
                <w:rFonts w:cs="Calibri"/>
                <w:szCs w:val="18"/>
              </w:rPr>
            </w:pPr>
            <w:r w:rsidRPr="005C5E32">
              <w:rPr>
                <w:rFonts w:cs="Calibri"/>
                <w:szCs w:val="18"/>
              </w:rPr>
              <w:t>10,916</w:t>
            </w:r>
          </w:p>
        </w:tc>
        <w:tc>
          <w:tcPr>
            <w:tcW w:w="1418" w:type="dxa"/>
            <w:tcBorders>
              <w:left w:val="nil"/>
            </w:tcBorders>
            <w:vAlign w:val="bottom"/>
          </w:tcPr>
          <w:p w14:paraId="66B5D67E" w14:textId="77777777" w:rsidR="00D06CB2" w:rsidRPr="005C5E32" w:rsidRDefault="00D06CB2">
            <w:pPr>
              <w:pStyle w:val="TableText"/>
              <w:spacing w:before="40" w:after="40"/>
              <w:jc w:val="right"/>
              <w:rPr>
                <w:rFonts w:cs="Calibri"/>
                <w:szCs w:val="18"/>
              </w:rPr>
            </w:pPr>
            <w:r w:rsidRPr="005C5E32">
              <w:rPr>
                <w:rFonts w:cs="Calibri"/>
                <w:szCs w:val="18"/>
              </w:rPr>
              <w:t>10,295</w:t>
            </w:r>
          </w:p>
        </w:tc>
      </w:tr>
      <w:tr w:rsidR="00D06CB2" w:rsidRPr="005C5E32" w14:paraId="41646D52" w14:textId="77777777" w:rsidTr="00DC65BC">
        <w:trPr>
          <w:trHeight w:val="20"/>
        </w:trPr>
        <w:tc>
          <w:tcPr>
            <w:tcW w:w="4253" w:type="dxa"/>
            <w:tcBorders>
              <w:right w:val="nil"/>
            </w:tcBorders>
          </w:tcPr>
          <w:p w14:paraId="3EB68E14" w14:textId="77777777" w:rsidR="00D06CB2" w:rsidRPr="005C5E32" w:rsidRDefault="00D06CB2">
            <w:pPr>
              <w:pStyle w:val="TableboldGreen"/>
              <w:spacing w:before="40" w:after="40"/>
              <w:rPr>
                <w:rFonts w:cs="Calibri"/>
                <w:szCs w:val="18"/>
              </w:rPr>
            </w:pPr>
            <w:r w:rsidRPr="005C5E32">
              <w:rPr>
                <w:rFonts w:cs="Calibri"/>
                <w:szCs w:val="18"/>
              </w:rPr>
              <w:t>Resource utilisation</w:t>
            </w:r>
          </w:p>
        </w:tc>
        <w:tc>
          <w:tcPr>
            <w:tcW w:w="1021" w:type="dxa"/>
            <w:tcBorders>
              <w:left w:val="nil"/>
              <w:right w:val="nil"/>
            </w:tcBorders>
          </w:tcPr>
          <w:p w14:paraId="7C757459" w14:textId="77777777" w:rsidR="00D06CB2" w:rsidRPr="005C5E32" w:rsidRDefault="00D06CB2">
            <w:pPr>
              <w:pStyle w:val="TableboldGreen"/>
              <w:spacing w:before="40" w:after="40"/>
              <w:jc w:val="right"/>
              <w:rPr>
                <w:rFonts w:cs="Calibri"/>
                <w:szCs w:val="18"/>
              </w:rPr>
            </w:pPr>
          </w:p>
        </w:tc>
        <w:tc>
          <w:tcPr>
            <w:tcW w:w="1418" w:type="dxa"/>
            <w:tcBorders>
              <w:left w:val="nil"/>
              <w:right w:val="nil"/>
            </w:tcBorders>
            <w:shd w:val="clear" w:color="auto" w:fill="E7F2F2"/>
          </w:tcPr>
          <w:p w14:paraId="40FD676E" w14:textId="77777777" w:rsidR="00D06CB2" w:rsidRPr="005C5E32" w:rsidRDefault="00D06CB2">
            <w:pPr>
              <w:pStyle w:val="TableboldGreen"/>
              <w:spacing w:before="40" w:after="40"/>
              <w:jc w:val="right"/>
              <w:rPr>
                <w:rFonts w:cs="Calibri"/>
                <w:szCs w:val="18"/>
              </w:rPr>
            </w:pPr>
          </w:p>
        </w:tc>
        <w:tc>
          <w:tcPr>
            <w:tcW w:w="1418" w:type="dxa"/>
            <w:tcBorders>
              <w:left w:val="nil"/>
            </w:tcBorders>
          </w:tcPr>
          <w:p w14:paraId="5475AC6B" w14:textId="77777777" w:rsidR="00D06CB2" w:rsidRPr="005C5E32" w:rsidRDefault="00D06CB2">
            <w:pPr>
              <w:pStyle w:val="TableboldGreen"/>
              <w:spacing w:before="40" w:after="40"/>
              <w:jc w:val="right"/>
              <w:rPr>
                <w:rFonts w:cs="Calibri"/>
                <w:szCs w:val="18"/>
              </w:rPr>
            </w:pPr>
          </w:p>
        </w:tc>
      </w:tr>
      <w:tr w:rsidR="00D06CB2" w:rsidRPr="005C5E32" w14:paraId="5871221F" w14:textId="77777777" w:rsidTr="00DC65BC">
        <w:trPr>
          <w:trHeight w:val="20"/>
        </w:trPr>
        <w:tc>
          <w:tcPr>
            <w:tcW w:w="4253" w:type="dxa"/>
            <w:tcBorders>
              <w:right w:val="nil"/>
            </w:tcBorders>
          </w:tcPr>
          <w:p w14:paraId="44C2C492" w14:textId="77777777" w:rsidR="00D06CB2" w:rsidRPr="005C5E32" w:rsidRDefault="00D06CB2">
            <w:pPr>
              <w:pStyle w:val="TableboldGreen"/>
              <w:spacing w:before="40" w:after="40"/>
              <w:rPr>
                <w:rFonts w:cs="Calibri"/>
                <w:b w:val="0"/>
                <w:bCs/>
                <w:szCs w:val="18"/>
              </w:rPr>
            </w:pPr>
            <w:r w:rsidRPr="005C5E32">
              <w:rPr>
                <w:rFonts w:cs="Calibri"/>
                <w:b w:val="0"/>
                <w:bCs/>
                <w:szCs w:val="18"/>
              </w:rPr>
              <w:t>Plant and equipment</w:t>
            </w:r>
          </w:p>
        </w:tc>
        <w:tc>
          <w:tcPr>
            <w:tcW w:w="1021" w:type="dxa"/>
            <w:tcBorders>
              <w:left w:val="nil"/>
              <w:right w:val="nil"/>
            </w:tcBorders>
          </w:tcPr>
          <w:p w14:paraId="7EFBF073" w14:textId="77777777" w:rsidR="00D06CB2" w:rsidRPr="005C5E32" w:rsidRDefault="00D06CB2">
            <w:pPr>
              <w:pStyle w:val="TableboldGreen"/>
              <w:spacing w:before="40" w:after="40"/>
              <w:jc w:val="right"/>
              <w:rPr>
                <w:rFonts w:cs="Calibri"/>
                <w:b w:val="0"/>
                <w:bCs/>
                <w:szCs w:val="18"/>
              </w:rPr>
            </w:pPr>
          </w:p>
        </w:tc>
        <w:tc>
          <w:tcPr>
            <w:tcW w:w="1418" w:type="dxa"/>
            <w:tcBorders>
              <w:left w:val="nil"/>
              <w:right w:val="nil"/>
            </w:tcBorders>
            <w:shd w:val="clear" w:color="auto" w:fill="E7F2F2"/>
          </w:tcPr>
          <w:p w14:paraId="22445CB2" w14:textId="77777777" w:rsidR="00D06CB2" w:rsidRPr="005C5E32" w:rsidRDefault="00D06CB2">
            <w:pPr>
              <w:pStyle w:val="TableboldGreen"/>
              <w:spacing w:before="40" w:after="40"/>
              <w:jc w:val="right"/>
              <w:rPr>
                <w:rFonts w:cs="Calibri"/>
                <w:b w:val="0"/>
                <w:bCs/>
                <w:szCs w:val="18"/>
              </w:rPr>
            </w:pPr>
          </w:p>
        </w:tc>
        <w:tc>
          <w:tcPr>
            <w:tcW w:w="1418" w:type="dxa"/>
            <w:tcBorders>
              <w:left w:val="nil"/>
            </w:tcBorders>
          </w:tcPr>
          <w:p w14:paraId="33A4E850" w14:textId="77777777" w:rsidR="00D06CB2" w:rsidRPr="005C5E32" w:rsidRDefault="00D06CB2">
            <w:pPr>
              <w:pStyle w:val="TableboldGreen"/>
              <w:spacing w:before="40" w:after="40"/>
              <w:jc w:val="right"/>
              <w:rPr>
                <w:rFonts w:cs="Calibri"/>
                <w:b w:val="0"/>
                <w:bCs/>
                <w:szCs w:val="18"/>
              </w:rPr>
            </w:pPr>
          </w:p>
        </w:tc>
      </w:tr>
      <w:tr w:rsidR="00D06CB2" w:rsidRPr="005C5E32" w14:paraId="21F671D7" w14:textId="77777777" w:rsidTr="00DC65BC">
        <w:trPr>
          <w:trHeight w:val="20"/>
        </w:trPr>
        <w:tc>
          <w:tcPr>
            <w:tcW w:w="4253" w:type="dxa"/>
            <w:tcBorders>
              <w:right w:val="nil"/>
            </w:tcBorders>
          </w:tcPr>
          <w:p w14:paraId="0736F008" w14:textId="77777777" w:rsidR="00D06CB2" w:rsidRPr="005C5E32" w:rsidRDefault="00D06CB2">
            <w:pPr>
              <w:pStyle w:val="TableText"/>
              <w:spacing w:before="40" w:after="40"/>
              <w:rPr>
                <w:rFonts w:cs="Calibri"/>
                <w:szCs w:val="18"/>
              </w:rPr>
            </w:pPr>
            <w:r w:rsidRPr="005C5E32">
              <w:rPr>
                <w:rFonts w:cs="Calibri"/>
                <w:szCs w:val="18"/>
              </w:rPr>
              <w:t>Plant and equipment at year-end</w:t>
            </w:r>
          </w:p>
        </w:tc>
        <w:tc>
          <w:tcPr>
            <w:tcW w:w="1021" w:type="dxa"/>
            <w:tcBorders>
              <w:left w:val="nil"/>
              <w:right w:val="nil"/>
            </w:tcBorders>
            <w:vAlign w:val="bottom"/>
          </w:tcPr>
          <w:p w14:paraId="61A3248B"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vAlign w:val="bottom"/>
          </w:tcPr>
          <w:p w14:paraId="4ABDC6D5" w14:textId="77777777" w:rsidR="00D06CB2" w:rsidRPr="005C5E32" w:rsidRDefault="00D06CB2">
            <w:pPr>
              <w:pStyle w:val="TableText"/>
              <w:spacing w:before="40" w:after="40"/>
              <w:jc w:val="right"/>
              <w:rPr>
                <w:rFonts w:cs="Calibri"/>
                <w:szCs w:val="18"/>
              </w:rPr>
            </w:pPr>
            <w:r w:rsidRPr="005C5E32">
              <w:rPr>
                <w:rFonts w:cs="Calibri"/>
                <w:szCs w:val="18"/>
              </w:rPr>
              <w:t>758</w:t>
            </w:r>
          </w:p>
        </w:tc>
        <w:tc>
          <w:tcPr>
            <w:tcW w:w="1418" w:type="dxa"/>
            <w:tcBorders>
              <w:left w:val="nil"/>
            </w:tcBorders>
            <w:vAlign w:val="bottom"/>
          </w:tcPr>
          <w:p w14:paraId="6D81A727" w14:textId="77777777" w:rsidR="00D06CB2" w:rsidRPr="005C5E32" w:rsidRDefault="00D06CB2">
            <w:pPr>
              <w:pStyle w:val="TableText"/>
              <w:spacing w:before="40" w:after="40"/>
              <w:jc w:val="right"/>
              <w:rPr>
                <w:rFonts w:cs="Calibri"/>
                <w:szCs w:val="18"/>
              </w:rPr>
            </w:pPr>
            <w:r w:rsidRPr="005C5E32">
              <w:rPr>
                <w:rFonts w:cs="Calibri"/>
                <w:szCs w:val="18"/>
              </w:rPr>
              <w:t>413</w:t>
            </w:r>
          </w:p>
        </w:tc>
      </w:tr>
      <w:tr w:rsidR="00D06CB2" w:rsidRPr="005C5E32" w14:paraId="19C70738" w14:textId="77777777" w:rsidTr="00DC65BC">
        <w:trPr>
          <w:trHeight w:val="20"/>
        </w:trPr>
        <w:tc>
          <w:tcPr>
            <w:tcW w:w="4253" w:type="dxa"/>
            <w:tcBorders>
              <w:right w:val="nil"/>
            </w:tcBorders>
          </w:tcPr>
          <w:p w14:paraId="067A0386" w14:textId="77777777" w:rsidR="00D06CB2" w:rsidRPr="005C5E32" w:rsidRDefault="00D06CB2">
            <w:pPr>
              <w:pStyle w:val="TableText"/>
              <w:spacing w:before="40" w:after="40"/>
              <w:rPr>
                <w:rFonts w:cs="Calibri"/>
                <w:szCs w:val="18"/>
              </w:rPr>
            </w:pPr>
            <w:r w:rsidRPr="005C5E32">
              <w:rPr>
                <w:rFonts w:cs="Calibri"/>
                <w:szCs w:val="18"/>
              </w:rPr>
              <w:t>Value per employee</w:t>
            </w:r>
          </w:p>
        </w:tc>
        <w:tc>
          <w:tcPr>
            <w:tcW w:w="1021" w:type="dxa"/>
            <w:tcBorders>
              <w:left w:val="nil"/>
              <w:right w:val="nil"/>
            </w:tcBorders>
            <w:vAlign w:val="bottom"/>
          </w:tcPr>
          <w:p w14:paraId="11E5EAEC"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vAlign w:val="bottom"/>
          </w:tcPr>
          <w:p w14:paraId="3C721EE6" w14:textId="77777777" w:rsidR="00D06CB2" w:rsidRPr="005C5E32" w:rsidRDefault="00D06CB2">
            <w:pPr>
              <w:pStyle w:val="TableText"/>
              <w:spacing w:before="40" w:after="40"/>
              <w:jc w:val="right"/>
              <w:rPr>
                <w:rFonts w:cs="Calibri"/>
                <w:szCs w:val="18"/>
              </w:rPr>
            </w:pPr>
            <w:r w:rsidRPr="005C5E32">
              <w:rPr>
                <w:rFonts w:cs="Calibri"/>
                <w:szCs w:val="18"/>
              </w:rPr>
              <w:t>1.03</w:t>
            </w:r>
          </w:p>
        </w:tc>
        <w:tc>
          <w:tcPr>
            <w:tcW w:w="1418" w:type="dxa"/>
            <w:tcBorders>
              <w:left w:val="nil"/>
            </w:tcBorders>
            <w:vAlign w:val="bottom"/>
          </w:tcPr>
          <w:p w14:paraId="01183C1E" w14:textId="77777777" w:rsidR="00D06CB2" w:rsidRPr="005C5E32" w:rsidRDefault="00D06CB2">
            <w:pPr>
              <w:pStyle w:val="TableText"/>
              <w:spacing w:before="40" w:after="40"/>
              <w:jc w:val="right"/>
              <w:rPr>
                <w:rFonts w:cs="Calibri"/>
                <w:color w:val="000000" w:themeColor="text1"/>
                <w:szCs w:val="18"/>
              </w:rPr>
            </w:pPr>
            <w:r w:rsidRPr="005C5E32">
              <w:rPr>
                <w:rFonts w:cs="Calibri"/>
                <w:color w:val="000000" w:themeColor="text1"/>
                <w:szCs w:val="18"/>
              </w:rPr>
              <w:t>0.48</w:t>
            </w:r>
          </w:p>
        </w:tc>
      </w:tr>
      <w:tr w:rsidR="00D06CB2" w:rsidRPr="005C5E32" w14:paraId="3C0A51FA" w14:textId="77777777" w:rsidTr="00DC65BC">
        <w:trPr>
          <w:trHeight w:val="20"/>
        </w:trPr>
        <w:tc>
          <w:tcPr>
            <w:tcW w:w="4253" w:type="dxa"/>
            <w:tcBorders>
              <w:right w:val="nil"/>
            </w:tcBorders>
          </w:tcPr>
          <w:p w14:paraId="036CAB4B" w14:textId="77777777" w:rsidR="00D06CB2" w:rsidRPr="005C5E32" w:rsidRDefault="00D06CB2">
            <w:pPr>
              <w:pStyle w:val="TableText"/>
              <w:spacing w:before="40" w:after="40"/>
              <w:rPr>
                <w:rFonts w:cs="Calibri"/>
                <w:szCs w:val="18"/>
              </w:rPr>
            </w:pPr>
            <w:r w:rsidRPr="005C5E32">
              <w:rPr>
                <w:rFonts w:cs="Calibri"/>
                <w:szCs w:val="18"/>
              </w:rPr>
              <w:t>Additions as % of plant and equipment</w:t>
            </w:r>
          </w:p>
        </w:tc>
        <w:tc>
          <w:tcPr>
            <w:tcW w:w="1021" w:type="dxa"/>
            <w:tcBorders>
              <w:left w:val="nil"/>
              <w:right w:val="nil"/>
            </w:tcBorders>
            <w:vAlign w:val="bottom"/>
          </w:tcPr>
          <w:p w14:paraId="7AF400D8" w14:textId="77777777" w:rsidR="00D06CB2" w:rsidRPr="005C5E32" w:rsidRDefault="00D06CB2">
            <w:pPr>
              <w:pStyle w:val="TableText"/>
              <w:spacing w:before="40" w:after="40"/>
              <w:jc w:val="right"/>
              <w:rPr>
                <w:rFonts w:cs="Calibri"/>
                <w:szCs w:val="18"/>
              </w:rPr>
            </w:pPr>
            <w:r w:rsidRPr="005C5E32">
              <w:rPr>
                <w:rFonts w:cs="Calibri"/>
                <w:w w:val="99"/>
                <w:szCs w:val="18"/>
              </w:rPr>
              <w:t>%</w:t>
            </w:r>
          </w:p>
        </w:tc>
        <w:tc>
          <w:tcPr>
            <w:tcW w:w="1418" w:type="dxa"/>
            <w:tcBorders>
              <w:left w:val="nil"/>
              <w:right w:val="nil"/>
            </w:tcBorders>
            <w:shd w:val="clear" w:color="auto" w:fill="E7F2F2"/>
            <w:vAlign w:val="bottom"/>
          </w:tcPr>
          <w:p w14:paraId="7DD1678C" w14:textId="77777777" w:rsidR="00D06CB2" w:rsidRPr="005C5E32" w:rsidRDefault="00D06CB2">
            <w:pPr>
              <w:pStyle w:val="TableText"/>
              <w:spacing w:before="40" w:after="40"/>
              <w:jc w:val="right"/>
              <w:rPr>
                <w:rFonts w:cs="Calibri"/>
              </w:rPr>
            </w:pPr>
            <w:r w:rsidRPr="005C5E32">
              <w:rPr>
                <w:rFonts w:cs="Calibri"/>
              </w:rPr>
              <w:t>98</w:t>
            </w:r>
          </w:p>
        </w:tc>
        <w:tc>
          <w:tcPr>
            <w:tcW w:w="1418" w:type="dxa"/>
            <w:tcBorders>
              <w:left w:val="nil"/>
            </w:tcBorders>
            <w:vAlign w:val="bottom"/>
          </w:tcPr>
          <w:p w14:paraId="657E5EDE" w14:textId="77777777" w:rsidR="00D06CB2" w:rsidRPr="005C5E32" w:rsidRDefault="00D06CB2">
            <w:pPr>
              <w:pStyle w:val="TableText"/>
              <w:spacing w:before="40" w:after="40"/>
              <w:jc w:val="right"/>
              <w:rPr>
                <w:rFonts w:cs="Calibri"/>
              </w:rPr>
            </w:pPr>
            <w:r w:rsidRPr="005C5E32">
              <w:rPr>
                <w:rFonts w:cs="Calibri"/>
              </w:rPr>
              <w:t>Nil</w:t>
            </w:r>
          </w:p>
        </w:tc>
      </w:tr>
      <w:tr w:rsidR="00D06CB2" w:rsidRPr="005C5E32" w14:paraId="1D4C9DC8" w14:textId="77777777" w:rsidTr="00DC65BC">
        <w:trPr>
          <w:trHeight w:val="20"/>
        </w:trPr>
        <w:tc>
          <w:tcPr>
            <w:tcW w:w="4253" w:type="dxa"/>
            <w:tcBorders>
              <w:right w:val="nil"/>
            </w:tcBorders>
          </w:tcPr>
          <w:p w14:paraId="72F7A9CD" w14:textId="77777777" w:rsidR="00D06CB2" w:rsidRPr="005C5E32" w:rsidRDefault="00D06CB2">
            <w:pPr>
              <w:pStyle w:val="TableText"/>
              <w:spacing w:before="40" w:after="40"/>
              <w:rPr>
                <w:rFonts w:cs="Calibri"/>
                <w:szCs w:val="18"/>
              </w:rPr>
            </w:pPr>
            <w:r w:rsidRPr="005C5E32">
              <w:rPr>
                <w:rFonts w:cs="Calibri"/>
                <w:szCs w:val="18"/>
              </w:rPr>
              <w:t>Plant and equipment as % of total assets</w:t>
            </w:r>
          </w:p>
        </w:tc>
        <w:tc>
          <w:tcPr>
            <w:tcW w:w="1021" w:type="dxa"/>
            <w:tcBorders>
              <w:left w:val="nil"/>
              <w:right w:val="nil"/>
            </w:tcBorders>
            <w:vAlign w:val="bottom"/>
          </w:tcPr>
          <w:p w14:paraId="223A1057" w14:textId="77777777" w:rsidR="00D06CB2" w:rsidRPr="005C5E32" w:rsidRDefault="00D06CB2">
            <w:pPr>
              <w:pStyle w:val="TableText"/>
              <w:spacing w:before="40" w:after="40"/>
              <w:jc w:val="right"/>
              <w:rPr>
                <w:rFonts w:cs="Calibri"/>
                <w:szCs w:val="18"/>
              </w:rPr>
            </w:pPr>
            <w:r w:rsidRPr="005C5E32">
              <w:rPr>
                <w:rFonts w:cs="Calibri"/>
                <w:w w:val="99"/>
                <w:szCs w:val="18"/>
              </w:rPr>
              <w:t>%</w:t>
            </w:r>
          </w:p>
        </w:tc>
        <w:tc>
          <w:tcPr>
            <w:tcW w:w="1418" w:type="dxa"/>
            <w:tcBorders>
              <w:left w:val="nil"/>
              <w:right w:val="nil"/>
            </w:tcBorders>
            <w:shd w:val="clear" w:color="auto" w:fill="E7F2F2"/>
            <w:vAlign w:val="bottom"/>
          </w:tcPr>
          <w:p w14:paraId="28919E9E" w14:textId="77777777" w:rsidR="00D06CB2" w:rsidRPr="005C5E32" w:rsidRDefault="00D06CB2">
            <w:pPr>
              <w:pStyle w:val="TableText"/>
              <w:spacing w:before="40" w:after="40"/>
              <w:jc w:val="right"/>
              <w:rPr>
                <w:rFonts w:cs="Calibri"/>
                <w:szCs w:val="18"/>
              </w:rPr>
            </w:pPr>
            <w:r w:rsidRPr="005C5E32">
              <w:rPr>
                <w:rFonts w:cs="Calibri"/>
                <w:szCs w:val="18"/>
              </w:rPr>
              <w:t>100</w:t>
            </w:r>
          </w:p>
        </w:tc>
        <w:tc>
          <w:tcPr>
            <w:tcW w:w="1418" w:type="dxa"/>
            <w:tcBorders>
              <w:left w:val="nil"/>
            </w:tcBorders>
            <w:vAlign w:val="bottom"/>
          </w:tcPr>
          <w:p w14:paraId="757ED209" w14:textId="77777777" w:rsidR="00D06CB2" w:rsidRPr="005C5E32" w:rsidRDefault="00D06CB2">
            <w:pPr>
              <w:pStyle w:val="TableText"/>
              <w:spacing w:before="40" w:after="40"/>
              <w:jc w:val="right"/>
              <w:rPr>
                <w:rFonts w:cs="Calibri"/>
                <w:szCs w:val="18"/>
              </w:rPr>
            </w:pPr>
            <w:r w:rsidRPr="005C5E32">
              <w:rPr>
                <w:rFonts w:cs="Calibri"/>
                <w:szCs w:val="18"/>
              </w:rPr>
              <w:t>49</w:t>
            </w:r>
          </w:p>
        </w:tc>
      </w:tr>
      <w:tr w:rsidR="00D06CB2" w:rsidRPr="005C5E32" w14:paraId="22DF3982" w14:textId="77777777" w:rsidTr="00DC65BC">
        <w:trPr>
          <w:trHeight w:val="20"/>
        </w:trPr>
        <w:tc>
          <w:tcPr>
            <w:tcW w:w="4253" w:type="dxa"/>
            <w:tcBorders>
              <w:right w:val="nil"/>
            </w:tcBorders>
          </w:tcPr>
          <w:p w14:paraId="1F4DB489" w14:textId="77777777" w:rsidR="00D06CB2" w:rsidRPr="005C5E32" w:rsidRDefault="00D06CB2">
            <w:pPr>
              <w:pStyle w:val="TableboldGreen"/>
              <w:spacing w:before="40" w:after="40"/>
              <w:rPr>
                <w:rFonts w:cs="Calibri"/>
                <w:b w:val="0"/>
                <w:bCs/>
                <w:szCs w:val="18"/>
              </w:rPr>
            </w:pPr>
            <w:r w:rsidRPr="005C5E32">
              <w:rPr>
                <w:rFonts w:cs="Calibri"/>
                <w:b w:val="0"/>
                <w:bCs/>
                <w:szCs w:val="18"/>
              </w:rPr>
              <w:t>Intangible assets</w:t>
            </w:r>
          </w:p>
        </w:tc>
        <w:tc>
          <w:tcPr>
            <w:tcW w:w="1021" w:type="dxa"/>
            <w:tcBorders>
              <w:left w:val="nil"/>
              <w:right w:val="nil"/>
            </w:tcBorders>
          </w:tcPr>
          <w:p w14:paraId="0313AC10" w14:textId="77777777" w:rsidR="00D06CB2" w:rsidRPr="005C5E32" w:rsidRDefault="00D06CB2">
            <w:pPr>
              <w:pStyle w:val="TableboldGreen"/>
              <w:spacing w:before="40" w:after="40"/>
              <w:jc w:val="right"/>
              <w:rPr>
                <w:rFonts w:cs="Calibri"/>
                <w:b w:val="0"/>
                <w:bCs/>
                <w:szCs w:val="18"/>
              </w:rPr>
            </w:pPr>
          </w:p>
        </w:tc>
        <w:tc>
          <w:tcPr>
            <w:tcW w:w="1418" w:type="dxa"/>
            <w:tcBorders>
              <w:left w:val="nil"/>
              <w:right w:val="nil"/>
            </w:tcBorders>
            <w:shd w:val="clear" w:color="auto" w:fill="E7F2F2"/>
          </w:tcPr>
          <w:p w14:paraId="24BC8F72" w14:textId="77777777" w:rsidR="00D06CB2" w:rsidRPr="005C5E32" w:rsidRDefault="00D06CB2">
            <w:pPr>
              <w:pStyle w:val="TableboldGreen"/>
              <w:spacing w:before="40" w:after="40"/>
              <w:jc w:val="right"/>
              <w:rPr>
                <w:rFonts w:cs="Calibri"/>
                <w:b w:val="0"/>
                <w:bCs/>
                <w:szCs w:val="18"/>
              </w:rPr>
            </w:pPr>
          </w:p>
        </w:tc>
        <w:tc>
          <w:tcPr>
            <w:tcW w:w="1418" w:type="dxa"/>
            <w:tcBorders>
              <w:left w:val="nil"/>
            </w:tcBorders>
          </w:tcPr>
          <w:p w14:paraId="70D7D3A4" w14:textId="77777777" w:rsidR="00D06CB2" w:rsidRPr="005C5E32" w:rsidRDefault="00D06CB2">
            <w:pPr>
              <w:pStyle w:val="TableboldGreen"/>
              <w:spacing w:before="40" w:after="40"/>
              <w:jc w:val="right"/>
              <w:rPr>
                <w:rFonts w:cs="Calibri"/>
                <w:b w:val="0"/>
                <w:bCs/>
                <w:szCs w:val="18"/>
              </w:rPr>
            </w:pPr>
          </w:p>
        </w:tc>
      </w:tr>
      <w:tr w:rsidR="00D06CB2" w:rsidRPr="005C5E32" w14:paraId="0F9A5D5D" w14:textId="77777777" w:rsidTr="00DC65BC">
        <w:trPr>
          <w:trHeight w:val="20"/>
        </w:trPr>
        <w:tc>
          <w:tcPr>
            <w:tcW w:w="4253" w:type="dxa"/>
            <w:tcBorders>
              <w:right w:val="nil"/>
            </w:tcBorders>
          </w:tcPr>
          <w:p w14:paraId="68ADFEAD" w14:textId="77777777" w:rsidR="00D06CB2" w:rsidRPr="005C5E32" w:rsidRDefault="00D06CB2">
            <w:pPr>
              <w:pStyle w:val="TableText"/>
              <w:spacing w:before="40" w:after="40"/>
              <w:rPr>
                <w:rFonts w:cs="Calibri"/>
                <w:color w:val="0E7C7E"/>
                <w:szCs w:val="18"/>
              </w:rPr>
            </w:pPr>
            <w:r w:rsidRPr="005C5E32">
              <w:rPr>
                <w:rFonts w:cs="Calibri"/>
                <w:szCs w:val="18"/>
              </w:rPr>
              <w:t>Intangible assets at year-end</w:t>
            </w:r>
          </w:p>
        </w:tc>
        <w:tc>
          <w:tcPr>
            <w:tcW w:w="1021" w:type="dxa"/>
            <w:tcBorders>
              <w:left w:val="nil"/>
              <w:right w:val="nil"/>
            </w:tcBorders>
          </w:tcPr>
          <w:p w14:paraId="76101381"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tcPr>
          <w:p w14:paraId="61C921D7" w14:textId="77777777" w:rsidR="00D06CB2" w:rsidRPr="005C5E32" w:rsidRDefault="00D06CB2">
            <w:pPr>
              <w:pStyle w:val="TableText"/>
              <w:spacing w:before="40" w:after="40"/>
              <w:jc w:val="right"/>
              <w:rPr>
                <w:rFonts w:cs="Calibri"/>
                <w:szCs w:val="18"/>
              </w:rPr>
            </w:pPr>
            <w:r w:rsidRPr="005C5E32">
              <w:rPr>
                <w:rFonts w:cs="Calibri"/>
                <w:szCs w:val="18"/>
              </w:rPr>
              <w:t>Nil</w:t>
            </w:r>
          </w:p>
        </w:tc>
        <w:tc>
          <w:tcPr>
            <w:tcW w:w="1418" w:type="dxa"/>
            <w:tcBorders>
              <w:left w:val="nil"/>
            </w:tcBorders>
          </w:tcPr>
          <w:p w14:paraId="7C24172F" w14:textId="77777777" w:rsidR="00D06CB2" w:rsidRPr="005C5E32" w:rsidRDefault="00D06CB2">
            <w:pPr>
              <w:pStyle w:val="TableText"/>
              <w:spacing w:before="40" w:after="40"/>
              <w:jc w:val="right"/>
              <w:rPr>
                <w:rFonts w:cs="Calibri"/>
                <w:szCs w:val="18"/>
              </w:rPr>
            </w:pPr>
            <w:r w:rsidRPr="005C5E32">
              <w:rPr>
                <w:rFonts w:cs="Calibri"/>
                <w:szCs w:val="18"/>
              </w:rPr>
              <w:t>433</w:t>
            </w:r>
          </w:p>
        </w:tc>
      </w:tr>
      <w:tr w:rsidR="00D06CB2" w:rsidRPr="005C5E32" w14:paraId="1621C5E0" w14:textId="77777777" w:rsidTr="00DC65BC">
        <w:trPr>
          <w:trHeight w:val="20"/>
        </w:trPr>
        <w:tc>
          <w:tcPr>
            <w:tcW w:w="4253" w:type="dxa"/>
            <w:tcBorders>
              <w:right w:val="nil"/>
            </w:tcBorders>
          </w:tcPr>
          <w:p w14:paraId="2FFC72DB" w14:textId="77777777" w:rsidR="00D06CB2" w:rsidRPr="005C5E32" w:rsidRDefault="00D06CB2">
            <w:pPr>
              <w:pStyle w:val="TableText"/>
              <w:spacing w:before="40" w:after="40"/>
              <w:rPr>
                <w:rFonts w:cs="Calibri"/>
                <w:szCs w:val="18"/>
              </w:rPr>
            </w:pPr>
            <w:r w:rsidRPr="005C5E32">
              <w:rPr>
                <w:rFonts w:cs="Calibri"/>
                <w:szCs w:val="18"/>
              </w:rPr>
              <w:t>Value per employee</w:t>
            </w:r>
          </w:p>
        </w:tc>
        <w:tc>
          <w:tcPr>
            <w:tcW w:w="1021" w:type="dxa"/>
            <w:tcBorders>
              <w:left w:val="nil"/>
              <w:right w:val="nil"/>
            </w:tcBorders>
          </w:tcPr>
          <w:p w14:paraId="02CF0CA3"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tcPr>
          <w:p w14:paraId="5C246ADB"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418" w:type="dxa"/>
            <w:tcBorders>
              <w:left w:val="nil"/>
            </w:tcBorders>
          </w:tcPr>
          <w:p w14:paraId="7C2442C0" w14:textId="77777777" w:rsidR="00D06CB2" w:rsidRPr="005C5E32" w:rsidRDefault="00D06CB2">
            <w:pPr>
              <w:pStyle w:val="TableText"/>
              <w:spacing w:before="40" w:after="40"/>
              <w:jc w:val="right"/>
              <w:rPr>
                <w:rFonts w:cs="Calibri"/>
                <w:szCs w:val="18"/>
              </w:rPr>
            </w:pPr>
            <w:r w:rsidRPr="005C5E32">
              <w:rPr>
                <w:rFonts w:cs="Calibri"/>
                <w:szCs w:val="18"/>
              </w:rPr>
              <w:t>0.50</w:t>
            </w:r>
          </w:p>
        </w:tc>
      </w:tr>
      <w:tr w:rsidR="00D06CB2" w:rsidRPr="005C5E32" w14:paraId="743A2E3D" w14:textId="77777777" w:rsidTr="00DC65BC">
        <w:trPr>
          <w:trHeight w:val="20"/>
        </w:trPr>
        <w:tc>
          <w:tcPr>
            <w:tcW w:w="4253" w:type="dxa"/>
            <w:tcBorders>
              <w:right w:val="nil"/>
            </w:tcBorders>
          </w:tcPr>
          <w:p w14:paraId="28B0DB3F" w14:textId="77777777" w:rsidR="00D06CB2" w:rsidRPr="005C5E32" w:rsidRDefault="00D06CB2">
            <w:pPr>
              <w:pStyle w:val="TableText"/>
              <w:spacing w:before="40" w:after="40"/>
              <w:rPr>
                <w:rFonts w:cs="Calibri"/>
                <w:szCs w:val="18"/>
              </w:rPr>
            </w:pPr>
            <w:r w:rsidRPr="005C5E32">
              <w:rPr>
                <w:rFonts w:cs="Calibri"/>
                <w:szCs w:val="18"/>
              </w:rPr>
              <w:t>Additions as % of intangible assets</w:t>
            </w:r>
          </w:p>
        </w:tc>
        <w:tc>
          <w:tcPr>
            <w:tcW w:w="1021" w:type="dxa"/>
            <w:tcBorders>
              <w:left w:val="nil"/>
              <w:right w:val="nil"/>
            </w:tcBorders>
          </w:tcPr>
          <w:p w14:paraId="23D7D48F" w14:textId="77777777" w:rsidR="00D06CB2" w:rsidRPr="005C5E32" w:rsidRDefault="00D06CB2">
            <w:pPr>
              <w:pStyle w:val="TableText"/>
              <w:spacing w:before="40" w:after="40"/>
              <w:jc w:val="right"/>
              <w:rPr>
                <w:rFonts w:cs="Calibri"/>
                <w:szCs w:val="18"/>
              </w:rPr>
            </w:pPr>
            <w:r w:rsidRPr="005C5E32">
              <w:rPr>
                <w:rFonts w:cs="Calibri"/>
                <w:w w:val="99"/>
                <w:szCs w:val="18"/>
              </w:rPr>
              <w:t>%</w:t>
            </w:r>
          </w:p>
        </w:tc>
        <w:tc>
          <w:tcPr>
            <w:tcW w:w="1418" w:type="dxa"/>
            <w:tcBorders>
              <w:left w:val="nil"/>
              <w:right w:val="nil"/>
            </w:tcBorders>
            <w:shd w:val="clear" w:color="auto" w:fill="E7F2F2"/>
          </w:tcPr>
          <w:p w14:paraId="2A022F2B" w14:textId="77777777" w:rsidR="00D06CB2" w:rsidRPr="005C5E32" w:rsidRDefault="00D06CB2">
            <w:pPr>
              <w:pStyle w:val="TableText"/>
              <w:spacing w:before="40" w:after="40"/>
              <w:jc w:val="right"/>
              <w:rPr>
                <w:rFonts w:cs="Calibri"/>
              </w:rPr>
            </w:pPr>
            <w:r w:rsidRPr="005C5E32">
              <w:rPr>
                <w:rFonts w:cs="Calibri"/>
              </w:rPr>
              <w:t>Nil</w:t>
            </w:r>
          </w:p>
        </w:tc>
        <w:tc>
          <w:tcPr>
            <w:tcW w:w="1418" w:type="dxa"/>
            <w:tcBorders>
              <w:left w:val="nil"/>
            </w:tcBorders>
          </w:tcPr>
          <w:p w14:paraId="30D84775" w14:textId="77777777" w:rsidR="00D06CB2" w:rsidRPr="005C5E32" w:rsidRDefault="00D06CB2">
            <w:pPr>
              <w:pStyle w:val="TableText"/>
              <w:spacing w:before="40" w:after="40"/>
              <w:jc w:val="right"/>
              <w:rPr>
                <w:rFonts w:cs="Calibri"/>
                <w:szCs w:val="18"/>
              </w:rPr>
            </w:pPr>
            <w:r w:rsidRPr="005C5E32">
              <w:rPr>
                <w:rFonts w:cs="Calibri"/>
                <w:szCs w:val="18"/>
              </w:rPr>
              <w:t>Nil</w:t>
            </w:r>
          </w:p>
        </w:tc>
      </w:tr>
      <w:tr w:rsidR="00D06CB2" w:rsidRPr="005C5E32" w14:paraId="33FEBCA6" w14:textId="77777777" w:rsidTr="00DC65BC">
        <w:trPr>
          <w:trHeight w:val="20"/>
        </w:trPr>
        <w:tc>
          <w:tcPr>
            <w:tcW w:w="4253" w:type="dxa"/>
            <w:tcBorders>
              <w:right w:val="nil"/>
            </w:tcBorders>
          </w:tcPr>
          <w:p w14:paraId="770CD916" w14:textId="77777777" w:rsidR="00D06CB2" w:rsidRPr="005C5E32" w:rsidRDefault="00D06CB2">
            <w:pPr>
              <w:pStyle w:val="TableText"/>
              <w:spacing w:before="40" w:after="40"/>
              <w:rPr>
                <w:rFonts w:cs="Calibri"/>
                <w:szCs w:val="18"/>
              </w:rPr>
            </w:pPr>
            <w:r w:rsidRPr="005C5E32">
              <w:rPr>
                <w:rFonts w:cs="Calibri"/>
                <w:szCs w:val="18"/>
              </w:rPr>
              <w:t>Intangible assets as % of total assets</w:t>
            </w:r>
          </w:p>
        </w:tc>
        <w:tc>
          <w:tcPr>
            <w:tcW w:w="1021" w:type="dxa"/>
            <w:tcBorders>
              <w:left w:val="nil"/>
              <w:right w:val="nil"/>
            </w:tcBorders>
          </w:tcPr>
          <w:p w14:paraId="42F115CE" w14:textId="77777777" w:rsidR="00D06CB2" w:rsidRPr="005C5E32" w:rsidRDefault="00D06CB2">
            <w:pPr>
              <w:pStyle w:val="TableText"/>
              <w:spacing w:before="40" w:after="40"/>
              <w:jc w:val="right"/>
              <w:rPr>
                <w:rFonts w:cs="Calibri"/>
                <w:szCs w:val="18"/>
              </w:rPr>
            </w:pPr>
            <w:r w:rsidRPr="005C5E32">
              <w:rPr>
                <w:rFonts w:cs="Calibri"/>
                <w:w w:val="99"/>
                <w:szCs w:val="18"/>
              </w:rPr>
              <w:t>%</w:t>
            </w:r>
          </w:p>
        </w:tc>
        <w:tc>
          <w:tcPr>
            <w:tcW w:w="1418" w:type="dxa"/>
            <w:tcBorders>
              <w:left w:val="nil"/>
              <w:right w:val="nil"/>
            </w:tcBorders>
            <w:shd w:val="clear" w:color="auto" w:fill="E7F2F2"/>
          </w:tcPr>
          <w:p w14:paraId="35DE6092" w14:textId="77777777" w:rsidR="00D06CB2" w:rsidRPr="005C5E32" w:rsidRDefault="00D06CB2">
            <w:pPr>
              <w:pStyle w:val="TableText"/>
              <w:spacing w:before="40" w:after="40"/>
              <w:jc w:val="right"/>
              <w:rPr>
                <w:rFonts w:cs="Calibri"/>
              </w:rPr>
            </w:pPr>
            <w:r w:rsidRPr="005C5E32">
              <w:rPr>
                <w:rFonts w:cs="Calibri"/>
              </w:rPr>
              <w:t>Nil</w:t>
            </w:r>
          </w:p>
        </w:tc>
        <w:tc>
          <w:tcPr>
            <w:tcW w:w="1418" w:type="dxa"/>
            <w:tcBorders>
              <w:left w:val="nil"/>
            </w:tcBorders>
          </w:tcPr>
          <w:p w14:paraId="2F2B879F" w14:textId="77777777" w:rsidR="00D06CB2" w:rsidRPr="005C5E32" w:rsidRDefault="00D06CB2">
            <w:pPr>
              <w:pStyle w:val="TableText"/>
              <w:spacing w:before="40" w:after="40"/>
              <w:jc w:val="right"/>
              <w:rPr>
                <w:rFonts w:cs="Calibri"/>
              </w:rPr>
            </w:pPr>
            <w:r w:rsidRPr="005C5E32">
              <w:rPr>
                <w:rFonts w:cs="Calibri"/>
              </w:rPr>
              <w:t>51</w:t>
            </w:r>
          </w:p>
        </w:tc>
      </w:tr>
      <w:tr w:rsidR="00D06CB2" w:rsidRPr="005C5E32" w14:paraId="67FC1098" w14:textId="77777777" w:rsidTr="00DC65BC">
        <w:trPr>
          <w:trHeight w:val="20"/>
        </w:trPr>
        <w:tc>
          <w:tcPr>
            <w:tcW w:w="4253" w:type="dxa"/>
            <w:tcBorders>
              <w:right w:val="nil"/>
            </w:tcBorders>
          </w:tcPr>
          <w:p w14:paraId="4E97F6A2" w14:textId="77777777" w:rsidR="00D06CB2" w:rsidRPr="005C5E32" w:rsidRDefault="00D06CB2">
            <w:pPr>
              <w:pStyle w:val="TableboldGreen"/>
              <w:spacing w:before="40" w:after="40"/>
              <w:rPr>
                <w:rFonts w:cs="Calibri"/>
                <w:b w:val="0"/>
                <w:bCs/>
                <w:color w:val="414042"/>
                <w:szCs w:val="18"/>
              </w:rPr>
            </w:pPr>
            <w:r w:rsidRPr="005C5E32">
              <w:rPr>
                <w:rFonts w:cs="Calibri"/>
                <w:b w:val="0"/>
                <w:bCs/>
                <w:szCs w:val="18"/>
              </w:rPr>
              <w:t>Taxpayers’ funds</w:t>
            </w:r>
          </w:p>
        </w:tc>
        <w:tc>
          <w:tcPr>
            <w:tcW w:w="1021" w:type="dxa"/>
            <w:tcBorders>
              <w:left w:val="nil"/>
              <w:right w:val="nil"/>
            </w:tcBorders>
          </w:tcPr>
          <w:p w14:paraId="36DD85E2" w14:textId="77777777" w:rsidR="00D06CB2" w:rsidRPr="005C5E32" w:rsidRDefault="00D06CB2">
            <w:pPr>
              <w:pStyle w:val="TableboldGreen"/>
              <w:spacing w:before="40" w:after="40"/>
              <w:jc w:val="right"/>
              <w:rPr>
                <w:rFonts w:cs="Calibri"/>
                <w:b w:val="0"/>
                <w:bCs/>
                <w:color w:val="414042"/>
                <w:szCs w:val="18"/>
              </w:rPr>
            </w:pPr>
          </w:p>
        </w:tc>
        <w:tc>
          <w:tcPr>
            <w:tcW w:w="1418" w:type="dxa"/>
            <w:tcBorders>
              <w:left w:val="nil"/>
              <w:right w:val="nil"/>
            </w:tcBorders>
            <w:shd w:val="clear" w:color="auto" w:fill="E7F2F2"/>
          </w:tcPr>
          <w:p w14:paraId="6B66118E" w14:textId="77777777" w:rsidR="00D06CB2" w:rsidRPr="005C5E32" w:rsidRDefault="00D06CB2">
            <w:pPr>
              <w:pStyle w:val="TableboldGreen"/>
              <w:spacing w:before="40" w:after="40"/>
              <w:jc w:val="right"/>
              <w:rPr>
                <w:rFonts w:cs="Calibri"/>
                <w:b w:val="0"/>
                <w:bCs/>
                <w:szCs w:val="18"/>
              </w:rPr>
            </w:pPr>
          </w:p>
        </w:tc>
        <w:tc>
          <w:tcPr>
            <w:tcW w:w="1418" w:type="dxa"/>
            <w:tcBorders>
              <w:left w:val="nil"/>
            </w:tcBorders>
          </w:tcPr>
          <w:p w14:paraId="45BC685A" w14:textId="77777777" w:rsidR="00D06CB2" w:rsidRPr="005C5E32" w:rsidRDefault="00D06CB2">
            <w:pPr>
              <w:pStyle w:val="TableboldGreen"/>
              <w:spacing w:before="40" w:after="40"/>
              <w:jc w:val="right"/>
              <w:rPr>
                <w:rFonts w:cs="Calibri"/>
                <w:b w:val="0"/>
                <w:bCs/>
                <w:szCs w:val="18"/>
              </w:rPr>
            </w:pPr>
          </w:p>
        </w:tc>
      </w:tr>
      <w:tr w:rsidR="00D06CB2" w:rsidRPr="005C5E32" w14:paraId="3807F8FB" w14:textId="77777777" w:rsidTr="00DC65BC">
        <w:trPr>
          <w:trHeight w:val="20"/>
        </w:trPr>
        <w:tc>
          <w:tcPr>
            <w:tcW w:w="4253" w:type="dxa"/>
            <w:tcBorders>
              <w:right w:val="nil"/>
            </w:tcBorders>
          </w:tcPr>
          <w:p w14:paraId="4C15977F" w14:textId="77777777" w:rsidR="00D06CB2" w:rsidRPr="005C5E32" w:rsidRDefault="00D06CB2">
            <w:pPr>
              <w:pStyle w:val="TableText"/>
              <w:spacing w:before="40" w:after="40"/>
              <w:rPr>
                <w:rFonts w:cs="Calibri"/>
                <w:szCs w:val="18"/>
              </w:rPr>
            </w:pPr>
            <w:r w:rsidRPr="005C5E32">
              <w:rPr>
                <w:rFonts w:cs="Calibri"/>
                <w:szCs w:val="18"/>
              </w:rPr>
              <w:t>Level at year-end</w:t>
            </w:r>
          </w:p>
        </w:tc>
        <w:tc>
          <w:tcPr>
            <w:tcW w:w="1021" w:type="dxa"/>
            <w:tcBorders>
              <w:left w:val="nil"/>
              <w:right w:val="nil"/>
            </w:tcBorders>
          </w:tcPr>
          <w:p w14:paraId="7361BBC6"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tcPr>
          <w:p w14:paraId="076D9691" w14:textId="77777777" w:rsidR="00D06CB2" w:rsidRPr="005C5E32" w:rsidRDefault="00D06CB2">
            <w:pPr>
              <w:pStyle w:val="TableText"/>
              <w:spacing w:before="40" w:after="40"/>
              <w:jc w:val="right"/>
              <w:rPr>
                <w:rFonts w:cs="Calibri"/>
                <w:szCs w:val="18"/>
              </w:rPr>
            </w:pPr>
            <w:r w:rsidRPr="005C5E32">
              <w:rPr>
                <w:rFonts w:cs="Calibri"/>
                <w:szCs w:val="18"/>
              </w:rPr>
              <w:t>7,242</w:t>
            </w:r>
          </w:p>
        </w:tc>
        <w:tc>
          <w:tcPr>
            <w:tcW w:w="1418" w:type="dxa"/>
            <w:tcBorders>
              <w:left w:val="nil"/>
            </w:tcBorders>
          </w:tcPr>
          <w:p w14:paraId="1235E111" w14:textId="77777777" w:rsidR="00D06CB2" w:rsidRPr="005C5E32" w:rsidRDefault="00D06CB2">
            <w:pPr>
              <w:pStyle w:val="TableText"/>
              <w:spacing w:before="40" w:after="40"/>
              <w:jc w:val="right"/>
              <w:rPr>
                <w:rFonts w:cs="Calibri"/>
                <w:szCs w:val="18"/>
              </w:rPr>
            </w:pPr>
            <w:r w:rsidRPr="005C5E32">
              <w:rPr>
                <w:rFonts w:cs="Calibri"/>
                <w:szCs w:val="18"/>
              </w:rPr>
              <w:t>7,242</w:t>
            </w:r>
          </w:p>
        </w:tc>
      </w:tr>
      <w:tr w:rsidR="00D06CB2" w:rsidRPr="005C5E32" w14:paraId="5F3AB131" w14:textId="77777777" w:rsidTr="00DC65BC">
        <w:trPr>
          <w:trHeight w:val="20"/>
        </w:trPr>
        <w:tc>
          <w:tcPr>
            <w:tcW w:w="4253" w:type="dxa"/>
            <w:tcBorders>
              <w:right w:val="nil"/>
            </w:tcBorders>
          </w:tcPr>
          <w:p w14:paraId="24E78AAE" w14:textId="77777777" w:rsidR="00D06CB2" w:rsidRPr="005C5E32" w:rsidRDefault="00D06CB2">
            <w:pPr>
              <w:pStyle w:val="TableText"/>
              <w:spacing w:before="40" w:after="40"/>
              <w:rPr>
                <w:rFonts w:cs="Calibri"/>
                <w:szCs w:val="18"/>
              </w:rPr>
            </w:pPr>
            <w:r w:rsidRPr="005C5E32">
              <w:rPr>
                <w:rFonts w:cs="Calibri"/>
                <w:szCs w:val="18"/>
              </w:rPr>
              <w:t>Level per employee</w:t>
            </w:r>
          </w:p>
        </w:tc>
        <w:tc>
          <w:tcPr>
            <w:tcW w:w="1021" w:type="dxa"/>
            <w:tcBorders>
              <w:left w:val="nil"/>
              <w:right w:val="nil"/>
            </w:tcBorders>
          </w:tcPr>
          <w:p w14:paraId="61BFF25A"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tcPr>
          <w:p w14:paraId="1BC148EE" w14:textId="77777777" w:rsidR="00D06CB2" w:rsidRPr="005C5E32" w:rsidRDefault="00D06CB2">
            <w:pPr>
              <w:pStyle w:val="TableText"/>
              <w:spacing w:before="40" w:after="40"/>
              <w:jc w:val="right"/>
              <w:rPr>
                <w:rFonts w:cs="Calibri"/>
                <w:szCs w:val="18"/>
              </w:rPr>
            </w:pPr>
            <w:r w:rsidRPr="005C5E32">
              <w:rPr>
                <w:rFonts w:cs="Calibri"/>
                <w:szCs w:val="18"/>
              </w:rPr>
              <w:t>9.81</w:t>
            </w:r>
          </w:p>
        </w:tc>
        <w:tc>
          <w:tcPr>
            <w:tcW w:w="1418" w:type="dxa"/>
            <w:tcBorders>
              <w:left w:val="nil"/>
            </w:tcBorders>
          </w:tcPr>
          <w:p w14:paraId="61178AF5" w14:textId="77777777" w:rsidR="00D06CB2" w:rsidRPr="005C5E32" w:rsidRDefault="00D06CB2">
            <w:pPr>
              <w:pStyle w:val="TableText"/>
              <w:spacing w:before="40" w:after="40"/>
              <w:jc w:val="right"/>
              <w:rPr>
                <w:rFonts w:cs="Calibri"/>
                <w:szCs w:val="18"/>
              </w:rPr>
            </w:pPr>
            <w:r w:rsidRPr="005C5E32">
              <w:rPr>
                <w:rFonts w:cs="Calibri"/>
                <w:szCs w:val="18"/>
              </w:rPr>
              <w:t>7.45</w:t>
            </w:r>
          </w:p>
        </w:tc>
      </w:tr>
      <w:tr w:rsidR="00D06CB2" w:rsidRPr="005C5E32" w14:paraId="50106708" w14:textId="77777777" w:rsidTr="00DC65BC">
        <w:trPr>
          <w:trHeight w:val="20"/>
        </w:trPr>
        <w:tc>
          <w:tcPr>
            <w:tcW w:w="4253" w:type="dxa"/>
            <w:tcBorders>
              <w:right w:val="nil"/>
            </w:tcBorders>
          </w:tcPr>
          <w:p w14:paraId="69AC9CFC" w14:textId="77777777" w:rsidR="00D06CB2" w:rsidRPr="005C5E32" w:rsidRDefault="00D06CB2">
            <w:pPr>
              <w:pStyle w:val="TableboldGreen"/>
              <w:spacing w:before="40" w:after="40"/>
              <w:rPr>
                <w:rFonts w:cs="Calibri"/>
                <w:b w:val="0"/>
                <w:bCs/>
                <w:color w:val="414042"/>
                <w:szCs w:val="18"/>
              </w:rPr>
            </w:pPr>
            <w:r w:rsidRPr="005C5E32">
              <w:rPr>
                <w:rFonts w:cs="Calibri"/>
                <w:b w:val="0"/>
                <w:bCs/>
                <w:szCs w:val="18"/>
              </w:rPr>
              <w:t>Net cash flows</w:t>
            </w:r>
          </w:p>
        </w:tc>
        <w:tc>
          <w:tcPr>
            <w:tcW w:w="1021" w:type="dxa"/>
            <w:tcBorders>
              <w:left w:val="nil"/>
              <w:right w:val="nil"/>
            </w:tcBorders>
          </w:tcPr>
          <w:p w14:paraId="1E0F56E0" w14:textId="77777777" w:rsidR="00D06CB2" w:rsidRPr="005C5E32" w:rsidRDefault="00D06CB2">
            <w:pPr>
              <w:pStyle w:val="TableboldGreen"/>
              <w:spacing w:before="40" w:after="40"/>
              <w:jc w:val="right"/>
              <w:rPr>
                <w:rFonts w:cs="Calibri"/>
                <w:b w:val="0"/>
                <w:bCs/>
                <w:color w:val="414042"/>
                <w:szCs w:val="18"/>
              </w:rPr>
            </w:pPr>
          </w:p>
        </w:tc>
        <w:tc>
          <w:tcPr>
            <w:tcW w:w="1418" w:type="dxa"/>
            <w:tcBorders>
              <w:left w:val="nil"/>
              <w:right w:val="nil"/>
            </w:tcBorders>
            <w:shd w:val="clear" w:color="auto" w:fill="E7F2F2"/>
          </w:tcPr>
          <w:p w14:paraId="4D84955C" w14:textId="77777777" w:rsidR="00D06CB2" w:rsidRPr="005C5E32" w:rsidRDefault="00D06CB2">
            <w:pPr>
              <w:pStyle w:val="TableboldGreen"/>
              <w:spacing w:before="40" w:after="40"/>
              <w:jc w:val="right"/>
              <w:rPr>
                <w:rFonts w:cs="Calibri"/>
                <w:b w:val="0"/>
                <w:bCs/>
                <w:szCs w:val="18"/>
              </w:rPr>
            </w:pPr>
          </w:p>
        </w:tc>
        <w:tc>
          <w:tcPr>
            <w:tcW w:w="1418" w:type="dxa"/>
            <w:tcBorders>
              <w:left w:val="nil"/>
            </w:tcBorders>
          </w:tcPr>
          <w:p w14:paraId="7262B6EC" w14:textId="77777777" w:rsidR="00D06CB2" w:rsidRPr="005C5E32" w:rsidRDefault="00D06CB2">
            <w:pPr>
              <w:pStyle w:val="TableboldGreen"/>
              <w:spacing w:before="40" w:after="40"/>
              <w:jc w:val="right"/>
              <w:rPr>
                <w:rFonts w:cs="Calibri"/>
                <w:b w:val="0"/>
                <w:bCs/>
                <w:szCs w:val="18"/>
              </w:rPr>
            </w:pPr>
          </w:p>
        </w:tc>
      </w:tr>
      <w:tr w:rsidR="00D06CB2" w:rsidRPr="005C5E32" w14:paraId="5D50074B" w14:textId="77777777" w:rsidTr="00DC65BC">
        <w:trPr>
          <w:trHeight w:val="20"/>
        </w:trPr>
        <w:tc>
          <w:tcPr>
            <w:tcW w:w="4253" w:type="dxa"/>
            <w:tcBorders>
              <w:right w:val="nil"/>
            </w:tcBorders>
          </w:tcPr>
          <w:p w14:paraId="204D7BF2" w14:textId="77777777" w:rsidR="00D06CB2" w:rsidRPr="005C5E32" w:rsidRDefault="00D06CB2">
            <w:pPr>
              <w:pStyle w:val="TableText"/>
              <w:spacing w:before="40" w:after="40"/>
              <w:rPr>
                <w:rFonts w:cs="Calibri"/>
                <w:szCs w:val="18"/>
              </w:rPr>
            </w:pPr>
            <w:r w:rsidRPr="005C5E32">
              <w:rPr>
                <w:rFonts w:cs="Calibri"/>
                <w:szCs w:val="18"/>
              </w:rPr>
              <w:t>Surplus/(deficit) from operating activities</w:t>
            </w:r>
          </w:p>
        </w:tc>
        <w:tc>
          <w:tcPr>
            <w:tcW w:w="1021" w:type="dxa"/>
            <w:tcBorders>
              <w:left w:val="nil"/>
              <w:right w:val="nil"/>
            </w:tcBorders>
          </w:tcPr>
          <w:p w14:paraId="5798A4D1"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tcPr>
          <w:p w14:paraId="15F7BEB8" w14:textId="77777777" w:rsidR="00D06CB2" w:rsidRPr="005C5E32" w:rsidRDefault="00D06CB2">
            <w:pPr>
              <w:pStyle w:val="TableText"/>
              <w:spacing w:before="40" w:after="40"/>
              <w:jc w:val="right"/>
              <w:rPr>
                <w:rFonts w:cs="Calibri"/>
                <w:szCs w:val="18"/>
              </w:rPr>
            </w:pPr>
            <w:r w:rsidRPr="005C5E32">
              <w:rPr>
                <w:rFonts w:cs="Calibri"/>
                <w:szCs w:val="18"/>
              </w:rPr>
              <w:t>15,384</w:t>
            </w:r>
          </w:p>
        </w:tc>
        <w:tc>
          <w:tcPr>
            <w:tcW w:w="1418" w:type="dxa"/>
            <w:tcBorders>
              <w:left w:val="nil"/>
            </w:tcBorders>
          </w:tcPr>
          <w:p w14:paraId="5C5C55AF" w14:textId="77777777" w:rsidR="00D06CB2" w:rsidRPr="005C5E32" w:rsidRDefault="00D06CB2">
            <w:pPr>
              <w:pStyle w:val="TableText"/>
              <w:spacing w:before="40" w:after="40"/>
              <w:jc w:val="right"/>
              <w:rPr>
                <w:rFonts w:cs="Calibri"/>
                <w:szCs w:val="18"/>
              </w:rPr>
            </w:pPr>
            <w:r w:rsidRPr="005C5E32">
              <w:rPr>
                <w:rFonts w:cs="Calibri"/>
                <w:szCs w:val="18"/>
              </w:rPr>
              <w:t xml:space="preserve"> 501</w:t>
            </w:r>
          </w:p>
        </w:tc>
      </w:tr>
      <w:tr w:rsidR="00D06CB2" w:rsidRPr="005C5E32" w14:paraId="4694EF8F" w14:textId="77777777" w:rsidTr="00DC65BC">
        <w:trPr>
          <w:trHeight w:val="20"/>
        </w:trPr>
        <w:tc>
          <w:tcPr>
            <w:tcW w:w="4253" w:type="dxa"/>
            <w:tcBorders>
              <w:right w:val="nil"/>
            </w:tcBorders>
          </w:tcPr>
          <w:p w14:paraId="6234B796" w14:textId="77777777" w:rsidR="00D06CB2" w:rsidRPr="005C5E32" w:rsidRDefault="00D06CB2">
            <w:pPr>
              <w:pStyle w:val="TableText"/>
              <w:spacing w:before="40" w:after="40"/>
              <w:rPr>
                <w:rFonts w:cs="Calibri"/>
                <w:szCs w:val="18"/>
              </w:rPr>
            </w:pPr>
            <w:r w:rsidRPr="005C5E32">
              <w:rPr>
                <w:rFonts w:cs="Calibri"/>
                <w:szCs w:val="18"/>
              </w:rPr>
              <w:t>Surplus/(deficit) from investing activities</w:t>
            </w:r>
          </w:p>
        </w:tc>
        <w:tc>
          <w:tcPr>
            <w:tcW w:w="1021" w:type="dxa"/>
            <w:tcBorders>
              <w:left w:val="nil"/>
              <w:right w:val="nil"/>
            </w:tcBorders>
          </w:tcPr>
          <w:p w14:paraId="1B73F28D"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tcPr>
          <w:p w14:paraId="4A2CC4C4" w14:textId="77777777" w:rsidR="00D06CB2" w:rsidRPr="005C5E32" w:rsidRDefault="00D06CB2">
            <w:pPr>
              <w:pStyle w:val="TableText"/>
              <w:spacing w:before="40" w:after="40"/>
              <w:jc w:val="right"/>
              <w:rPr>
                <w:rFonts w:cs="Calibri"/>
                <w:szCs w:val="18"/>
              </w:rPr>
            </w:pPr>
            <w:r w:rsidRPr="005C5E32">
              <w:rPr>
                <w:rFonts w:cs="Calibri"/>
                <w:szCs w:val="18"/>
              </w:rPr>
              <w:t>(749)</w:t>
            </w:r>
          </w:p>
        </w:tc>
        <w:tc>
          <w:tcPr>
            <w:tcW w:w="1418" w:type="dxa"/>
            <w:tcBorders>
              <w:left w:val="nil"/>
            </w:tcBorders>
          </w:tcPr>
          <w:p w14:paraId="3285803A" w14:textId="77777777" w:rsidR="00D06CB2" w:rsidRPr="005C5E32" w:rsidRDefault="00D06CB2">
            <w:pPr>
              <w:pStyle w:val="TableText"/>
              <w:spacing w:before="40" w:after="40"/>
              <w:jc w:val="right"/>
              <w:rPr>
                <w:rFonts w:cs="Calibri"/>
                <w:szCs w:val="18"/>
              </w:rPr>
            </w:pPr>
            <w:r w:rsidRPr="005C5E32">
              <w:rPr>
                <w:rFonts w:cs="Calibri"/>
                <w:szCs w:val="18"/>
              </w:rPr>
              <w:t>(</w:t>
            </w:r>
            <w:r w:rsidRPr="005C5E32" w:rsidDel="00710B9B">
              <w:rPr>
                <w:rFonts w:cs="Calibri"/>
                <w:szCs w:val="18"/>
              </w:rPr>
              <w:t>795</w:t>
            </w:r>
            <w:r w:rsidRPr="005C5E32">
              <w:rPr>
                <w:rFonts w:cs="Calibri"/>
                <w:szCs w:val="18"/>
              </w:rPr>
              <w:t>)</w:t>
            </w:r>
          </w:p>
        </w:tc>
      </w:tr>
      <w:tr w:rsidR="00D06CB2" w:rsidRPr="005C5E32" w14:paraId="02EAC5DD" w14:textId="77777777" w:rsidTr="00DC65BC">
        <w:trPr>
          <w:trHeight w:val="20"/>
        </w:trPr>
        <w:tc>
          <w:tcPr>
            <w:tcW w:w="4253" w:type="dxa"/>
            <w:tcBorders>
              <w:right w:val="nil"/>
            </w:tcBorders>
          </w:tcPr>
          <w:p w14:paraId="5AB72D85" w14:textId="77777777" w:rsidR="00D06CB2" w:rsidRPr="005C5E32" w:rsidRDefault="00D06CB2">
            <w:pPr>
              <w:pStyle w:val="TableText"/>
              <w:spacing w:before="40" w:after="40"/>
              <w:rPr>
                <w:rFonts w:cs="Calibri"/>
                <w:szCs w:val="18"/>
              </w:rPr>
            </w:pPr>
            <w:r w:rsidRPr="005C5E32">
              <w:rPr>
                <w:rFonts w:cs="Calibri"/>
                <w:szCs w:val="18"/>
              </w:rPr>
              <w:t>Surplus/(deficit) from financing activities</w:t>
            </w:r>
          </w:p>
        </w:tc>
        <w:tc>
          <w:tcPr>
            <w:tcW w:w="1021" w:type="dxa"/>
            <w:tcBorders>
              <w:left w:val="nil"/>
              <w:right w:val="nil"/>
            </w:tcBorders>
          </w:tcPr>
          <w:p w14:paraId="405A28B9"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tcPr>
          <w:p w14:paraId="5DD92024" w14:textId="77777777" w:rsidR="00D06CB2" w:rsidRPr="005C5E32" w:rsidRDefault="00D06CB2">
            <w:pPr>
              <w:pStyle w:val="TableText"/>
              <w:spacing w:before="40" w:after="40"/>
              <w:jc w:val="right"/>
              <w:rPr>
                <w:rFonts w:cs="Calibri"/>
                <w:szCs w:val="18"/>
              </w:rPr>
            </w:pPr>
            <w:r w:rsidRPr="005C5E32">
              <w:rPr>
                <w:rFonts w:cs="Calibri"/>
                <w:szCs w:val="18"/>
              </w:rPr>
              <w:t>(10,167)</w:t>
            </w:r>
          </w:p>
        </w:tc>
        <w:tc>
          <w:tcPr>
            <w:tcW w:w="1418" w:type="dxa"/>
            <w:tcBorders>
              <w:left w:val="nil"/>
            </w:tcBorders>
          </w:tcPr>
          <w:p w14:paraId="6DB2E43C" w14:textId="77777777" w:rsidR="00D06CB2" w:rsidRPr="005C5E32" w:rsidRDefault="00D06CB2">
            <w:pPr>
              <w:pStyle w:val="TableText"/>
              <w:spacing w:before="40" w:after="40"/>
              <w:jc w:val="right"/>
              <w:rPr>
                <w:rFonts w:cs="Calibri"/>
                <w:szCs w:val="18"/>
              </w:rPr>
            </w:pPr>
            <w:r w:rsidRPr="005C5E32">
              <w:rPr>
                <w:rFonts w:cs="Calibri"/>
                <w:szCs w:val="18"/>
              </w:rPr>
              <w:t>(5)</w:t>
            </w:r>
          </w:p>
        </w:tc>
      </w:tr>
      <w:tr w:rsidR="00D06CB2" w:rsidRPr="005C5E32" w14:paraId="2589FAC7" w14:textId="77777777" w:rsidTr="00DC65BC">
        <w:trPr>
          <w:trHeight w:val="20"/>
        </w:trPr>
        <w:tc>
          <w:tcPr>
            <w:tcW w:w="4253" w:type="dxa"/>
            <w:tcBorders>
              <w:right w:val="nil"/>
            </w:tcBorders>
          </w:tcPr>
          <w:p w14:paraId="03B570B4" w14:textId="77777777" w:rsidR="00D06CB2" w:rsidRPr="005C5E32" w:rsidRDefault="00D06CB2">
            <w:pPr>
              <w:pStyle w:val="TableText"/>
              <w:spacing w:before="40" w:after="40"/>
              <w:rPr>
                <w:rFonts w:cs="Calibri"/>
                <w:szCs w:val="18"/>
              </w:rPr>
            </w:pPr>
            <w:r w:rsidRPr="005C5E32">
              <w:rPr>
                <w:rFonts w:cs="Calibri"/>
                <w:szCs w:val="18"/>
              </w:rPr>
              <w:t>Net increase/(decrease) in cash held</w:t>
            </w:r>
          </w:p>
        </w:tc>
        <w:tc>
          <w:tcPr>
            <w:tcW w:w="1021" w:type="dxa"/>
            <w:tcBorders>
              <w:left w:val="nil"/>
              <w:right w:val="nil"/>
            </w:tcBorders>
          </w:tcPr>
          <w:p w14:paraId="62B14C75" w14:textId="77777777" w:rsidR="00D06CB2" w:rsidRPr="005C5E32" w:rsidRDefault="00D06CB2">
            <w:pPr>
              <w:pStyle w:val="TableText"/>
              <w:spacing w:before="40" w:after="40"/>
              <w:jc w:val="right"/>
              <w:rPr>
                <w:rFonts w:cs="Calibri"/>
                <w:szCs w:val="18"/>
              </w:rPr>
            </w:pPr>
            <w:r w:rsidRPr="005C5E32">
              <w:rPr>
                <w:rFonts w:cs="Calibri"/>
                <w:szCs w:val="18"/>
              </w:rPr>
              <w:t>$000</w:t>
            </w:r>
          </w:p>
        </w:tc>
        <w:tc>
          <w:tcPr>
            <w:tcW w:w="1418" w:type="dxa"/>
            <w:tcBorders>
              <w:left w:val="nil"/>
              <w:right w:val="nil"/>
            </w:tcBorders>
            <w:shd w:val="clear" w:color="auto" w:fill="E7F2F2"/>
          </w:tcPr>
          <w:p w14:paraId="46CF15A3" w14:textId="77777777" w:rsidR="00D06CB2" w:rsidRPr="005C5E32" w:rsidRDefault="00D06CB2">
            <w:pPr>
              <w:pStyle w:val="TableText"/>
              <w:spacing w:before="40" w:after="40"/>
              <w:jc w:val="right"/>
              <w:rPr>
                <w:rFonts w:cs="Calibri"/>
                <w:szCs w:val="18"/>
              </w:rPr>
            </w:pPr>
            <w:r w:rsidRPr="005C5E32">
              <w:rPr>
                <w:rFonts w:cs="Calibri"/>
                <w:szCs w:val="18"/>
              </w:rPr>
              <w:t>4,468</w:t>
            </w:r>
          </w:p>
        </w:tc>
        <w:tc>
          <w:tcPr>
            <w:tcW w:w="1418" w:type="dxa"/>
            <w:tcBorders>
              <w:left w:val="nil"/>
            </w:tcBorders>
          </w:tcPr>
          <w:p w14:paraId="117DE369" w14:textId="77777777" w:rsidR="00D06CB2" w:rsidRPr="005C5E32" w:rsidRDefault="00D06CB2">
            <w:pPr>
              <w:pStyle w:val="TableText"/>
              <w:spacing w:before="40" w:after="40"/>
              <w:jc w:val="right"/>
              <w:rPr>
                <w:rFonts w:cs="Calibri"/>
                <w:szCs w:val="18"/>
              </w:rPr>
            </w:pPr>
            <w:r w:rsidRPr="005C5E32">
              <w:rPr>
                <w:rFonts w:cs="Calibri"/>
                <w:szCs w:val="18"/>
              </w:rPr>
              <w:t>299</w:t>
            </w:r>
          </w:p>
        </w:tc>
      </w:tr>
      <w:tr w:rsidR="00D06CB2" w:rsidRPr="005C5E32" w14:paraId="15E9880A" w14:textId="77777777" w:rsidTr="00DC65BC">
        <w:trPr>
          <w:trHeight w:val="20"/>
        </w:trPr>
        <w:tc>
          <w:tcPr>
            <w:tcW w:w="4253" w:type="dxa"/>
            <w:tcBorders>
              <w:right w:val="nil"/>
            </w:tcBorders>
          </w:tcPr>
          <w:p w14:paraId="396670A5" w14:textId="77777777" w:rsidR="00D06CB2" w:rsidRPr="005C5E32" w:rsidRDefault="00D06CB2">
            <w:pPr>
              <w:pStyle w:val="TableboldGreen"/>
              <w:spacing w:before="40" w:after="40"/>
              <w:rPr>
                <w:rFonts w:cs="Calibri"/>
                <w:b w:val="0"/>
                <w:bCs/>
                <w:color w:val="414042"/>
                <w:szCs w:val="18"/>
              </w:rPr>
            </w:pPr>
            <w:r w:rsidRPr="005C5E32">
              <w:rPr>
                <w:rFonts w:cs="Calibri"/>
                <w:b w:val="0"/>
                <w:bCs/>
                <w:szCs w:val="18"/>
              </w:rPr>
              <w:t>Human resources</w:t>
            </w:r>
          </w:p>
        </w:tc>
        <w:tc>
          <w:tcPr>
            <w:tcW w:w="1021" w:type="dxa"/>
            <w:tcBorders>
              <w:left w:val="nil"/>
              <w:right w:val="nil"/>
            </w:tcBorders>
          </w:tcPr>
          <w:p w14:paraId="29FC474E" w14:textId="77777777" w:rsidR="00D06CB2" w:rsidRPr="005C5E32" w:rsidRDefault="00D06CB2">
            <w:pPr>
              <w:pStyle w:val="TableboldGreen"/>
              <w:spacing w:before="40" w:after="40"/>
              <w:jc w:val="right"/>
              <w:rPr>
                <w:rFonts w:cs="Calibri"/>
                <w:b w:val="0"/>
                <w:bCs/>
                <w:color w:val="414042"/>
                <w:szCs w:val="18"/>
              </w:rPr>
            </w:pPr>
          </w:p>
        </w:tc>
        <w:tc>
          <w:tcPr>
            <w:tcW w:w="1418" w:type="dxa"/>
            <w:tcBorders>
              <w:left w:val="nil"/>
              <w:right w:val="nil"/>
            </w:tcBorders>
            <w:shd w:val="clear" w:color="auto" w:fill="E7F2F2"/>
          </w:tcPr>
          <w:p w14:paraId="4E483B40" w14:textId="77777777" w:rsidR="00D06CB2" w:rsidRPr="005C5E32" w:rsidRDefault="00D06CB2">
            <w:pPr>
              <w:pStyle w:val="TableboldGreen"/>
              <w:spacing w:before="40" w:after="40"/>
              <w:jc w:val="right"/>
              <w:rPr>
                <w:rFonts w:cs="Calibri"/>
                <w:b w:val="0"/>
                <w:bCs/>
                <w:szCs w:val="18"/>
              </w:rPr>
            </w:pPr>
          </w:p>
        </w:tc>
        <w:tc>
          <w:tcPr>
            <w:tcW w:w="1418" w:type="dxa"/>
            <w:tcBorders>
              <w:left w:val="nil"/>
            </w:tcBorders>
          </w:tcPr>
          <w:p w14:paraId="4415DDC4" w14:textId="77777777" w:rsidR="00D06CB2" w:rsidRPr="005C5E32" w:rsidRDefault="00D06CB2">
            <w:pPr>
              <w:pStyle w:val="TableboldGreen"/>
              <w:spacing w:before="40" w:after="40"/>
              <w:jc w:val="right"/>
              <w:rPr>
                <w:rFonts w:cs="Calibri"/>
                <w:b w:val="0"/>
                <w:bCs/>
                <w:szCs w:val="18"/>
              </w:rPr>
            </w:pPr>
          </w:p>
        </w:tc>
      </w:tr>
      <w:tr w:rsidR="00D06CB2" w:rsidRPr="005C5E32" w14:paraId="707855C7" w14:textId="77777777" w:rsidTr="00DC65BC">
        <w:trPr>
          <w:trHeight w:val="20"/>
        </w:trPr>
        <w:tc>
          <w:tcPr>
            <w:tcW w:w="4253" w:type="dxa"/>
            <w:tcBorders>
              <w:right w:val="nil"/>
            </w:tcBorders>
          </w:tcPr>
          <w:p w14:paraId="3B14A753" w14:textId="77777777" w:rsidR="00D06CB2" w:rsidRPr="005C5E32" w:rsidRDefault="00D06CB2">
            <w:pPr>
              <w:pStyle w:val="TableText"/>
              <w:spacing w:before="40" w:after="40"/>
              <w:rPr>
                <w:rFonts w:cs="Calibri"/>
                <w:szCs w:val="18"/>
              </w:rPr>
            </w:pPr>
            <w:r w:rsidRPr="005C5E32">
              <w:rPr>
                <w:rFonts w:cs="Calibri"/>
                <w:szCs w:val="18"/>
              </w:rPr>
              <w:t>Total staff (full-time equivalent)</w:t>
            </w:r>
          </w:p>
        </w:tc>
        <w:tc>
          <w:tcPr>
            <w:tcW w:w="1021" w:type="dxa"/>
            <w:tcBorders>
              <w:left w:val="nil"/>
              <w:right w:val="nil"/>
            </w:tcBorders>
          </w:tcPr>
          <w:p w14:paraId="2263DDC4" w14:textId="77777777" w:rsidR="00D06CB2" w:rsidRPr="005C5E32" w:rsidRDefault="00D06CB2">
            <w:pPr>
              <w:pStyle w:val="TableText"/>
              <w:spacing w:before="40" w:after="40"/>
              <w:jc w:val="right"/>
              <w:rPr>
                <w:rFonts w:cs="Calibri"/>
                <w:szCs w:val="18"/>
              </w:rPr>
            </w:pPr>
            <w:r w:rsidRPr="005C5E32">
              <w:rPr>
                <w:rFonts w:cs="Calibri"/>
                <w:szCs w:val="18"/>
              </w:rPr>
              <w:t>Number</w:t>
            </w:r>
          </w:p>
        </w:tc>
        <w:tc>
          <w:tcPr>
            <w:tcW w:w="1418" w:type="dxa"/>
            <w:tcBorders>
              <w:left w:val="nil"/>
              <w:right w:val="nil"/>
            </w:tcBorders>
            <w:shd w:val="clear" w:color="auto" w:fill="E7F2F2"/>
          </w:tcPr>
          <w:p w14:paraId="6C3F6E09" w14:textId="77777777" w:rsidR="00D06CB2" w:rsidRPr="005C5E32" w:rsidRDefault="00D06CB2">
            <w:pPr>
              <w:pStyle w:val="TableText"/>
              <w:spacing w:before="40" w:after="40"/>
              <w:jc w:val="right"/>
              <w:rPr>
                <w:rFonts w:cs="Calibri"/>
                <w:szCs w:val="18"/>
                <w:highlight w:val="yellow"/>
              </w:rPr>
            </w:pPr>
            <w:r w:rsidRPr="005C5E32">
              <w:rPr>
                <w:rFonts w:cs="Calibri"/>
                <w:szCs w:val="18"/>
              </w:rPr>
              <w:t>759</w:t>
            </w:r>
          </w:p>
        </w:tc>
        <w:tc>
          <w:tcPr>
            <w:tcW w:w="1418" w:type="dxa"/>
            <w:tcBorders>
              <w:left w:val="nil"/>
            </w:tcBorders>
          </w:tcPr>
          <w:p w14:paraId="586D3432" w14:textId="77777777" w:rsidR="00D06CB2" w:rsidRPr="005C5E32" w:rsidRDefault="00D06CB2">
            <w:pPr>
              <w:pStyle w:val="TableText"/>
              <w:spacing w:before="40" w:after="40"/>
              <w:jc w:val="right"/>
              <w:rPr>
                <w:rFonts w:cs="Calibri"/>
                <w:highlight w:val="yellow"/>
              </w:rPr>
            </w:pPr>
            <w:r w:rsidRPr="005C5E32">
              <w:rPr>
                <w:rFonts w:cs="Calibri"/>
              </w:rPr>
              <w:t>867</w:t>
            </w:r>
          </w:p>
        </w:tc>
      </w:tr>
    </w:tbl>
    <w:p w14:paraId="537F978C" w14:textId="77777777" w:rsidR="00D06CB2" w:rsidRPr="005C5E32" w:rsidRDefault="00D06CB2" w:rsidP="00781C8E">
      <w:pPr>
        <w:pStyle w:val="Note"/>
      </w:pPr>
      <w:r w:rsidRPr="005C5E32">
        <w:t>* The statement of accounting policies explains the basis for these figures, which are not subject to audit.</w:t>
      </w:r>
    </w:p>
    <w:p w14:paraId="60E5B132" w14:textId="77777777" w:rsidR="00D06CB2" w:rsidRPr="005C5E32" w:rsidRDefault="00D06CB2" w:rsidP="00A03341">
      <w:pPr>
        <w:pStyle w:val="BodyText"/>
      </w:pPr>
    </w:p>
    <w:p w14:paraId="66CBB51C" w14:textId="77777777" w:rsidR="00D06CB2" w:rsidRPr="005C5E32" w:rsidRDefault="00D06CB2" w:rsidP="00A03341">
      <w:pPr>
        <w:pStyle w:val="BodyText"/>
      </w:pPr>
      <w:r w:rsidRPr="005C5E32">
        <w:br w:type="page"/>
      </w:r>
    </w:p>
    <w:p w14:paraId="2FEFED3B" w14:textId="77777777" w:rsidR="00D06CB2" w:rsidRPr="005C5E32" w:rsidRDefault="00D06CB2" w:rsidP="005A645E">
      <w:pPr>
        <w:pStyle w:val="Heading2green"/>
      </w:pPr>
      <w:bookmarkStart w:id="281" w:name="_Toc112144612"/>
      <w:bookmarkStart w:id="282" w:name="_Toc207017405"/>
      <w:bookmarkStart w:id="283" w:name="_Toc207017494"/>
      <w:bookmarkStart w:id="284" w:name="_Toc207192311"/>
      <w:bookmarkStart w:id="285" w:name="_Toc239677689"/>
      <w:bookmarkStart w:id="286" w:name="_Toc240445577"/>
      <w:r w:rsidRPr="005C5E32">
        <w:lastRenderedPageBreak/>
        <w:t>Statement of comprehensive revenue and expense</w:t>
      </w:r>
      <w:bookmarkEnd w:id="281"/>
      <w:bookmarkEnd w:id="282"/>
      <w:bookmarkEnd w:id="283"/>
      <w:bookmarkEnd w:id="284"/>
      <w:bookmarkEnd w:id="285"/>
      <w:bookmarkEnd w:id="286"/>
    </w:p>
    <w:p w14:paraId="226CC627" w14:textId="77777777" w:rsidR="00D06CB2" w:rsidRPr="005C5E32" w:rsidRDefault="00D06CB2" w:rsidP="00A03341">
      <w:pPr>
        <w:pStyle w:val="BodyText"/>
        <w:rPr>
          <w:sz w:val="28"/>
          <w:szCs w:val="28"/>
        </w:rPr>
      </w:pPr>
      <w:r w:rsidRPr="005C5E32">
        <w:rPr>
          <w:sz w:val="28"/>
          <w:szCs w:val="28"/>
        </w:rPr>
        <w:t>for the year ended 30 June 2026</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3608"/>
        <w:gridCol w:w="904"/>
        <w:gridCol w:w="1331"/>
        <w:gridCol w:w="1331"/>
        <w:gridCol w:w="1331"/>
      </w:tblGrid>
      <w:tr w:rsidR="00542094" w:rsidRPr="005C5E32" w14:paraId="77EA3860" w14:textId="77777777" w:rsidTr="009D0635">
        <w:tc>
          <w:tcPr>
            <w:tcW w:w="3119" w:type="dxa"/>
            <w:tcBorders>
              <w:top w:val="single" w:sz="8" w:space="0" w:color="0E7C7E"/>
              <w:bottom w:val="single" w:sz="2" w:space="0" w:color="000000" w:themeColor="text1"/>
            </w:tcBorders>
            <w:vAlign w:val="bottom"/>
          </w:tcPr>
          <w:p w14:paraId="41FA9837" w14:textId="77777777" w:rsidR="00542094" w:rsidRPr="005C5E32" w:rsidRDefault="00542094">
            <w:pPr>
              <w:pStyle w:val="TableboldGreen"/>
              <w:spacing w:before="40" w:after="40"/>
              <w:jc w:val="right"/>
            </w:pPr>
          </w:p>
        </w:tc>
        <w:tc>
          <w:tcPr>
            <w:tcW w:w="782" w:type="dxa"/>
            <w:tcBorders>
              <w:top w:val="single" w:sz="8" w:space="0" w:color="0E7C7E"/>
              <w:bottom w:val="single" w:sz="2" w:space="0" w:color="000000" w:themeColor="text1"/>
            </w:tcBorders>
            <w:vAlign w:val="bottom"/>
          </w:tcPr>
          <w:p w14:paraId="45AE4BD9" w14:textId="77777777" w:rsidR="00542094" w:rsidRPr="005C5E32" w:rsidRDefault="00542094">
            <w:pPr>
              <w:pStyle w:val="TableboldGreen"/>
              <w:spacing w:before="40" w:after="40"/>
              <w:jc w:val="right"/>
            </w:pPr>
            <w:r w:rsidRPr="005C5E32">
              <w:rPr>
                <w:color w:val="0E7C7E"/>
              </w:rPr>
              <w:t>Notes</w:t>
            </w:r>
          </w:p>
        </w:tc>
        <w:tc>
          <w:tcPr>
            <w:tcW w:w="1151" w:type="dxa"/>
            <w:tcBorders>
              <w:top w:val="single" w:sz="8" w:space="0" w:color="0E7C7E"/>
              <w:bottom w:val="single" w:sz="2" w:space="0" w:color="000000" w:themeColor="text1"/>
            </w:tcBorders>
            <w:vAlign w:val="bottom"/>
          </w:tcPr>
          <w:p w14:paraId="4AA0A3D1" w14:textId="77777777" w:rsidR="00542094" w:rsidRPr="005C5E32" w:rsidRDefault="00542094">
            <w:pPr>
              <w:pStyle w:val="TableboldGreen"/>
              <w:spacing w:before="40" w:after="40"/>
              <w:jc w:val="right"/>
            </w:pPr>
            <w:r w:rsidRPr="005C5E32">
              <w:rPr>
                <w:rFonts w:cstheme="minorBidi"/>
                <w:bCs/>
                <w:color w:val="0E7C7E"/>
                <w:szCs w:val="18"/>
              </w:rPr>
              <w:t>2024/25</w:t>
            </w:r>
            <w:r w:rsidRPr="005C5E32">
              <w:rPr>
                <w:rFonts w:cstheme="minorBidi"/>
                <w:bCs/>
                <w:color w:val="0E7C7E"/>
                <w:szCs w:val="18"/>
              </w:rPr>
              <w:br/>
            </w:r>
            <w:r w:rsidRPr="005C5E32">
              <w:rPr>
                <w:color w:val="0E7C7E"/>
              </w:rPr>
              <w:t>Actual</w:t>
            </w:r>
            <w:r w:rsidRPr="005C5E32">
              <w:rPr>
                <w:color w:val="0E7C7E"/>
              </w:rPr>
              <w:br/>
              <w:t>$000</w:t>
            </w:r>
          </w:p>
        </w:tc>
        <w:tc>
          <w:tcPr>
            <w:tcW w:w="1151" w:type="dxa"/>
            <w:tcBorders>
              <w:top w:val="single" w:sz="8" w:space="0" w:color="0E7C7E"/>
              <w:bottom w:val="single" w:sz="2" w:space="0" w:color="000000" w:themeColor="text1"/>
            </w:tcBorders>
            <w:vAlign w:val="bottom"/>
          </w:tcPr>
          <w:p w14:paraId="0FB9568E" w14:textId="77777777" w:rsidR="00542094" w:rsidRPr="005C5E32" w:rsidRDefault="00542094">
            <w:pPr>
              <w:pStyle w:val="TableboldGreen"/>
              <w:spacing w:before="40" w:after="40"/>
              <w:jc w:val="right"/>
            </w:pPr>
            <w:r w:rsidRPr="005C5E32">
              <w:rPr>
                <w:rFonts w:cstheme="minorBidi"/>
                <w:bCs/>
                <w:color w:val="0E7C7E"/>
                <w:szCs w:val="18"/>
              </w:rPr>
              <w:t>2025/26</w:t>
            </w:r>
            <w:r w:rsidRPr="005C5E32">
              <w:rPr>
                <w:rFonts w:cstheme="minorBidi"/>
                <w:bCs/>
                <w:color w:val="0E7C7E"/>
                <w:szCs w:val="18"/>
              </w:rPr>
              <w:br/>
            </w:r>
            <w:r w:rsidRPr="005C5E32">
              <w:rPr>
                <w:color w:val="0E7C7E"/>
              </w:rPr>
              <w:t>Budget*</w:t>
            </w:r>
            <w:r w:rsidRPr="005C5E32">
              <w:rPr>
                <w:color w:val="0E7C7E"/>
              </w:rPr>
              <w:br/>
              <w:t>$000</w:t>
            </w:r>
          </w:p>
        </w:tc>
        <w:tc>
          <w:tcPr>
            <w:tcW w:w="1151" w:type="dxa"/>
            <w:tcBorders>
              <w:top w:val="single" w:sz="8" w:space="0" w:color="0E7C7E"/>
              <w:bottom w:val="single" w:sz="2" w:space="0" w:color="000000" w:themeColor="text1"/>
            </w:tcBorders>
            <w:shd w:val="clear" w:color="auto" w:fill="E7F2F2"/>
            <w:vAlign w:val="bottom"/>
          </w:tcPr>
          <w:p w14:paraId="543A3FF4" w14:textId="77777777" w:rsidR="00542094" w:rsidRPr="005C5E32" w:rsidRDefault="00542094">
            <w:pPr>
              <w:pStyle w:val="TableboldGreen"/>
              <w:spacing w:before="40" w:after="40"/>
              <w:jc w:val="right"/>
            </w:pPr>
            <w:r w:rsidRPr="005C5E32">
              <w:rPr>
                <w:color w:val="0E7C7E"/>
              </w:rPr>
              <w:t>2025/26</w:t>
            </w:r>
            <w:r w:rsidRPr="005C5E32">
              <w:rPr>
                <w:color w:val="0E7C7E"/>
              </w:rPr>
              <w:br/>
              <w:t>Actual</w:t>
            </w:r>
            <w:r w:rsidRPr="005C5E32">
              <w:rPr>
                <w:color w:val="0E7C7E"/>
              </w:rPr>
              <w:br/>
              <w:t>$000</w:t>
            </w:r>
          </w:p>
        </w:tc>
      </w:tr>
      <w:tr w:rsidR="00542094" w:rsidRPr="005C5E32" w14:paraId="7648D860" w14:textId="77777777" w:rsidTr="009D0635">
        <w:tc>
          <w:tcPr>
            <w:tcW w:w="3119" w:type="dxa"/>
            <w:tcBorders>
              <w:top w:val="single" w:sz="2" w:space="0" w:color="000000" w:themeColor="text1"/>
            </w:tcBorders>
          </w:tcPr>
          <w:p w14:paraId="6F81AB91" w14:textId="77777777" w:rsidR="00542094" w:rsidRPr="005C5E32" w:rsidRDefault="00542094">
            <w:pPr>
              <w:pStyle w:val="TableboldGreen"/>
              <w:spacing w:before="40" w:after="40"/>
            </w:pPr>
            <w:r w:rsidRPr="005C5E32">
              <w:t>Revenue</w:t>
            </w:r>
          </w:p>
        </w:tc>
        <w:tc>
          <w:tcPr>
            <w:tcW w:w="782" w:type="dxa"/>
            <w:tcBorders>
              <w:top w:val="single" w:sz="2" w:space="0" w:color="000000" w:themeColor="text1"/>
            </w:tcBorders>
          </w:tcPr>
          <w:p w14:paraId="5C9FBAB5" w14:textId="77777777" w:rsidR="00542094" w:rsidRPr="005C5E32" w:rsidRDefault="00542094">
            <w:pPr>
              <w:pStyle w:val="TableboldGreen"/>
              <w:spacing w:before="40" w:after="40"/>
              <w:jc w:val="right"/>
            </w:pPr>
          </w:p>
        </w:tc>
        <w:tc>
          <w:tcPr>
            <w:tcW w:w="1151" w:type="dxa"/>
            <w:tcBorders>
              <w:top w:val="single" w:sz="2" w:space="0" w:color="000000" w:themeColor="text1"/>
            </w:tcBorders>
          </w:tcPr>
          <w:p w14:paraId="76CA9448" w14:textId="77777777" w:rsidR="00542094" w:rsidRPr="005C5E32" w:rsidRDefault="00542094">
            <w:pPr>
              <w:pStyle w:val="TableboldGreen"/>
              <w:spacing w:before="40" w:after="40"/>
              <w:jc w:val="right"/>
            </w:pPr>
          </w:p>
        </w:tc>
        <w:tc>
          <w:tcPr>
            <w:tcW w:w="1151" w:type="dxa"/>
            <w:tcBorders>
              <w:top w:val="single" w:sz="2" w:space="0" w:color="000000" w:themeColor="text1"/>
            </w:tcBorders>
          </w:tcPr>
          <w:p w14:paraId="54A788E3" w14:textId="77777777" w:rsidR="00542094" w:rsidRPr="005C5E32" w:rsidRDefault="00542094">
            <w:pPr>
              <w:pStyle w:val="TableboldGreen"/>
              <w:spacing w:before="40" w:after="40"/>
              <w:jc w:val="right"/>
            </w:pPr>
          </w:p>
        </w:tc>
        <w:tc>
          <w:tcPr>
            <w:tcW w:w="1151" w:type="dxa"/>
            <w:vMerge w:val="restart"/>
            <w:tcBorders>
              <w:top w:val="single" w:sz="2" w:space="0" w:color="000000" w:themeColor="text1"/>
            </w:tcBorders>
            <w:shd w:val="clear" w:color="auto" w:fill="E7F2F2"/>
            <w:vAlign w:val="bottom"/>
          </w:tcPr>
          <w:p w14:paraId="3A3B5AAF" w14:textId="77777777" w:rsidR="00542094" w:rsidRPr="005C5E32" w:rsidRDefault="00542094">
            <w:pPr>
              <w:pStyle w:val="TableText"/>
              <w:spacing w:before="40" w:after="40"/>
              <w:jc w:val="right"/>
              <w:rPr>
                <w:color w:val="414042"/>
                <w:szCs w:val="18"/>
              </w:rPr>
            </w:pPr>
            <w:r w:rsidRPr="005C5E32">
              <w:rPr>
                <w:color w:val="414042"/>
                <w:szCs w:val="18"/>
              </w:rPr>
              <w:t xml:space="preserve"> 212,085</w:t>
            </w:r>
          </w:p>
        </w:tc>
      </w:tr>
      <w:tr w:rsidR="00542094" w:rsidRPr="005C5E32" w14:paraId="06313A14" w14:textId="77777777" w:rsidTr="009D0635">
        <w:tc>
          <w:tcPr>
            <w:tcW w:w="3119" w:type="dxa"/>
            <w:tcBorders>
              <w:bottom w:val="single" w:sz="2" w:space="0" w:color="58595B"/>
            </w:tcBorders>
          </w:tcPr>
          <w:p w14:paraId="63A1C246" w14:textId="77777777" w:rsidR="00542094" w:rsidRPr="005C5E32" w:rsidRDefault="00542094">
            <w:pPr>
              <w:pStyle w:val="TableText"/>
              <w:spacing w:before="40" w:after="40"/>
            </w:pPr>
            <w:r w:rsidRPr="005C5E32">
              <w:t>Funding from the Crown</w:t>
            </w:r>
          </w:p>
        </w:tc>
        <w:tc>
          <w:tcPr>
            <w:tcW w:w="782" w:type="dxa"/>
            <w:tcBorders>
              <w:bottom w:val="single" w:sz="2" w:space="0" w:color="58595B"/>
            </w:tcBorders>
          </w:tcPr>
          <w:p w14:paraId="4FA6EABE" w14:textId="77777777" w:rsidR="00542094" w:rsidRPr="005C5E32" w:rsidRDefault="00542094">
            <w:pPr>
              <w:pStyle w:val="TableText"/>
              <w:spacing w:before="40" w:after="40"/>
              <w:jc w:val="right"/>
            </w:pPr>
            <w:r w:rsidRPr="005C5E32">
              <w:t>2</w:t>
            </w:r>
          </w:p>
        </w:tc>
        <w:tc>
          <w:tcPr>
            <w:tcW w:w="1151" w:type="dxa"/>
            <w:tcBorders>
              <w:bottom w:val="single" w:sz="2" w:space="0" w:color="58595B"/>
            </w:tcBorders>
          </w:tcPr>
          <w:p w14:paraId="518869C4" w14:textId="77777777" w:rsidR="00542094" w:rsidRPr="005C5E32" w:rsidRDefault="00542094">
            <w:pPr>
              <w:pStyle w:val="TableText"/>
              <w:spacing w:before="40" w:after="40"/>
              <w:jc w:val="right"/>
              <w:rPr>
                <w:szCs w:val="18"/>
              </w:rPr>
            </w:pPr>
            <w:r w:rsidRPr="005C5E32">
              <w:rPr>
                <w:szCs w:val="18"/>
              </w:rPr>
              <w:t>190,139</w:t>
            </w:r>
          </w:p>
        </w:tc>
        <w:tc>
          <w:tcPr>
            <w:tcW w:w="1151" w:type="dxa"/>
            <w:tcBorders>
              <w:bottom w:val="single" w:sz="2" w:space="0" w:color="58595B"/>
            </w:tcBorders>
          </w:tcPr>
          <w:p w14:paraId="794E6FDF" w14:textId="77777777" w:rsidR="00542094" w:rsidRPr="005C5E32" w:rsidRDefault="00542094">
            <w:pPr>
              <w:pStyle w:val="TableText"/>
              <w:spacing w:before="40" w:after="40"/>
              <w:jc w:val="right"/>
              <w:rPr>
                <w:szCs w:val="18"/>
              </w:rPr>
            </w:pPr>
            <w:r w:rsidRPr="005C5E32">
              <w:rPr>
                <w:szCs w:val="18"/>
              </w:rPr>
              <w:t>207,089</w:t>
            </w:r>
          </w:p>
        </w:tc>
        <w:tc>
          <w:tcPr>
            <w:tcW w:w="1151" w:type="dxa"/>
            <w:vMerge/>
          </w:tcPr>
          <w:p w14:paraId="5126BEE3" w14:textId="77777777" w:rsidR="00542094" w:rsidRPr="005C5E32" w:rsidRDefault="00542094">
            <w:pPr>
              <w:spacing w:before="40" w:after="40"/>
              <w:jc w:val="right"/>
              <w:rPr>
                <w:rFonts w:asciiTheme="minorHAnsi" w:hAnsiTheme="minorHAnsi" w:cstheme="minorHAnsi"/>
                <w:highlight w:val="yellow"/>
              </w:rPr>
            </w:pPr>
          </w:p>
        </w:tc>
      </w:tr>
      <w:tr w:rsidR="00542094" w:rsidRPr="005C5E32" w14:paraId="26510DD0" w14:textId="77777777" w:rsidTr="009D0635">
        <w:tc>
          <w:tcPr>
            <w:tcW w:w="3119" w:type="dxa"/>
            <w:tcBorders>
              <w:top w:val="single" w:sz="2" w:space="0" w:color="58595B"/>
              <w:bottom w:val="single" w:sz="2" w:space="0" w:color="58595B"/>
            </w:tcBorders>
          </w:tcPr>
          <w:p w14:paraId="298DBC80" w14:textId="77777777" w:rsidR="00542094" w:rsidRPr="005C5E32" w:rsidRDefault="00542094">
            <w:pPr>
              <w:pStyle w:val="TableText"/>
              <w:spacing w:before="40" w:after="40"/>
            </w:pPr>
            <w:r w:rsidRPr="005C5E32">
              <w:t>Other revenue</w:t>
            </w:r>
          </w:p>
        </w:tc>
        <w:tc>
          <w:tcPr>
            <w:tcW w:w="782" w:type="dxa"/>
            <w:tcBorders>
              <w:top w:val="single" w:sz="2" w:space="0" w:color="58595B"/>
              <w:bottom w:val="single" w:sz="2" w:space="0" w:color="58595B"/>
            </w:tcBorders>
          </w:tcPr>
          <w:p w14:paraId="3D854CEC" w14:textId="77777777" w:rsidR="00542094" w:rsidRPr="005C5E32" w:rsidRDefault="00542094">
            <w:pPr>
              <w:pStyle w:val="TableText"/>
              <w:spacing w:before="40" w:after="40"/>
              <w:jc w:val="right"/>
            </w:pPr>
            <w:r w:rsidRPr="005C5E32">
              <w:t>2</w:t>
            </w:r>
          </w:p>
        </w:tc>
        <w:tc>
          <w:tcPr>
            <w:tcW w:w="1151" w:type="dxa"/>
            <w:tcBorders>
              <w:top w:val="single" w:sz="2" w:space="0" w:color="58595B"/>
              <w:bottom w:val="single" w:sz="2" w:space="0" w:color="58595B"/>
            </w:tcBorders>
          </w:tcPr>
          <w:p w14:paraId="3DE4CC15" w14:textId="77777777" w:rsidR="00542094" w:rsidRPr="005C5E32" w:rsidRDefault="00542094">
            <w:pPr>
              <w:pStyle w:val="TableText"/>
              <w:spacing w:before="40" w:after="40"/>
              <w:jc w:val="right"/>
              <w:rPr>
                <w:szCs w:val="18"/>
              </w:rPr>
            </w:pPr>
            <w:r w:rsidRPr="005C5E32">
              <w:rPr>
                <w:szCs w:val="18"/>
              </w:rPr>
              <w:t>237</w:t>
            </w:r>
          </w:p>
        </w:tc>
        <w:tc>
          <w:tcPr>
            <w:tcW w:w="1151" w:type="dxa"/>
            <w:tcBorders>
              <w:top w:val="single" w:sz="2" w:space="0" w:color="58595B"/>
              <w:bottom w:val="single" w:sz="2" w:space="0" w:color="58595B"/>
            </w:tcBorders>
          </w:tcPr>
          <w:p w14:paraId="0D760D03" w14:textId="77777777" w:rsidR="00542094" w:rsidRPr="005C5E32" w:rsidRDefault="00542094">
            <w:pPr>
              <w:pStyle w:val="TableText"/>
              <w:spacing w:before="40" w:after="40"/>
              <w:jc w:val="right"/>
            </w:pPr>
            <w:r w:rsidRPr="005C5E32">
              <w:t>955</w:t>
            </w:r>
          </w:p>
        </w:tc>
        <w:tc>
          <w:tcPr>
            <w:tcW w:w="1151" w:type="dxa"/>
            <w:tcBorders>
              <w:top w:val="single" w:sz="2" w:space="0" w:color="58595B"/>
              <w:bottom w:val="single" w:sz="2" w:space="0" w:color="58595B"/>
            </w:tcBorders>
            <w:shd w:val="clear" w:color="auto" w:fill="E7F2F2"/>
          </w:tcPr>
          <w:p w14:paraId="04DDD53B" w14:textId="77777777" w:rsidR="00542094" w:rsidRPr="005C5E32" w:rsidRDefault="00542094">
            <w:pPr>
              <w:pStyle w:val="TableText"/>
              <w:spacing w:before="40" w:after="40"/>
              <w:jc w:val="right"/>
              <w:rPr>
                <w:szCs w:val="18"/>
              </w:rPr>
            </w:pPr>
            <w:r w:rsidRPr="005C5E32">
              <w:rPr>
                <w:szCs w:val="18"/>
              </w:rPr>
              <w:t>1,301</w:t>
            </w:r>
          </w:p>
        </w:tc>
      </w:tr>
      <w:tr w:rsidR="00542094" w:rsidRPr="005C5E32" w14:paraId="07B15CE0" w14:textId="77777777" w:rsidTr="009D0635">
        <w:tc>
          <w:tcPr>
            <w:tcW w:w="3119" w:type="dxa"/>
            <w:tcBorders>
              <w:top w:val="single" w:sz="2" w:space="0" w:color="58595B"/>
              <w:bottom w:val="single" w:sz="4" w:space="0" w:color="000000" w:themeColor="text1"/>
            </w:tcBorders>
          </w:tcPr>
          <w:p w14:paraId="0E8BA574" w14:textId="77777777" w:rsidR="00542094" w:rsidRPr="005C5E32" w:rsidRDefault="00542094">
            <w:pPr>
              <w:pStyle w:val="TableText"/>
              <w:spacing w:before="40" w:after="40"/>
            </w:pPr>
            <w:r w:rsidRPr="005C5E32">
              <w:t>Gain on sale of assets</w:t>
            </w:r>
          </w:p>
        </w:tc>
        <w:tc>
          <w:tcPr>
            <w:tcW w:w="782" w:type="dxa"/>
            <w:tcBorders>
              <w:top w:val="single" w:sz="2" w:space="0" w:color="58595B"/>
              <w:bottom w:val="single" w:sz="4" w:space="0" w:color="000000" w:themeColor="text1"/>
            </w:tcBorders>
          </w:tcPr>
          <w:p w14:paraId="1E571228" w14:textId="77777777" w:rsidR="00542094" w:rsidRPr="005C5E32" w:rsidRDefault="00542094">
            <w:pPr>
              <w:pStyle w:val="TableText"/>
              <w:spacing w:before="40" w:after="40"/>
              <w:jc w:val="right"/>
            </w:pPr>
          </w:p>
        </w:tc>
        <w:tc>
          <w:tcPr>
            <w:tcW w:w="1151" w:type="dxa"/>
            <w:tcBorders>
              <w:top w:val="single" w:sz="2" w:space="0" w:color="58595B"/>
              <w:bottom w:val="single" w:sz="4" w:space="0" w:color="000000" w:themeColor="text1"/>
            </w:tcBorders>
          </w:tcPr>
          <w:p w14:paraId="0D605928" w14:textId="77777777" w:rsidR="00542094" w:rsidRPr="005C5E32" w:rsidRDefault="00542094">
            <w:pPr>
              <w:pStyle w:val="TableText"/>
              <w:spacing w:before="40" w:after="40"/>
              <w:jc w:val="right"/>
            </w:pPr>
            <w:r w:rsidRPr="005C5E32">
              <w:t>–</w:t>
            </w:r>
          </w:p>
        </w:tc>
        <w:tc>
          <w:tcPr>
            <w:tcW w:w="1151" w:type="dxa"/>
            <w:tcBorders>
              <w:top w:val="single" w:sz="2" w:space="0" w:color="58595B"/>
              <w:bottom w:val="single" w:sz="4" w:space="0" w:color="000000" w:themeColor="text1"/>
            </w:tcBorders>
          </w:tcPr>
          <w:p w14:paraId="44491817" w14:textId="77777777" w:rsidR="00542094" w:rsidRPr="005C5E32" w:rsidRDefault="00542094">
            <w:pPr>
              <w:pStyle w:val="TableText"/>
              <w:spacing w:before="40" w:after="40"/>
              <w:jc w:val="right"/>
            </w:pPr>
            <w:r w:rsidRPr="005C5E32">
              <w:t>5</w:t>
            </w:r>
          </w:p>
        </w:tc>
        <w:tc>
          <w:tcPr>
            <w:tcW w:w="1151" w:type="dxa"/>
            <w:tcBorders>
              <w:top w:val="single" w:sz="2" w:space="0" w:color="58595B"/>
              <w:bottom w:val="single" w:sz="4" w:space="0" w:color="000000" w:themeColor="text1"/>
            </w:tcBorders>
            <w:shd w:val="clear" w:color="auto" w:fill="E7F2F2"/>
          </w:tcPr>
          <w:p w14:paraId="432E0BEA" w14:textId="77777777" w:rsidR="00542094" w:rsidRPr="005C5E32" w:rsidRDefault="00542094">
            <w:pPr>
              <w:pStyle w:val="TableText"/>
              <w:spacing w:before="40" w:after="40"/>
              <w:jc w:val="right"/>
              <w:rPr>
                <w:szCs w:val="18"/>
              </w:rPr>
            </w:pPr>
            <w:r w:rsidRPr="005C5E32">
              <w:rPr>
                <w:szCs w:val="18"/>
              </w:rPr>
              <w:t>–</w:t>
            </w:r>
          </w:p>
        </w:tc>
      </w:tr>
      <w:tr w:rsidR="00542094" w:rsidRPr="00A316EF" w14:paraId="3475A643" w14:textId="77777777" w:rsidTr="009D0635">
        <w:tc>
          <w:tcPr>
            <w:tcW w:w="3119" w:type="dxa"/>
            <w:tcBorders>
              <w:top w:val="single" w:sz="4" w:space="0" w:color="000000" w:themeColor="text1"/>
              <w:bottom w:val="single" w:sz="4" w:space="0" w:color="000000" w:themeColor="text1"/>
            </w:tcBorders>
          </w:tcPr>
          <w:p w14:paraId="3A44A576" w14:textId="77777777" w:rsidR="00542094" w:rsidRPr="002025E5" w:rsidRDefault="00542094">
            <w:pPr>
              <w:pStyle w:val="TableText"/>
              <w:spacing w:before="40" w:after="40"/>
              <w:rPr>
                <w:b/>
              </w:rPr>
            </w:pPr>
            <w:r w:rsidRPr="002025E5">
              <w:rPr>
                <w:b/>
              </w:rPr>
              <w:t>Total revenue</w:t>
            </w:r>
          </w:p>
        </w:tc>
        <w:tc>
          <w:tcPr>
            <w:tcW w:w="782" w:type="dxa"/>
            <w:tcBorders>
              <w:top w:val="single" w:sz="4" w:space="0" w:color="000000" w:themeColor="text1"/>
              <w:bottom w:val="single" w:sz="4" w:space="0" w:color="000000" w:themeColor="text1"/>
            </w:tcBorders>
          </w:tcPr>
          <w:p w14:paraId="768C8086" w14:textId="77777777" w:rsidR="00542094" w:rsidRPr="002025E5" w:rsidRDefault="00542094">
            <w:pPr>
              <w:pStyle w:val="TableText"/>
              <w:spacing w:before="40" w:after="40"/>
              <w:jc w:val="right"/>
              <w:rPr>
                <w:b/>
              </w:rPr>
            </w:pPr>
          </w:p>
        </w:tc>
        <w:tc>
          <w:tcPr>
            <w:tcW w:w="1151" w:type="dxa"/>
            <w:tcBorders>
              <w:top w:val="single" w:sz="4" w:space="0" w:color="000000" w:themeColor="text1"/>
              <w:bottom w:val="single" w:sz="4" w:space="0" w:color="000000" w:themeColor="text1"/>
            </w:tcBorders>
          </w:tcPr>
          <w:p w14:paraId="072B7AA9" w14:textId="77777777" w:rsidR="00542094" w:rsidRPr="002025E5" w:rsidRDefault="00542094">
            <w:pPr>
              <w:pStyle w:val="TableText"/>
              <w:spacing w:before="40" w:after="40"/>
              <w:jc w:val="right"/>
              <w:rPr>
                <w:b/>
                <w:szCs w:val="18"/>
              </w:rPr>
            </w:pPr>
            <w:r w:rsidRPr="002025E5">
              <w:rPr>
                <w:b/>
                <w:szCs w:val="18"/>
              </w:rPr>
              <w:t>190,376</w:t>
            </w:r>
          </w:p>
        </w:tc>
        <w:tc>
          <w:tcPr>
            <w:tcW w:w="1151" w:type="dxa"/>
            <w:tcBorders>
              <w:top w:val="single" w:sz="4" w:space="0" w:color="000000" w:themeColor="text1"/>
              <w:bottom w:val="single" w:sz="4" w:space="0" w:color="000000" w:themeColor="text1"/>
            </w:tcBorders>
          </w:tcPr>
          <w:p w14:paraId="2A0D611D" w14:textId="77777777" w:rsidR="00542094" w:rsidRPr="002025E5" w:rsidRDefault="00542094">
            <w:pPr>
              <w:pStyle w:val="TableText"/>
              <w:spacing w:before="40" w:after="40"/>
              <w:jc w:val="right"/>
              <w:rPr>
                <w:b/>
                <w:szCs w:val="18"/>
              </w:rPr>
            </w:pPr>
            <w:r w:rsidRPr="002025E5">
              <w:rPr>
                <w:b/>
                <w:szCs w:val="18"/>
              </w:rPr>
              <w:t>208,049</w:t>
            </w:r>
          </w:p>
        </w:tc>
        <w:tc>
          <w:tcPr>
            <w:tcW w:w="1151" w:type="dxa"/>
            <w:tcBorders>
              <w:top w:val="single" w:sz="4" w:space="0" w:color="000000" w:themeColor="text1"/>
              <w:bottom w:val="single" w:sz="4" w:space="0" w:color="000000" w:themeColor="text1"/>
            </w:tcBorders>
            <w:shd w:val="clear" w:color="auto" w:fill="E7F2F2"/>
          </w:tcPr>
          <w:p w14:paraId="5E536675" w14:textId="77777777" w:rsidR="00542094" w:rsidRPr="002025E5" w:rsidRDefault="00542094">
            <w:pPr>
              <w:pStyle w:val="TableText"/>
              <w:spacing w:before="40" w:after="40"/>
              <w:jc w:val="right"/>
              <w:rPr>
                <w:b/>
                <w:szCs w:val="18"/>
              </w:rPr>
            </w:pPr>
            <w:r w:rsidRPr="002025E5">
              <w:rPr>
                <w:b/>
                <w:szCs w:val="18"/>
              </w:rPr>
              <w:t>213,386</w:t>
            </w:r>
          </w:p>
        </w:tc>
      </w:tr>
      <w:tr w:rsidR="00542094" w:rsidRPr="005C5E32" w14:paraId="4CF0A9FB" w14:textId="77777777" w:rsidTr="009D0635">
        <w:tc>
          <w:tcPr>
            <w:tcW w:w="3119" w:type="dxa"/>
            <w:tcBorders>
              <w:top w:val="single" w:sz="4" w:space="0" w:color="000000" w:themeColor="text1"/>
            </w:tcBorders>
          </w:tcPr>
          <w:p w14:paraId="20782059" w14:textId="77777777" w:rsidR="00542094" w:rsidRPr="005C5E32" w:rsidRDefault="00542094">
            <w:pPr>
              <w:pStyle w:val="TableboldGreen"/>
              <w:spacing w:before="40" w:after="0"/>
            </w:pPr>
            <w:r w:rsidRPr="005C5E32">
              <w:t>Expenses</w:t>
            </w:r>
          </w:p>
        </w:tc>
        <w:tc>
          <w:tcPr>
            <w:tcW w:w="782" w:type="dxa"/>
            <w:tcBorders>
              <w:top w:val="single" w:sz="4" w:space="0" w:color="000000" w:themeColor="text1"/>
            </w:tcBorders>
          </w:tcPr>
          <w:p w14:paraId="3B7DBF2A" w14:textId="77777777" w:rsidR="00542094" w:rsidRPr="005C5E32" w:rsidRDefault="00542094">
            <w:pPr>
              <w:pStyle w:val="TableText"/>
              <w:spacing w:before="40" w:after="40"/>
              <w:jc w:val="right"/>
            </w:pPr>
          </w:p>
        </w:tc>
        <w:tc>
          <w:tcPr>
            <w:tcW w:w="1151" w:type="dxa"/>
            <w:tcBorders>
              <w:top w:val="single" w:sz="4" w:space="0" w:color="000000" w:themeColor="text1"/>
            </w:tcBorders>
          </w:tcPr>
          <w:p w14:paraId="621B7703" w14:textId="77777777" w:rsidR="00542094" w:rsidRPr="005C5E32" w:rsidRDefault="00542094">
            <w:pPr>
              <w:pStyle w:val="TableText"/>
              <w:spacing w:before="40" w:after="40"/>
              <w:jc w:val="right"/>
            </w:pPr>
          </w:p>
        </w:tc>
        <w:tc>
          <w:tcPr>
            <w:tcW w:w="1151" w:type="dxa"/>
            <w:tcBorders>
              <w:top w:val="single" w:sz="4" w:space="0" w:color="000000" w:themeColor="text1"/>
            </w:tcBorders>
          </w:tcPr>
          <w:p w14:paraId="52B1963D" w14:textId="77777777" w:rsidR="00542094" w:rsidRPr="005C5E32" w:rsidRDefault="00542094">
            <w:pPr>
              <w:pStyle w:val="TableText"/>
              <w:spacing w:before="40" w:after="40"/>
              <w:jc w:val="right"/>
            </w:pPr>
          </w:p>
        </w:tc>
        <w:tc>
          <w:tcPr>
            <w:tcW w:w="1151" w:type="dxa"/>
            <w:vMerge w:val="restart"/>
            <w:tcBorders>
              <w:top w:val="single" w:sz="4" w:space="0" w:color="000000" w:themeColor="text1"/>
            </w:tcBorders>
            <w:shd w:val="clear" w:color="auto" w:fill="E7F2F2"/>
            <w:vAlign w:val="bottom"/>
          </w:tcPr>
          <w:p w14:paraId="01DD8E70" w14:textId="77777777" w:rsidR="00542094" w:rsidRPr="005C5E32" w:rsidRDefault="00542094">
            <w:pPr>
              <w:pStyle w:val="TableText"/>
              <w:spacing w:before="40" w:after="40"/>
              <w:jc w:val="right"/>
              <w:rPr>
                <w:color w:val="414042"/>
                <w:szCs w:val="18"/>
              </w:rPr>
            </w:pPr>
            <w:r w:rsidRPr="005C5E32">
              <w:rPr>
                <w:color w:val="414042"/>
                <w:szCs w:val="18"/>
              </w:rPr>
              <w:t>115,051</w:t>
            </w:r>
          </w:p>
        </w:tc>
      </w:tr>
      <w:tr w:rsidR="00542094" w:rsidRPr="005C5E32" w14:paraId="7BFFACFD" w14:textId="77777777" w:rsidTr="009D0635">
        <w:tc>
          <w:tcPr>
            <w:tcW w:w="3119" w:type="dxa"/>
            <w:tcBorders>
              <w:bottom w:val="single" w:sz="2" w:space="0" w:color="58595B"/>
            </w:tcBorders>
          </w:tcPr>
          <w:p w14:paraId="47B5D07C" w14:textId="77777777" w:rsidR="00542094" w:rsidRPr="005C5E32" w:rsidRDefault="00542094">
            <w:pPr>
              <w:pStyle w:val="TableText"/>
              <w:spacing w:before="0" w:after="40"/>
            </w:pPr>
            <w:r w:rsidRPr="005C5E32">
              <w:t>Personnel costs</w:t>
            </w:r>
          </w:p>
        </w:tc>
        <w:tc>
          <w:tcPr>
            <w:tcW w:w="782" w:type="dxa"/>
            <w:tcBorders>
              <w:bottom w:val="single" w:sz="2" w:space="0" w:color="58595B"/>
            </w:tcBorders>
          </w:tcPr>
          <w:p w14:paraId="250BF7C5" w14:textId="77777777" w:rsidR="00542094" w:rsidRPr="005C5E32" w:rsidRDefault="00542094">
            <w:pPr>
              <w:pStyle w:val="TableText"/>
              <w:spacing w:before="0" w:after="40"/>
              <w:jc w:val="right"/>
            </w:pPr>
            <w:r w:rsidRPr="005C5E32">
              <w:t>3</w:t>
            </w:r>
          </w:p>
        </w:tc>
        <w:tc>
          <w:tcPr>
            <w:tcW w:w="1151" w:type="dxa"/>
            <w:tcBorders>
              <w:bottom w:val="single" w:sz="2" w:space="0" w:color="58595B"/>
            </w:tcBorders>
          </w:tcPr>
          <w:p w14:paraId="572D086C" w14:textId="77A28115" w:rsidR="00542094" w:rsidRPr="005C5E32" w:rsidRDefault="00542094">
            <w:pPr>
              <w:pStyle w:val="TableText"/>
              <w:spacing w:before="0" w:after="40"/>
              <w:jc w:val="right"/>
              <w:rPr>
                <w:szCs w:val="18"/>
              </w:rPr>
            </w:pPr>
            <w:r w:rsidRPr="005C5E32">
              <w:rPr>
                <w:szCs w:val="18"/>
              </w:rPr>
              <w:t>120,9</w:t>
            </w:r>
            <w:r w:rsidR="005006B6" w:rsidRPr="005C5E32">
              <w:rPr>
                <w:szCs w:val="18"/>
              </w:rPr>
              <w:t>9</w:t>
            </w:r>
            <w:r w:rsidRPr="005C5E32">
              <w:rPr>
                <w:szCs w:val="18"/>
              </w:rPr>
              <w:t>1</w:t>
            </w:r>
          </w:p>
        </w:tc>
        <w:tc>
          <w:tcPr>
            <w:tcW w:w="1151" w:type="dxa"/>
            <w:tcBorders>
              <w:bottom w:val="single" w:sz="2" w:space="0" w:color="58595B"/>
            </w:tcBorders>
          </w:tcPr>
          <w:p w14:paraId="75A8F87D" w14:textId="77777777" w:rsidR="00542094" w:rsidRPr="005C5E32" w:rsidRDefault="00542094">
            <w:pPr>
              <w:pStyle w:val="TableText"/>
              <w:spacing w:before="0" w:after="40"/>
              <w:jc w:val="right"/>
              <w:rPr>
                <w:rFonts w:asciiTheme="minorHAnsi" w:hAnsiTheme="minorHAnsi"/>
                <w:color w:val="414042"/>
                <w:szCs w:val="18"/>
              </w:rPr>
            </w:pPr>
            <w:r w:rsidRPr="005C5E32">
              <w:rPr>
                <w:rFonts w:asciiTheme="minorHAnsi" w:hAnsiTheme="minorHAnsi"/>
                <w:color w:val="414042"/>
                <w:szCs w:val="18"/>
              </w:rPr>
              <w:t>144,016</w:t>
            </w:r>
          </w:p>
        </w:tc>
        <w:tc>
          <w:tcPr>
            <w:tcW w:w="1151" w:type="dxa"/>
            <w:vMerge/>
          </w:tcPr>
          <w:p w14:paraId="6E51CAC5" w14:textId="77777777" w:rsidR="00542094" w:rsidRPr="005C5E32" w:rsidRDefault="00542094">
            <w:pPr>
              <w:spacing w:before="0" w:after="40"/>
              <w:jc w:val="right"/>
              <w:rPr>
                <w:rFonts w:asciiTheme="minorHAnsi" w:hAnsiTheme="minorHAnsi" w:cstheme="minorHAnsi"/>
                <w:highlight w:val="yellow"/>
              </w:rPr>
            </w:pPr>
          </w:p>
        </w:tc>
      </w:tr>
      <w:tr w:rsidR="00542094" w:rsidRPr="005C5E32" w14:paraId="35323D41" w14:textId="77777777" w:rsidTr="009D0635">
        <w:tc>
          <w:tcPr>
            <w:tcW w:w="3119" w:type="dxa"/>
            <w:tcBorders>
              <w:top w:val="single" w:sz="2" w:space="0" w:color="58595B"/>
              <w:bottom w:val="single" w:sz="2" w:space="0" w:color="58595B"/>
            </w:tcBorders>
          </w:tcPr>
          <w:p w14:paraId="1A9C5781" w14:textId="77777777" w:rsidR="00542094" w:rsidRPr="005C5E32" w:rsidRDefault="00542094">
            <w:pPr>
              <w:pStyle w:val="TableText"/>
              <w:spacing w:before="40" w:after="40"/>
            </w:pPr>
            <w:r w:rsidRPr="005C5E32">
              <w:t>Depreciation and amortisation expense</w:t>
            </w:r>
          </w:p>
        </w:tc>
        <w:tc>
          <w:tcPr>
            <w:tcW w:w="782" w:type="dxa"/>
            <w:tcBorders>
              <w:top w:val="single" w:sz="2" w:space="0" w:color="58595B"/>
              <w:bottom w:val="single" w:sz="2" w:space="0" w:color="58595B"/>
            </w:tcBorders>
          </w:tcPr>
          <w:p w14:paraId="7AD5B16C" w14:textId="77777777" w:rsidR="00542094" w:rsidRPr="005C5E32" w:rsidRDefault="00542094">
            <w:pPr>
              <w:pStyle w:val="TableText"/>
              <w:spacing w:before="40" w:after="40"/>
              <w:jc w:val="right"/>
            </w:pPr>
            <w:r w:rsidRPr="005C5E32">
              <w:t>8, 9</w:t>
            </w:r>
          </w:p>
        </w:tc>
        <w:tc>
          <w:tcPr>
            <w:tcW w:w="1151" w:type="dxa"/>
            <w:tcBorders>
              <w:top w:val="single" w:sz="2" w:space="0" w:color="58595B"/>
              <w:bottom w:val="single" w:sz="2" w:space="0" w:color="58595B"/>
            </w:tcBorders>
          </w:tcPr>
          <w:p w14:paraId="730479F6" w14:textId="77777777" w:rsidR="00542094" w:rsidRPr="005C5E32" w:rsidRDefault="00542094">
            <w:pPr>
              <w:pStyle w:val="TableText"/>
              <w:spacing w:before="40" w:after="40"/>
              <w:jc w:val="right"/>
              <w:rPr>
                <w:szCs w:val="18"/>
              </w:rPr>
            </w:pPr>
            <w:r w:rsidRPr="005C5E32">
              <w:rPr>
                <w:szCs w:val="18"/>
              </w:rPr>
              <w:t>537</w:t>
            </w:r>
          </w:p>
        </w:tc>
        <w:tc>
          <w:tcPr>
            <w:tcW w:w="1151" w:type="dxa"/>
            <w:tcBorders>
              <w:top w:val="single" w:sz="2" w:space="0" w:color="58595B"/>
              <w:bottom w:val="single" w:sz="2" w:space="0" w:color="58595B"/>
            </w:tcBorders>
          </w:tcPr>
          <w:p w14:paraId="0DC7CAC8" w14:textId="77777777" w:rsidR="00542094" w:rsidRPr="005C5E32" w:rsidRDefault="00542094">
            <w:pPr>
              <w:pStyle w:val="TableText"/>
              <w:spacing w:before="40" w:after="40"/>
              <w:jc w:val="right"/>
              <w:rPr>
                <w:szCs w:val="18"/>
              </w:rPr>
            </w:pPr>
            <w:r w:rsidRPr="005C5E32">
              <w:rPr>
                <w:szCs w:val="18"/>
              </w:rPr>
              <w:t>501</w:t>
            </w:r>
          </w:p>
        </w:tc>
        <w:tc>
          <w:tcPr>
            <w:tcW w:w="1151" w:type="dxa"/>
            <w:tcBorders>
              <w:top w:val="single" w:sz="2" w:space="0" w:color="58595B"/>
              <w:bottom w:val="single" w:sz="2" w:space="0" w:color="58595B"/>
            </w:tcBorders>
            <w:shd w:val="clear" w:color="auto" w:fill="E7F2F2"/>
          </w:tcPr>
          <w:p w14:paraId="44BB0A3C" w14:textId="77777777" w:rsidR="00542094" w:rsidRPr="005C5E32" w:rsidRDefault="00542094">
            <w:pPr>
              <w:pStyle w:val="TableText"/>
              <w:spacing w:before="40" w:after="40"/>
              <w:jc w:val="right"/>
              <w:rPr>
                <w:szCs w:val="18"/>
              </w:rPr>
            </w:pPr>
            <w:r w:rsidRPr="005C5E32">
              <w:rPr>
                <w:szCs w:val="18"/>
              </w:rPr>
              <w:t>366</w:t>
            </w:r>
          </w:p>
        </w:tc>
      </w:tr>
      <w:tr w:rsidR="00542094" w:rsidRPr="005C5E32" w14:paraId="4C28E2A1" w14:textId="77777777" w:rsidTr="009D0635">
        <w:tc>
          <w:tcPr>
            <w:tcW w:w="3119" w:type="dxa"/>
            <w:tcBorders>
              <w:top w:val="single" w:sz="2" w:space="0" w:color="58595B"/>
              <w:bottom w:val="single" w:sz="2" w:space="0" w:color="58595B"/>
            </w:tcBorders>
          </w:tcPr>
          <w:p w14:paraId="6364C7B8" w14:textId="77777777" w:rsidR="00542094" w:rsidRPr="005C5E32" w:rsidRDefault="00542094">
            <w:pPr>
              <w:pStyle w:val="TableText"/>
              <w:spacing w:before="40" w:after="40"/>
            </w:pPr>
            <w:r w:rsidRPr="005C5E32">
              <w:t>Capital charge</w:t>
            </w:r>
          </w:p>
        </w:tc>
        <w:tc>
          <w:tcPr>
            <w:tcW w:w="782" w:type="dxa"/>
            <w:tcBorders>
              <w:top w:val="single" w:sz="2" w:space="0" w:color="58595B"/>
              <w:bottom w:val="single" w:sz="2" w:space="0" w:color="58595B"/>
            </w:tcBorders>
          </w:tcPr>
          <w:p w14:paraId="2C4EC745" w14:textId="77777777" w:rsidR="00542094" w:rsidRPr="005C5E32" w:rsidRDefault="00542094">
            <w:pPr>
              <w:pStyle w:val="TableText"/>
              <w:spacing w:before="40" w:after="40"/>
              <w:jc w:val="right"/>
            </w:pPr>
            <w:r w:rsidRPr="005C5E32">
              <w:t>4</w:t>
            </w:r>
          </w:p>
        </w:tc>
        <w:tc>
          <w:tcPr>
            <w:tcW w:w="1151" w:type="dxa"/>
            <w:tcBorders>
              <w:top w:val="single" w:sz="2" w:space="0" w:color="58595B"/>
              <w:bottom w:val="single" w:sz="2" w:space="0" w:color="58595B"/>
            </w:tcBorders>
          </w:tcPr>
          <w:p w14:paraId="653F6B58" w14:textId="77777777" w:rsidR="00542094" w:rsidRPr="005C5E32" w:rsidRDefault="00542094">
            <w:pPr>
              <w:pStyle w:val="TableText"/>
              <w:spacing w:before="40" w:after="40"/>
              <w:jc w:val="right"/>
            </w:pPr>
            <w:r w:rsidRPr="005C5E32">
              <w:t>362</w:t>
            </w:r>
          </w:p>
        </w:tc>
        <w:tc>
          <w:tcPr>
            <w:tcW w:w="1151" w:type="dxa"/>
            <w:tcBorders>
              <w:top w:val="single" w:sz="2" w:space="0" w:color="58595B"/>
              <w:bottom w:val="single" w:sz="2" w:space="0" w:color="58595B"/>
            </w:tcBorders>
          </w:tcPr>
          <w:p w14:paraId="4D060189" w14:textId="77777777" w:rsidR="00542094" w:rsidRPr="005C5E32" w:rsidRDefault="00542094">
            <w:pPr>
              <w:pStyle w:val="TableText"/>
              <w:spacing w:before="40" w:after="40"/>
              <w:jc w:val="right"/>
            </w:pPr>
            <w:r w:rsidRPr="005C5E32">
              <w:t>362</w:t>
            </w:r>
          </w:p>
        </w:tc>
        <w:tc>
          <w:tcPr>
            <w:tcW w:w="1151" w:type="dxa"/>
            <w:tcBorders>
              <w:top w:val="single" w:sz="2" w:space="0" w:color="58595B"/>
              <w:bottom w:val="single" w:sz="2" w:space="0" w:color="58595B"/>
            </w:tcBorders>
            <w:shd w:val="clear" w:color="auto" w:fill="E7F2F2"/>
          </w:tcPr>
          <w:p w14:paraId="7A75B431" w14:textId="77777777" w:rsidR="00542094" w:rsidRPr="005C5E32" w:rsidRDefault="00542094">
            <w:pPr>
              <w:pStyle w:val="TableText"/>
              <w:spacing w:before="40" w:after="40"/>
              <w:jc w:val="right"/>
            </w:pPr>
            <w:r w:rsidRPr="005C5E32" w:rsidDel="00AD1295">
              <w:t>362</w:t>
            </w:r>
          </w:p>
        </w:tc>
      </w:tr>
      <w:tr w:rsidR="00542094" w:rsidRPr="005C5E32" w14:paraId="1734ADB1" w14:textId="77777777" w:rsidTr="009D0635">
        <w:tc>
          <w:tcPr>
            <w:tcW w:w="3119" w:type="dxa"/>
            <w:tcBorders>
              <w:top w:val="single" w:sz="2" w:space="0" w:color="58595B"/>
              <w:bottom w:val="single" w:sz="4" w:space="0" w:color="000000" w:themeColor="text1"/>
            </w:tcBorders>
          </w:tcPr>
          <w:p w14:paraId="578B2855" w14:textId="77777777" w:rsidR="00542094" w:rsidRPr="005C5E32" w:rsidRDefault="00542094">
            <w:pPr>
              <w:pStyle w:val="TableText"/>
              <w:spacing w:before="40" w:after="40"/>
            </w:pPr>
            <w:r w:rsidRPr="005C5E32">
              <w:t>Other expenses</w:t>
            </w:r>
          </w:p>
        </w:tc>
        <w:tc>
          <w:tcPr>
            <w:tcW w:w="782" w:type="dxa"/>
            <w:tcBorders>
              <w:top w:val="single" w:sz="2" w:space="0" w:color="58595B"/>
              <w:bottom w:val="single" w:sz="4" w:space="0" w:color="000000" w:themeColor="text1"/>
            </w:tcBorders>
          </w:tcPr>
          <w:p w14:paraId="109729A9" w14:textId="77777777" w:rsidR="00542094" w:rsidRPr="005C5E32" w:rsidRDefault="00542094">
            <w:pPr>
              <w:pStyle w:val="TableText"/>
              <w:spacing w:before="40" w:after="40"/>
              <w:jc w:val="right"/>
            </w:pPr>
            <w:r w:rsidRPr="005C5E32">
              <w:t>6</w:t>
            </w:r>
          </w:p>
        </w:tc>
        <w:tc>
          <w:tcPr>
            <w:tcW w:w="1151" w:type="dxa"/>
            <w:tcBorders>
              <w:top w:val="single" w:sz="2" w:space="0" w:color="58595B"/>
              <w:bottom w:val="single" w:sz="4" w:space="0" w:color="000000" w:themeColor="text1"/>
            </w:tcBorders>
          </w:tcPr>
          <w:p w14:paraId="1225F7A3" w14:textId="77777777" w:rsidR="00542094" w:rsidRPr="005C5E32" w:rsidRDefault="00542094">
            <w:pPr>
              <w:pStyle w:val="TableText"/>
              <w:spacing w:before="40" w:after="40"/>
              <w:jc w:val="right"/>
            </w:pPr>
            <w:r w:rsidRPr="005C5E32">
              <w:t>58,320</w:t>
            </w:r>
          </w:p>
        </w:tc>
        <w:tc>
          <w:tcPr>
            <w:tcW w:w="1151" w:type="dxa"/>
            <w:tcBorders>
              <w:top w:val="single" w:sz="2" w:space="0" w:color="58595B"/>
              <w:bottom w:val="single" w:sz="4" w:space="0" w:color="000000" w:themeColor="text1"/>
            </w:tcBorders>
          </w:tcPr>
          <w:p w14:paraId="5599E761" w14:textId="77777777" w:rsidR="00542094" w:rsidRPr="005C5E32" w:rsidRDefault="00542094">
            <w:pPr>
              <w:pStyle w:val="TableText"/>
              <w:spacing w:before="40" w:after="40"/>
              <w:jc w:val="right"/>
            </w:pPr>
            <w:r w:rsidRPr="005C5E32">
              <w:t>63,165</w:t>
            </w:r>
          </w:p>
        </w:tc>
        <w:tc>
          <w:tcPr>
            <w:tcW w:w="1151" w:type="dxa"/>
            <w:tcBorders>
              <w:top w:val="single" w:sz="2" w:space="0" w:color="58595B"/>
              <w:bottom w:val="single" w:sz="4" w:space="0" w:color="000000" w:themeColor="text1"/>
            </w:tcBorders>
            <w:shd w:val="clear" w:color="auto" w:fill="E7F2F2"/>
          </w:tcPr>
          <w:p w14:paraId="0C4E52CD" w14:textId="77777777" w:rsidR="00542094" w:rsidRPr="005C5E32" w:rsidRDefault="00542094">
            <w:pPr>
              <w:pStyle w:val="TableText"/>
              <w:spacing w:before="40" w:after="40"/>
              <w:jc w:val="right"/>
            </w:pPr>
            <w:r w:rsidRPr="005C5E32">
              <w:t>79,298</w:t>
            </w:r>
          </w:p>
        </w:tc>
      </w:tr>
      <w:tr w:rsidR="00542094" w:rsidRPr="005C5E32" w14:paraId="62F5F698" w14:textId="77777777" w:rsidTr="009D0635">
        <w:tc>
          <w:tcPr>
            <w:tcW w:w="3119" w:type="dxa"/>
            <w:tcBorders>
              <w:top w:val="single" w:sz="4" w:space="0" w:color="000000" w:themeColor="text1"/>
              <w:bottom w:val="single" w:sz="4" w:space="0" w:color="000000" w:themeColor="text1"/>
            </w:tcBorders>
          </w:tcPr>
          <w:p w14:paraId="5AF81EC4" w14:textId="77777777" w:rsidR="00542094" w:rsidRPr="002025E5" w:rsidRDefault="00542094">
            <w:pPr>
              <w:pStyle w:val="TableText"/>
              <w:spacing w:before="40" w:after="40"/>
              <w:rPr>
                <w:b/>
              </w:rPr>
            </w:pPr>
            <w:r w:rsidRPr="002025E5">
              <w:rPr>
                <w:b/>
              </w:rPr>
              <w:t>Total expenses</w:t>
            </w:r>
          </w:p>
        </w:tc>
        <w:tc>
          <w:tcPr>
            <w:tcW w:w="782" w:type="dxa"/>
            <w:tcBorders>
              <w:top w:val="single" w:sz="4" w:space="0" w:color="000000" w:themeColor="text1"/>
              <w:bottom w:val="single" w:sz="4" w:space="0" w:color="000000" w:themeColor="text1"/>
            </w:tcBorders>
          </w:tcPr>
          <w:p w14:paraId="7BC11945" w14:textId="77777777" w:rsidR="00542094" w:rsidRPr="002025E5" w:rsidRDefault="00542094">
            <w:pPr>
              <w:pStyle w:val="TableText"/>
              <w:spacing w:before="40" w:after="40"/>
              <w:jc w:val="right"/>
              <w:rPr>
                <w:b/>
              </w:rPr>
            </w:pPr>
          </w:p>
        </w:tc>
        <w:tc>
          <w:tcPr>
            <w:tcW w:w="1151" w:type="dxa"/>
            <w:tcBorders>
              <w:top w:val="single" w:sz="4" w:space="0" w:color="000000" w:themeColor="text1"/>
              <w:bottom w:val="single" w:sz="4" w:space="0" w:color="000000" w:themeColor="text1"/>
            </w:tcBorders>
          </w:tcPr>
          <w:p w14:paraId="39F364A0" w14:textId="77777777" w:rsidR="00542094" w:rsidRPr="002025E5" w:rsidRDefault="00542094">
            <w:pPr>
              <w:pStyle w:val="TableText"/>
              <w:spacing w:before="40" w:after="40"/>
              <w:jc w:val="right"/>
              <w:rPr>
                <w:b/>
              </w:rPr>
            </w:pPr>
            <w:r w:rsidRPr="002025E5">
              <w:rPr>
                <w:b/>
              </w:rPr>
              <w:t>180,210</w:t>
            </w:r>
          </w:p>
        </w:tc>
        <w:tc>
          <w:tcPr>
            <w:tcW w:w="1151" w:type="dxa"/>
            <w:tcBorders>
              <w:top w:val="single" w:sz="4" w:space="0" w:color="000000" w:themeColor="text1"/>
              <w:bottom w:val="single" w:sz="4" w:space="0" w:color="000000" w:themeColor="text1"/>
            </w:tcBorders>
          </w:tcPr>
          <w:p w14:paraId="49683201" w14:textId="77777777" w:rsidR="00542094" w:rsidRPr="002025E5" w:rsidRDefault="00542094">
            <w:pPr>
              <w:pStyle w:val="TableText"/>
              <w:spacing w:before="40" w:after="40"/>
              <w:jc w:val="right"/>
              <w:rPr>
                <w:b/>
              </w:rPr>
            </w:pPr>
            <w:r w:rsidRPr="002025E5">
              <w:rPr>
                <w:b/>
              </w:rPr>
              <w:t>208,044</w:t>
            </w:r>
          </w:p>
        </w:tc>
        <w:tc>
          <w:tcPr>
            <w:tcW w:w="1151" w:type="dxa"/>
            <w:tcBorders>
              <w:top w:val="single" w:sz="4" w:space="0" w:color="000000" w:themeColor="text1"/>
              <w:bottom w:val="single" w:sz="4" w:space="0" w:color="000000" w:themeColor="text1"/>
            </w:tcBorders>
            <w:shd w:val="clear" w:color="auto" w:fill="E7F2F2"/>
          </w:tcPr>
          <w:p w14:paraId="3D532F13" w14:textId="77777777" w:rsidR="00542094" w:rsidRPr="002025E5" w:rsidRDefault="00542094">
            <w:pPr>
              <w:pStyle w:val="TableText"/>
              <w:spacing w:before="40" w:after="40"/>
              <w:jc w:val="right"/>
              <w:rPr>
                <w:b/>
              </w:rPr>
            </w:pPr>
            <w:r w:rsidRPr="002025E5">
              <w:rPr>
                <w:b/>
              </w:rPr>
              <w:t>195,077</w:t>
            </w:r>
          </w:p>
        </w:tc>
      </w:tr>
      <w:tr w:rsidR="00542094" w:rsidRPr="005C5E32" w14:paraId="03608EC1" w14:textId="77777777" w:rsidTr="009D0635">
        <w:tc>
          <w:tcPr>
            <w:tcW w:w="3119" w:type="dxa"/>
            <w:tcBorders>
              <w:top w:val="single" w:sz="4" w:space="0" w:color="000000" w:themeColor="text1"/>
              <w:bottom w:val="single" w:sz="4" w:space="0" w:color="000000" w:themeColor="text1"/>
            </w:tcBorders>
          </w:tcPr>
          <w:p w14:paraId="11020BCC" w14:textId="77777777" w:rsidR="00542094" w:rsidRPr="005C5E32" w:rsidRDefault="00542094">
            <w:pPr>
              <w:pStyle w:val="TableboldGreen"/>
              <w:spacing w:before="40" w:after="40"/>
            </w:pPr>
            <w:r w:rsidRPr="005C5E32">
              <w:t>Net surplus</w:t>
            </w:r>
          </w:p>
        </w:tc>
        <w:tc>
          <w:tcPr>
            <w:tcW w:w="782" w:type="dxa"/>
            <w:tcBorders>
              <w:top w:val="single" w:sz="4" w:space="0" w:color="000000" w:themeColor="text1"/>
              <w:bottom w:val="single" w:sz="4" w:space="0" w:color="000000" w:themeColor="text1"/>
            </w:tcBorders>
          </w:tcPr>
          <w:p w14:paraId="168B5E23" w14:textId="77777777" w:rsidR="00542094" w:rsidRPr="005C5E32" w:rsidRDefault="00542094">
            <w:pPr>
              <w:pStyle w:val="TableboldGreen"/>
              <w:spacing w:before="40" w:after="40"/>
              <w:jc w:val="right"/>
            </w:pPr>
          </w:p>
        </w:tc>
        <w:tc>
          <w:tcPr>
            <w:tcW w:w="1151" w:type="dxa"/>
            <w:tcBorders>
              <w:top w:val="single" w:sz="4" w:space="0" w:color="000000" w:themeColor="text1"/>
              <w:bottom w:val="single" w:sz="4" w:space="0" w:color="000000" w:themeColor="text1"/>
            </w:tcBorders>
            <w:vAlign w:val="bottom"/>
          </w:tcPr>
          <w:p w14:paraId="7BA73410" w14:textId="77777777" w:rsidR="00542094" w:rsidRPr="005C5E32" w:rsidRDefault="00542094">
            <w:pPr>
              <w:pStyle w:val="TableText"/>
              <w:spacing w:before="40" w:after="40"/>
              <w:jc w:val="right"/>
              <w:rPr>
                <w:b/>
                <w:color w:val="414042"/>
                <w:szCs w:val="18"/>
              </w:rPr>
            </w:pPr>
            <w:r w:rsidRPr="002025E5">
              <w:rPr>
                <w:b/>
              </w:rPr>
              <w:t>10,166</w:t>
            </w:r>
          </w:p>
        </w:tc>
        <w:tc>
          <w:tcPr>
            <w:tcW w:w="1151" w:type="dxa"/>
            <w:tcBorders>
              <w:top w:val="single" w:sz="4" w:space="0" w:color="000000" w:themeColor="text1"/>
              <w:bottom w:val="single" w:sz="4" w:space="0" w:color="000000" w:themeColor="text1"/>
            </w:tcBorders>
            <w:vAlign w:val="bottom"/>
          </w:tcPr>
          <w:p w14:paraId="5885315D" w14:textId="77777777" w:rsidR="00542094" w:rsidRPr="005C5E32" w:rsidRDefault="00542094">
            <w:pPr>
              <w:pStyle w:val="TableText"/>
              <w:spacing w:before="40" w:after="40"/>
              <w:jc w:val="right"/>
              <w:rPr>
                <w:b/>
                <w:szCs w:val="18"/>
              </w:rPr>
            </w:pPr>
            <w:r w:rsidRPr="002025E5">
              <w:rPr>
                <w:rFonts w:cs="Times New Roman"/>
                <w:b/>
                <w:szCs w:val="20"/>
              </w:rPr>
              <w:t>5</w:t>
            </w:r>
          </w:p>
        </w:tc>
        <w:tc>
          <w:tcPr>
            <w:tcW w:w="1151" w:type="dxa"/>
            <w:tcBorders>
              <w:top w:val="single" w:sz="4" w:space="0" w:color="000000" w:themeColor="text1"/>
              <w:bottom w:val="single" w:sz="4" w:space="0" w:color="000000" w:themeColor="text1"/>
            </w:tcBorders>
            <w:shd w:val="clear" w:color="auto" w:fill="E7F2F2"/>
            <w:vAlign w:val="bottom"/>
          </w:tcPr>
          <w:p w14:paraId="08C397D4" w14:textId="77777777" w:rsidR="00542094" w:rsidRPr="002025E5" w:rsidRDefault="00542094">
            <w:pPr>
              <w:pStyle w:val="TableText"/>
              <w:spacing w:before="40" w:after="40"/>
              <w:jc w:val="right"/>
              <w:rPr>
                <w:b/>
              </w:rPr>
            </w:pPr>
            <w:r w:rsidRPr="002025E5">
              <w:rPr>
                <w:b/>
              </w:rPr>
              <w:t>18,309</w:t>
            </w:r>
          </w:p>
        </w:tc>
      </w:tr>
      <w:tr w:rsidR="00542094" w:rsidRPr="002025E5" w14:paraId="65AAA868" w14:textId="77777777" w:rsidTr="009D0635">
        <w:tc>
          <w:tcPr>
            <w:tcW w:w="3119" w:type="dxa"/>
            <w:tcBorders>
              <w:top w:val="single" w:sz="4" w:space="0" w:color="000000" w:themeColor="text1"/>
              <w:bottom w:val="single" w:sz="4" w:space="0" w:color="000000" w:themeColor="text1"/>
            </w:tcBorders>
          </w:tcPr>
          <w:p w14:paraId="2A512FF9" w14:textId="77777777" w:rsidR="00542094" w:rsidRPr="002025E5" w:rsidRDefault="00542094" w:rsidP="00096116">
            <w:pPr>
              <w:pStyle w:val="TableText"/>
              <w:spacing w:before="40" w:after="40"/>
            </w:pPr>
            <w:r w:rsidRPr="002025E5">
              <w:t>Other comprehensive revenue and expenses</w:t>
            </w:r>
          </w:p>
        </w:tc>
        <w:tc>
          <w:tcPr>
            <w:tcW w:w="782" w:type="dxa"/>
            <w:tcBorders>
              <w:top w:val="single" w:sz="4" w:space="0" w:color="000000" w:themeColor="text1"/>
              <w:bottom w:val="single" w:sz="4" w:space="0" w:color="000000" w:themeColor="text1"/>
            </w:tcBorders>
          </w:tcPr>
          <w:p w14:paraId="07AA1D3B" w14:textId="77777777" w:rsidR="00542094" w:rsidRPr="002025E5" w:rsidRDefault="00542094">
            <w:pPr>
              <w:pStyle w:val="TableboldGreen"/>
              <w:spacing w:before="40" w:after="40"/>
              <w:jc w:val="right"/>
              <w:rPr>
                <w:color w:val="auto"/>
              </w:rPr>
            </w:pPr>
          </w:p>
        </w:tc>
        <w:tc>
          <w:tcPr>
            <w:tcW w:w="1151" w:type="dxa"/>
            <w:tcBorders>
              <w:top w:val="single" w:sz="4" w:space="0" w:color="000000" w:themeColor="text1"/>
              <w:bottom w:val="single" w:sz="4" w:space="0" w:color="000000" w:themeColor="text1"/>
            </w:tcBorders>
            <w:vAlign w:val="bottom"/>
          </w:tcPr>
          <w:p w14:paraId="243015A2" w14:textId="77777777" w:rsidR="00542094" w:rsidRPr="002025E5" w:rsidRDefault="00542094">
            <w:pPr>
              <w:pStyle w:val="TableText"/>
              <w:spacing w:before="40" w:after="40"/>
              <w:jc w:val="right"/>
              <w:rPr>
                <w:rFonts w:cs="Times New Roman"/>
                <w:b/>
                <w:szCs w:val="20"/>
              </w:rPr>
            </w:pPr>
            <w:r w:rsidRPr="002025E5">
              <w:t>–</w:t>
            </w:r>
          </w:p>
        </w:tc>
        <w:tc>
          <w:tcPr>
            <w:tcW w:w="1151" w:type="dxa"/>
            <w:tcBorders>
              <w:top w:val="single" w:sz="4" w:space="0" w:color="000000" w:themeColor="text1"/>
              <w:bottom w:val="single" w:sz="4" w:space="0" w:color="000000" w:themeColor="text1"/>
            </w:tcBorders>
            <w:vAlign w:val="bottom"/>
          </w:tcPr>
          <w:p w14:paraId="63BAC057" w14:textId="77777777" w:rsidR="00542094" w:rsidRPr="002025E5" w:rsidRDefault="00542094">
            <w:pPr>
              <w:pStyle w:val="TableText"/>
              <w:spacing w:before="40" w:after="40"/>
              <w:jc w:val="right"/>
              <w:rPr>
                <w:rFonts w:cs="Times New Roman"/>
                <w:b/>
                <w:szCs w:val="20"/>
              </w:rPr>
            </w:pPr>
            <w:r w:rsidRPr="002025E5">
              <w:t>–</w:t>
            </w:r>
          </w:p>
        </w:tc>
        <w:tc>
          <w:tcPr>
            <w:tcW w:w="1151" w:type="dxa"/>
            <w:tcBorders>
              <w:top w:val="single" w:sz="4" w:space="0" w:color="000000" w:themeColor="text1"/>
              <w:bottom w:val="single" w:sz="4" w:space="0" w:color="000000" w:themeColor="text1"/>
            </w:tcBorders>
            <w:shd w:val="clear" w:color="auto" w:fill="E7F2F2"/>
            <w:vAlign w:val="bottom"/>
          </w:tcPr>
          <w:p w14:paraId="0E71B74E" w14:textId="77777777" w:rsidR="00542094" w:rsidRPr="002025E5" w:rsidRDefault="00542094">
            <w:pPr>
              <w:pStyle w:val="TableText"/>
              <w:spacing w:before="40" w:after="40"/>
              <w:jc w:val="right"/>
              <w:rPr>
                <w:rFonts w:cs="Times New Roman"/>
                <w:b/>
                <w:szCs w:val="20"/>
              </w:rPr>
            </w:pPr>
            <w:r w:rsidRPr="002025E5">
              <w:t>–</w:t>
            </w:r>
          </w:p>
        </w:tc>
      </w:tr>
      <w:tr w:rsidR="00542094" w:rsidRPr="005C5E32" w14:paraId="50937D53" w14:textId="77777777" w:rsidTr="009D0635">
        <w:tc>
          <w:tcPr>
            <w:tcW w:w="3119" w:type="dxa"/>
            <w:tcBorders>
              <w:top w:val="single" w:sz="4" w:space="0" w:color="000000" w:themeColor="text1"/>
              <w:bottom w:val="single" w:sz="4" w:space="0" w:color="000000" w:themeColor="text1"/>
            </w:tcBorders>
          </w:tcPr>
          <w:p w14:paraId="5F0B828F" w14:textId="77777777" w:rsidR="00542094" w:rsidRPr="005C5E32" w:rsidRDefault="00542094">
            <w:pPr>
              <w:pStyle w:val="TableboldGreen"/>
              <w:spacing w:before="40" w:after="40"/>
            </w:pPr>
            <w:r w:rsidRPr="005C5E32">
              <w:t>Total comprehensive revenue and expenses</w:t>
            </w:r>
          </w:p>
        </w:tc>
        <w:tc>
          <w:tcPr>
            <w:tcW w:w="782" w:type="dxa"/>
            <w:tcBorders>
              <w:top w:val="single" w:sz="4" w:space="0" w:color="000000" w:themeColor="text1"/>
              <w:bottom w:val="single" w:sz="4" w:space="0" w:color="000000" w:themeColor="text1"/>
            </w:tcBorders>
          </w:tcPr>
          <w:p w14:paraId="579C8D8D" w14:textId="77777777" w:rsidR="00542094" w:rsidRPr="005C5E32" w:rsidRDefault="00542094">
            <w:pPr>
              <w:pStyle w:val="TableboldGreen"/>
              <w:spacing w:before="40" w:after="40"/>
              <w:jc w:val="right"/>
            </w:pPr>
          </w:p>
        </w:tc>
        <w:tc>
          <w:tcPr>
            <w:tcW w:w="1151" w:type="dxa"/>
            <w:tcBorders>
              <w:top w:val="single" w:sz="4" w:space="0" w:color="000000" w:themeColor="text1"/>
              <w:bottom w:val="single" w:sz="4" w:space="0" w:color="000000" w:themeColor="text1"/>
            </w:tcBorders>
            <w:vAlign w:val="bottom"/>
          </w:tcPr>
          <w:p w14:paraId="2BEF3FC1" w14:textId="77777777" w:rsidR="00542094" w:rsidRPr="005C5E32" w:rsidRDefault="00542094">
            <w:pPr>
              <w:pStyle w:val="TableText"/>
              <w:spacing w:before="40" w:after="40"/>
              <w:jc w:val="right"/>
              <w:rPr>
                <w:rFonts w:cs="Times New Roman"/>
                <w:b/>
                <w:szCs w:val="20"/>
              </w:rPr>
            </w:pPr>
            <w:r w:rsidRPr="005C5E32">
              <w:rPr>
                <w:rFonts w:cs="Times New Roman"/>
                <w:b/>
                <w:szCs w:val="20"/>
              </w:rPr>
              <w:t>10,166</w:t>
            </w:r>
          </w:p>
        </w:tc>
        <w:tc>
          <w:tcPr>
            <w:tcW w:w="1151" w:type="dxa"/>
            <w:tcBorders>
              <w:top w:val="single" w:sz="4" w:space="0" w:color="000000" w:themeColor="text1"/>
              <w:bottom w:val="single" w:sz="4" w:space="0" w:color="000000" w:themeColor="text1"/>
            </w:tcBorders>
            <w:vAlign w:val="bottom"/>
          </w:tcPr>
          <w:p w14:paraId="146D8750" w14:textId="77777777" w:rsidR="00542094" w:rsidRPr="005C5E32" w:rsidRDefault="00542094">
            <w:pPr>
              <w:pStyle w:val="TableText"/>
              <w:spacing w:before="40" w:after="40"/>
              <w:jc w:val="right"/>
              <w:rPr>
                <w:rFonts w:cs="Times New Roman"/>
                <w:b/>
                <w:szCs w:val="20"/>
              </w:rPr>
            </w:pPr>
            <w:r w:rsidRPr="005C5E32">
              <w:rPr>
                <w:rFonts w:cs="Times New Roman"/>
                <w:b/>
                <w:szCs w:val="20"/>
              </w:rPr>
              <w:t>5</w:t>
            </w:r>
          </w:p>
        </w:tc>
        <w:tc>
          <w:tcPr>
            <w:tcW w:w="1151" w:type="dxa"/>
            <w:tcBorders>
              <w:top w:val="single" w:sz="4" w:space="0" w:color="000000" w:themeColor="text1"/>
              <w:bottom w:val="single" w:sz="4" w:space="0" w:color="000000" w:themeColor="text1"/>
            </w:tcBorders>
            <w:shd w:val="clear" w:color="auto" w:fill="E7F2F2"/>
            <w:vAlign w:val="bottom"/>
          </w:tcPr>
          <w:p w14:paraId="48ECC461" w14:textId="77777777" w:rsidR="00542094" w:rsidRPr="005C5E32" w:rsidRDefault="00542094">
            <w:pPr>
              <w:pStyle w:val="TableText"/>
              <w:spacing w:before="40" w:after="40"/>
              <w:jc w:val="right"/>
              <w:rPr>
                <w:rFonts w:cs="Times New Roman"/>
                <w:b/>
                <w:szCs w:val="20"/>
              </w:rPr>
            </w:pPr>
            <w:r w:rsidRPr="005C5E32">
              <w:rPr>
                <w:rFonts w:cs="Times New Roman"/>
                <w:b/>
                <w:szCs w:val="20"/>
              </w:rPr>
              <w:t>18,309</w:t>
            </w:r>
          </w:p>
        </w:tc>
      </w:tr>
    </w:tbl>
    <w:p w14:paraId="453BAD39" w14:textId="77777777" w:rsidR="00D06CB2" w:rsidRPr="005C5E32" w:rsidRDefault="00D06CB2" w:rsidP="00763711">
      <w:pPr>
        <w:pStyle w:val="Note"/>
        <w:spacing w:after="0"/>
      </w:pPr>
      <w:r w:rsidRPr="005C5E32">
        <w:t>* The statement of accounting policies explains the basis for these figures, which are not subject to audit.</w:t>
      </w:r>
    </w:p>
    <w:p w14:paraId="1D7135E8" w14:textId="77777777" w:rsidR="00D06CB2" w:rsidRPr="005C5E32" w:rsidRDefault="00D06CB2" w:rsidP="0028551B">
      <w:pPr>
        <w:pStyle w:val="Note"/>
        <w:rPr>
          <w:szCs w:val="18"/>
        </w:rPr>
      </w:pPr>
      <w:r w:rsidRPr="005C5E32">
        <w:rPr>
          <w:szCs w:val="18"/>
        </w:rPr>
        <w:t>Explanations of significant variances against budget are detailed in Note 18.</w:t>
      </w:r>
    </w:p>
    <w:p w14:paraId="1B2DC2BA" w14:textId="77777777" w:rsidR="00D06CB2" w:rsidRPr="005C5E32" w:rsidRDefault="00D06CB2" w:rsidP="00A03341">
      <w:pPr>
        <w:pStyle w:val="BodyText"/>
      </w:pPr>
    </w:p>
    <w:p w14:paraId="45940AF3" w14:textId="77777777" w:rsidR="00D06CB2" w:rsidRPr="005C5E32" w:rsidRDefault="00D06CB2" w:rsidP="00A03341">
      <w:pPr>
        <w:pStyle w:val="BodyText"/>
      </w:pPr>
    </w:p>
    <w:p w14:paraId="5B74DAA7" w14:textId="77777777" w:rsidR="00D06CB2" w:rsidRPr="005C5E32" w:rsidRDefault="00D06CB2" w:rsidP="00A03341">
      <w:pPr>
        <w:pStyle w:val="BodyText"/>
      </w:pPr>
    </w:p>
    <w:p w14:paraId="2CF5125C" w14:textId="77777777" w:rsidR="00D06CB2" w:rsidRPr="005C5E32" w:rsidRDefault="00D06CB2" w:rsidP="00A03341">
      <w:pPr>
        <w:pStyle w:val="BodyText"/>
      </w:pPr>
    </w:p>
    <w:p w14:paraId="50CE1728" w14:textId="77777777" w:rsidR="00D06CB2" w:rsidRPr="005C5E32" w:rsidRDefault="00D06CB2" w:rsidP="00A03341">
      <w:pPr>
        <w:pStyle w:val="BodyText"/>
      </w:pPr>
    </w:p>
    <w:p w14:paraId="0D5B3B2B" w14:textId="77777777" w:rsidR="00D06CB2" w:rsidRPr="005C5E32" w:rsidRDefault="00D06CB2" w:rsidP="00A03341">
      <w:pPr>
        <w:pStyle w:val="BodyText"/>
      </w:pPr>
    </w:p>
    <w:p w14:paraId="7FF987BB" w14:textId="77777777" w:rsidR="00D06CB2" w:rsidRPr="005C5E32" w:rsidRDefault="00D06CB2" w:rsidP="00A03341">
      <w:pPr>
        <w:pStyle w:val="BodyText"/>
      </w:pPr>
    </w:p>
    <w:p w14:paraId="22D90A18" w14:textId="77777777" w:rsidR="00D06CB2" w:rsidRPr="005C5E32" w:rsidRDefault="00D06CB2" w:rsidP="00A03341">
      <w:pPr>
        <w:pStyle w:val="BodyText"/>
      </w:pPr>
    </w:p>
    <w:p w14:paraId="7B65099D" w14:textId="77777777" w:rsidR="00D06CB2" w:rsidRPr="005C5E32" w:rsidRDefault="00D06CB2" w:rsidP="00A03341">
      <w:pPr>
        <w:pStyle w:val="BodyText"/>
      </w:pPr>
    </w:p>
    <w:p w14:paraId="1FCD0B3F" w14:textId="77777777" w:rsidR="00D94A99" w:rsidRPr="005C5E32" w:rsidRDefault="00D94A99" w:rsidP="00A03341">
      <w:pPr>
        <w:pStyle w:val="BodyText"/>
      </w:pPr>
    </w:p>
    <w:p w14:paraId="6E2ED680" w14:textId="77777777" w:rsidR="00D06CB2" w:rsidRPr="005C5E32" w:rsidRDefault="00D06CB2" w:rsidP="00A03341">
      <w:pPr>
        <w:pStyle w:val="BodyText"/>
      </w:pPr>
    </w:p>
    <w:p w14:paraId="15E7E01E" w14:textId="77777777" w:rsidR="00D06CB2" w:rsidRPr="005C5E32" w:rsidRDefault="00D06CB2" w:rsidP="00A03341">
      <w:pPr>
        <w:pStyle w:val="BodyText"/>
      </w:pPr>
    </w:p>
    <w:p w14:paraId="7B8D9CDC" w14:textId="77777777" w:rsidR="00D06CB2" w:rsidRPr="005C5E32" w:rsidRDefault="00D06CB2" w:rsidP="00A03341">
      <w:pPr>
        <w:pStyle w:val="Note"/>
      </w:pPr>
      <w:r w:rsidRPr="005C5E32">
        <w:t xml:space="preserve">The accompanying notes form part of these financial statements. </w:t>
      </w:r>
      <w:r w:rsidRPr="005C5E32">
        <w:br w:type="page"/>
      </w:r>
    </w:p>
    <w:p w14:paraId="02C7AC72" w14:textId="77777777" w:rsidR="00D06CB2" w:rsidRPr="005C5E32" w:rsidRDefault="00D06CB2" w:rsidP="005A645E">
      <w:pPr>
        <w:pStyle w:val="Heading2green"/>
      </w:pPr>
      <w:bookmarkStart w:id="287" w:name="_Toc112144613"/>
      <w:bookmarkStart w:id="288" w:name="_Toc207017406"/>
      <w:bookmarkStart w:id="289" w:name="_Toc207017495"/>
      <w:bookmarkStart w:id="290" w:name="_Toc207192312"/>
      <w:bookmarkStart w:id="291" w:name="_Toc239677690"/>
      <w:bookmarkStart w:id="292" w:name="_Toc240445578"/>
      <w:r w:rsidRPr="005C5E32">
        <w:lastRenderedPageBreak/>
        <w:t>Statement of financial position</w:t>
      </w:r>
      <w:bookmarkEnd w:id="287"/>
      <w:bookmarkEnd w:id="288"/>
      <w:bookmarkEnd w:id="289"/>
      <w:bookmarkEnd w:id="290"/>
      <w:bookmarkEnd w:id="291"/>
      <w:bookmarkEnd w:id="292"/>
    </w:p>
    <w:p w14:paraId="412F4317" w14:textId="77777777" w:rsidR="00D06CB2" w:rsidRPr="005C5E32" w:rsidRDefault="00D06CB2" w:rsidP="00A03341">
      <w:pPr>
        <w:pStyle w:val="BodyText"/>
        <w:rPr>
          <w:sz w:val="28"/>
          <w:szCs w:val="28"/>
        </w:rPr>
      </w:pPr>
      <w:r w:rsidRPr="005C5E32">
        <w:rPr>
          <w:sz w:val="28"/>
          <w:szCs w:val="28"/>
        </w:rPr>
        <w:t>as at 30 June 2026</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3686"/>
        <w:gridCol w:w="992"/>
        <w:gridCol w:w="1276"/>
        <w:gridCol w:w="1276"/>
        <w:gridCol w:w="1275"/>
      </w:tblGrid>
      <w:tr w:rsidR="0052115E" w:rsidRPr="005C5E32" w14:paraId="0B898670" w14:textId="77777777" w:rsidTr="00D94A99">
        <w:tc>
          <w:tcPr>
            <w:tcW w:w="3686" w:type="dxa"/>
            <w:tcBorders>
              <w:top w:val="single" w:sz="8" w:space="0" w:color="0E7C7E"/>
              <w:bottom w:val="single" w:sz="2" w:space="0" w:color="000000" w:themeColor="text1"/>
            </w:tcBorders>
            <w:vAlign w:val="bottom"/>
          </w:tcPr>
          <w:p w14:paraId="4D2DB39B" w14:textId="77777777" w:rsidR="0052115E" w:rsidRPr="005C5E32" w:rsidRDefault="0052115E">
            <w:pPr>
              <w:pStyle w:val="TableboldGreen"/>
              <w:spacing w:before="40" w:after="40"/>
            </w:pPr>
          </w:p>
        </w:tc>
        <w:tc>
          <w:tcPr>
            <w:tcW w:w="992" w:type="dxa"/>
            <w:tcBorders>
              <w:top w:val="single" w:sz="8" w:space="0" w:color="0E7C7E"/>
              <w:bottom w:val="single" w:sz="2" w:space="0" w:color="000000" w:themeColor="text1"/>
            </w:tcBorders>
            <w:vAlign w:val="bottom"/>
          </w:tcPr>
          <w:p w14:paraId="6D502184" w14:textId="77777777" w:rsidR="0052115E" w:rsidRPr="005C5E32" w:rsidRDefault="0052115E">
            <w:pPr>
              <w:pStyle w:val="TableboldGreen"/>
              <w:spacing w:before="40" w:after="40"/>
              <w:jc w:val="right"/>
            </w:pPr>
            <w:r w:rsidRPr="005C5E32">
              <w:rPr>
                <w:color w:val="0E7C7E"/>
              </w:rPr>
              <w:t>Notes</w:t>
            </w:r>
          </w:p>
        </w:tc>
        <w:tc>
          <w:tcPr>
            <w:tcW w:w="1276" w:type="dxa"/>
            <w:tcBorders>
              <w:top w:val="single" w:sz="8" w:space="0" w:color="0E7C7E"/>
              <w:bottom w:val="single" w:sz="2" w:space="0" w:color="000000" w:themeColor="text1"/>
            </w:tcBorders>
            <w:vAlign w:val="bottom"/>
          </w:tcPr>
          <w:p w14:paraId="3622A77C" w14:textId="77777777" w:rsidR="0052115E" w:rsidRPr="005C5E32" w:rsidRDefault="0052115E">
            <w:pPr>
              <w:pStyle w:val="TableboldGreen"/>
              <w:spacing w:before="40" w:after="40"/>
              <w:jc w:val="right"/>
            </w:pPr>
            <w:r w:rsidRPr="005C5E32">
              <w:rPr>
                <w:rFonts w:cstheme="minorBidi"/>
                <w:bCs/>
                <w:color w:val="0E7C7E"/>
                <w:szCs w:val="18"/>
              </w:rPr>
              <w:t>2024/25</w:t>
            </w:r>
            <w:r w:rsidRPr="005C5E32">
              <w:rPr>
                <w:rFonts w:cstheme="minorBidi"/>
                <w:bCs/>
                <w:color w:val="0E7C7E"/>
                <w:szCs w:val="18"/>
              </w:rPr>
              <w:br/>
            </w:r>
            <w:r w:rsidRPr="005C5E32">
              <w:rPr>
                <w:color w:val="0E7C7E"/>
              </w:rPr>
              <w:t>Actual</w:t>
            </w:r>
            <w:r w:rsidRPr="005C5E32">
              <w:rPr>
                <w:color w:val="0E7C7E"/>
              </w:rPr>
              <w:br/>
              <w:t>$000</w:t>
            </w:r>
          </w:p>
        </w:tc>
        <w:tc>
          <w:tcPr>
            <w:tcW w:w="1276" w:type="dxa"/>
            <w:tcBorders>
              <w:top w:val="single" w:sz="8" w:space="0" w:color="0E7C7E"/>
              <w:bottom w:val="single" w:sz="2" w:space="0" w:color="000000" w:themeColor="text1"/>
            </w:tcBorders>
            <w:vAlign w:val="bottom"/>
          </w:tcPr>
          <w:p w14:paraId="6A80147D" w14:textId="77777777" w:rsidR="0052115E" w:rsidRPr="005C5E32" w:rsidRDefault="0052115E">
            <w:pPr>
              <w:pStyle w:val="TableboldGreen"/>
              <w:spacing w:before="40" w:after="40"/>
              <w:jc w:val="right"/>
            </w:pPr>
            <w:r w:rsidRPr="005C5E32">
              <w:rPr>
                <w:rFonts w:cstheme="minorBidi"/>
                <w:bCs/>
                <w:color w:val="0E7C7E"/>
                <w:szCs w:val="18"/>
              </w:rPr>
              <w:t>2025/26</w:t>
            </w:r>
            <w:r w:rsidRPr="005C5E32">
              <w:rPr>
                <w:rFonts w:cstheme="minorBidi"/>
                <w:bCs/>
                <w:color w:val="0E7C7E"/>
                <w:szCs w:val="18"/>
              </w:rPr>
              <w:br/>
            </w:r>
            <w:r w:rsidRPr="005C5E32">
              <w:rPr>
                <w:color w:val="0E7C7E"/>
              </w:rPr>
              <w:t>Budget*</w:t>
            </w:r>
            <w:r w:rsidRPr="005C5E32">
              <w:rPr>
                <w:color w:val="0E7C7E"/>
              </w:rPr>
              <w:br/>
              <w:t>$000</w:t>
            </w:r>
          </w:p>
        </w:tc>
        <w:tc>
          <w:tcPr>
            <w:tcW w:w="1275" w:type="dxa"/>
            <w:tcBorders>
              <w:top w:val="single" w:sz="8" w:space="0" w:color="0E7C7E"/>
              <w:bottom w:val="single" w:sz="2" w:space="0" w:color="000000" w:themeColor="text1"/>
            </w:tcBorders>
            <w:shd w:val="clear" w:color="auto" w:fill="E7F2F2"/>
            <w:vAlign w:val="bottom"/>
          </w:tcPr>
          <w:p w14:paraId="4E9EF473" w14:textId="77777777" w:rsidR="0052115E" w:rsidRPr="005C5E32" w:rsidRDefault="0052115E">
            <w:pPr>
              <w:pStyle w:val="TableboldGreen"/>
              <w:spacing w:before="40" w:after="40"/>
              <w:jc w:val="right"/>
            </w:pPr>
            <w:r w:rsidRPr="005C5E32">
              <w:rPr>
                <w:rFonts w:cstheme="minorBidi"/>
                <w:bCs/>
                <w:color w:val="0E7C7E"/>
                <w:szCs w:val="18"/>
              </w:rPr>
              <w:t>2025/26</w:t>
            </w:r>
            <w:r w:rsidRPr="005C5E32">
              <w:rPr>
                <w:rFonts w:cstheme="minorBidi"/>
                <w:bCs/>
                <w:color w:val="0E7C7E"/>
                <w:szCs w:val="18"/>
              </w:rPr>
              <w:br/>
            </w:r>
            <w:r w:rsidRPr="005C5E32">
              <w:rPr>
                <w:color w:val="0E7C7E"/>
              </w:rPr>
              <w:t>Actual</w:t>
            </w:r>
            <w:r w:rsidRPr="005C5E32">
              <w:rPr>
                <w:color w:val="0E7C7E"/>
              </w:rPr>
              <w:br/>
              <w:t>$000</w:t>
            </w:r>
          </w:p>
        </w:tc>
      </w:tr>
      <w:tr w:rsidR="0052115E" w:rsidRPr="005C5E32" w14:paraId="41175980" w14:textId="77777777" w:rsidTr="00D94A99">
        <w:tc>
          <w:tcPr>
            <w:tcW w:w="3686" w:type="dxa"/>
            <w:tcBorders>
              <w:top w:val="single" w:sz="2" w:space="0" w:color="000000" w:themeColor="text1"/>
            </w:tcBorders>
          </w:tcPr>
          <w:p w14:paraId="35F73375" w14:textId="77777777" w:rsidR="0052115E" w:rsidRPr="005C5E32" w:rsidRDefault="0052115E">
            <w:pPr>
              <w:pStyle w:val="TableboldGreen"/>
              <w:spacing w:before="40" w:after="0"/>
            </w:pPr>
            <w:r w:rsidRPr="005C5E32">
              <w:t>Assets</w:t>
            </w:r>
          </w:p>
        </w:tc>
        <w:tc>
          <w:tcPr>
            <w:tcW w:w="992" w:type="dxa"/>
            <w:tcBorders>
              <w:top w:val="single" w:sz="2" w:space="0" w:color="000000" w:themeColor="text1"/>
            </w:tcBorders>
          </w:tcPr>
          <w:p w14:paraId="677DCEE4" w14:textId="77777777" w:rsidR="0052115E" w:rsidRPr="005C5E32" w:rsidRDefault="0052115E">
            <w:pPr>
              <w:pStyle w:val="TableText"/>
              <w:spacing w:before="40" w:after="0"/>
            </w:pPr>
          </w:p>
        </w:tc>
        <w:tc>
          <w:tcPr>
            <w:tcW w:w="1276" w:type="dxa"/>
            <w:tcBorders>
              <w:top w:val="single" w:sz="2" w:space="0" w:color="000000" w:themeColor="text1"/>
            </w:tcBorders>
          </w:tcPr>
          <w:p w14:paraId="6076F44A" w14:textId="77777777" w:rsidR="0052115E" w:rsidRPr="005C5E32" w:rsidRDefault="0052115E">
            <w:pPr>
              <w:pStyle w:val="TableText"/>
              <w:spacing w:before="40" w:after="0"/>
            </w:pPr>
          </w:p>
        </w:tc>
        <w:tc>
          <w:tcPr>
            <w:tcW w:w="1276" w:type="dxa"/>
            <w:tcBorders>
              <w:top w:val="single" w:sz="2" w:space="0" w:color="000000" w:themeColor="text1"/>
            </w:tcBorders>
          </w:tcPr>
          <w:p w14:paraId="4E86B790" w14:textId="77777777" w:rsidR="0052115E" w:rsidRPr="005C5E32" w:rsidRDefault="0052115E">
            <w:pPr>
              <w:pStyle w:val="TableText"/>
              <w:spacing w:before="40" w:after="0"/>
            </w:pPr>
          </w:p>
        </w:tc>
        <w:tc>
          <w:tcPr>
            <w:tcW w:w="1275" w:type="dxa"/>
            <w:vMerge w:val="restart"/>
            <w:tcBorders>
              <w:top w:val="single" w:sz="2" w:space="0" w:color="000000" w:themeColor="text1"/>
            </w:tcBorders>
            <w:shd w:val="clear" w:color="auto" w:fill="E7F2F2"/>
            <w:vAlign w:val="bottom"/>
          </w:tcPr>
          <w:p w14:paraId="213CF2BF" w14:textId="77777777" w:rsidR="0052115E" w:rsidRPr="005C5E32" w:rsidRDefault="0052115E">
            <w:pPr>
              <w:pStyle w:val="TableText"/>
              <w:spacing w:before="40" w:after="40"/>
              <w:jc w:val="right"/>
              <w:rPr>
                <w:color w:val="414042"/>
                <w:szCs w:val="18"/>
              </w:rPr>
            </w:pPr>
            <w:r w:rsidRPr="005C5E32">
              <w:rPr>
                <w:color w:val="414042"/>
                <w:szCs w:val="18"/>
              </w:rPr>
              <w:t xml:space="preserve"> 20,176</w:t>
            </w:r>
          </w:p>
        </w:tc>
      </w:tr>
      <w:tr w:rsidR="0052115E" w:rsidRPr="005C5E32" w14:paraId="06FD9BDF" w14:textId="77777777" w:rsidTr="00D94A99">
        <w:tc>
          <w:tcPr>
            <w:tcW w:w="3686" w:type="dxa"/>
          </w:tcPr>
          <w:p w14:paraId="37D15B51" w14:textId="77777777" w:rsidR="0052115E" w:rsidRPr="005C5E32" w:rsidRDefault="0052115E">
            <w:pPr>
              <w:pStyle w:val="Tablegreen"/>
              <w:spacing w:before="40" w:after="0"/>
            </w:pPr>
            <w:r w:rsidRPr="005C5E32">
              <w:t>Current assets</w:t>
            </w:r>
          </w:p>
        </w:tc>
        <w:tc>
          <w:tcPr>
            <w:tcW w:w="992" w:type="dxa"/>
          </w:tcPr>
          <w:p w14:paraId="75A907C4" w14:textId="77777777" w:rsidR="0052115E" w:rsidRPr="005C5E32" w:rsidRDefault="0052115E">
            <w:pPr>
              <w:pStyle w:val="TableText"/>
              <w:spacing w:before="40" w:after="0"/>
            </w:pPr>
          </w:p>
        </w:tc>
        <w:tc>
          <w:tcPr>
            <w:tcW w:w="1276" w:type="dxa"/>
          </w:tcPr>
          <w:p w14:paraId="709BE622" w14:textId="77777777" w:rsidR="0052115E" w:rsidRPr="005C5E32" w:rsidRDefault="0052115E">
            <w:pPr>
              <w:pStyle w:val="TableText"/>
              <w:spacing w:before="40" w:after="0"/>
            </w:pPr>
          </w:p>
        </w:tc>
        <w:tc>
          <w:tcPr>
            <w:tcW w:w="1276" w:type="dxa"/>
          </w:tcPr>
          <w:p w14:paraId="27D890FA" w14:textId="77777777" w:rsidR="0052115E" w:rsidRPr="005C5E32" w:rsidRDefault="0052115E">
            <w:pPr>
              <w:pStyle w:val="TableText"/>
              <w:spacing w:before="40" w:after="0"/>
            </w:pPr>
          </w:p>
        </w:tc>
        <w:tc>
          <w:tcPr>
            <w:tcW w:w="1275" w:type="dxa"/>
            <w:vMerge/>
            <w:shd w:val="clear" w:color="auto" w:fill="E7F2F2"/>
          </w:tcPr>
          <w:p w14:paraId="3A3E8C94" w14:textId="77777777" w:rsidR="0052115E" w:rsidRPr="005C5E32" w:rsidRDefault="0052115E">
            <w:pPr>
              <w:spacing w:before="40" w:after="0"/>
              <w:rPr>
                <w:rFonts w:asciiTheme="minorHAnsi" w:hAnsiTheme="minorHAnsi" w:cstheme="minorHAnsi"/>
                <w:highlight w:val="yellow"/>
              </w:rPr>
            </w:pPr>
          </w:p>
        </w:tc>
      </w:tr>
      <w:tr w:rsidR="0052115E" w:rsidRPr="005C5E32" w14:paraId="4B000FC9" w14:textId="77777777" w:rsidTr="00D94A99">
        <w:tc>
          <w:tcPr>
            <w:tcW w:w="3686" w:type="dxa"/>
            <w:tcBorders>
              <w:bottom w:val="single" w:sz="2" w:space="0" w:color="58595B"/>
            </w:tcBorders>
          </w:tcPr>
          <w:p w14:paraId="4A51708F" w14:textId="77777777" w:rsidR="0052115E" w:rsidRPr="005C5E32" w:rsidRDefault="0052115E">
            <w:pPr>
              <w:pStyle w:val="TableText"/>
              <w:spacing w:before="40" w:after="40"/>
            </w:pPr>
            <w:r w:rsidRPr="005C5E32">
              <w:t>Cash and cash equivalents</w:t>
            </w:r>
          </w:p>
        </w:tc>
        <w:tc>
          <w:tcPr>
            <w:tcW w:w="992" w:type="dxa"/>
            <w:tcBorders>
              <w:bottom w:val="single" w:sz="2" w:space="0" w:color="58595B"/>
            </w:tcBorders>
          </w:tcPr>
          <w:p w14:paraId="315800C8" w14:textId="77777777" w:rsidR="0052115E" w:rsidRPr="005C5E32" w:rsidRDefault="0052115E">
            <w:pPr>
              <w:pStyle w:val="TableText"/>
              <w:spacing w:before="40" w:after="40"/>
              <w:jc w:val="right"/>
            </w:pPr>
          </w:p>
        </w:tc>
        <w:tc>
          <w:tcPr>
            <w:tcW w:w="1276" w:type="dxa"/>
            <w:tcBorders>
              <w:bottom w:val="single" w:sz="2" w:space="0" w:color="58595B"/>
            </w:tcBorders>
          </w:tcPr>
          <w:p w14:paraId="1822C28A" w14:textId="77777777" w:rsidR="0052115E" w:rsidRPr="005C5E32" w:rsidRDefault="0052115E">
            <w:pPr>
              <w:pStyle w:val="TableText"/>
              <w:spacing w:before="40" w:after="40"/>
              <w:jc w:val="right"/>
              <w:rPr>
                <w:szCs w:val="18"/>
              </w:rPr>
            </w:pPr>
            <w:r w:rsidRPr="005C5E32">
              <w:rPr>
                <w:szCs w:val="18"/>
              </w:rPr>
              <w:t>15,708</w:t>
            </w:r>
          </w:p>
        </w:tc>
        <w:tc>
          <w:tcPr>
            <w:tcW w:w="1276" w:type="dxa"/>
            <w:tcBorders>
              <w:bottom w:val="single" w:sz="2" w:space="0" w:color="58595B"/>
            </w:tcBorders>
          </w:tcPr>
          <w:p w14:paraId="088DDF5C" w14:textId="77777777" w:rsidR="0052115E" w:rsidRPr="005C5E32" w:rsidRDefault="0052115E">
            <w:pPr>
              <w:pStyle w:val="TableText"/>
              <w:spacing w:before="40" w:after="40"/>
              <w:jc w:val="right"/>
              <w:rPr>
                <w:szCs w:val="18"/>
              </w:rPr>
            </w:pPr>
            <w:r w:rsidRPr="005C5E32">
              <w:rPr>
                <w:szCs w:val="18"/>
              </w:rPr>
              <w:t>16,408</w:t>
            </w:r>
          </w:p>
        </w:tc>
        <w:tc>
          <w:tcPr>
            <w:tcW w:w="1275" w:type="dxa"/>
            <w:vMerge/>
            <w:shd w:val="clear" w:color="auto" w:fill="E7F2F2"/>
          </w:tcPr>
          <w:p w14:paraId="45BE7AE1" w14:textId="77777777" w:rsidR="0052115E" w:rsidRPr="005C5E32" w:rsidRDefault="0052115E">
            <w:pPr>
              <w:pStyle w:val="TableText"/>
              <w:spacing w:before="40" w:after="40"/>
              <w:jc w:val="right"/>
              <w:rPr>
                <w:highlight w:val="yellow"/>
              </w:rPr>
            </w:pPr>
          </w:p>
        </w:tc>
      </w:tr>
      <w:tr w:rsidR="0052115E" w:rsidRPr="005C5E32" w14:paraId="1A3B2469" w14:textId="77777777" w:rsidTr="00D94A99">
        <w:tc>
          <w:tcPr>
            <w:tcW w:w="3686" w:type="dxa"/>
            <w:tcBorders>
              <w:top w:val="single" w:sz="2" w:space="0" w:color="58595B"/>
              <w:bottom w:val="single" w:sz="2" w:space="0" w:color="58595B"/>
            </w:tcBorders>
          </w:tcPr>
          <w:p w14:paraId="5C6A6D81" w14:textId="77777777" w:rsidR="0052115E" w:rsidRPr="005C5E32" w:rsidRDefault="0052115E">
            <w:pPr>
              <w:pStyle w:val="TableText"/>
              <w:spacing w:before="40" w:after="40"/>
            </w:pPr>
            <w:r w:rsidRPr="005C5E32">
              <w:t>Receivables</w:t>
            </w:r>
          </w:p>
        </w:tc>
        <w:tc>
          <w:tcPr>
            <w:tcW w:w="992" w:type="dxa"/>
            <w:tcBorders>
              <w:top w:val="single" w:sz="2" w:space="0" w:color="58595B"/>
              <w:bottom w:val="single" w:sz="2" w:space="0" w:color="58595B"/>
            </w:tcBorders>
          </w:tcPr>
          <w:p w14:paraId="79F7E5BF" w14:textId="77777777" w:rsidR="0052115E" w:rsidRPr="005C5E32" w:rsidRDefault="0052115E">
            <w:pPr>
              <w:pStyle w:val="TableText"/>
              <w:spacing w:before="40" w:after="40"/>
              <w:jc w:val="right"/>
            </w:pPr>
            <w:r w:rsidRPr="005C5E32">
              <w:t>7</w:t>
            </w:r>
          </w:p>
        </w:tc>
        <w:tc>
          <w:tcPr>
            <w:tcW w:w="1276" w:type="dxa"/>
            <w:tcBorders>
              <w:top w:val="single" w:sz="2" w:space="0" w:color="58595B"/>
              <w:bottom w:val="single" w:sz="2" w:space="0" w:color="58595B"/>
            </w:tcBorders>
          </w:tcPr>
          <w:p w14:paraId="3635C234" w14:textId="67B65CFD" w:rsidR="0052115E" w:rsidRPr="005C5E32" w:rsidRDefault="0052115E">
            <w:pPr>
              <w:pStyle w:val="TableText"/>
              <w:spacing w:before="40" w:after="40"/>
              <w:jc w:val="right"/>
              <w:rPr>
                <w:szCs w:val="18"/>
              </w:rPr>
            </w:pPr>
            <w:r w:rsidRPr="005C5E32">
              <w:rPr>
                <w:szCs w:val="18"/>
              </w:rPr>
              <w:t>31,2</w:t>
            </w:r>
            <w:r w:rsidR="007E3218" w:rsidRPr="005C5E32">
              <w:rPr>
                <w:szCs w:val="18"/>
              </w:rPr>
              <w:t>51</w:t>
            </w:r>
          </w:p>
        </w:tc>
        <w:tc>
          <w:tcPr>
            <w:tcW w:w="1276" w:type="dxa"/>
            <w:tcBorders>
              <w:top w:val="single" w:sz="2" w:space="0" w:color="58595B"/>
              <w:bottom w:val="single" w:sz="2" w:space="0" w:color="58595B"/>
            </w:tcBorders>
          </w:tcPr>
          <w:p w14:paraId="47681B6F" w14:textId="77777777" w:rsidR="0052115E" w:rsidRPr="005C5E32" w:rsidRDefault="0052115E">
            <w:pPr>
              <w:pStyle w:val="TableText"/>
              <w:spacing w:before="40" w:after="40"/>
              <w:jc w:val="right"/>
            </w:pPr>
            <w:r w:rsidRPr="005C5E32">
              <w:t>16,203</w:t>
            </w:r>
          </w:p>
        </w:tc>
        <w:tc>
          <w:tcPr>
            <w:tcW w:w="1275" w:type="dxa"/>
            <w:tcBorders>
              <w:top w:val="single" w:sz="2" w:space="0" w:color="58595B"/>
              <w:bottom w:val="single" w:sz="2" w:space="0" w:color="58595B"/>
            </w:tcBorders>
            <w:shd w:val="clear" w:color="auto" w:fill="E7F2F2"/>
          </w:tcPr>
          <w:p w14:paraId="7FF1434B" w14:textId="77777777" w:rsidR="0052115E" w:rsidRPr="005C5E32" w:rsidRDefault="0052115E">
            <w:pPr>
              <w:pStyle w:val="TableText"/>
              <w:spacing w:before="40" w:after="40"/>
              <w:jc w:val="right"/>
              <w:rPr>
                <w:szCs w:val="18"/>
              </w:rPr>
            </w:pPr>
            <w:r w:rsidRPr="005C5E32">
              <w:rPr>
                <w:szCs w:val="18"/>
              </w:rPr>
              <w:t>26,705</w:t>
            </w:r>
          </w:p>
        </w:tc>
      </w:tr>
      <w:tr w:rsidR="0052115E" w:rsidRPr="005C5E32" w14:paraId="75C7C730" w14:textId="77777777" w:rsidTr="00D94A99">
        <w:tc>
          <w:tcPr>
            <w:tcW w:w="3686" w:type="dxa"/>
            <w:tcBorders>
              <w:top w:val="single" w:sz="2" w:space="0" w:color="58595B"/>
              <w:bottom w:val="single" w:sz="2" w:space="0" w:color="58595B"/>
            </w:tcBorders>
          </w:tcPr>
          <w:p w14:paraId="69F07E00" w14:textId="77777777" w:rsidR="0052115E" w:rsidRPr="005C5E32" w:rsidRDefault="0052115E">
            <w:pPr>
              <w:pStyle w:val="TableText"/>
              <w:spacing w:before="40" w:after="40"/>
            </w:pPr>
            <w:r w:rsidRPr="005C5E32">
              <w:t>Prepayments</w:t>
            </w:r>
          </w:p>
        </w:tc>
        <w:tc>
          <w:tcPr>
            <w:tcW w:w="992" w:type="dxa"/>
            <w:tcBorders>
              <w:top w:val="single" w:sz="2" w:space="0" w:color="58595B"/>
              <w:bottom w:val="single" w:sz="2" w:space="0" w:color="58595B"/>
            </w:tcBorders>
          </w:tcPr>
          <w:p w14:paraId="4A1EA622" w14:textId="77777777" w:rsidR="0052115E" w:rsidRPr="005C5E32" w:rsidRDefault="0052115E">
            <w:pPr>
              <w:pStyle w:val="TableText"/>
              <w:spacing w:before="40" w:after="40"/>
              <w:jc w:val="right"/>
            </w:pPr>
          </w:p>
        </w:tc>
        <w:tc>
          <w:tcPr>
            <w:tcW w:w="1276" w:type="dxa"/>
            <w:tcBorders>
              <w:top w:val="single" w:sz="2" w:space="0" w:color="58595B"/>
              <w:bottom w:val="single" w:sz="2" w:space="0" w:color="58595B"/>
            </w:tcBorders>
          </w:tcPr>
          <w:p w14:paraId="14D841EB" w14:textId="77777777" w:rsidR="0052115E" w:rsidRPr="005C5E32" w:rsidRDefault="0052115E">
            <w:pPr>
              <w:pStyle w:val="TableText"/>
              <w:spacing w:before="40" w:after="40"/>
              <w:jc w:val="right"/>
              <w:rPr>
                <w:szCs w:val="18"/>
              </w:rPr>
            </w:pPr>
            <w:r w:rsidRPr="005C5E32">
              <w:rPr>
                <w:szCs w:val="18"/>
              </w:rPr>
              <w:t>1,366</w:t>
            </w:r>
          </w:p>
        </w:tc>
        <w:tc>
          <w:tcPr>
            <w:tcW w:w="1276" w:type="dxa"/>
            <w:tcBorders>
              <w:top w:val="single" w:sz="2" w:space="0" w:color="58595B"/>
              <w:bottom w:val="single" w:sz="2" w:space="0" w:color="58595B"/>
            </w:tcBorders>
          </w:tcPr>
          <w:p w14:paraId="4765867F" w14:textId="77777777" w:rsidR="0052115E" w:rsidRPr="005C5E32" w:rsidRDefault="0052115E">
            <w:pPr>
              <w:pStyle w:val="TableText"/>
              <w:spacing w:before="40" w:after="40"/>
              <w:jc w:val="right"/>
              <w:rPr>
                <w:szCs w:val="18"/>
              </w:rPr>
            </w:pPr>
            <w:r w:rsidRPr="005C5E32">
              <w:rPr>
                <w:szCs w:val="18"/>
              </w:rPr>
              <w:t>1,000</w:t>
            </w:r>
          </w:p>
        </w:tc>
        <w:tc>
          <w:tcPr>
            <w:tcW w:w="1275" w:type="dxa"/>
            <w:tcBorders>
              <w:top w:val="single" w:sz="2" w:space="0" w:color="58595B"/>
              <w:bottom w:val="single" w:sz="2" w:space="0" w:color="58595B"/>
            </w:tcBorders>
            <w:shd w:val="clear" w:color="auto" w:fill="E7F2F2"/>
          </w:tcPr>
          <w:p w14:paraId="1CE5A3D6" w14:textId="77777777" w:rsidR="0052115E" w:rsidRPr="005C5E32" w:rsidRDefault="0052115E">
            <w:pPr>
              <w:pStyle w:val="TableText"/>
              <w:spacing w:before="40" w:after="40"/>
              <w:jc w:val="right"/>
              <w:rPr>
                <w:szCs w:val="18"/>
              </w:rPr>
            </w:pPr>
            <w:r w:rsidRPr="005C5E32">
              <w:rPr>
                <w:szCs w:val="18"/>
              </w:rPr>
              <w:t>947</w:t>
            </w:r>
          </w:p>
        </w:tc>
      </w:tr>
      <w:tr w:rsidR="0052115E" w:rsidRPr="005C5E32" w14:paraId="42236887" w14:textId="77777777" w:rsidTr="00D94A99">
        <w:tc>
          <w:tcPr>
            <w:tcW w:w="3686" w:type="dxa"/>
            <w:tcBorders>
              <w:top w:val="single" w:sz="2" w:space="0" w:color="58595B"/>
              <w:bottom w:val="single" w:sz="2" w:space="0" w:color="000000" w:themeColor="text1"/>
            </w:tcBorders>
          </w:tcPr>
          <w:p w14:paraId="0C316138" w14:textId="77777777" w:rsidR="0052115E" w:rsidRPr="005C5E32" w:rsidRDefault="0052115E">
            <w:pPr>
              <w:pStyle w:val="TableText"/>
              <w:spacing w:before="40" w:after="40"/>
            </w:pPr>
            <w:r w:rsidRPr="005C5E32">
              <w:t>Total current assets</w:t>
            </w:r>
          </w:p>
        </w:tc>
        <w:tc>
          <w:tcPr>
            <w:tcW w:w="992" w:type="dxa"/>
            <w:tcBorders>
              <w:top w:val="single" w:sz="2" w:space="0" w:color="58595B"/>
              <w:bottom w:val="single" w:sz="2" w:space="0" w:color="000000" w:themeColor="text1"/>
            </w:tcBorders>
          </w:tcPr>
          <w:p w14:paraId="5D6B60A8" w14:textId="77777777" w:rsidR="0052115E" w:rsidRPr="005C5E32" w:rsidRDefault="0052115E">
            <w:pPr>
              <w:pStyle w:val="TableText"/>
              <w:spacing w:before="40" w:after="40"/>
              <w:jc w:val="right"/>
            </w:pPr>
          </w:p>
        </w:tc>
        <w:tc>
          <w:tcPr>
            <w:tcW w:w="1276" w:type="dxa"/>
            <w:tcBorders>
              <w:top w:val="single" w:sz="2" w:space="0" w:color="58595B"/>
              <w:bottom w:val="single" w:sz="2" w:space="0" w:color="000000" w:themeColor="text1"/>
            </w:tcBorders>
          </w:tcPr>
          <w:p w14:paraId="7B67F986" w14:textId="77777777" w:rsidR="0052115E" w:rsidRPr="005C5E32" w:rsidRDefault="0052115E">
            <w:pPr>
              <w:pStyle w:val="TableText"/>
              <w:spacing w:before="40" w:after="40"/>
              <w:jc w:val="right"/>
              <w:rPr>
                <w:szCs w:val="18"/>
              </w:rPr>
            </w:pPr>
            <w:r w:rsidRPr="005C5E32">
              <w:rPr>
                <w:szCs w:val="18"/>
              </w:rPr>
              <w:t>48,325</w:t>
            </w:r>
          </w:p>
        </w:tc>
        <w:tc>
          <w:tcPr>
            <w:tcW w:w="1276" w:type="dxa"/>
            <w:tcBorders>
              <w:top w:val="single" w:sz="2" w:space="0" w:color="58595B"/>
              <w:bottom w:val="single" w:sz="2" w:space="0" w:color="000000" w:themeColor="text1"/>
            </w:tcBorders>
          </w:tcPr>
          <w:p w14:paraId="5EDC8A7B" w14:textId="54421A02" w:rsidR="0052115E" w:rsidRPr="005C5E32" w:rsidRDefault="00D301C0">
            <w:pPr>
              <w:pStyle w:val="TableText"/>
              <w:spacing w:before="40" w:after="40"/>
              <w:jc w:val="right"/>
              <w:rPr>
                <w:szCs w:val="18"/>
              </w:rPr>
            </w:pPr>
            <w:r>
              <w:rPr>
                <w:szCs w:val="18"/>
              </w:rPr>
              <w:t>33,</w:t>
            </w:r>
            <w:r w:rsidR="007E3218" w:rsidRPr="005C5E32">
              <w:rPr>
                <w:szCs w:val="18"/>
              </w:rPr>
              <w:t>61</w:t>
            </w:r>
            <w:r w:rsidR="0052115E" w:rsidRPr="005C5E32">
              <w:rPr>
                <w:szCs w:val="18"/>
              </w:rPr>
              <w:t>1</w:t>
            </w:r>
          </w:p>
        </w:tc>
        <w:tc>
          <w:tcPr>
            <w:tcW w:w="1275" w:type="dxa"/>
            <w:tcBorders>
              <w:top w:val="single" w:sz="2" w:space="0" w:color="58595B"/>
              <w:bottom w:val="single" w:sz="2" w:space="0" w:color="000000" w:themeColor="text1"/>
            </w:tcBorders>
            <w:shd w:val="clear" w:color="auto" w:fill="E7F2F2"/>
          </w:tcPr>
          <w:p w14:paraId="4DB973D0" w14:textId="77777777" w:rsidR="0052115E" w:rsidRPr="005C5E32" w:rsidRDefault="0052115E">
            <w:pPr>
              <w:pStyle w:val="TableText"/>
              <w:spacing w:before="40" w:after="40"/>
              <w:jc w:val="right"/>
              <w:rPr>
                <w:szCs w:val="18"/>
              </w:rPr>
            </w:pPr>
            <w:r w:rsidRPr="005C5E32">
              <w:rPr>
                <w:szCs w:val="18"/>
              </w:rPr>
              <w:t>47,828</w:t>
            </w:r>
          </w:p>
        </w:tc>
      </w:tr>
      <w:tr w:rsidR="0052115E" w:rsidRPr="005C5E32" w14:paraId="53E65CF2" w14:textId="77777777" w:rsidTr="00D94A99">
        <w:tc>
          <w:tcPr>
            <w:tcW w:w="3686" w:type="dxa"/>
            <w:tcBorders>
              <w:top w:val="single" w:sz="2" w:space="0" w:color="000000" w:themeColor="text1"/>
            </w:tcBorders>
          </w:tcPr>
          <w:p w14:paraId="636DD95C" w14:textId="77777777" w:rsidR="0052115E" w:rsidRPr="005C5E32" w:rsidRDefault="0052115E">
            <w:pPr>
              <w:pStyle w:val="Tablegreen"/>
              <w:spacing w:before="40" w:after="0"/>
            </w:pPr>
            <w:r w:rsidRPr="005C5E32">
              <w:t>Non-current assets</w:t>
            </w:r>
          </w:p>
        </w:tc>
        <w:tc>
          <w:tcPr>
            <w:tcW w:w="992" w:type="dxa"/>
            <w:tcBorders>
              <w:top w:val="single" w:sz="2" w:space="0" w:color="000000" w:themeColor="text1"/>
            </w:tcBorders>
          </w:tcPr>
          <w:p w14:paraId="083881DB" w14:textId="77777777" w:rsidR="0052115E" w:rsidRPr="005C5E32" w:rsidRDefault="0052115E">
            <w:pPr>
              <w:pStyle w:val="TableText"/>
              <w:spacing w:before="40" w:after="0"/>
            </w:pPr>
          </w:p>
        </w:tc>
        <w:tc>
          <w:tcPr>
            <w:tcW w:w="1276" w:type="dxa"/>
            <w:tcBorders>
              <w:top w:val="single" w:sz="2" w:space="0" w:color="000000" w:themeColor="text1"/>
            </w:tcBorders>
          </w:tcPr>
          <w:p w14:paraId="7ADA6374" w14:textId="77777777" w:rsidR="0052115E" w:rsidRPr="005C5E32" w:rsidRDefault="0052115E">
            <w:pPr>
              <w:pStyle w:val="TableText"/>
              <w:spacing w:before="40" w:after="0"/>
            </w:pPr>
          </w:p>
        </w:tc>
        <w:tc>
          <w:tcPr>
            <w:tcW w:w="1276" w:type="dxa"/>
            <w:tcBorders>
              <w:top w:val="single" w:sz="2" w:space="0" w:color="000000" w:themeColor="text1"/>
            </w:tcBorders>
          </w:tcPr>
          <w:p w14:paraId="2726627C" w14:textId="77777777" w:rsidR="0052115E" w:rsidRPr="005C5E32" w:rsidRDefault="0052115E">
            <w:pPr>
              <w:pStyle w:val="TableText"/>
              <w:spacing w:before="40" w:after="0"/>
            </w:pPr>
          </w:p>
        </w:tc>
        <w:tc>
          <w:tcPr>
            <w:tcW w:w="1275" w:type="dxa"/>
            <w:vMerge w:val="restart"/>
            <w:tcBorders>
              <w:top w:val="single" w:sz="2" w:space="0" w:color="000000" w:themeColor="text1"/>
            </w:tcBorders>
            <w:shd w:val="clear" w:color="auto" w:fill="E7F2F2"/>
            <w:vAlign w:val="bottom"/>
          </w:tcPr>
          <w:p w14:paraId="069D06F1" w14:textId="77777777" w:rsidR="0052115E" w:rsidRPr="005C5E32" w:rsidRDefault="0052115E">
            <w:pPr>
              <w:pStyle w:val="TableText"/>
              <w:spacing w:before="40" w:after="40"/>
              <w:jc w:val="right"/>
            </w:pPr>
            <w:r w:rsidRPr="005C5E32">
              <w:t>758</w:t>
            </w:r>
          </w:p>
        </w:tc>
      </w:tr>
      <w:tr w:rsidR="0052115E" w:rsidRPr="005C5E32" w14:paraId="18C0AF28" w14:textId="77777777" w:rsidTr="00D94A99">
        <w:tc>
          <w:tcPr>
            <w:tcW w:w="3686" w:type="dxa"/>
            <w:tcBorders>
              <w:bottom w:val="single" w:sz="2" w:space="0" w:color="58595B"/>
            </w:tcBorders>
          </w:tcPr>
          <w:p w14:paraId="47889AC3" w14:textId="77777777" w:rsidR="0052115E" w:rsidRPr="005C5E32" w:rsidRDefault="0052115E">
            <w:pPr>
              <w:pStyle w:val="TableText"/>
              <w:spacing w:before="40" w:after="40"/>
            </w:pPr>
            <w:r w:rsidRPr="005C5E32">
              <w:t>Plant and equipment</w:t>
            </w:r>
          </w:p>
        </w:tc>
        <w:tc>
          <w:tcPr>
            <w:tcW w:w="992" w:type="dxa"/>
            <w:tcBorders>
              <w:bottom w:val="single" w:sz="2" w:space="0" w:color="58595B"/>
            </w:tcBorders>
          </w:tcPr>
          <w:p w14:paraId="5EA6056D" w14:textId="77777777" w:rsidR="0052115E" w:rsidRPr="005C5E32" w:rsidRDefault="0052115E">
            <w:pPr>
              <w:pStyle w:val="TableText"/>
              <w:spacing w:before="40" w:after="40"/>
              <w:jc w:val="right"/>
            </w:pPr>
            <w:r w:rsidRPr="005C5E32">
              <w:t>8</w:t>
            </w:r>
          </w:p>
        </w:tc>
        <w:tc>
          <w:tcPr>
            <w:tcW w:w="1276" w:type="dxa"/>
            <w:tcBorders>
              <w:bottom w:val="single" w:sz="2" w:space="0" w:color="58595B"/>
            </w:tcBorders>
          </w:tcPr>
          <w:p w14:paraId="222B1797" w14:textId="77777777" w:rsidR="0052115E" w:rsidRPr="005C5E32" w:rsidRDefault="0052115E">
            <w:pPr>
              <w:pStyle w:val="TableText"/>
              <w:spacing w:before="40" w:after="40"/>
              <w:jc w:val="right"/>
              <w:rPr>
                <w:szCs w:val="18"/>
              </w:rPr>
            </w:pPr>
            <w:r w:rsidRPr="005C5E32">
              <w:rPr>
                <w:szCs w:val="18"/>
              </w:rPr>
              <w:t>366</w:t>
            </w:r>
          </w:p>
        </w:tc>
        <w:tc>
          <w:tcPr>
            <w:tcW w:w="1276" w:type="dxa"/>
            <w:tcBorders>
              <w:bottom w:val="single" w:sz="2" w:space="0" w:color="58595B"/>
            </w:tcBorders>
          </w:tcPr>
          <w:p w14:paraId="6A34D265" w14:textId="77777777" w:rsidR="0052115E" w:rsidRPr="005C5E32" w:rsidRDefault="0052115E">
            <w:pPr>
              <w:pStyle w:val="TableText"/>
              <w:spacing w:before="40" w:after="40"/>
              <w:jc w:val="right"/>
              <w:rPr>
                <w:szCs w:val="18"/>
              </w:rPr>
            </w:pPr>
            <w:r w:rsidRPr="005C5E32">
              <w:rPr>
                <w:szCs w:val="18"/>
              </w:rPr>
              <w:t>519</w:t>
            </w:r>
          </w:p>
        </w:tc>
        <w:tc>
          <w:tcPr>
            <w:tcW w:w="1275" w:type="dxa"/>
            <w:vMerge/>
            <w:shd w:val="clear" w:color="auto" w:fill="E7F2F2"/>
          </w:tcPr>
          <w:p w14:paraId="07786508" w14:textId="77777777" w:rsidR="0052115E" w:rsidRPr="005C5E32" w:rsidRDefault="0052115E">
            <w:pPr>
              <w:pStyle w:val="TableText"/>
              <w:spacing w:before="40" w:after="40"/>
              <w:jc w:val="right"/>
              <w:rPr>
                <w:highlight w:val="yellow"/>
              </w:rPr>
            </w:pPr>
          </w:p>
        </w:tc>
      </w:tr>
      <w:tr w:rsidR="0052115E" w:rsidRPr="005C5E32" w14:paraId="794FEAD9" w14:textId="77777777" w:rsidTr="00D94A99">
        <w:tc>
          <w:tcPr>
            <w:tcW w:w="3686" w:type="dxa"/>
            <w:tcBorders>
              <w:top w:val="single" w:sz="2" w:space="0" w:color="58595B"/>
              <w:bottom w:val="single" w:sz="4" w:space="0" w:color="000000" w:themeColor="text1"/>
            </w:tcBorders>
          </w:tcPr>
          <w:p w14:paraId="330C5EC9" w14:textId="77777777" w:rsidR="0052115E" w:rsidRPr="005C5E32" w:rsidRDefault="0052115E">
            <w:pPr>
              <w:pStyle w:val="TableText"/>
              <w:spacing w:before="40" w:after="40"/>
            </w:pPr>
            <w:r w:rsidRPr="005C5E32">
              <w:t>Intangible assets</w:t>
            </w:r>
          </w:p>
        </w:tc>
        <w:tc>
          <w:tcPr>
            <w:tcW w:w="992" w:type="dxa"/>
            <w:tcBorders>
              <w:top w:val="single" w:sz="2" w:space="0" w:color="58595B"/>
              <w:bottom w:val="single" w:sz="4" w:space="0" w:color="000000" w:themeColor="text1"/>
            </w:tcBorders>
          </w:tcPr>
          <w:p w14:paraId="7C9D02E8" w14:textId="77777777" w:rsidR="0052115E" w:rsidRPr="005C5E32" w:rsidRDefault="0052115E">
            <w:pPr>
              <w:pStyle w:val="TableText"/>
              <w:spacing w:before="40" w:after="40"/>
              <w:jc w:val="right"/>
            </w:pPr>
            <w:r w:rsidRPr="005C5E32">
              <w:t>9</w:t>
            </w:r>
          </w:p>
        </w:tc>
        <w:tc>
          <w:tcPr>
            <w:tcW w:w="1276" w:type="dxa"/>
            <w:tcBorders>
              <w:top w:val="single" w:sz="2" w:space="0" w:color="58595B"/>
              <w:bottom w:val="single" w:sz="4" w:space="0" w:color="000000" w:themeColor="text1"/>
            </w:tcBorders>
          </w:tcPr>
          <w:p w14:paraId="2E857FD5" w14:textId="77777777" w:rsidR="0052115E" w:rsidRPr="005C5E32" w:rsidRDefault="0052115E">
            <w:pPr>
              <w:pStyle w:val="TableText"/>
              <w:spacing w:before="40" w:after="40"/>
              <w:jc w:val="right"/>
              <w:rPr>
                <w:szCs w:val="18"/>
              </w:rPr>
            </w:pPr>
            <w:r w:rsidRPr="005C5E32">
              <w:rPr>
                <w:szCs w:val="18"/>
              </w:rPr>
              <w:t>10</w:t>
            </w:r>
          </w:p>
        </w:tc>
        <w:tc>
          <w:tcPr>
            <w:tcW w:w="1276" w:type="dxa"/>
            <w:tcBorders>
              <w:top w:val="single" w:sz="2" w:space="0" w:color="58595B"/>
              <w:bottom w:val="single" w:sz="4" w:space="0" w:color="000000" w:themeColor="text1"/>
            </w:tcBorders>
          </w:tcPr>
          <w:p w14:paraId="5285EA77" w14:textId="77777777" w:rsidR="0052115E" w:rsidRPr="005C5E32" w:rsidRDefault="0052115E">
            <w:pPr>
              <w:pStyle w:val="TableText"/>
              <w:spacing w:before="40" w:after="40"/>
              <w:jc w:val="right"/>
              <w:rPr>
                <w:szCs w:val="18"/>
              </w:rPr>
            </w:pPr>
            <w:r w:rsidRPr="005C5E32">
              <w:rPr>
                <w:szCs w:val="18"/>
              </w:rPr>
              <w:t>794</w:t>
            </w:r>
          </w:p>
        </w:tc>
        <w:tc>
          <w:tcPr>
            <w:tcW w:w="1275" w:type="dxa"/>
            <w:tcBorders>
              <w:top w:val="single" w:sz="2" w:space="0" w:color="58595B"/>
              <w:bottom w:val="single" w:sz="4" w:space="0" w:color="000000" w:themeColor="text1"/>
            </w:tcBorders>
            <w:shd w:val="clear" w:color="auto" w:fill="E7F2F2"/>
          </w:tcPr>
          <w:p w14:paraId="7680BA22" w14:textId="77777777" w:rsidR="0052115E" w:rsidRPr="005C5E32" w:rsidRDefault="0052115E">
            <w:pPr>
              <w:pStyle w:val="TableText"/>
              <w:spacing w:before="40" w:after="40"/>
              <w:jc w:val="right"/>
              <w:rPr>
                <w:szCs w:val="18"/>
              </w:rPr>
            </w:pPr>
            <w:r w:rsidRPr="005C5E32">
              <w:t>–</w:t>
            </w:r>
          </w:p>
        </w:tc>
      </w:tr>
      <w:tr w:rsidR="0052115E" w:rsidRPr="005C5E32" w14:paraId="2E1D52CD" w14:textId="77777777" w:rsidTr="00D94A99">
        <w:tc>
          <w:tcPr>
            <w:tcW w:w="3686" w:type="dxa"/>
            <w:tcBorders>
              <w:top w:val="single" w:sz="4" w:space="0" w:color="000000" w:themeColor="text1"/>
              <w:bottom w:val="single" w:sz="4" w:space="0" w:color="000000" w:themeColor="text1"/>
            </w:tcBorders>
          </w:tcPr>
          <w:p w14:paraId="09F1895C" w14:textId="77777777" w:rsidR="0052115E" w:rsidRPr="005C5E32" w:rsidRDefault="0052115E">
            <w:pPr>
              <w:pStyle w:val="TableText"/>
              <w:spacing w:before="40" w:after="40"/>
            </w:pPr>
            <w:r w:rsidRPr="005C5E32">
              <w:t>Total non-current assets</w:t>
            </w:r>
          </w:p>
        </w:tc>
        <w:tc>
          <w:tcPr>
            <w:tcW w:w="992" w:type="dxa"/>
            <w:tcBorders>
              <w:top w:val="single" w:sz="4" w:space="0" w:color="000000" w:themeColor="text1"/>
              <w:bottom w:val="single" w:sz="4" w:space="0" w:color="000000" w:themeColor="text1"/>
            </w:tcBorders>
          </w:tcPr>
          <w:p w14:paraId="122F5216" w14:textId="77777777" w:rsidR="0052115E" w:rsidRPr="005C5E32" w:rsidRDefault="0052115E">
            <w:pPr>
              <w:pStyle w:val="TableText"/>
              <w:spacing w:before="40" w:after="40"/>
              <w:jc w:val="right"/>
            </w:pPr>
          </w:p>
        </w:tc>
        <w:tc>
          <w:tcPr>
            <w:tcW w:w="1276" w:type="dxa"/>
            <w:tcBorders>
              <w:top w:val="single" w:sz="4" w:space="0" w:color="000000" w:themeColor="text1"/>
              <w:bottom w:val="single" w:sz="4" w:space="0" w:color="000000" w:themeColor="text1"/>
            </w:tcBorders>
          </w:tcPr>
          <w:p w14:paraId="3C6CCA4B" w14:textId="77777777" w:rsidR="0052115E" w:rsidRPr="005C5E32" w:rsidRDefault="0052115E">
            <w:pPr>
              <w:pStyle w:val="TableText"/>
              <w:spacing w:before="40" w:after="40"/>
              <w:jc w:val="right"/>
              <w:rPr>
                <w:szCs w:val="18"/>
              </w:rPr>
            </w:pPr>
            <w:r w:rsidRPr="005C5E32">
              <w:rPr>
                <w:szCs w:val="18"/>
              </w:rPr>
              <w:t>376</w:t>
            </w:r>
          </w:p>
        </w:tc>
        <w:tc>
          <w:tcPr>
            <w:tcW w:w="1276" w:type="dxa"/>
            <w:tcBorders>
              <w:top w:val="single" w:sz="4" w:space="0" w:color="000000" w:themeColor="text1"/>
              <w:bottom w:val="single" w:sz="4" w:space="0" w:color="000000" w:themeColor="text1"/>
            </w:tcBorders>
          </w:tcPr>
          <w:p w14:paraId="349970D8" w14:textId="77777777" w:rsidR="0052115E" w:rsidRPr="005C5E32" w:rsidRDefault="0052115E">
            <w:pPr>
              <w:pStyle w:val="TableText"/>
              <w:spacing w:before="40" w:after="40"/>
              <w:jc w:val="right"/>
              <w:rPr>
                <w:szCs w:val="18"/>
              </w:rPr>
            </w:pPr>
            <w:r w:rsidRPr="005C5E32">
              <w:rPr>
                <w:szCs w:val="18"/>
              </w:rPr>
              <w:t>1,313</w:t>
            </w:r>
          </w:p>
        </w:tc>
        <w:tc>
          <w:tcPr>
            <w:tcW w:w="1275" w:type="dxa"/>
            <w:tcBorders>
              <w:top w:val="single" w:sz="4" w:space="0" w:color="000000" w:themeColor="text1"/>
              <w:bottom w:val="single" w:sz="4" w:space="0" w:color="000000" w:themeColor="text1"/>
            </w:tcBorders>
            <w:shd w:val="clear" w:color="auto" w:fill="E7F2F2"/>
          </w:tcPr>
          <w:p w14:paraId="7D8AE0E3" w14:textId="77777777" w:rsidR="0052115E" w:rsidRPr="005C5E32" w:rsidRDefault="0052115E">
            <w:pPr>
              <w:pStyle w:val="TableText"/>
              <w:spacing w:before="40" w:after="40"/>
              <w:jc w:val="right"/>
              <w:rPr>
                <w:szCs w:val="18"/>
              </w:rPr>
            </w:pPr>
            <w:r w:rsidRPr="005C5E32">
              <w:rPr>
                <w:szCs w:val="18"/>
              </w:rPr>
              <w:t>758</w:t>
            </w:r>
          </w:p>
        </w:tc>
      </w:tr>
      <w:tr w:rsidR="0052115E" w:rsidRPr="005C5E32" w14:paraId="2F95451C" w14:textId="77777777" w:rsidTr="00D94A99">
        <w:tc>
          <w:tcPr>
            <w:tcW w:w="3686" w:type="dxa"/>
            <w:tcBorders>
              <w:top w:val="single" w:sz="4" w:space="0" w:color="000000" w:themeColor="text1"/>
              <w:bottom w:val="single" w:sz="4" w:space="0" w:color="000000" w:themeColor="text1"/>
            </w:tcBorders>
          </w:tcPr>
          <w:p w14:paraId="35FE58F1" w14:textId="77777777" w:rsidR="0052115E" w:rsidRPr="005C5E32" w:rsidRDefault="0052115E">
            <w:pPr>
              <w:pStyle w:val="TableTextbold"/>
              <w:spacing w:before="40" w:after="40"/>
            </w:pPr>
            <w:r w:rsidRPr="005C5E32">
              <w:t>Total assets</w:t>
            </w:r>
          </w:p>
        </w:tc>
        <w:tc>
          <w:tcPr>
            <w:tcW w:w="992" w:type="dxa"/>
            <w:tcBorders>
              <w:top w:val="single" w:sz="4" w:space="0" w:color="000000" w:themeColor="text1"/>
              <w:bottom w:val="single" w:sz="4" w:space="0" w:color="000000" w:themeColor="text1"/>
            </w:tcBorders>
          </w:tcPr>
          <w:p w14:paraId="79A6E08D" w14:textId="77777777" w:rsidR="0052115E" w:rsidRPr="005C5E32" w:rsidRDefault="0052115E">
            <w:pPr>
              <w:pStyle w:val="TableTextbold"/>
              <w:spacing w:before="40" w:after="40"/>
              <w:jc w:val="right"/>
            </w:pPr>
          </w:p>
        </w:tc>
        <w:tc>
          <w:tcPr>
            <w:tcW w:w="1276" w:type="dxa"/>
            <w:tcBorders>
              <w:top w:val="single" w:sz="4" w:space="0" w:color="000000" w:themeColor="text1"/>
              <w:bottom w:val="single" w:sz="4" w:space="0" w:color="000000" w:themeColor="text1"/>
            </w:tcBorders>
          </w:tcPr>
          <w:p w14:paraId="12017A9C" w14:textId="77777777" w:rsidR="0052115E" w:rsidRPr="005C5E32" w:rsidRDefault="0052115E">
            <w:pPr>
              <w:pStyle w:val="TableTextbold"/>
              <w:spacing w:before="40" w:after="40"/>
              <w:jc w:val="right"/>
              <w:rPr>
                <w:szCs w:val="18"/>
              </w:rPr>
            </w:pPr>
            <w:r w:rsidRPr="005C5E32">
              <w:rPr>
                <w:bCs/>
                <w:szCs w:val="18"/>
              </w:rPr>
              <w:t>48,701</w:t>
            </w:r>
          </w:p>
        </w:tc>
        <w:tc>
          <w:tcPr>
            <w:tcW w:w="1276" w:type="dxa"/>
            <w:tcBorders>
              <w:top w:val="single" w:sz="4" w:space="0" w:color="000000" w:themeColor="text1"/>
              <w:bottom w:val="single" w:sz="4" w:space="0" w:color="000000" w:themeColor="text1"/>
            </w:tcBorders>
          </w:tcPr>
          <w:p w14:paraId="5DC97009" w14:textId="77777777" w:rsidR="0052115E" w:rsidRPr="005C5E32" w:rsidRDefault="0052115E">
            <w:pPr>
              <w:pStyle w:val="TableTextbold"/>
              <w:spacing w:before="40" w:after="40"/>
              <w:jc w:val="right"/>
              <w:rPr>
                <w:szCs w:val="18"/>
              </w:rPr>
            </w:pPr>
            <w:r w:rsidRPr="005C5E32">
              <w:rPr>
                <w:bCs/>
                <w:szCs w:val="18"/>
              </w:rPr>
              <w:t>34,924</w:t>
            </w:r>
          </w:p>
        </w:tc>
        <w:tc>
          <w:tcPr>
            <w:tcW w:w="1275" w:type="dxa"/>
            <w:tcBorders>
              <w:top w:val="single" w:sz="4" w:space="0" w:color="000000" w:themeColor="text1"/>
              <w:bottom w:val="single" w:sz="4" w:space="0" w:color="000000" w:themeColor="text1"/>
            </w:tcBorders>
            <w:shd w:val="clear" w:color="auto" w:fill="E7F2F2"/>
          </w:tcPr>
          <w:p w14:paraId="13DC0069" w14:textId="77777777" w:rsidR="0052115E" w:rsidRPr="005C5E32" w:rsidRDefault="0052115E">
            <w:pPr>
              <w:pStyle w:val="TableTextbold"/>
              <w:spacing w:before="40" w:after="40"/>
              <w:jc w:val="right"/>
              <w:rPr>
                <w:szCs w:val="18"/>
              </w:rPr>
            </w:pPr>
            <w:r w:rsidRPr="005C5E32">
              <w:rPr>
                <w:bCs/>
                <w:szCs w:val="18"/>
              </w:rPr>
              <w:t>48,586</w:t>
            </w:r>
          </w:p>
        </w:tc>
      </w:tr>
      <w:tr w:rsidR="0052115E" w:rsidRPr="005C5E32" w14:paraId="3C0D923E" w14:textId="77777777" w:rsidTr="00D94A99">
        <w:tc>
          <w:tcPr>
            <w:tcW w:w="3686" w:type="dxa"/>
            <w:tcBorders>
              <w:top w:val="single" w:sz="4" w:space="0" w:color="000000" w:themeColor="text1"/>
            </w:tcBorders>
          </w:tcPr>
          <w:p w14:paraId="0C890A6F" w14:textId="77777777" w:rsidR="0052115E" w:rsidRPr="005C5E32" w:rsidRDefault="0052115E">
            <w:pPr>
              <w:pStyle w:val="TableboldGreen"/>
              <w:spacing w:before="40" w:after="0"/>
            </w:pPr>
            <w:r w:rsidRPr="005C5E32">
              <w:t>Liabilities</w:t>
            </w:r>
          </w:p>
        </w:tc>
        <w:tc>
          <w:tcPr>
            <w:tcW w:w="992" w:type="dxa"/>
            <w:tcBorders>
              <w:top w:val="single" w:sz="4" w:space="0" w:color="000000" w:themeColor="text1"/>
            </w:tcBorders>
          </w:tcPr>
          <w:p w14:paraId="0061EDD7" w14:textId="77777777" w:rsidR="0052115E" w:rsidRPr="005C5E32" w:rsidRDefault="0052115E">
            <w:pPr>
              <w:pStyle w:val="TableText"/>
              <w:spacing w:before="40" w:after="0"/>
            </w:pPr>
          </w:p>
        </w:tc>
        <w:tc>
          <w:tcPr>
            <w:tcW w:w="1276" w:type="dxa"/>
            <w:tcBorders>
              <w:top w:val="single" w:sz="4" w:space="0" w:color="000000" w:themeColor="text1"/>
            </w:tcBorders>
          </w:tcPr>
          <w:p w14:paraId="47EDF658" w14:textId="77777777" w:rsidR="0052115E" w:rsidRPr="005C5E32" w:rsidRDefault="0052115E">
            <w:pPr>
              <w:pStyle w:val="TableText"/>
              <w:spacing w:before="40" w:after="0"/>
            </w:pPr>
          </w:p>
        </w:tc>
        <w:tc>
          <w:tcPr>
            <w:tcW w:w="1276" w:type="dxa"/>
            <w:tcBorders>
              <w:top w:val="single" w:sz="4" w:space="0" w:color="000000" w:themeColor="text1"/>
            </w:tcBorders>
          </w:tcPr>
          <w:p w14:paraId="0F107261" w14:textId="77777777" w:rsidR="0052115E" w:rsidRPr="005C5E32" w:rsidRDefault="0052115E">
            <w:pPr>
              <w:pStyle w:val="TableText"/>
              <w:spacing w:before="40" w:after="0"/>
              <w:jc w:val="right"/>
            </w:pPr>
          </w:p>
        </w:tc>
        <w:tc>
          <w:tcPr>
            <w:tcW w:w="1275" w:type="dxa"/>
            <w:vMerge w:val="restart"/>
            <w:tcBorders>
              <w:top w:val="single" w:sz="4" w:space="0" w:color="000000" w:themeColor="text1"/>
            </w:tcBorders>
            <w:shd w:val="clear" w:color="auto" w:fill="E7F2F2"/>
            <w:vAlign w:val="bottom"/>
          </w:tcPr>
          <w:p w14:paraId="05009E07" w14:textId="77777777" w:rsidR="0052115E" w:rsidRPr="005C5E32" w:rsidRDefault="0052115E">
            <w:pPr>
              <w:pStyle w:val="TableText"/>
              <w:spacing w:before="40" w:after="40"/>
              <w:jc w:val="right"/>
              <w:rPr>
                <w:color w:val="414042"/>
                <w:szCs w:val="18"/>
              </w:rPr>
            </w:pPr>
            <w:r w:rsidRPr="005C5E32">
              <w:rPr>
                <w:color w:val="414042"/>
                <w:szCs w:val="18"/>
              </w:rPr>
              <w:t xml:space="preserve"> 10,507</w:t>
            </w:r>
          </w:p>
        </w:tc>
      </w:tr>
      <w:tr w:rsidR="0052115E" w:rsidRPr="005C5E32" w14:paraId="181E6809" w14:textId="77777777" w:rsidTr="00D94A99">
        <w:tc>
          <w:tcPr>
            <w:tcW w:w="3686" w:type="dxa"/>
          </w:tcPr>
          <w:p w14:paraId="6FB01DA7" w14:textId="77777777" w:rsidR="0052115E" w:rsidRPr="005C5E32" w:rsidRDefault="0052115E">
            <w:pPr>
              <w:pStyle w:val="Tablegreen"/>
              <w:spacing w:before="40" w:after="0"/>
            </w:pPr>
            <w:r w:rsidRPr="005C5E32">
              <w:t>Current liabilities</w:t>
            </w:r>
          </w:p>
        </w:tc>
        <w:tc>
          <w:tcPr>
            <w:tcW w:w="992" w:type="dxa"/>
          </w:tcPr>
          <w:p w14:paraId="526E744C" w14:textId="77777777" w:rsidR="0052115E" w:rsidRPr="005C5E32" w:rsidRDefault="0052115E">
            <w:pPr>
              <w:pStyle w:val="TableText"/>
              <w:spacing w:before="40" w:after="0"/>
            </w:pPr>
          </w:p>
        </w:tc>
        <w:tc>
          <w:tcPr>
            <w:tcW w:w="1276" w:type="dxa"/>
          </w:tcPr>
          <w:p w14:paraId="72705F59" w14:textId="77777777" w:rsidR="0052115E" w:rsidRPr="005C5E32" w:rsidRDefault="0052115E">
            <w:pPr>
              <w:pStyle w:val="TableText"/>
              <w:spacing w:before="40" w:after="0"/>
            </w:pPr>
          </w:p>
        </w:tc>
        <w:tc>
          <w:tcPr>
            <w:tcW w:w="1276" w:type="dxa"/>
          </w:tcPr>
          <w:p w14:paraId="5C06CE12" w14:textId="77777777" w:rsidR="0052115E" w:rsidRPr="005C5E32" w:rsidRDefault="0052115E">
            <w:pPr>
              <w:pStyle w:val="TableText"/>
              <w:spacing w:before="40" w:after="0"/>
              <w:jc w:val="right"/>
            </w:pPr>
          </w:p>
        </w:tc>
        <w:tc>
          <w:tcPr>
            <w:tcW w:w="1275" w:type="dxa"/>
            <w:vMerge/>
            <w:shd w:val="clear" w:color="auto" w:fill="E7F2F2"/>
          </w:tcPr>
          <w:p w14:paraId="0C1C6262" w14:textId="77777777" w:rsidR="0052115E" w:rsidRPr="005C5E32" w:rsidRDefault="0052115E">
            <w:pPr>
              <w:spacing w:before="40" w:after="0"/>
              <w:jc w:val="right"/>
              <w:rPr>
                <w:rFonts w:asciiTheme="minorHAnsi" w:hAnsiTheme="minorHAnsi" w:cstheme="minorHAnsi"/>
                <w:highlight w:val="yellow"/>
              </w:rPr>
            </w:pPr>
          </w:p>
        </w:tc>
      </w:tr>
      <w:tr w:rsidR="0052115E" w:rsidRPr="005C5E32" w14:paraId="7C955FED" w14:textId="77777777" w:rsidTr="00D94A99">
        <w:tc>
          <w:tcPr>
            <w:tcW w:w="3686" w:type="dxa"/>
            <w:tcBorders>
              <w:bottom w:val="single" w:sz="2" w:space="0" w:color="58595B"/>
            </w:tcBorders>
          </w:tcPr>
          <w:p w14:paraId="6189EF7E" w14:textId="77777777" w:rsidR="0052115E" w:rsidRPr="005C5E32" w:rsidRDefault="0052115E">
            <w:pPr>
              <w:pStyle w:val="TableText"/>
              <w:spacing w:before="40" w:after="40"/>
            </w:pPr>
            <w:r w:rsidRPr="005C5E32">
              <w:t>Payables</w:t>
            </w:r>
          </w:p>
        </w:tc>
        <w:tc>
          <w:tcPr>
            <w:tcW w:w="992" w:type="dxa"/>
            <w:tcBorders>
              <w:bottom w:val="single" w:sz="2" w:space="0" w:color="58595B"/>
            </w:tcBorders>
          </w:tcPr>
          <w:p w14:paraId="03B5A6E5" w14:textId="77777777" w:rsidR="0052115E" w:rsidRPr="005C5E32" w:rsidRDefault="0052115E">
            <w:pPr>
              <w:pStyle w:val="TableText"/>
              <w:spacing w:before="40" w:after="40"/>
              <w:jc w:val="right"/>
            </w:pPr>
            <w:r w:rsidRPr="005C5E32">
              <w:t>10</w:t>
            </w:r>
          </w:p>
        </w:tc>
        <w:tc>
          <w:tcPr>
            <w:tcW w:w="1276" w:type="dxa"/>
            <w:tcBorders>
              <w:bottom w:val="single" w:sz="2" w:space="0" w:color="58595B"/>
            </w:tcBorders>
          </w:tcPr>
          <w:p w14:paraId="6AD044CE" w14:textId="77777777" w:rsidR="0052115E" w:rsidRPr="005C5E32" w:rsidRDefault="0052115E">
            <w:pPr>
              <w:pStyle w:val="TableText"/>
              <w:spacing w:before="40" w:after="40"/>
              <w:jc w:val="right"/>
              <w:rPr>
                <w:szCs w:val="18"/>
              </w:rPr>
            </w:pPr>
            <w:r w:rsidRPr="005C5E32">
              <w:rPr>
                <w:szCs w:val="18"/>
              </w:rPr>
              <w:t>13,434</w:t>
            </w:r>
          </w:p>
        </w:tc>
        <w:tc>
          <w:tcPr>
            <w:tcW w:w="1276" w:type="dxa"/>
            <w:tcBorders>
              <w:bottom w:val="single" w:sz="2" w:space="0" w:color="58595B"/>
            </w:tcBorders>
          </w:tcPr>
          <w:p w14:paraId="52EC73B8" w14:textId="77777777" w:rsidR="0052115E" w:rsidRPr="005C5E32" w:rsidRDefault="0052115E">
            <w:pPr>
              <w:pStyle w:val="TableText"/>
              <w:spacing w:before="40" w:after="40"/>
              <w:jc w:val="right"/>
              <w:rPr>
                <w:szCs w:val="18"/>
              </w:rPr>
            </w:pPr>
            <w:r w:rsidRPr="005C5E32">
              <w:rPr>
                <w:szCs w:val="18"/>
              </w:rPr>
              <w:t>17,3</w:t>
            </w:r>
            <w:r w:rsidRPr="005C5E32" w:rsidDel="001C31E8">
              <w:rPr>
                <w:szCs w:val="18"/>
              </w:rPr>
              <w:t>00</w:t>
            </w:r>
          </w:p>
        </w:tc>
        <w:tc>
          <w:tcPr>
            <w:tcW w:w="1275" w:type="dxa"/>
            <w:vMerge/>
            <w:shd w:val="clear" w:color="auto" w:fill="E7F2F2"/>
          </w:tcPr>
          <w:p w14:paraId="54202E70" w14:textId="77777777" w:rsidR="0052115E" w:rsidRPr="005C5E32" w:rsidRDefault="0052115E">
            <w:pPr>
              <w:pStyle w:val="TableText"/>
              <w:spacing w:before="40" w:after="40"/>
              <w:jc w:val="right"/>
              <w:rPr>
                <w:highlight w:val="yellow"/>
              </w:rPr>
            </w:pPr>
          </w:p>
        </w:tc>
      </w:tr>
      <w:tr w:rsidR="0052115E" w:rsidRPr="005C5E32" w14:paraId="48AD92E8" w14:textId="77777777" w:rsidTr="00D94A99">
        <w:tc>
          <w:tcPr>
            <w:tcW w:w="3686" w:type="dxa"/>
            <w:tcBorders>
              <w:top w:val="single" w:sz="2" w:space="0" w:color="58595B"/>
              <w:bottom w:val="single" w:sz="2" w:space="0" w:color="58595B"/>
            </w:tcBorders>
          </w:tcPr>
          <w:p w14:paraId="098E07E7" w14:textId="77777777" w:rsidR="0052115E" w:rsidRPr="005C5E32" w:rsidRDefault="0052115E">
            <w:pPr>
              <w:pStyle w:val="TableText"/>
              <w:spacing w:before="40" w:after="40"/>
            </w:pPr>
            <w:r w:rsidRPr="005C5E32">
              <w:t>Return of operating surplus</w:t>
            </w:r>
          </w:p>
        </w:tc>
        <w:tc>
          <w:tcPr>
            <w:tcW w:w="992" w:type="dxa"/>
            <w:tcBorders>
              <w:top w:val="single" w:sz="2" w:space="0" w:color="58595B"/>
              <w:bottom w:val="single" w:sz="2" w:space="0" w:color="58595B"/>
            </w:tcBorders>
          </w:tcPr>
          <w:p w14:paraId="28D1E5B0" w14:textId="77777777" w:rsidR="0052115E" w:rsidRPr="005C5E32" w:rsidRDefault="0052115E">
            <w:pPr>
              <w:pStyle w:val="TableText"/>
              <w:spacing w:before="40" w:after="40"/>
              <w:jc w:val="right"/>
            </w:pPr>
            <w:r w:rsidRPr="005C5E32">
              <w:t>11</w:t>
            </w:r>
          </w:p>
        </w:tc>
        <w:tc>
          <w:tcPr>
            <w:tcW w:w="1276" w:type="dxa"/>
            <w:tcBorders>
              <w:top w:val="single" w:sz="2" w:space="0" w:color="58595B"/>
              <w:bottom w:val="single" w:sz="2" w:space="0" w:color="58595B"/>
            </w:tcBorders>
          </w:tcPr>
          <w:p w14:paraId="17655054" w14:textId="77777777" w:rsidR="0052115E" w:rsidRPr="005C5E32" w:rsidRDefault="0052115E">
            <w:pPr>
              <w:pStyle w:val="TableText"/>
              <w:spacing w:before="40" w:after="40"/>
              <w:jc w:val="right"/>
              <w:rPr>
                <w:szCs w:val="18"/>
              </w:rPr>
            </w:pPr>
            <w:r w:rsidRPr="005C5E32">
              <w:rPr>
                <w:szCs w:val="18"/>
              </w:rPr>
              <w:t>10,166</w:t>
            </w:r>
          </w:p>
        </w:tc>
        <w:tc>
          <w:tcPr>
            <w:tcW w:w="1276" w:type="dxa"/>
            <w:tcBorders>
              <w:top w:val="single" w:sz="2" w:space="0" w:color="58595B"/>
              <w:bottom w:val="single" w:sz="2" w:space="0" w:color="58595B"/>
            </w:tcBorders>
          </w:tcPr>
          <w:p w14:paraId="24C7739E" w14:textId="77777777" w:rsidR="0052115E" w:rsidRPr="005C5E32" w:rsidRDefault="0052115E">
            <w:pPr>
              <w:pStyle w:val="TableText"/>
              <w:spacing w:before="40" w:after="40"/>
              <w:jc w:val="right"/>
              <w:rPr>
                <w:szCs w:val="18"/>
              </w:rPr>
            </w:pPr>
            <w:r w:rsidRPr="005C5E32">
              <w:rPr>
                <w:szCs w:val="18"/>
              </w:rPr>
              <w:t>5</w:t>
            </w:r>
          </w:p>
        </w:tc>
        <w:tc>
          <w:tcPr>
            <w:tcW w:w="1275" w:type="dxa"/>
            <w:tcBorders>
              <w:top w:val="single" w:sz="2" w:space="0" w:color="58595B"/>
              <w:bottom w:val="single" w:sz="2" w:space="0" w:color="58595B"/>
            </w:tcBorders>
            <w:shd w:val="clear" w:color="auto" w:fill="E7F2F2"/>
          </w:tcPr>
          <w:p w14:paraId="12AB4AB8" w14:textId="77777777" w:rsidR="0052115E" w:rsidRPr="005C5E32" w:rsidRDefault="0052115E">
            <w:pPr>
              <w:pStyle w:val="TableText"/>
              <w:spacing w:before="40" w:after="40"/>
              <w:jc w:val="right"/>
              <w:rPr>
                <w:szCs w:val="18"/>
              </w:rPr>
            </w:pPr>
            <w:r w:rsidRPr="005C5E32">
              <w:rPr>
                <w:szCs w:val="18"/>
              </w:rPr>
              <w:t>18,309</w:t>
            </w:r>
          </w:p>
        </w:tc>
      </w:tr>
      <w:tr w:rsidR="0052115E" w:rsidRPr="005C5E32" w14:paraId="0C3C361F" w14:textId="77777777" w:rsidTr="00D94A99">
        <w:tc>
          <w:tcPr>
            <w:tcW w:w="3686" w:type="dxa"/>
            <w:tcBorders>
              <w:top w:val="single" w:sz="2" w:space="0" w:color="58595B"/>
              <w:bottom w:val="single" w:sz="2" w:space="0" w:color="58595B"/>
            </w:tcBorders>
          </w:tcPr>
          <w:p w14:paraId="45E9B143" w14:textId="77777777" w:rsidR="0052115E" w:rsidRPr="005C5E32" w:rsidRDefault="0052115E">
            <w:pPr>
              <w:pStyle w:val="TableText"/>
              <w:spacing w:before="40" w:after="40"/>
            </w:pPr>
            <w:r w:rsidRPr="005C5E32">
              <w:t>Provisions</w:t>
            </w:r>
          </w:p>
        </w:tc>
        <w:tc>
          <w:tcPr>
            <w:tcW w:w="992" w:type="dxa"/>
            <w:tcBorders>
              <w:top w:val="single" w:sz="2" w:space="0" w:color="58595B"/>
              <w:bottom w:val="single" w:sz="2" w:space="0" w:color="58595B"/>
            </w:tcBorders>
          </w:tcPr>
          <w:p w14:paraId="31422F28" w14:textId="77777777" w:rsidR="0052115E" w:rsidRPr="005C5E32" w:rsidRDefault="0052115E">
            <w:pPr>
              <w:pStyle w:val="TableText"/>
              <w:spacing w:before="40" w:after="40"/>
              <w:jc w:val="right"/>
              <w:rPr>
                <w:szCs w:val="18"/>
              </w:rPr>
            </w:pPr>
            <w:r w:rsidRPr="005C5E32">
              <w:rPr>
                <w:szCs w:val="18"/>
              </w:rPr>
              <w:t>12</w:t>
            </w:r>
          </w:p>
        </w:tc>
        <w:tc>
          <w:tcPr>
            <w:tcW w:w="1276" w:type="dxa"/>
            <w:tcBorders>
              <w:top w:val="single" w:sz="2" w:space="0" w:color="58595B"/>
              <w:bottom w:val="single" w:sz="2" w:space="0" w:color="58595B"/>
            </w:tcBorders>
          </w:tcPr>
          <w:p w14:paraId="5317E6E0" w14:textId="77777777" w:rsidR="0052115E" w:rsidRPr="005C5E32" w:rsidRDefault="0052115E">
            <w:pPr>
              <w:pStyle w:val="TableText"/>
              <w:spacing w:before="40" w:after="40"/>
              <w:jc w:val="right"/>
              <w:rPr>
                <w:szCs w:val="18"/>
              </w:rPr>
            </w:pPr>
            <w:r w:rsidRPr="005C5E32">
              <w:rPr>
                <w:szCs w:val="18"/>
              </w:rPr>
              <w:t>7,069</w:t>
            </w:r>
          </w:p>
        </w:tc>
        <w:tc>
          <w:tcPr>
            <w:tcW w:w="1276" w:type="dxa"/>
            <w:tcBorders>
              <w:top w:val="single" w:sz="2" w:space="0" w:color="58595B"/>
              <w:bottom w:val="single" w:sz="2" w:space="0" w:color="58595B"/>
            </w:tcBorders>
          </w:tcPr>
          <w:p w14:paraId="5700F4F1" w14:textId="77777777" w:rsidR="0052115E" w:rsidRPr="005C5E32" w:rsidRDefault="0052115E">
            <w:pPr>
              <w:pStyle w:val="TableText"/>
              <w:spacing w:before="40" w:after="40"/>
              <w:jc w:val="right"/>
            </w:pPr>
            <w:r w:rsidRPr="005C5E32">
              <w:t>–</w:t>
            </w:r>
          </w:p>
        </w:tc>
        <w:tc>
          <w:tcPr>
            <w:tcW w:w="1275" w:type="dxa"/>
            <w:tcBorders>
              <w:top w:val="single" w:sz="2" w:space="0" w:color="58595B"/>
              <w:bottom w:val="single" w:sz="2" w:space="0" w:color="58595B"/>
            </w:tcBorders>
            <w:shd w:val="clear" w:color="auto" w:fill="E7F2F2"/>
          </w:tcPr>
          <w:p w14:paraId="5AC1AC06" w14:textId="77777777" w:rsidR="0052115E" w:rsidRPr="005C5E32" w:rsidRDefault="0052115E">
            <w:pPr>
              <w:pStyle w:val="TableText"/>
              <w:spacing w:before="40" w:after="40"/>
              <w:jc w:val="right"/>
              <w:rPr>
                <w:szCs w:val="18"/>
              </w:rPr>
            </w:pPr>
            <w:r w:rsidRPr="005C5E32">
              <w:rPr>
                <w:szCs w:val="18"/>
              </w:rPr>
              <w:t>987</w:t>
            </w:r>
          </w:p>
        </w:tc>
      </w:tr>
      <w:tr w:rsidR="0052115E" w:rsidRPr="005C5E32" w14:paraId="0E759D4A" w14:textId="77777777" w:rsidTr="00D94A99">
        <w:tc>
          <w:tcPr>
            <w:tcW w:w="3686" w:type="dxa"/>
            <w:tcBorders>
              <w:top w:val="single" w:sz="2" w:space="0" w:color="58595B"/>
              <w:bottom w:val="single" w:sz="4" w:space="0" w:color="000000" w:themeColor="text1"/>
            </w:tcBorders>
          </w:tcPr>
          <w:p w14:paraId="7CF4F190" w14:textId="77777777" w:rsidR="0052115E" w:rsidRPr="005C5E32" w:rsidRDefault="0052115E">
            <w:pPr>
              <w:pStyle w:val="TableText"/>
              <w:spacing w:before="40" w:after="40"/>
            </w:pPr>
            <w:r w:rsidRPr="005C5E32">
              <w:t>Employee entitlements</w:t>
            </w:r>
          </w:p>
        </w:tc>
        <w:tc>
          <w:tcPr>
            <w:tcW w:w="992" w:type="dxa"/>
            <w:tcBorders>
              <w:top w:val="single" w:sz="2" w:space="0" w:color="58595B"/>
              <w:bottom w:val="single" w:sz="4" w:space="0" w:color="000000" w:themeColor="text1"/>
            </w:tcBorders>
          </w:tcPr>
          <w:p w14:paraId="5BE42B41" w14:textId="77777777" w:rsidR="0052115E" w:rsidRPr="005C5E32" w:rsidRDefault="0052115E">
            <w:pPr>
              <w:pStyle w:val="TableText"/>
              <w:spacing w:before="40" w:after="40"/>
              <w:jc w:val="right"/>
            </w:pPr>
            <w:r w:rsidRPr="005C5E32">
              <w:t>13</w:t>
            </w:r>
          </w:p>
        </w:tc>
        <w:tc>
          <w:tcPr>
            <w:tcW w:w="1276" w:type="dxa"/>
            <w:tcBorders>
              <w:top w:val="single" w:sz="2" w:space="0" w:color="58595B"/>
              <w:bottom w:val="single" w:sz="4" w:space="0" w:color="000000" w:themeColor="text1"/>
            </w:tcBorders>
          </w:tcPr>
          <w:p w14:paraId="5B5C45E3" w14:textId="77777777" w:rsidR="0052115E" w:rsidRPr="005C5E32" w:rsidRDefault="0052115E">
            <w:pPr>
              <w:pStyle w:val="TableText"/>
              <w:spacing w:before="40" w:after="40"/>
              <w:jc w:val="right"/>
              <w:rPr>
                <w:szCs w:val="18"/>
              </w:rPr>
            </w:pPr>
            <w:r w:rsidRPr="005C5E32">
              <w:rPr>
                <w:szCs w:val="18"/>
              </w:rPr>
              <w:t>6,891</w:t>
            </w:r>
          </w:p>
        </w:tc>
        <w:tc>
          <w:tcPr>
            <w:tcW w:w="1276" w:type="dxa"/>
            <w:tcBorders>
              <w:top w:val="single" w:sz="2" w:space="0" w:color="58595B"/>
              <w:bottom w:val="single" w:sz="4" w:space="0" w:color="000000" w:themeColor="text1"/>
            </w:tcBorders>
          </w:tcPr>
          <w:p w14:paraId="7DF1F72B" w14:textId="77777777" w:rsidR="0052115E" w:rsidRPr="005C5E32" w:rsidRDefault="0052115E">
            <w:pPr>
              <w:pStyle w:val="TableText"/>
              <w:spacing w:before="40" w:after="40"/>
              <w:jc w:val="right"/>
              <w:rPr>
                <w:szCs w:val="18"/>
              </w:rPr>
            </w:pPr>
            <w:r w:rsidRPr="005C5E32">
              <w:rPr>
                <w:szCs w:val="18"/>
              </w:rPr>
              <w:t>6,641</w:t>
            </w:r>
          </w:p>
        </w:tc>
        <w:tc>
          <w:tcPr>
            <w:tcW w:w="1275" w:type="dxa"/>
            <w:tcBorders>
              <w:top w:val="single" w:sz="2" w:space="0" w:color="58595B"/>
              <w:bottom w:val="single" w:sz="4" w:space="0" w:color="000000" w:themeColor="text1"/>
            </w:tcBorders>
            <w:shd w:val="clear" w:color="auto" w:fill="E7F2F2"/>
          </w:tcPr>
          <w:p w14:paraId="46A4276E" w14:textId="77777777" w:rsidR="0052115E" w:rsidRPr="005C5E32" w:rsidRDefault="0052115E">
            <w:pPr>
              <w:pStyle w:val="TableText"/>
              <w:spacing w:before="40" w:after="40"/>
              <w:jc w:val="right"/>
              <w:rPr>
                <w:szCs w:val="18"/>
              </w:rPr>
            </w:pPr>
            <w:r w:rsidRPr="005C5E32">
              <w:rPr>
                <w:szCs w:val="18"/>
              </w:rPr>
              <w:t>7,109</w:t>
            </w:r>
          </w:p>
        </w:tc>
      </w:tr>
      <w:tr w:rsidR="0052115E" w:rsidRPr="005C5E32" w14:paraId="2FC1E346" w14:textId="77777777" w:rsidTr="00D94A99">
        <w:tc>
          <w:tcPr>
            <w:tcW w:w="3686" w:type="dxa"/>
            <w:tcBorders>
              <w:top w:val="single" w:sz="4" w:space="0" w:color="000000" w:themeColor="text1"/>
              <w:bottom w:val="single" w:sz="4" w:space="0" w:color="000000" w:themeColor="text1"/>
            </w:tcBorders>
          </w:tcPr>
          <w:p w14:paraId="511FCF03" w14:textId="77777777" w:rsidR="0052115E" w:rsidRPr="005C5E32" w:rsidRDefault="0052115E">
            <w:pPr>
              <w:pStyle w:val="TableText"/>
              <w:spacing w:before="40" w:after="40"/>
            </w:pPr>
            <w:r w:rsidRPr="005C5E32">
              <w:t>Total current liabilities</w:t>
            </w:r>
          </w:p>
        </w:tc>
        <w:tc>
          <w:tcPr>
            <w:tcW w:w="992" w:type="dxa"/>
            <w:tcBorders>
              <w:top w:val="single" w:sz="4" w:space="0" w:color="000000" w:themeColor="text1"/>
              <w:bottom w:val="single" w:sz="4" w:space="0" w:color="000000" w:themeColor="text1"/>
            </w:tcBorders>
          </w:tcPr>
          <w:p w14:paraId="4C558998" w14:textId="77777777" w:rsidR="0052115E" w:rsidRPr="005C5E32" w:rsidRDefault="0052115E">
            <w:pPr>
              <w:pStyle w:val="TableText"/>
              <w:spacing w:before="40" w:after="40"/>
              <w:jc w:val="right"/>
            </w:pPr>
          </w:p>
        </w:tc>
        <w:tc>
          <w:tcPr>
            <w:tcW w:w="1276" w:type="dxa"/>
            <w:tcBorders>
              <w:top w:val="single" w:sz="4" w:space="0" w:color="000000" w:themeColor="text1"/>
              <w:bottom w:val="single" w:sz="4" w:space="0" w:color="000000" w:themeColor="text1"/>
            </w:tcBorders>
          </w:tcPr>
          <w:p w14:paraId="088C6E74" w14:textId="77777777" w:rsidR="0052115E" w:rsidRPr="005C5E32" w:rsidRDefault="0052115E">
            <w:pPr>
              <w:pStyle w:val="TableText"/>
              <w:spacing w:before="40" w:after="40"/>
              <w:jc w:val="right"/>
              <w:rPr>
                <w:szCs w:val="18"/>
              </w:rPr>
            </w:pPr>
            <w:r w:rsidRPr="005C5E32">
              <w:rPr>
                <w:szCs w:val="18"/>
              </w:rPr>
              <w:t>37,560</w:t>
            </w:r>
          </w:p>
        </w:tc>
        <w:tc>
          <w:tcPr>
            <w:tcW w:w="1276" w:type="dxa"/>
            <w:tcBorders>
              <w:top w:val="single" w:sz="4" w:space="0" w:color="000000" w:themeColor="text1"/>
              <w:bottom w:val="single" w:sz="4" w:space="0" w:color="000000" w:themeColor="text1"/>
            </w:tcBorders>
          </w:tcPr>
          <w:p w14:paraId="0E7610A4" w14:textId="77777777" w:rsidR="0052115E" w:rsidRPr="005C5E32" w:rsidRDefault="0052115E">
            <w:pPr>
              <w:pStyle w:val="TableText"/>
              <w:spacing w:before="40" w:after="40"/>
              <w:jc w:val="right"/>
              <w:rPr>
                <w:szCs w:val="18"/>
              </w:rPr>
            </w:pPr>
            <w:r w:rsidRPr="005C5E32">
              <w:rPr>
                <w:szCs w:val="18"/>
              </w:rPr>
              <w:t>23,946</w:t>
            </w:r>
          </w:p>
        </w:tc>
        <w:tc>
          <w:tcPr>
            <w:tcW w:w="1275" w:type="dxa"/>
            <w:tcBorders>
              <w:top w:val="single" w:sz="4" w:space="0" w:color="000000" w:themeColor="text1"/>
              <w:bottom w:val="single" w:sz="4" w:space="0" w:color="000000" w:themeColor="text1"/>
            </w:tcBorders>
            <w:shd w:val="clear" w:color="auto" w:fill="E7F2F2"/>
          </w:tcPr>
          <w:p w14:paraId="62691567" w14:textId="77777777" w:rsidR="0052115E" w:rsidRPr="005C5E32" w:rsidRDefault="0052115E">
            <w:pPr>
              <w:pStyle w:val="TableText"/>
              <w:spacing w:before="40" w:after="40"/>
              <w:jc w:val="right"/>
              <w:rPr>
                <w:szCs w:val="18"/>
              </w:rPr>
            </w:pPr>
            <w:r w:rsidRPr="005C5E32">
              <w:rPr>
                <w:szCs w:val="18"/>
              </w:rPr>
              <w:t>36,912</w:t>
            </w:r>
          </w:p>
        </w:tc>
      </w:tr>
      <w:tr w:rsidR="0052115E" w:rsidRPr="005C5E32" w14:paraId="6D6A1434" w14:textId="77777777" w:rsidTr="00D94A99">
        <w:tc>
          <w:tcPr>
            <w:tcW w:w="3686" w:type="dxa"/>
            <w:tcBorders>
              <w:top w:val="single" w:sz="4" w:space="0" w:color="000000" w:themeColor="text1"/>
            </w:tcBorders>
          </w:tcPr>
          <w:p w14:paraId="3C38BA7D" w14:textId="77777777" w:rsidR="0052115E" w:rsidRPr="005C5E32" w:rsidRDefault="0052115E">
            <w:pPr>
              <w:pStyle w:val="Tablegreen"/>
              <w:spacing w:before="40" w:after="40"/>
            </w:pPr>
            <w:r w:rsidRPr="005C5E32">
              <w:t>Non-current liabilities</w:t>
            </w:r>
          </w:p>
        </w:tc>
        <w:tc>
          <w:tcPr>
            <w:tcW w:w="992" w:type="dxa"/>
            <w:tcBorders>
              <w:top w:val="single" w:sz="4" w:space="0" w:color="000000" w:themeColor="text1"/>
            </w:tcBorders>
          </w:tcPr>
          <w:p w14:paraId="675720E1" w14:textId="77777777" w:rsidR="0052115E" w:rsidRPr="005C5E32" w:rsidRDefault="0052115E">
            <w:pPr>
              <w:pStyle w:val="Tablegreen"/>
              <w:spacing w:before="40" w:after="40"/>
              <w:jc w:val="right"/>
            </w:pPr>
          </w:p>
        </w:tc>
        <w:tc>
          <w:tcPr>
            <w:tcW w:w="1276" w:type="dxa"/>
            <w:tcBorders>
              <w:top w:val="single" w:sz="4" w:space="0" w:color="000000" w:themeColor="text1"/>
            </w:tcBorders>
          </w:tcPr>
          <w:p w14:paraId="14953EEB" w14:textId="77777777" w:rsidR="0052115E" w:rsidRPr="005C5E32" w:rsidRDefault="0052115E">
            <w:pPr>
              <w:pStyle w:val="Tablegreen"/>
              <w:spacing w:before="40" w:after="40"/>
              <w:jc w:val="right"/>
            </w:pPr>
          </w:p>
        </w:tc>
        <w:tc>
          <w:tcPr>
            <w:tcW w:w="1276" w:type="dxa"/>
            <w:tcBorders>
              <w:top w:val="single" w:sz="4" w:space="0" w:color="000000" w:themeColor="text1"/>
            </w:tcBorders>
          </w:tcPr>
          <w:p w14:paraId="3C9B756B" w14:textId="77777777" w:rsidR="0052115E" w:rsidRPr="005C5E32" w:rsidRDefault="0052115E">
            <w:pPr>
              <w:pStyle w:val="Tablegreen"/>
              <w:spacing w:before="40" w:after="40"/>
              <w:jc w:val="right"/>
            </w:pPr>
          </w:p>
        </w:tc>
        <w:tc>
          <w:tcPr>
            <w:tcW w:w="1275" w:type="dxa"/>
            <w:vMerge w:val="restart"/>
            <w:tcBorders>
              <w:top w:val="single" w:sz="4" w:space="0" w:color="000000" w:themeColor="text1"/>
            </w:tcBorders>
            <w:shd w:val="clear" w:color="auto" w:fill="E7F2F2"/>
            <w:vAlign w:val="bottom"/>
          </w:tcPr>
          <w:p w14:paraId="32F45E9E" w14:textId="77777777" w:rsidR="0052115E" w:rsidRPr="005C5E32" w:rsidRDefault="0052115E">
            <w:pPr>
              <w:pStyle w:val="TableText"/>
              <w:spacing w:before="40" w:after="40"/>
              <w:jc w:val="right"/>
            </w:pPr>
            <w:r w:rsidRPr="005C5E32">
              <w:t>4,432</w:t>
            </w:r>
          </w:p>
        </w:tc>
      </w:tr>
      <w:tr w:rsidR="0052115E" w:rsidRPr="005C5E32" w14:paraId="3B96C437" w14:textId="77777777" w:rsidTr="00D94A99">
        <w:tc>
          <w:tcPr>
            <w:tcW w:w="3686" w:type="dxa"/>
            <w:tcBorders>
              <w:bottom w:val="single" w:sz="4" w:space="0" w:color="58595B"/>
            </w:tcBorders>
          </w:tcPr>
          <w:p w14:paraId="1996105F" w14:textId="77777777" w:rsidR="0052115E" w:rsidRPr="005C5E32" w:rsidRDefault="0052115E">
            <w:pPr>
              <w:pStyle w:val="TableText"/>
              <w:spacing w:before="0" w:after="40"/>
            </w:pPr>
            <w:r w:rsidRPr="005C5E32">
              <w:t>Employee entitlements</w:t>
            </w:r>
          </w:p>
        </w:tc>
        <w:tc>
          <w:tcPr>
            <w:tcW w:w="992" w:type="dxa"/>
            <w:tcBorders>
              <w:bottom w:val="single" w:sz="4" w:space="0" w:color="58595B"/>
            </w:tcBorders>
          </w:tcPr>
          <w:p w14:paraId="2CFEBB32" w14:textId="77777777" w:rsidR="0052115E" w:rsidRPr="005C5E32" w:rsidRDefault="0052115E">
            <w:pPr>
              <w:pStyle w:val="TableText"/>
              <w:spacing w:before="0" w:after="40"/>
              <w:jc w:val="right"/>
            </w:pPr>
            <w:r w:rsidRPr="005C5E32">
              <w:t>13</w:t>
            </w:r>
          </w:p>
        </w:tc>
        <w:tc>
          <w:tcPr>
            <w:tcW w:w="1276" w:type="dxa"/>
            <w:tcBorders>
              <w:bottom w:val="single" w:sz="4" w:space="0" w:color="58595B"/>
            </w:tcBorders>
          </w:tcPr>
          <w:p w14:paraId="436026DC" w14:textId="77777777" w:rsidR="0052115E" w:rsidRPr="005C5E32" w:rsidRDefault="0052115E">
            <w:pPr>
              <w:pStyle w:val="TableText"/>
              <w:spacing w:before="0" w:after="40"/>
              <w:jc w:val="right"/>
            </w:pPr>
            <w:r w:rsidRPr="005C5E32">
              <w:t>3,899</w:t>
            </w:r>
          </w:p>
        </w:tc>
        <w:tc>
          <w:tcPr>
            <w:tcW w:w="1276" w:type="dxa"/>
            <w:tcBorders>
              <w:bottom w:val="single" w:sz="4" w:space="0" w:color="58595B"/>
            </w:tcBorders>
          </w:tcPr>
          <w:p w14:paraId="5ABF9A84" w14:textId="77777777" w:rsidR="0052115E" w:rsidRPr="005C5E32" w:rsidRDefault="0052115E">
            <w:pPr>
              <w:pStyle w:val="TableText"/>
              <w:spacing w:before="0" w:after="40"/>
              <w:jc w:val="right"/>
            </w:pPr>
            <w:r w:rsidRPr="005C5E32">
              <w:t>3,736</w:t>
            </w:r>
          </w:p>
        </w:tc>
        <w:tc>
          <w:tcPr>
            <w:tcW w:w="1275" w:type="dxa"/>
            <w:vMerge/>
            <w:shd w:val="clear" w:color="auto" w:fill="E7F2F2"/>
          </w:tcPr>
          <w:p w14:paraId="03979692" w14:textId="77777777" w:rsidR="0052115E" w:rsidRPr="005C5E32" w:rsidRDefault="0052115E">
            <w:pPr>
              <w:pStyle w:val="TableText"/>
              <w:spacing w:before="0" w:after="40"/>
              <w:jc w:val="right"/>
              <w:rPr>
                <w:highlight w:val="yellow"/>
              </w:rPr>
            </w:pPr>
          </w:p>
        </w:tc>
      </w:tr>
      <w:tr w:rsidR="0052115E" w:rsidRPr="005C5E32" w14:paraId="5F2C682B" w14:textId="77777777" w:rsidTr="00D94A99">
        <w:tc>
          <w:tcPr>
            <w:tcW w:w="3686" w:type="dxa"/>
            <w:tcBorders>
              <w:top w:val="single" w:sz="4" w:space="0" w:color="58595B"/>
              <w:bottom w:val="single" w:sz="4" w:space="0" w:color="000000" w:themeColor="text1"/>
            </w:tcBorders>
          </w:tcPr>
          <w:p w14:paraId="21F24E12" w14:textId="77777777" w:rsidR="0052115E" w:rsidRPr="005C5E32" w:rsidRDefault="0052115E">
            <w:pPr>
              <w:pStyle w:val="TableText"/>
              <w:spacing w:before="40" w:after="40"/>
            </w:pPr>
            <w:r w:rsidRPr="005C5E32">
              <w:t>Total non-current liabilities</w:t>
            </w:r>
          </w:p>
        </w:tc>
        <w:tc>
          <w:tcPr>
            <w:tcW w:w="992" w:type="dxa"/>
            <w:tcBorders>
              <w:top w:val="single" w:sz="4" w:space="0" w:color="58595B"/>
              <w:bottom w:val="single" w:sz="4" w:space="0" w:color="000000" w:themeColor="text1"/>
            </w:tcBorders>
          </w:tcPr>
          <w:p w14:paraId="67A9C514" w14:textId="77777777" w:rsidR="0052115E" w:rsidRPr="005C5E32" w:rsidRDefault="0052115E">
            <w:pPr>
              <w:pStyle w:val="TableText"/>
              <w:spacing w:before="40" w:after="40"/>
              <w:jc w:val="right"/>
            </w:pPr>
          </w:p>
        </w:tc>
        <w:tc>
          <w:tcPr>
            <w:tcW w:w="1276" w:type="dxa"/>
            <w:tcBorders>
              <w:top w:val="single" w:sz="4" w:space="0" w:color="58595B"/>
              <w:bottom w:val="single" w:sz="4" w:space="0" w:color="000000" w:themeColor="text1"/>
            </w:tcBorders>
          </w:tcPr>
          <w:p w14:paraId="76FA8779" w14:textId="77777777" w:rsidR="0052115E" w:rsidRPr="005C5E32" w:rsidRDefault="0052115E">
            <w:pPr>
              <w:pStyle w:val="TableText"/>
              <w:spacing w:before="40" w:after="40"/>
              <w:jc w:val="right"/>
            </w:pPr>
            <w:r w:rsidRPr="005C5E32">
              <w:t>3,899</w:t>
            </w:r>
          </w:p>
        </w:tc>
        <w:tc>
          <w:tcPr>
            <w:tcW w:w="1276" w:type="dxa"/>
            <w:tcBorders>
              <w:top w:val="single" w:sz="4" w:space="0" w:color="58595B"/>
              <w:bottom w:val="single" w:sz="4" w:space="0" w:color="000000" w:themeColor="text1"/>
            </w:tcBorders>
          </w:tcPr>
          <w:p w14:paraId="042C2CCA" w14:textId="77777777" w:rsidR="0052115E" w:rsidRPr="005C5E32" w:rsidRDefault="0052115E">
            <w:pPr>
              <w:pStyle w:val="TableText"/>
              <w:spacing w:before="40" w:after="40"/>
              <w:jc w:val="right"/>
            </w:pPr>
            <w:r w:rsidRPr="005C5E32">
              <w:t>3,736</w:t>
            </w:r>
          </w:p>
        </w:tc>
        <w:tc>
          <w:tcPr>
            <w:tcW w:w="1275" w:type="dxa"/>
            <w:tcBorders>
              <w:top w:val="single" w:sz="4" w:space="0" w:color="58595B"/>
              <w:bottom w:val="single" w:sz="4" w:space="0" w:color="000000" w:themeColor="text1"/>
            </w:tcBorders>
            <w:shd w:val="clear" w:color="auto" w:fill="E7F2F2"/>
          </w:tcPr>
          <w:p w14:paraId="2DBEF05D" w14:textId="77777777" w:rsidR="0052115E" w:rsidRPr="005C5E32" w:rsidRDefault="0052115E">
            <w:pPr>
              <w:pStyle w:val="TableText"/>
              <w:spacing w:before="40" w:after="40"/>
              <w:jc w:val="right"/>
            </w:pPr>
            <w:r w:rsidRPr="005C5E32">
              <w:t>4,432</w:t>
            </w:r>
          </w:p>
        </w:tc>
      </w:tr>
      <w:tr w:rsidR="0052115E" w:rsidRPr="005C5E32" w14:paraId="24AE9793" w14:textId="77777777" w:rsidTr="00D94A99">
        <w:tc>
          <w:tcPr>
            <w:tcW w:w="3686" w:type="dxa"/>
            <w:tcBorders>
              <w:top w:val="single" w:sz="4" w:space="0" w:color="000000" w:themeColor="text1"/>
              <w:bottom w:val="single" w:sz="4" w:space="0" w:color="000000" w:themeColor="text1"/>
            </w:tcBorders>
          </w:tcPr>
          <w:p w14:paraId="45A517BB" w14:textId="77777777" w:rsidR="0052115E" w:rsidRPr="000F1669" w:rsidRDefault="0052115E">
            <w:pPr>
              <w:pStyle w:val="TableText"/>
              <w:spacing w:before="40" w:after="40"/>
              <w:rPr>
                <w:b/>
              </w:rPr>
            </w:pPr>
            <w:r w:rsidRPr="000F1669">
              <w:rPr>
                <w:b/>
              </w:rPr>
              <w:t>Total liabilities</w:t>
            </w:r>
          </w:p>
        </w:tc>
        <w:tc>
          <w:tcPr>
            <w:tcW w:w="992" w:type="dxa"/>
            <w:tcBorders>
              <w:top w:val="single" w:sz="4" w:space="0" w:color="000000" w:themeColor="text1"/>
              <w:bottom w:val="single" w:sz="4" w:space="0" w:color="000000" w:themeColor="text1"/>
            </w:tcBorders>
          </w:tcPr>
          <w:p w14:paraId="698C402A" w14:textId="77777777" w:rsidR="0052115E" w:rsidRPr="000F1669" w:rsidRDefault="0052115E">
            <w:pPr>
              <w:pStyle w:val="TableText"/>
              <w:spacing w:before="40" w:after="40"/>
              <w:jc w:val="right"/>
              <w:rPr>
                <w:b/>
              </w:rPr>
            </w:pPr>
          </w:p>
        </w:tc>
        <w:tc>
          <w:tcPr>
            <w:tcW w:w="1276" w:type="dxa"/>
            <w:tcBorders>
              <w:top w:val="single" w:sz="4" w:space="0" w:color="000000" w:themeColor="text1"/>
              <w:bottom w:val="single" w:sz="4" w:space="0" w:color="000000" w:themeColor="text1"/>
            </w:tcBorders>
          </w:tcPr>
          <w:p w14:paraId="4486864A" w14:textId="2AE80AD0" w:rsidR="0052115E" w:rsidRPr="000F1669" w:rsidRDefault="0052115E">
            <w:pPr>
              <w:pStyle w:val="TableText"/>
              <w:spacing w:before="40" w:after="40"/>
              <w:jc w:val="right"/>
              <w:rPr>
                <w:b/>
              </w:rPr>
            </w:pPr>
            <w:r w:rsidRPr="000F1669">
              <w:rPr>
                <w:b/>
              </w:rPr>
              <w:t>41,</w:t>
            </w:r>
            <w:r w:rsidR="00D61D26" w:rsidRPr="000F1669">
              <w:rPr>
                <w:b/>
              </w:rPr>
              <w:t>459</w:t>
            </w:r>
          </w:p>
        </w:tc>
        <w:tc>
          <w:tcPr>
            <w:tcW w:w="1276" w:type="dxa"/>
            <w:tcBorders>
              <w:top w:val="single" w:sz="4" w:space="0" w:color="000000" w:themeColor="text1"/>
              <w:bottom w:val="single" w:sz="4" w:space="0" w:color="000000" w:themeColor="text1"/>
            </w:tcBorders>
          </w:tcPr>
          <w:p w14:paraId="77DAA876" w14:textId="77777777" w:rsidR="0052115E" w:rsidRPr="000F1669" w:rsidRDefault="0052115E">
            <w:pPr>
              <w:pStyle w:val="TableText"/>
              <w:spacing w:before="40" w:after="40"/>
              <w:jc w:val="right"/>
              <w:rPr>
                <w:b/>
              </w:rPr>
            </w:pPr>
            <w:r w:rsidRPr="000F1669">
              <w:rPr>
                <w:b/>
              </w:rPr>
              <w:t>27,682</w:t>
            </w:r>
          </w:p>
        </w:tc>
        <w:tc>
          <w:tcPr>
            <w:tcW w:w="1275" w:type="dxa"/>
            <w:tcBorders>
              <w:top w:val="single" w:sz="4" w:space="0" w:color="000000" w:themeColor="text1"/>
              <w:bottom w:val="single" w:sz="4" w:space="0" w:color="000000" w:themeColor="text1"/>
            </w:tcBorders>
            <w:shd w:val="clear" w:color="auto" w:fill="E7F2F2"/>
          </w:tcPr>
          <w:p w14:paraId="1A7DA012" w14:textId="77777777" w:rsidR="0052115E" w:rsidRPr="000F1669" w:rsidRDefault="0052115E">
            <w:pPr>
              <w:pStyle w:val="TableText"/>
              <w:spacing w:before="40" w:after="40"/>
              <w:jc w:val="right"/>
              <w:rPr>
                <w:rFonts w:asciiTheme="minorHAnsi" w:hAnsiTheme="minorHAnsi"/>
                <w:b/>
                <w:color w:val="414042"/>
                <w:szCs w:val="18"/>
              </w:rPr>
            </w:pPr>
            <w:r w:rsidRPr="000F1669">
              <w:rPr>
                <w:rFonts w:asciiTheme="minorHAnsi" w:hAnsiTheme="minorHAnsi"/>
                <w:b/>
                <w:color w:val="414042"/>
                <w:szCs w:val="18"/>
              </w:rPr>
              <w:t>41,344</w:t>
            </w:r>
          </w:p>
        </w:tc>
      </w:tr>
      <w:tr w:rsidR="0052115E" w:rsidRPr="005C5E32" w14:paraId="722F82B7" w14:textId="77777777" w:rsidTr="00D94A99">
        <w:tc>
          <w:tcPr>
            <w:tcW w:w="3686" w:type="dxa"/>
            <w:tcBorders>
              <w:top w:val="single" w:sz="4" w:space="0" w:color="000000" w:themeColor="text1"/>
              <w:bottom w:val="single" w:sz="4" w:space="0" w:color="000000" w:themeColor="text1"/>
            </w:tcBorders>
          </w:tcPr>
          <w:p w14:paraId="58F9B0B4" w14:textId="77777777" w:rsidR="0052115E" w:rsidRPr="005C5E32" w:rsidRDefault="0052115E">
            <w:pPr>
              <w:pStyle w:val="TableTextbold"/>
              <w:spacing w:before="40" w:after="40"/>
            </w:pPr>
            <w:r w:rsidRPr="005C5E32">
              <w:t>Net assets</w:t>
            </w:r>
          </w:p>
        </w:tc>
        <w:tc>
          <w:tcPr>
            <w:tcW w:w="992" w:type="dxa"/>
            <w:tcBorders>
              <w:top w:val="single" w:sz="4" w:space="0" w:color="000000" w:themeColor="text1"/>
              <w:bottom w:val="single" w:sz="4" w:space="0" w:color="000000" w:themeColor="text1"/>
            </w:tcBorders>
          </w:tcPr>
          <w:p w14:paraId="7DFCBC1C" w14:textId="77777777" w:rsidR="0052115E" w:rsidRPr="005C5E32" w:rsidRDefault="0052115E">
            <w:pPr>
              <w:pStyle w:val="TableTextbold"/>
              <w:spacing w:before="40" w:after="40"/>
              <w:jc w:val="right"/>
            </w:pPr>
          </w:p>
        </w:tc>
        <w:tc>
          <w:tcPr>
            <w:tcW w:w="1276" w:type="dxa"/>
            <w:tcBorders>
              <w:top w:val="single" w:sz="4" w:space="0" w:color="000000" w:themeColor="text1"/>
              <w:bottom w:val="single" w:sz="4" w:space="0" w:color="000000" w:themeColor="text1"/>
            </w:tcBorders>
          </w:tcPr>
          <w:p w14:paraId="63C96C64" w14:textId="77777777" w:rsidR="0052115E" w:rsidRPr="005C5E32" w:rsidRDefault="0052115E">
            <w:pPr>
              <w:pStyle w:val="TableTextbold"/>
              <w:spacing w:before="40" w:after="40"/>
              <w:jc w:val="right"/>
            </w:pPr>
            <w:r w:rsidRPr="005C5E32">
              <w:t>7,242</w:t>
            </w:r>
          </w:p>
        </w:tc>
        <w:tc>
          <w:tcPr>
            <w:tcW w:w="1276" w:type="dxa"/>
            <w:tcBorders>
              <w:top w:val="single" w:sz="4" w:space="0" w:color="000000" w:themeColor="text1"/>
              <w:bottom w:val="single" w:sz="4" w:space="0" w:color="000000" w:themeColor="text1"/>
            </w:tcBorders>
          </w:tcPr>
          <w:p w14:paraId="415019A9" w14:textId="77777777" w:rsidR="0052115E" w:rsidRPr="005C5E32" w:rsidRDefault="0052115E">
            <w:pPr>
              <w:pStyle w:val="TableTextbold"/>
              <w:spacing w:before="40" w:after="40"/>
              <w:jc w:val="right"/>
            </w:pPr>
            <w:r w:rsidRPr="005C5E32">
              <w:t>7,242</w:t>
            </w:r>
          </w:p>
        </w:tc>
        <w:tc>
          <w:tcPr>
            <w:tcW w:w="1275" w:type="dxa"/>
            <w:tcBorders>
              <w:top w:val="single" w:sz="4" w:space="0" w:color="000000" w:themeColor="text1"/>
              <w:bottom w:val="single" w:sz="4" w:space="0" w:color="000000" w:themeColor="text1"/>
            </w:tcBorders>
            <w:shd w:val="clear" w:color="auto" w:fill="E7F2F2"/>
          </w:tcPr>
          <w:p w14:paraId="38F5405C" w14:textId="77777777" w:rsidR="0052115E" w:rsidRPr="005C5E32" w:rsidRDefault="0052115E">
            <w:pPr>
              <w:pStyle w:val="TableTextbold"/>
              <w:spacing w:before="40" w:after="40"/>
              <w:jc w:val="right"/>
              <w:rPr>
                <w:highlight w:val="yellow"/>
              </w:rPr>
            </w:pPr>
            <w:r w:rsidRPr="005C5E32">
              <w:t>7,242</w:t>
            </w:r>
          </w:p>
        </w:tc>
      </w:tr>
      <w:tr w:rsidR="0052115E" w:rsidRPr="005C5E32" w14:paraId="46B696FE" w14:textId="77777777" w:rsidTr="00D94A99">
        <w:tc>
          <w:tcPr>
            <w:tcW w:w="3686" w:type="dxa"/>
            <w:tcBorders>
              <w:top w:val="single" w:sz="4" w:space="0" w:color="000000" w:themeColor="text1"/>
            </w:tcBorders>
          </w:tcPr>
          <w:p w14:paraId="23B691B4" w14:textId="77777777" w:rsidR="0052115E" w:rsidRPr="005C5E32" w:rsidRDefault="0052115E">
            <w:pPr>
              <w:pStyle w:val="TableboldGreen"/>
              <w:spacing w:before="40" w:after="40"/>
            </w:pPr>
            <w:r w:rsidRPr="005C5E32">
              <w:t>Equity</w:t>
            </w:r>
          </w:p>
        </w:tc>
        <w:tc>
          <w:tcPr>
            <w:tcW w:w="992" w:type="dxa"/>
            <w:tcBorders>
              <w:top w:val="single" w:sz="4" w:space="0" w:color="000000" w:themeColor="text1"/>
            </w:tcBorders>
          </w:tcPr>
          <w:p w14:paraId="2E007D89" w14:textId="77777777" w:rsidR="0052115E" w:rsidRPr="005C5E32" w:rsidRDefault="0052115E">
            <w:pPr>
              <w:pStyle w:val="TableText"/>
              <w:spacing w:before="40" w:after="40"/>
              <w:jc w:val="right"/>
            </w:pPr>
          </w:p>
        </w:tc>
        <w:tc>
          <w:tcPr>
            <w:tcW w:w="1276" w:type="dxa"/>
            <w:tcBorders>
              <w:top w:val="single" w:sz="4" w:space="0" w:color="000000" w:themeColor="text1"/>
            </w:tcBorders>
          </w:tcPr>
          <w:p w14:paraId="63DCADC2" w14:textId="77777777" w:rsidR="0052115E" w:rsidRPr="005C5E32" w:rsidRDefault="0052115E">
            <w:pPr>
              <w:pStyle w:val="TableText"/>
              <w:spacing w:before="40" w:after="40"/>
              <w:jc w:val="right"/>
            </w:pPr>
          </w:p>
        </w:tc>
        <w:tc>
          <w:tcPr>
            <w:tcW w:w="1276" w:type="dxa"/>
            <w:tcBorders>
              <w:top w:val="single" w:sz="4" w:space="0" w:color="000000" w:themeColor="text1"/>
            </w:tcBorders>
          </w:tcPr>
          <w:p w14:paraId="2402E623" w14:textId="77777777" w:rsidR="0052115E" w:rsidRPr="005C5E32" w:rsidRDefault="0052115E">
            <w:pPr>
              <w:pStyle w:val="TableText"/>
              <w:spacing w:before="40" w:after="40"/>
              <w:jc w:val="right"/>
            </w:pPr>
          </w:p>
        </w:tc>
        <w:tc>
          <w:tcPr>
            <w:tcW w:w="1275" w:type="dxa"/>
            <w:vMerge w:val="restart"/>
            <w:tcBorders>
              <w:top w:val="single" w:sz="4" w:space="0" w:color="000000" w:themeColor="text1"/>
            </w:tcBorders>
            <w:shd w:val="clear" w:color="auto" w:fill="E7F2F2"/>
            <w:vAlign w:val="bottom"/>
          </w:tcPr>
          <w:p w14:paraId="1E438D75" w14:textId="77777777" w:rsidR="0052115E" w:rsidRPr="005C5E32" w:rsidRDefault="0052115E">
            <w:pPr>
              <w:pStyle w:val="TableText"/>
              <w:spacing w:before="40" w:after="40"/>
              <w:jc w:val="right"/>
            </w:pPr>
            <w:r w:rsidRPr="005C5E32">
              <w:t xml:space="preserve"> 7,242</w:t>
            </w:r>
          </w:p>
        </w:tc>
      </w:tr>
      <w:tr w:rsidR="0052115E" w:rsidRPr="005C5E32" w14:paraId="640464C0" w14:textId="77777777" w:rsidTr="00D94A99">
        <w:tc>
          <w:tcPr>
            <w:tcW w:w="3686" w:type="dxa"/>
            <w:tcBorders>
              <w:bottom w:val="single" w:sz="4" w:space="0" w:color="000000" w:themeColor="text1"/>
            </w:tcBorders>
          </w:tcPr>
          <w:p w14:paraId="65CB7872" w14:textId="77777777" w:rsidR="0052115E" w:rsidRPr="005C5E32" w:rsidRDefault="0052115E">
            <w:pPr>
              <w:pStyle w:val="TableText"/>
              <w:spacing w:before="40" w:after="40"/>
            </w:pPr>
            <w:r w:rsidRPr="005C5E32">
              <w:t>Taxpayers’ funds</w:t>
            </w:r>
          </w:p>
        </w:tc>
        <w:tc>
          <w:tcPr>
            <w:tcW w:w="992" w:type="dxa"/>
            <w:tcBorders>
              <w:bottom w:val="single" w:sz="4" w:space="0" w:color="000000" w:themeColor="text1"/>
            </w:tcBorders>
          </w:tcPr>
          <w:p w14:paraId="49D89604" w14:textId="77777777" w:rsidR="0052115E" w:rsidRPr="005C5E32" w:rsidRDefault="0052115E">
            <w:pPr>
              <w:pStyle w:val="TableText"/>
              <w:spacing w:before="40" w:after="40"/>
              <w:jc w:val="right"/>
            </w:pPr>
          </w:p>
        </w:tc>
        <w:tc>
          <w:tcPr>
            <w:tcW w:w="1276" w:type="dxa"/>
            <w:tcBorders>
              <w:bottom w:val="single" w:sz="4" w:space="0" w:color="000000" w:themeColor="text1"/>
            </w:tcBorders>
          </w:tcPr>
          <w:p w14:paraId="14FFE0D0" w14:textId="77777777" w:rsidR="0052115E" w:rsidRPr="005C5E32" w:rsidRDefault="0052115E">
            <w:pPr>
              <w:pStyle w:val="TableText"/>
              <w:spacing w:before="40" w:after="40"/>
              <w:jc w:val="right"/>
            </w:pPr>
            <w:r w:rsidRPr="005C5E32">
              <w:t>7,242</w:t>
            </w:r>
          </w:p>
        </w:tc>
        <w:tc>
          <w:tcPr>
            <w:tcW w:w="1276" w:type="dxa"/>
            <w:tcBorders>
              <w:bottom w:val="single" w:sz="4" w:space="0" w:color="000000" w:themeColor="text1"/>
            </w:tcBorders>
          </w:tcPr>
          <w:p w14:paraId="3760385F" w14:textId="77777777" w:rsidR="0052115E" w:rsidRPr="005C5E32" w:rsidRDefault="0052115E">
            <w:pPr>
              <w:pStyle w:val="TableText"/>
              <w:spacing w:before="40" w:after="40"/>
              <w:jc w:val="right"/>
              <w:rPr>
                <w:szCs w:val="18"/>
              </w:rPr>
            </w:pPr>
            <w:r w:rsidRPr="005C5E32">
              <w:rPr>
                <w:szCs w:val="18"/>
              </w:rPr>
              <w:t>7,242</w:t>
            </w:r>
          </w:p>
        </w:tc>
        <w:tc>
          <w:tcPr>
            <w:tcW w:w="1275" w:type="dxa"/>
            <w:vMerge/>
            <w:shd w:val="clear" w:color="auto" w:fill="E7F2F2"/>
          </w:tcPr>
          <w:p w14:paraId="015F5FD2" w14:textId="77777777" w:rsidR="0052115E" w:rsidRPr="005C5E32" w:rsidRDefault="0052115E">
            <w:pPr>
              <w:spacing w:before="40" w:after="40"/>
              <w:jc w:val="right"/>
              <w:rPr>
                <w:rFonts w:asciiTheme="minorHAnsi" w:hAnsiTheme="minorHAnsi" w:cstheme="minorHAnsi"/>
              </w:rPr>
            </w:pPr>
          </w:p>
        </w:tc>
      </w:tr>
      <w:tr w:rsidR="0052115E" w:rsidRPr="005C5E32" w14:paraId="71708A05" w14:textId="77777777" w:rsidTr="00D94A99">
        <w:tc>
          <w:tcPr>
            <w:tcW w:w="3686" w:type="dxa"/>
            <w:tcBorders>
              <w:top w:val="single" w:sz="4" w:space="0" w:color="000000" w:themeColor="text1"/>
              <w:bottom w:val="single" w:sz="4" w:space="0" w:color="000000" w:themeColor="text1"/>
            </w:tcBorders>
          </w:tcPr>
          <w:p w14:paraId="1799F77D" w14:textId="77777777" w:rsidR="0052115E" w:rsidRPr="005C5E32" w:rsidRDefault="0052115E">
            <w:pPr>
              <w:pStyle w:val="TableTextbold"/>
              <w:spacing w:before="40" w:after="40"/>
            </w:pPr>
            <w:r w:rsidRPr="005C5E32">
              <w:t>Total equity</w:t>
            </w:r>
          </w:p>
        </w:tc>
        <w:tc>
          <w:tcPr>
            <w:tcW w:w="992" w:type="dxa"/>
            <w:tcBorders>
              <w:top w:val="single" w:sz="4" w:space="0" w:color="000000" w:themeColor="text1"/>
              <w:bottom w:val="single" w:sz="4" w:space="0" w:color="000000" w:themeColor="text1"/>
            </w:tcBorders>
          </w:tcPr>
          <w:p w14:paraId="08B832CE" w14:textId="77777777" w:rsidR="0052115E" w:rsidRPr="005C5E32" w:rsidRDefault="0052115E">
            <w:pPr>
              <w:pStyle w:val="TableTextbold"/>
              <w:spacing w:before="40" w:after="40"/>
              <w:jc w:val="right"/>
            </w:pPr>
          </w:p>
        </w:tc>
        <w:tc>
          <w:tcPr>
            <w:tcW w:w="1276" w:type="dxa"/>
            <w:tcBorders>
              <w:top w:val="single" w:sz="4" w:space="0" w:color="000000" w:themeColor="text1"/>
              <w:bottom w:val="single" w:sz="4" w:space="0" w:color="000000" w:themeColor="text1"/>
            </w:tcBorders>
          </w:tcPr>
          <w:p w14:paraId="1D81CBC0" w14:textId="77777777" w:rsidR="0052115E" w:rsidRPr="005C5E32" w:rsidRDefault="0052115E">
            <w:pPr>
              <w:pStyle w:val="TableTextbold"/>
              <w:spacing w:before="40" w:after="40"/>
              <w:jc w:val="right"/>
            </w:pPr>
            <w:r w:rsidRPr="005C5E32">
              <w:t>7,242</w:t>
            </w:r>
          </w:p>
        </w:tc>
        <w:tc>
          <w:tcPr>
            <w:tcW w:w="1276" w:type="dxa"/>
            <w:tcBorders>
              <w:top w:val="single" w:sz="4" w:space="0" w:color="000000" w:themeColor="text1"/>
              <w:bottom w:val="single" w:sz="4" w:space="0" w:color="000000" w:themeColor="text1"/>
            </w:tcBorders>
          </w:tcPr>
          <w:p w14:paraId="17724019" w14:textId="77777777" w:rsidR="0052115E" w:rsidRPr="005C5E32" w:rsidRDefault="0052115E">
            <w:pPr>
              <w:pStyle w:val="TableTextbold"/>
              <w:spacing w:before="40" w:after="40"/>
              <w:jc w:val="right"/>
              <w:rPr>
                <w:szCs w:val="18"/>
              </w:rPr>
            </w:pPr>
            <w:r w:rsidRPr="005C5E32">
              <w:rPr>
                <w:bCs/>
                <w:szCs w:val="18"/>
              </w:rPr>
              <w:t>7,242</w:t>
            </w:r>
          </w:p>
        </w:tc>
        <w:tc>
          <w:tcPr>
            <w:tcW w:w="1275" w:type="dxa"/>
            <w:tcBorders>
              <w:top w:val="single" w:sz="4" w:space="0" w:color="000000" w:themeColor="text1"/>
              <w:bottom w:val="single" w:sz="4" w:space="0" w:color="000000" w:themeColor="text1"/>
            </w:tcBorders>
            <w:shd w:val="clear" w:color="auto" w:fill="E7F2F2"/>
          </w:tcPr>
          <w:p w14:paraId="1511AD2A" w14:textId="77777777" w:rsidR="0052115E" w:rsidRPr="005C5E32" w:rsidRDefault="0052115E">
            <w:pPr>
              <w:pStyle w:val="TableTextbold"/>
              <w:spacing w:before="40" w:after="40"/>
              <w:jc w:val="right"/>
              <w:rPr>
                <w:bCs/>
                <w:szCs w:val="18"/>
              </w:rPr>
            </w:pPr>
            <w:r w:rsidRPr="005C5E32">
              <w:rPr>
                <w:bCs/>
                <w:szCs w:val="18"/>
              </w:rPr>
              <w:t>7,242</w:t>
            </w:r>
          </w:p>
        </w:tc>
      </w:tr>
    </w:tbl>
    <w:p w14:paraId="056BE1CC" w14:textId="77777777" w:rsidR="00D06CB2" w:rsidRPr="005C5E32" w:rsidRDefault="00D06CB2" w:rsidP="00763711">
      <w:pPr>
        <w:pStyle w:val="Note"/>
        <w:spacing w:after="0"/>
      </w:pPr>
      <w:r w:rsidRPr="005C5E32">
        <w:t>* The statement of accounting policies explains the basis for these figures, which are not subject to audit.</w:t>
      </w:r>
    </w:p>
    <w:p w14:paraId="16C20BE1" w14:textId="77777777" w:rsidR="00D06CB2" w:rsidRPr="005C5E32" w:rsidRDefault="00D06CB2" w:rsidP="00A03341">
      <w:pPr>
        <w:pStyle w:val="BodyText"/>
        <w:rPr>
          <w:sz w:val="18"/>
          <w:szCs w:val="18"/>
        </w:rPr>
      </w:pPr>
      <w:r w:rsidRPr="005C5E32">
        <w:rPr>
          <w:sz w:val="18"/>
          <w:szCs w:val="18"/>
        </w:rPr>
        <w:t>Explanations of significant variances against budget are detailed in Note 18.</w:t>
      </w:r>
    </w:p>
    <w:p w14:paraId="2D4E7621" w14:textId="77777777" w:rsidR="00D06CB2" w:rsidRPr="005C5E32" w:rsidRDefault="00D06CB2" w:rsidP="00A03341">
      <w:pPr>
        <w:pStyle w:val="BodyText"/>
      </w:pPr>
    </w:p>
    <w:p w14:paraId="36169D17" w14:textId="77777777" w:rsidR="00D06CB2" w:rsidRPr="005C5E32" w:rsidRDefault="00D06CB2" w:rsidP="00A03341">
      <w:pPr>
        <w:pStyle w:val="BodyText"/>
      </w:pPr>
    </w:p>
    <w:p w14:paraId="1C9551AD" w14:textId="77777777" w:rsidR="00D06CB2" w:rsidRPr="005C5E32" w:rsidRDefault="00D06CB2" w:rsidP="00A03341">
      <w:pPr>
        <w:pStyle w:val="BodyText"/>
      </w:pPr>
    </w:p>
    <w:p w14:paraId="276B16EB" w14:textId="77777777" w:rsidR="00D06CB2" w:rsidRPr="005C5E32" w:rsidRDefault="00D06CB2" w:rsidP="00A03341">
      <w:pPr>
        <w:pStyle w:val="BodyText"/>
      </w:pPr>
    </w:p>
    <w:p w14:paraId="525AEA45" w14:textId="77777777" w:rsidR="00D06CB2" w:rsidRPr="005C5E32" w:rsidRDefault="00D06CB2" w:rsidP="00A03341">
      <w:pPr>
        <w:pStyle w:val="BodyText"/>
      </w:pPr>
    </w:p>
    <w:p w14:paraId="04DA3C0D" w14:textId="77777777" w:rsidR="00D06CB2" w:rsidRPr="005C5E32" w:rsidRDefault="00D06CB2" w:rsidP="00A03341">
      <w:pPr>
        <w:pStyle w:val="BodyText"/>
        <w:spacing w:before="0" w:after="0"/>
      </w:pPr>
    </w:p>
    <w:p w14:paraId="433E702D" w14:textId="77777777" w:rsidR="00D06CB2" w:rsidRPr="005C5E32" w:rsidRDefault="00D06CB2" w:rsidP="00A03341">
      <w:pPr>
        <w:pStyle w:val="BodyText"/>
        <w:spacing w:before="0" w:after="0"/>
      </w:pPr>
    </w:p>
    <w:p w14:paraId="4D6243B1" w14:textId="77777777" w:rsidR="00D06CB2" w:rsidRPr="005C5E32" w:rsidRDefault="00D06CB2" w:rsidP="00A03341">
      <w:pPr>
        <w:pStyle w:val="Note"/>
      </w:pPr>
      <w:r w:rsidRPr="005C5E32">
        <w:t>The accompanying notes form part of these financial statements.</w:t>
      </w:r>
    </w:p>
    <w:p w14:paraId="4DCBB2DE" w14:textId="77777777" w:rsidR="00D06CB2" w:rsidRPr="005C5E32" w:rsidRDefault="00D06CB2" w:rsidP="005A645E">
      <w:pPr>
        <w:pStyle w:val="Heading2green"/>
      </w:pPr>
      <w:bookmarkStart w:id="293" w:name="_Toc112144614"/>
      <w:bookmarkStart w:id="294" w:name="_Toc207017407"/>
      <w:bookmarkStart w:id="295" w:name="_Toc207017496"/>
      <w:bookmarkStart w:id="296" w:name="_Toc207192313"/>
      <w:bookmarkStart w:id="297" w:name="_Toc239677691"/>
      <w:bookmarkStart w:id="298" w:name="_Toc240445579"/>
      <w:r w:rsidRPr="005C5E32">
        <w:lastRenderedPageBreak/>
        <w:t>Statement of changes in equity</w:t>
      </w:r>
      <w:bookmarkEnd w:id="293"/>
      <w:bookmarkEnd w:id="294"/>
      <w:bookmarkEnd w:id="295"/>
      <w:bookmarkEnd w:id="296"/>
      <w:bookmarkEnd w:id="297"/>
      <w:bookmarkEnd w:id="298"/>
    </w:p>
    <w:p w14:paraId="1A99D920" w14:textId="77777777" w:rsidR="00D06CB2" w:rsidRPr="005C5E32" w:rsidRDefault="00D06CB2" w:rsidP="00A03341">
      <w:pPr>
        <w:rPr>
          <w:sz w:val="28"/>
          <w:szCs w:val="28"/>
        </w:rPr>
      </w:pPr>
      <w:r w:rsidRPr="005C5E32">
        <w:rPr>
          <w:sz w:val="28"/>
          <w:szCs w:val="28"/>
        </w:rPr>
        <w:t>for the year ended 30 June 2026</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3768"/>
        <w:gridCol w:w="777"/>
        <w:gridCol w:w="1320"/>
        <w:gridCol w:w="1320"/>
        <w:gridCol w:w="1320"/>
      </w:tblGrid>
      <w:tr w:rsidR="0052115E" w:rsidRPr="005C5E32" w14:paraId="46CD715A" w14:textId="77777777" w:rsidTr="00403DB3">
        <w:tc>
          <w:tcPr>
            <w:tcW w:w="3261" w:type="dxa"/>
            <w:tcBorders>
              <w:top w:val="single" w:sz="8" w:space="0" w:color="0E7C7E"/>
              <w:bottom w:val="single" w:sz="2" w:space="0" w:color="58595B"/>
            </w:tcBorders>
            <w:vAlign w:val="bottom"/>
          </w:tcPr>
          <w:p w14:paraId="1B2B5860" w14:textId="77777777" w:rsidR="0052115E" w:rsidRPr="005C5E32" w:rsidRDefault="0052115E">
            <w:pPr>
              <w:pStyle w:val="TableboldGreen"/>
              <w:spacing w:before="40" w:after="40"/>
              <w:jc w:val="right"/>
            </w:pPr>
          </w:p>
        </w:tc>
        <w:tc>
          <w:tcPr>
            <w:tcW w:w="672" w:type="dxa"/>
            <w:tcBorders>
              <w:top w:val="single" w:sz="8" w:space="0" w:color="0E7C7E"/>
              <w:bottom w:val="single" w:sz="2" w:space="0" w:color="58595B"/>
            </w:tcBorders>
            <w:vAlign w:val="bottom"/>
          </w:tcPr>
          <w:p w14:paraId="68EA13BE" w14:textId="77777777" w:rsidR="0052115E" w:rsidRPr="005C5E32" w:rsidRDefault="0052115E">
            <w:pPr>
              <w:pStyle w:val="TableboldGreen"/>
              <w:spacing w:before="40" w:after="40"/>
              <w:jc w:val="right"/>
            </w:pPr>
            <w:r w:rsidRPr="005C5E32">
              <w:rPr>
                <w:color w:val="0E7C7E"/>
              </w:rPr>
              <w:t>Notes</w:t>
            </w:r>
          </w:p>
        </w:tc>
        <w:tc>
          <w:tcPr>
            <w:tcW w:w="1143" w:type="dxa"/>
            <w:tcBorders>
              <w:top w:val="single" w:sz="8" w:space="0" w:color="0E7C7E"/>
              <w:bottom w:val="single" w:sz="2" w:space="0" w:color="58595B"/>
            </w:tcBorders>
            <w:vAlign w:val="bottom"/>
          </w:tcPr>
          <w:p w14:paraId="77045B0D" w14:textId="77777777" w:rsidR="0052115E" w:rsidRPr="005C5E32" w:rsidRDefault="0052115E">
            <w:pPr>
              <w:pStyle w:val="TableboldGreen"/>
              <w:spacing w:before="40" w:after="40"/>
              <w:jc w:val="right"/>
            </w:pPr>
            <w:r w:rsidRPr="005C5E32">
              <w:rPr>
                <w:rFonts w:cstheme="minorBidi"/>
                <w:bCs/>
                <w:color w:val="0E7C7E"/>
                <w:szCs w:val="18"/>
              </w:rPr>
              <w:t>2024/25</w:t>
            </w:r>
            <w:r w:rsidRPr="005C5E32">
              <w:rPr>
                <w:rFonts w:cstheme="minorBidi"/>
                <w:bCs/>
                <w:color w:val="0E7C7E"/>
                <w:szCs w:val="18"/>
              </w:rPr>
              <w:br/>
            </w:r>
            <w:r w:rsidRPr="005C5E32">
              <w:rPr>
                <w:color w:val="0E7C7E"/>
              </w:rPr>
              <w:t>Actual</w:t>
            </w:r>
            <w:r w:rsidRPr="005C5E32">
              <w:rPr>
                <w:color w:val="0E7C7E"/>
              </w:rPr>
              <w:br/>
              <w:t>$000</w:t>
            </w:r>
          </w:p>
        </w:tc>
        <w:tc>
          <w:tcPr>
            <w:tcW w:w="1143" w:type="dxa"/>
            <w:tcBorders>
              <w:top w:val="single" w:sz="8" w:space="0" w:color="0E7C7E"/>
              <w:bottom w:val="single" w:sz="2" w:space="0" w:color="58595B"/>
            </w:tcBorders>
            <w:vAlign w:val="bottom"/>
          </w:tcPr>
          <w:p w14:paraId="7D260BAA" w14:textId="77777777" w:rsidR="0052115E" w:rsidRPr="005C5E32" w:rsidRDefault="0052115E">
            <w:pPr>
              <w:pStyle w:val="TableboldGreen"/>
              <w:spacing w:before="40" w:after="40"/>
              <w:jc w:val="right"/>
            </w:pPr>
            <w:r w:rsidRPr="005C5E32">
              <w:rPr>
                <w:rFonts w:cstheme="minorBidi"/>
                <w:bCs/>
                <w:color w:val="0E7C7E"/>
                <w:szCs w:val="18"/>
              </w:rPr>
              <w:t>2025/26</w:t>
            </w:r>
            <w:r w:rsidRPr="005C5E32">
              <w:rPr>
                <w:rFonts w:cstheme="minorBidi"/>
                <w:bCs/>
                <w:color w:val="0E7C7E"/>
                <w:szCs w:val="18"/>
              </w:rPr>
              <w:br/>
            </w:r>
            <w:r w:rsidRPr="005C5E32">
              <w:rPr>
                <w:color w:val="0E7C7E"/>
              </w:rPr>
              <w:t>Budget*</w:t>
            </w:r>
            <w:r w:rsidRPr="005C5E32">
              <w:rPr>
                <w:color w:val="0E7C7E"/>
              </w:rPr>
              <w:br/>
              <w:t>$000</w:t>
            </w:r>
          </w:p>
        </w:tc>
        <w:tc>
          <w:tcPr>
            <w:tcW w:w="1143" w:type="dxa"/>
            <w:tcBorders>
              <w:top w:val="single" w:sz="8" w:space="0" w:color="0E7C7E"/>
              <w:bottom w:val="single" w:sz="2" w:space="0" w:color="58595B"/>
            </w:tcBorders>
            <w:shd w:val="clear" w:color="auto" w:fill="E7F2F2"/>
            <w:vAlign w:val="bottom"/>
          </w:tcPr>
          <w:p w14:paraId="379A6208" w14:textId="77777777" w:rsidR="0052115E" w:rsidRPr="005C5E32" w:rsidRDefault="0052115E">
            <w:pPr>
              <w:pStyle w:val="TableboldGreen"/>
              <w:spacing w:before="40" w:after="40"/>
              <w:jc w:val="right"/>
            </w:pPr>
            <w:r w:rsidRPr="005C5E32">
              <w:rPr>
                <w:rFonts w:cstheme="minorBidi"/>
                <w:bCs/>
                <w:color w:val="0E7C7E"/>
                <w:szCs w:val="18"/>
              </w:rPr>
              <w:t>2025/26</w:t>
            </w:r>
            <w:r w:rsidRPr="005C5E32">
              <w:rPr>
                <w:rFonts w:cstheme="minorBidi"/>
                <w:bCs/>
                <w:color w:val="0E7C7E"/>
                <w:szCs w:val="18"/>
              </w:rPr>
              <w:br/>
            </w:r>
            <w:r w:rsidRPr="005C5E32">
              <w:rPr>
                <w:color w:val="0E7C7E"/>
              </w:rPr>
              <w:t>Actual</w:t>
            </w:r>
            <w:r w:rsidRPr="005C5E32">
              <w:rPr>
                <w:color w:val="0E7C7E"/>
              </w:rPr>
              <w:br/>
              <w:t>$000</w:t>
            </w:r>
          </w:p>
        </w:tc>
      </w:tr>
      <w:tr w:rsidR="0052115E" w:rsidRPr="005C5E32" w14:paraId="6AA4AB35" w14:textId="77777777" w:rsidTr="00403DB3">
        <w:tc>
          <w:tcPr>
            <w:tcW w:w="3261" w:type="dxa"/>
            <w:tcBorders>
              <w:top w:val="single" w:sz="2" w:space="0" w:color="58595B"/>
              <w:bottom w:val="single" w:sz="2" w:space="0" w:color="58595B"/>
            </w:tcBorders>
          </w:tcPr>
          <w:p w14:paraId="52825440" w14:textId="77777777" w:rsidR="0052115E" w:rsidRPr="005C5E32" w:rsidRDefault="0052115E">
            <w:pPr>
              <w:pStyle w:val="TableTextbold"/>
              <w:spacing w:before="40" w:after="40"/>
            </w:pPr>
            <w:r w:rsidRPr="005C5E32">
              <w:t>Balance as at 1 July</w:t>
            </w:r>
          </w:p>
        </w:tc>
        <w:tc>
          <w:tcPr>
            <w:tcW w:w="672" w:type="dxa"/>
            <w:tcBorders>
              <w:top w:val="single" w:sz="2" w:space="0" w:color="58595B"/>
              <w:bottom w:val="single" w:sz="2" w:space="0" w:color="58595B"/>
            </w:tcBorders>
            <w:vAlign w:val="bottom"/>
          </w:tcPr>
          <w:p w14:paraId="6CE6EAD2" w14:textId="77777777" w:rsidR="0052115E" w:rsidRPr="005C5E32" w:rsidRDefault="0052115E">
            <w:pPr>
              <w:pStyle w:val="TableTextbold"/>
              <w:spacing w:before="40" w:after="40"/>
              <w:jc w:val="right"/>
              <w:rPr>
                <w:rFonts w:cstheme="minorHAnsi"/>
              </w:rPr>
            </w:pPr>
          </w:p>
        </w:tc>
        <w:tc>
          <w:tcPr>
            <w:tcW w:w="1143" w:type="dxa"/>
            <w:tcBorders>
              <w:top w:val="single" w:sz="2" w:space="0" w:color="58595B"/>
              <w:bottom w:val="single" w:sz="2" w:space="0" w:color="58595B"/>
            </w:tcBorders>
            <w:vAlign w:val="bottom"/>
          </w:tcPr>
          <w:p w14:paraId="71CB76BE" w14:textId="77777777" w:rsidR="0052115E" w:rsidRPr="005C5E32" w:rsidRDefault="0052115E">
            <w:pPr>
              <w:pStyle w:val="TableTextbold"/>
              <w:spacing w:before="40" w:after="40"/>
              <w:jc w:val="right"/>
              <w:rPr>
                <w:rFonts w:cstheme="minorHAnsi"/>
              </w:rPr>
            </w:pPr>
            <w:r w:rsidRPr="005C5E32">
              <w:rPr>
                <w:rFonts w:cstheme="minorHAnsi"/>
              </w:rPr>
              <w:t>7,242</w:t>
            </w:r>
          </w:p>
        </w:tc>
        <w:tc>
          <w:tcPr>
            <w:tcW w:w="1143" w:type="dxa"/>
            <w:tcBorders>
              <w:top w:val="single" w:sz="2" w:space="0" w:color="58595B"/>
              <w:bottom w:val="single" w:sz="2" w:space="0" w:color="58595B"/>
            </w:tcBorders>
            <w:vAlign w:val="bottom"/>
          </w:tcPr>
          <w:p w14:paraId="25974BFD" w14:textId="77777777" w:rsidR="0052115E" w:rsidRPr="005C5E32" w:rsidRDefault="0052115E">
            <w:pPr>
              <w:pStyle w:val="TableTextbold"/>
              <w:spacing w:before="40" w:after="40"/>
              <w:jc w:val="right"/>
              <w:rPr>
                <w:rFonts w:cstheme="minorHAnsi"/>
              </w:rPr>
            </w:pPr>
            <w:r w:rsidRPr="005C5E32">
              <w:rPr>
                <w:rFonts w:cstheme="minorHAnsi"/>
              </w:rPr>
              <w:t>7,242</w:t>
            </w:r>
          </w:p>
        </w:tc>
        <w:tc>
          <w:tcPr>
            <w:tcW w:w="1143" w:type="dxa"/>
            <w:tcBorders>
              <w:top w:val="single" w:sz="2" w:space="0" w:color="58595B"/>
              <w:bottom w:val="single" w:sz="2" w:space="0" w:color="58595B"/>
            </w:tcBorders>
            <w:shd w:val="clear" w:color="auto" w:fill="E7F2F2"/>
            <w:vAlign w:val="bottom"/>
          </w:tcPr>
          <w:p w14:paraId="384AF137" w14:textId="77777777" w:rsidR="0052115E" w:rsidRPr="005C5E32" w:rsidRDefault="0052115E">
            <w:pPr>
              <w:pStyle w:val="TableTextbold"/>
              <w:spacing w:before="40" w:after="40"/>
              <w:jc w:val="right"/>
              <w:rPr>
                <w:rFonts w:cstheme="minorHAnsi"/>
                <w:highlight w:val="yellow"/>
              </w:rPr>
            </w:pPr>
            <w:r w:rsidRPr="005C5E32">
              <w:rPr>
                <w:rFonts w:cstheme="minorHAnsi"/>
              </w:rPr>
              <w:t>7,242</w:t>
            </w:r>
          </w:p>
        </w:tc>
      </w:tr>
      <w:tr w:rsidR="0052115E" w:rsidRPr="005C5E32" w14:paraId="5F29E180" w14:textId="77777777" w:rsidTr="00403DB3">
        <w:tc>
          <w:tcPr>
            <w:tcW w:w="3261" w:type="dxa"/>
            <w:tcBorders>
              <w:top w:val="single" w:sz="2" w:space="0" w:color="58595B"/>
            </w:tcBorders>
          </w:tcPr>
          <w:p w14:paraId="4A48F9E7" w14:textId="77777777" w:rsidR="0052115E" w:rsidRPr="005C5E32" w:rsidRDefault="0052115E">
            <w:pPr>
              <w:pStyle w:val="TableboldGreen"/>
              <w:spacing w:before="40" w:after="40"/>
            </w:pPr>
            <w:r w:rsidRPr="005C5E32">
              <w:t>Comprehensive revenue and expense</w:t>
            </w:r>
          </w:p>
        </w:tc>
        <w:tc>
          <w:tcPr>
            <w:tcW w:w="672" w:type="dxa"/>
            <w:tcBorders>
              <w:top w:val="single" w:sz="2" w:space="0" w:color="58595B"/>
            </w:tcBorders>
            <w:vAlign w:val="bottom"/>
          </w:tcPr>
          <w:p w14:paraId="6CA7F11A" w14:textId="77777777" w:rsidR="0052115E" w:rsidRPr="005C5E32" w:rsidRDefault="0052115E">
            <w:pPr>
              <w:pStyle w:val="TableText"/>
              <w:spacing w:before="40" w:after="40"/>
              <w:jc w:val="right"/>
            </w:pPr>
          </w:p>
        </w:tc>
        <w:tc>
          <w:tcPr>
            <w:tcW w:w="1143" w:type="dxa"/>
            <w:tcBorders>
              <w:top w:val="single" w:sz="2" w:space="0" w:color="58595B"/>
            </w:tcBorders>
            <w:vAlign w:val="bottom"/>
          </w:tcPr>
          <w:p w14:paraId="01D958A7" w14:textId="77777777" w:rsidR="0052115E" w:rsidRPr="005C5E32" w:rsidRDefault="0052115E">
            <w:pPr>
              <w:pStyle w:val="TableText"/>
              <w:spacing w:before="40" w:after="40"/>
              <w:jc w:val="right"/>
            </w:pPr>
          </w:p>
        </w:tc>
        <w:tc>
          <w:tcPr>
            <w:tcW w:w="1143" w:type="dxa"/>
            <w:tcBorders>
              <w:top w:val="single" w:sz="2" w:space="0" w:color="58595B"/>
            </w:tcBorders>
            <w:vAlign w:val="bottom"/>
          </w:tcPr>
          <w:p w14:paraId="0A2AA8DB" w14:textId="77777777" w:rsidR="0052115E" w:rsidRPr="005C5E32" w:rsidRDefault="0052115E">
            <w:pPr>
              <w:pStyle w:val="TableText"/>
              <w:spacing w:before="40" w:after="40"/>
              <w:jc w:val="right"/>
            </w:pPr>
          </w:p>
        </w:tc>
        <w:tc>
          <w:tcPr>
            <w:tcW w:w="1143" w:type="dxa"/>
            <w:vMerge w:val="restart"/>
            <w:tcBorders>
              <w:top w:val="single" w:sz="2" w:space="0" w:color="58595B"/>
            </w:tcBorders>
            <w:shd w:val="clear" w:color="auto" w:fill="E7F2F2"/>
            <w:vAlign w:val="bottom"/>
          </w:tcPr>
          <w:p w14:paraId="219C9727" w14:textId="77777777" w:rsidR="0052115E" w:rsidRPr="005C5E32" w:rsidRDefault="0052115E">
            <w:pPr>
              <w:pStyle w:val="TableText"/>
              <w:spacing w:before="40" w:after="40"/>
              <w:jc w:val="right"/>
            </w:pPr>
            <w:r w:rsidRPr="005C5E32">
              <w:t>18,309</w:t>
            </w:r>
          </w:p>
        </w:tc>
      </w:tr>
      <w:tr w:rsidR="0052115E" w:rsidRPr="005C5E32" w14:paraId="7D496C86" w14:textId="77777777" w:rsidTr="00403DB3">
        <w:tc>
          <w:tcPr>
            <w:tcW w:w="3261" w:type="dxa"/>
            <w:tcBorders>
              <w:bottom w:val="single" w:sz="2" w:space="0" w:color="58595B"/>
            </w:tcBorders>
          </w:tcPr>
          <w:p w14:paraId="64BCDB54" w14:textId="77777777" w:rsidR="0052115E" w:rsidRPr="005C5E32" w:rsidRDefault="0052115E">
            <w:pPr>
              <w:pStyle w:val="TableText"/>
              <w:spacing w:before="40" w:after="40"/>
            </w:pPr>
            <w:r w:rsidRPr="005C5E32">
              <w:t>Surplus for the year</w:t>
            </w:r>
          </w:p>
        </w:tc>
        <w:tc>
          <w:tcPr>
            <w:tcW w:w="672" w:type="dxa"/>
            <w:tcBorders>
              <w:bottom w:val="single" w:sz="2" w:space="0" w:color="58595B"/>
            </w:tcBorders>
            <w:vAlign w:val="bottom"/>
          </w:tcPr>
          <w:p w14:paraId="3C37165C" w14:textId="77777777" w:rsidR="0052115E" w:rsidRPr="005C5E32" w:rsidRDefault="0052115E">
            <w:pPr>
              <w:pStyle w:val="TableText"/>
              <w:spacing w:before="40" w:after="40"/>
              <w:jc w:val="right"/>
            </w:pPr>
          </w:p>
        </w:tc>
        <w:tc>
          <w:tcPr>
            <w:tcW w:w="1143" w:type="dxa"/>
            <w:tcBorders>
              <w:bottom w:val="single" w:sz="2" w:space="0" w:color="58595B"/>
            </w:tcBorders>
            <w:vAlign w:val="bottom"/>
          </w:tcPr>
          <w:p w14:paraId="28619007" w14:textId="77777777" w:rsidR="0052115E" w:rsidRPr="005C5E32" w:rsidRDefault="0052115E">
            <w:pPr>
              <w:pStyle w:val="TableText"/>
              <w:spacing w:before="40" w:after="40"/>
              <w:jc w:val="right"/>
            </w:pPr>
            <w:r w:rsidRPr="005C5E32">
              <w:t>10,166</w:t>
            </w:r>
          </w:p>
        </w:tc>
        <w:tc>
          <w:tcPr>
            <w:tcW w:w="1143" w:type="dxa"/>
            <w:tcBorders>
              <w:bottom w:val="single" w:sz="2" w:space="0" w:color="58595B"/>
            </w:tcBorders>
            <w:vAlign w:val="bottom"/>
          </w:tcPr>
          <w:p w14:paraId="41DF36C2" w14:textId="77777777" w:rsidR="0052115E" w:rsidRPr="005C5E32" w:rsidRDefault="0052115E">
            <w:pPr>
              <w:pStyle w:val="TableText"/>
              <w:spacing w:before="40" w:after="40"/>
              <w:jc w:val="right"/>
            </w:pPr>
            <w:r w:rsidRPr="005C5E32">
              <w:t>5</w:t>
            </w:r>
          </w:p>
        </w:tc>
        <w:tc>
          <w:tcPr>
            <w:tcW w:w="1143" w:type="dxa"/>
            <w:vMerge/>
            <w:tcBorders>
              <w:bottom w:val="single" w:sz="2" w:space="0" w:color="58595B"/>
            </w:tcBorders>
            <w:shd w:val="clear" w:color="auto" w:fill="E7F2F2"/>
            <w:vAlign w:val="bottom"/>
          </w:tcPr>
          <w:p w14:paraId="2B447EA1" w14:textId="77777777" w:rsidR="0052115E" w:rsidRPr="005C5E32" w:rsidRDefault="0052115E">
            <w:pPr>
              <w:pStyle w:val="TableText"/>
              <w:spacing w:before="40" w:after="40"/>
              <w:jc w:val="right"/>
              <w:rPr>
                <w:highlight w:val="yellow"/>
              </w:rPr>
            </w:pPr>
          </w:p>
        </w:tc>
      </w:tr>
      <w:tr w:rsidR="0052115E" w:rsidRPr="005C5E32" w14:paraId="21811EF1" w14:textId="77777777" w:rsidTr="00403DB3">
        <w:tc>
          <w:tcPr>
            <w:tcW w:w="3261" w:type="dxa"/>
            <w:tcBorders>
              <w:top w:val="single" w:sz="2" w:space="0" w:color="58595B"/>
              <w:bottom w:val="single" w:sz="4" w:space="0" w:color="000000" w:themeColor="text1"/>
            </w:tcBorders>
          </w:tcPr>
          <w:p w14:paraId="04D557A1" w14:textId="77777777" w:rsidR="0052115E" w:rsidRPr="005C5E32" w:rsidRDefault="0052115E">
            <w:pPr>
              <w:pStyle w:val="TableText"/>
              <w:spacing w:before="40" w:after="40"/>
              <w:rPr>
                <w:b/>
              </w:rPr>
            </w:pPr>
            <w:r w:rsidRPr="005C5E32">
              <w:rPr>
                <w:b/>
              </w:rPr>
              <w:t xml:space="preserve">Other </w:t>
            </w:r>
            <w:r w:rsidRPr="005C5E32">
              <w:rPr>
                <w:b/>
                <w:bCs/>
              </w:rPr>
              <w:t>movements</w:t>
            </w:r>
          </w:p>
        </w:tc>
        <w:tc>
          <w:tcPr>
            <w:tcW w:w="672" w:type="dxa"/>
            <w:tcBorders>
              <w:top w:val="single" w:sz="2" w:space="0" w:color="58595B"/>
              <w:bottom w:val="single" w:sz="4" w:space="0" w:color="000000" w:themeColor="text1"/>
            </w:tcBorders>
            <w:vAlign w:val="bottom"/>
          </w:tcPr>
          <w:p w14:paraId="078F7436" w14:textId="77777777" w:rsidR="0052115E" w:rsidRPr="005C5E32" w:rsidRDefault="0052115E">
            <w:pPr>
              <w:pStyle w:val="TableText"/>
              <w:spacing w:before="40" w:after="40"/>
              <w:jc w:val="right"/>
            </w:pPr>
          </w:p>
        </w:tc>
        <w:tc>
          <w:tcPr>
            <w:tcW w:w="1143" w:type="dxa"/>
            <w:tcBorders>
              <w:top w:val="single" w:sz="2" w:space="0" w:color="58595B"/>
              <w:bottom w:val="single" w:sz="4" w:space="0" w:color="000000" w:themeColor="text1"/>
            </w:tcBorders>
            <w:vAlign w:val="bottom"/>
          </w:tcPr>
          <w:p w14:paraId="256A025A" w14:textId="77777777" w:rsidR="0052115E" w:rsidRPr="005C5E32" w:rsidRDefault="0052115E">
            <w:pPr>
              <w:pStyle w:val="TableText"/>
              <w:spacing w:before="40" w:after="40"/>
              <w:jc w:val="right"/>
            </w:pPr>
          </w:p>
        </w:tc>
        <w:tc>
          <w:tcPr>
            <w:tcW w:w="1143" w:type="dxa"/>
            <w:tcBorders>
              <w:top w:val="single" w:sz="2" w:space="0" w:color="58595B"/>
              <w:bottom w:val="single" w:sz="4" w:space="0" w:color="000000" w:themeColor="text1"/>
            </w:tcBorders>
            <w:vAlign w:val="bottom"/>
          </w:tcPr>
          <w:p w14:paraId="6EE8FC27" w14:textId="77777777" w:rsidR="0052115E" w:rsidRPr="005C5E32" w:rsidRDefault="0052115E">
            <w:pPr>
              <w:pStyle w:val="TableText"/>
              <w:spacing w:before="40" w:after="40"/>
              <w:jc w:val="right"/>
            </w:pPr>
          </w:p>
        </w:tc>
        <w:tc>
          <w:tcPr>
            <w:tcW w:w="1143" w:type="dxa"/>
            <w:tcBorders>
              <w:top w:val="single" w:sz="2" w:space="0" w:color="58595B"/>
              <w:bottom w:val="single" w:sz="4" w:space="0" w:color="000000" w:themeColor="text1"/>
            </w:tcBorders>
            <w:shd w:val="clear" w:color="auto" w:fill="E7F2F2"/>
            <w:vAlign w:val="bottom"/>
          </w:tcPr>
          <w:p w14:paraId="7B1E4C9D" w14:textId="77777777" w:rsidR="0052115E" w:rsidRPr="005C5E32" w:rsidRDefault="0052115E">
            <w:pPr>
              <w:pStyle w:val="TableText"/>
              <w:spacing w:before="40" w:after="40"/>
              <w:jc w:val="right"/>
            </w:pPr>
          </w:p>
        </w:tc>
      </w:tr>
      <w:tr w:rsidR="0052115E" w:rsidRPr="005C5E32" w14:paraId="3123BC31" w14:textId="77777777" w:rsidTr="00403DB3">
        <w:tc>
          <w:tcPr>
            <w:tcW w:w="3261" w:type="dxa"/>
            <w:tcBorders>
              <w:top w:val="single" w:sz="2" w:space="0" w:color="58595B"/>
              <w:bottom w:val="single" w:sz="4" w:space="0" w:color="000000" w:themeColor="text1"/>
            </w:tcBorders>
          </w:tcPr>
          <w:p w14:paraId="718CCCD4" w14:textId="77777777" w:rsidR="0052115E" w:rsidRPr="005C5E32" w:rsidRDefault="0052115E">
            <w:pPr>
              <w:pStyle w:val="TableText"/>
              <w:spacing w:before="40" w:after="40"/>
            </w:pPr>
            <w:r w:rsidRPr="005C5E32">
              <w:t>Return of operating surplus to the Crown</w:t>
            </w:r>
          </w:p>
        </w:tc>
        <w:tc>
          <w:tcPr>
            <w:tcW w:w="672" w:type="dxa"/>
            <w:tcBorders>
              <w:top w:val="single" w:sz="2" w:space="0" w:color="58595B"/>
              <w:bottom w:val="single" w:sz="4" w:space="0" w:color="000000" w:themeColor="text1"/>
            </w:tcBorders>
            <w:vAlign w:val="bottom"/>
          </w:tcPr>
          <w:p w14:paraId="419AD395" w14:textId="77777777" w:rsidR="0052115E" w:rsidRPr="005C5E32" w:rsidRDefault="0052115E">
            <w:pPr>
              <w:pStyle w:val="TableText"/>
              <w:spacing w:before="40" w:after="40"/>
              <w:jc w:val="right"/>
            </w:pPr>
            <w:r w:rsidRPr="005C5E32">
              <w:t>11</w:t>
            </w:r>
          </w:p>
        </w:tc>
        <w:tc>
          <w:tcPr>
            <w:tcW w:w="1143" w:type="dxa"/>
            <w:tcBorders>
              <w:top w:val="single" w:sz="2" w:space="0" w:color="58595B"/>
              <w:bottom w:val="single" w:sz="4" w:space="0" w:color="000000" w:themeColor="text1"/>
            </w:tcBorders>
            <w:vAlign w:val="bottom"/>
          </w:tcPr>
          <w:p w14:paraId="6BB3CAA0" w14:textId="77777777" w:rsidR="0052115E" w:rsidRPr="005C5E32" w:rsidRDefault="0052115E">
            <w:pPr>
              <w:pStyle w:val="TableText"/>
              <w:spacing w:before="40" w:after="40"/>
              <w:jc w:val="right"/>
            </w:pPr>
            <w:r w:rsidRPr="005C5E32">
              <w:t>(10,166</w:t>
            </w:r>
            <w:r w:rsidRPr="005C5E32" w:rsidDel="009A7E9C">
              <w:t>)</w:t>
            </w:r>
          </w:p>
        </w:tc>
        <w:tc>
          <w:tcPr>
            <w:tcW w:w="1143" w:type="dxa"/>
            <w:tcBorders>
              <w:top w:val="single" w:sz="2" w:space="0" w:color="58595B"/>
              <w:bottom w:val="single" w:sz="4" w:space="0" w:color="000000" w:themeColor="text1"/>
            </w:tcBorders>
            <w:vAlign w:val="bottom"/>
          </w:tcPr>
          <w:p w14:paraId="6B71519C" w14:textId="77777777" w:rsidR="0052115E" w:rsidRPr="005C5E32" w:rsidRDefault="0052115E">
            <w:pPr>
              <w:pStyle w:val="TableText"/>
              <w:spacing w:before="40" w:after="40"/>
              <w:jc w:val="right"/>
            </w:pPr>
            <w:r w:rsidRPr="005C5E32">
              <w:t>(5)</w:t>
            </w:r>
          </w:p>
        </w:tc>
        <w:tc>
          <w:tcPr>
            <w:tcW w:w="1143" w:type="dxa"/>
            <w:tcBorders>
              <w:top w:val="single" w:sz="2" w:space="0" w:color="58595B"/>
              <w:bottom w:val="single" w:sz="4" w:space="0" w:color="000000" w:themeColor="text1"/>
            </w:tcBorders>
            <w:shd w:val="clear" w:color="auto" w:fill="E7F2F2"/>
            <w:vAlign w:val="bottom"/>
          </w:tcPr>
          <w:p w14:paraId="7554C6AE" w14:textId="77777777" w:rsidR="0052115E" w:rsidRPr="005C5E32" w:rsidRDefault="0052115E">
            <w:pPr>
              <w:pStyle w:val="TableText"/>
              <w:spacing w:before="40" w:after="40"/>
              <w:jc w:val="right"/>
            </w:pPr>
            <w:r w:rsidRPr="005C5E32">
              <w:t>(18,309</w:t>
            </w:r>
            <w:r w:rsidRPr="005C5E32" w:rsidDel="00CA4957">
              <w:t>)</w:t>
            </w:r>
          </w:p>
        </w:tc>
      </w:tr>
      <w:tr w:rsidR="0052115E" w:rsidRPr="005C5E32" w14:paraId="52AA2A06" w14:textId="77777777" w:rsidTr="00403DB3">
        <w:tc>
          <w:tcPr>
            <w:tcW w:w="3261" w:type="dxa"/>
            <w:tcBorders>
              <w:top w:val="single" w:sz="4" w:space="0" w:color="000000" w:themeColor="text1"/>
              <w:bottom w:val="single" w:sz="4" w:space="0" w:color="000000" w:themeColor="text1"/>
            </w:tcBorders>
          </w:tcPr>
          <w:p w14:paraId="42F77745" w14:textId="77777777" w:rsidR="0052115E" w:rsidRPr="005C5E32" w:rsidRDefault="0052115E">
            <w:pPr>
              <w:pStyle w:val="TableTextbold"/>
              <w:spacing w:before="40" w:after="40"/>
            </w:pPr>
            <w:r w:rsidRPr="005C5E32">
              <w:t>Balance as at 30 June</w:t>
            </w:r>
          </w:p>
        </w:tc>
        <w:tc>
          <w:tcPr>
            <w:tcW w:w="672" w:type="dxa"/>
            <w:tcBorders>
              <w:top w:val="single" w:sz="4" w:space="0" w:color="000000" w:themeColor="text1"/>
              <w:bottom w:val="single" w:sz="4" w:space="0" w:color="000000" w:themeColor="text1"/>
            </w:tcBorders>
            <w:vAlign w:val="bottom"/>
          </w:tcPr>
          <w:p w14:paraId="2AA7793F" w14:textId="77777777" w:rsidR="0052115E" w:rsidRPr="005C5E32" w:rsidRDefault="0052115E">
            <w:pPr>
              <w:pStyle w:val="TableTextbold"/>
              <w:spacing w:before="40" w:after="40"/>
              <w:jc w:val="right"/>
            </w:pPr>
          </w:p>
        </w:tc>
        <w:tc>
          <w:tcPr>
            <w:tcW w:w="1143" w:type="dxa"/>
            <w:tcBorders>
              <w:top w:val="single" w:sz="4" w:space="0" w:color="000000" w:themeColor="text1"/>
              <w:bottom w:val="single" w:sz="4" w:space="0" w:color="000000" w:themeColor="text1"/>
            </w:tcBorders>
            <w:vAlign w:val="bottom"/>
          </w:tcPr>
          <w:p w14:paraId="75E31DEE" w14:textId="77777777" w:rsidR="0052115E" w:rsidRPr="005C5E32" w:rsidRDefault="0052115E">
            <w:pPr>
              <w:pStyle w:val="TableTextbold"/>
              <w:spacing w:before="40" w:after="40"/>
              <w:jc w:val="right"/>
            </w:pPr>
            <w:r w:rsidRPr="005C5E32">
              <w:t>7,242</w:t>
            </w:r>
          </w:p>
        </w:tc>
        <w:tc>
          <w:tcPr>
            <w:tcW w:w="1143" w:type="dxa"/>
            <w:tcBorders>
              <w:top w:val="single" w:sz="4" w:space="0" w:color="000000" w:themeColor="text1"/>
              <w:bottom w:val="single" w:sz="4" w:space="0" w:color="000000" w:themeColor="text1"/>
            </w:tcBorders>
            <w:vAlign w:val="bottom"/>
          </w:tcPr>
          <w:p w14:paraId="25002E92" w14:textId="77777777" w:rsidR="0052115E" w:rsidRPr="005C5E32" w:rsidRDefault="0052115E">
            <w:pPr>
              <w:pStyle w:val="TableTextbold"/>
              <w:spacing w:before="40" w:after="40"/>
              <w:jc w:val="right"/>
            </w:pPr>
            <w:r w:rsidRPr="005C5E32">
              <w:t>7,242</w:t>
            </w:r>
          </w:p>
        </w:tc>
        <w:tc>
          <w:tcPr>
            <w:tcW w:w="1143" w:type="dxa"/>
            <w:tcBorders>
              <w:top w:val="single" w:sz="4" w:space="0" w:color="000000" w:themeColor="text1"/>
              <w:bottom w:val="single" w:sz="4" w:space="0" w:color="000000" w:themeColor="text1"/>
            </w:tcBorders>
            <w:shd w:val="clear" w:color="auto" w:fill="E7F2F2"/>
            <w:vAlign w:val="bottom"/>
          </w:tcPr>
          <w:p w14:paraId="13075B4D" w14:textId="77777777" w:rsidR="0052115E" w:rsidRPr="005C5E32" w:rsidRDefault="0052115E">
            <w:pPr>
              <w:pStyle w:val="TableTextbold"/>
              <w:spacing w:before="40" w:after="40"/>
              <w:jc w:val="right"/>
            </w:pPr>
            <w:r w:rsidRPr="005C5E32">
              <w:t>7,242</w:t>
            </w:r>
          </w:p>
        </w:tc>
      </w:tr>
    </w:tbl>
    <w:p w14:paraId="651AFD99" w14:textId="77777777" w:rsidR="00D06CB2" w:rsidRPr="005C5E32" w:rsidRDefault="00D06CB2" w:rsidP="00A03341">
      <w:pPr>
        <w:pStyle w:val="Note"/>
      </w:pPr>
      <w:r w:rsidRPr="005C5E32">
        <w:t>* The statement of accounting policies explains the basis for these figures, which are not subject to audit.</w:t>
      </w:r>
    </w:p>
    <w:p w14:paraId="577FB31E" w14:textId="77777777" w:rsidR="00D06CB2" w:rsidRPr="005C5E32" w:rsidRDefault="00D06CB2" w:rsidP="00A03341">
      <w:pPr>
        <w:pStyle w:val="BodyText"/>
      </w:pPr>
    </w:p>
    <w:p w14:paraId="59076C40" w14:textId="77777777" w:rsidR="00D06CB2" w:rsidRPr="005C5E32" w:rsidRDefault="00D06CB2" w:rsidP="00A03341">
      <w:pPr>
        <w:pStyle w:val="BodyText"/>
      </w:pPr>
    </w:p>
    <w:p w14:paraId="0CD0B1BD" w14:textId="77777777" w:rsidR="00D06CB2" w:rsidRPr="005C5E32" w:rsidRDefault="00D06CB2" w:rsidP="00A03341">
      <w:pPr>
        <w:pStyle w:val="BodyText"/>
      </w:pPr>
    </w:p>
    <w:p w14:paraId="3D3F5502" w14:textId="77777777" w:rsidR="00D06CB2" w:rsidRPr="005C5E32" w:rsidRDefault="00D06CB2" w:rsidP="00A03341">
      <w:pPr>
        <w:pStyle w:val="BodyText"/>
      </w:pPr>
    </w:p>
    <w:p w14:paraId="41AD1427" w14:textId="77777777" w:rsidR="00D06CB2" w:rsidRPr="005C5E32" w:rsidRDefault="00D06CB2" w:rsidP="00A03341">
      <w:pPr>
        <w:pStyle w:val="BodyText"/>
      </w:pPr>
    </w:p>
    <w:p w14:paraId="27EB019F" w14:textId="77777777" w:rsidR="00D06CB2" w:rsidRPr="005C5E32" w:rsidRDefault="00D06CB2" w:rsidP="00A03341">
      <w:pPr>
        <w:pStyle w:val="BodyText"/>
      </w:pPr>
    </w:p>
    <w:p w14:paraId="7DAA0859" w14:textId="77777777" w:rsidR="00D06CB2" w:rsidRPr="005C5E32" w:rsidRDefault="00D06CB2" w:rsidP="00A03341">
      <w:pPr>
        <w:pStyle w:val="BodyText"/>
      </w:pPr>
    </w:p>
    <w:p w14:paraId="7F0F4B7E" w14:textId="77777777" w:rsidR="00D06CB2" w:rsidRPr="005C5E32" w:rsidRDefault="00D06CB2" w:rsidP="00A03341">
      <w:pPr>
        <w:pStyle w:val="BodyText"/>
      </w:pPr>
    </w:p>
    <w:p w14:paraId="08D02912" w14:textId="77777777" w:rsidR="00D06CB2" w:rsidRPr="005C5E32" w:rsidRDefault="00D06CB2" w:rsidP="00A03341">
      <w:pPr>
        <w:pStyle w:val="BodyText"/>
      </w:pPr>
    </w:p>
    <w:p w14:paraId="34C45A9A" w14:textId="77777777" w:rsidR="00D06CB2" w:rsidRPr="005C5E32" w:rsidRDefault="00D06CB2" w:rsidP="00A03341">
      <w:pPr>
        <w:pStyle w:val="BodyText"/>
      </w:pPr>
    </w:p>
    <w:p w14:paraId="6BD48F39" w14:textId="77777777" w:rsidR="00D06CB2" w:rsidRPr="005C5E32" w:rsidRDefault="00D06CB2" w:rsidP="00A03341">
      <w:pPr>
        <w:pStyle w:val="BodyText"/>
      </w:pPr>
    </w:p>
    <w:p w14:paraId="54877045" w14:textId="77777777" w:rsidR="00D06CB2" w:rsidRPr="005C5E32" w:rsidRDefault="00D06CB2" w:rsidP="00A03341">
      <w:pPr>
        <w:pStyle w:val="BodyText"/>
      </w:pPr>
    </w:p>
    <w:p w14:paraId="6AEAFCED" w14:textId="77777777" w:rsidR="00D06CB2" w:rsidRPr="005C5E32" w:rsidRDefault="00D06CB2" w:rsidP="00A03341">
      <w:pPr>
        <w:pStyle w:val="BodyText"/>
      </w:pPr>
    </w:p>
    <w:p w14:paraId="53F60596" w14:textId="77777777" w:rsidR="00D06CB2" w:rsidRPr="005C5E32" w:rsidRDefault="00D06CB2" w:rsidP="00A03341">
      <w:pPr>
        <w:pStyle w:val="BodyText"/>
      </w:pPr>
    </w:p>
    <w:p w14:paraId="20411E24" w14:textId="77777777" w:rsidR="00D06CB2" w:rsidRPr="005C5E32" w:rsidRDefault="00D06CB2" w:rsidP="00A03341">
      <w:pPr>
        <w:pStyle w:val="BodyText"/>
      </w:pPr>
    </w:p>
    <w:p w14:paraId="7D2E0BF6" w14:textId="77777777" w:rsidR="00D06CB2" w:rsidRPr="005C5E32" w:rsidRDefault="00D06CB2" w:rsidP="00A03341">
      <w:pPr>
        <w:pStyle w:val="BodyText"/>
      </w:pPr>
    </w:p>
    <w:p w14:paraId="6A8DE81B" w14:textId="77777777" w:rsidR="00D06CB2" w:rsidRPr="005C5E32" w:rsidRDefault="00D06CB2" w:rsidP="00A03341">
      <w:pPr>
        <w:pStyle w:val="BodyText"/>
      </w:pPr>
    </w:p>
    <w:p w14:paraId="610E4ADE" w14:textId="77777777" w:rsidR="00D06CB2" w:rsidRPr="005C5E32" w:rsidRDefault="00D06CB2" w:rsidP="00A03341">
      <w:pPr>
        <w:pStyle w:val="BodyText"/>
      </w:pPr>
    </w:p>
    <w:p w14:paraId="7C5B1889" w14:textId="77777777" w:rsidR="00D06CB2" w:rsidRPr="005C5E32" w:rsidRDefault="00D06CB2" w:rsidP="00A03341">
      <w:pPr>
        <w:pStyle w:val="Note"/>
        <w:spacing w:before="0" w:after="0"/>
      </w:pPr>
    </w:p>
    <w:p w14:paraId="4DC94391" w14:textId="77777777" w:rsidR="00D06CB2" w:rsidRPr="005C5E32" w:rsidRDefault="00D06CB2" w:rsidP="00A03341">
      <w:pPr>
        <w:pStyle w:val="Note"/>
        <w:spacing w:before="0" w:after="0"/>
      </w:pPr>
      <w:r w:rsidRPr="005C5E32">
        <w:t xml:space="preserve">The accompanying notes form part of these financial statements. </w:t>
      </w:r>
      <w:bookmarkStart w:id="299" w:name="_Toc112144615"/>
      <w:r w:rsidRPr="005C5E32">
        <w:br w:type="page"/>
      </w:r>
    </w:p>
    <w:p w14:paraId="3D31FEFF" w14:textId="77777777" w:rsidR="00D06CB2" w:rsidRPr="005C5E32" w:rsidRDefault="00D06CB2" w:rsidP="005A645E">
      <w:pPr>
        <w:pStyle w:val="Heading2green"/>
      </w:pPr>
      <w:bookmarkStart w:id="300" w:name="_Toc207017408"/>
      <w:bookmarkStart w:id="301" w:name="_Toc207017497"/>
      <w:bookmarkStart w:id="302" w:name="_Toc207192314"/>
      <w:bookmarkStart w:id="303" w:name="_Toc239677692"/>
      <w:bookmarkStart w:id="304" w:name="_Toc240445580"/>
      <w:r w:rsidRPr="005C5E32">
        <w:lastRenderedPageBreak/>
        <w:t>Statement of cash flows</w:t>
      </w:r>
      <w:bookmarkEnd w:id="299"/>
      <w:bookmarkEnd w:id="300"/>
      <w:bookmarkEnd w:id="301"/>
      <w:bookmarkEnd w:id="302"/>
      <w:bookmarkEnd w:id="303"/>
      <w:bookmarkEnd w:id="304"/>
    </w:p>
    <w:p w14:paraId="42105700" w14:textId="77777777" w:rsidR="00D06CB2" w:rsidRPr="005C5E32" w:rsidRDefault="00D06CB2" w:rsidP="00A03341">
      <w:pPr>
        <w:pStyle w:val="BodyText"/>
        <w:rPr>
          <w:sz w:val="28"/>
          <w:szCs w:val="28"/>
        </w:rPr>
      </w:pPr>
      <w:r w:rsidRPr="005C5E32">
        <w:rPr>
          <w:sz w:val="28"/>
          <w:szCs w:val="28"/>
        </w:rPr>
        <w:t>for the year ended 30 June 2026</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515"/>
        <w:gridCol w:w="1330"/>
        <w:gridCol w:w="1330"/>
        <w:gridCol w:w="1330"/>
      </w:tblGrid>
      <w:tr w:rsidR="0052115E" w:rsidRPr="005C5E32" w14:paraId="68A79AFB" w14:textId="77777777" w:rsidTr="00403DB3">
        <w:tc>
          <w:tcPr>
            <w:tcW w:w="3905" w:type="dxa"/>
            <w:tcBorders>
              <w:top w:val="single" w:sz="8" w:space="0" w:color="0E7C7E"/>
              <w:bottom w:val="single" w:sz="2" w:space="0" w:color="000000" w:themeColor="text1"/>
            </w:tcBorders>
          </w:tcPr>
          <w:p w14:paraId="07E67717" w14:textId="77777777" w:rsidR="0052115E" w:rsidRPr="005C5E32" w:rsidRDefault="0052115E">
            <w:pPr>
              <w:pStyle w:val="TableboldGreen"/>
              <w:spacing w:before="40" w:after="40"/>
            </w:pPr>
          </w:p>
        </w:tc>
        <w:tc>
          <w:tcPr>
            <w:tcW w:w="1150" w:type="dxa"/>
            <w:tcBorders>
              <w:top w:val="single" w:sz="8" w:space="0" w:color="0E7C7E"/>
              <w:bottom w:val="single" w:sz="2" w:space="0" w:color="000000" w:themeColor="text1"/>
            </w:tcBorders>
          </w:tcPr>
          <w:p w14:paraId="2F7369E6" w14:textId="77777777" w:rsidR="0052115E" w:rsidRPr="005C5E32" w:rsidRDefault="0052115E">
            <w:pPr>
              <w:pStyle w:val="TableboldGreen"/>
              <w:spacing w:before="40" w:after="40"/>
              <w:jc w:val="right"/>
            </w:pPr>
            <w:r w:rsidRPr="005C5E32">
              <w:rPr>
                <w:bCs/>
                <w:color w:val="0E7C7E"/>
              </w:rPr>
              <w:t>2024/25</w:t>
            </w:r>
            <w:r w:rsidRPr="005C5E32">
              <w:rPr>
                <w:bCs/>
                <w:color w:val="0E7C7E"/>
              </w:rPr>
              <w:br/>
            </w:r>
            <w:r w:rsidRPr="005C5E32">
              <w:rPr>
                <w:color w:val="0E7C7E"/>
              </w:rPr>
              <w:t>Actual</w:t>
            </w:r>
            <w:r w:rsidRPr="005C5E32">
              <w:rPr>
                <w:color w:val="0E7C7E"/>
              </w:rPr>
              <w:br/>
              <w:t>$000</w:t>
            </w:r>
          </w:p>
        </w:tc>
        <w:tc>
          <w:tcPr>
            <w:tcW w:w="1150" w:type="dxa"/>
            <w:tcBorders>
              <w:top w:val="single" w:sz="8" w:space="0" w:color="0E7C7E"/>
              <w:bottom w:val="single" w:sz="2" w:space="0" w:color="000000" w:themeColor="text1"/>
            </w:tcBorders>
          </w:tcPr>
          <w:p w14:paraId="79B26D66" w14:textId="77777777" w:rsidR="0052115E" w:rsidRPr="005C5E32" w:rsidRDefault="0052115E">
            <w:pPr>
              <w:pStyle w:val="TableboldGreen"/>
              <w:spacing w:before="40" w:after="40"/>
              <w:jc w:val="right"/>
            </w:pPr>
            <w:r w:rsidRPr="005C5E32">
              <w:rPr>
                <w:bCs/>
                <w:color w:val="0E7C7E"/>
              </w:rPr>
              <w:t>2025/26</w:t>
            </w:r>
            <w:r w:rsidRPr="005C5E32">
              <w:rPr>
                <w:bCs/>
                <w:color w:val="0E7C7E"/>
              </w:rPr>
              <w:br/>
            </w:r>
            <w:r w:rsidRPr="005C5E32">
              <w:rPr>
                <w:color w:val="0E7C7E"/>
              </w:rPr>
              <w:t>Budget*</w:t>
            </w:r>
            <w:r w:rsidRPr="005C5E32">
              <w:rPr>
                <w:color w:val="0E7C7E"/>
              </w:rPr>
              <w:br/>
              <w:t>$000</w:t>
            </w:r>
          </w:p>
        </w:tc>
        <w:tc>
          <w:tcPr>
            <w:tcW w:w="1150" w:type="dxa"/>
            <w:tcBorders>
              <w:top w:val="single" w:sz="8" w:space="0" w:color="0E7C7E"/>
              <w:bottom w:val="single" w:sz="2" w:space="0" w:color="000000" w:themeColor="text1"/>
            </w:tcBorders>
            <w:shd w:val="clear" w:color="auto" w:fill="E7F2F2"/>
          </w:tcPr>
          <w:p w14:paraId="4D1BE1E2" w14:textId="77777777" w:rsidR="0052115E" w:rsidRPr="005C5E32" w:rsidRDefault="0052115E">
            <w:pPr>
              <w:pStyle w:val="TableboldGreen"/>
              <w:spacing w:before="40" w:after="40"/>
              <w:jc w:val="right"/>
            </w:pPr>
            <w:r w:rsidRPr="005C5E32">
              <w:rPr>
                <w:bCs/>
                <w:color w:val="0E7C7E"/>
              </w:rPr>
              <w:t>2025/26</w:t>
            </w:r>
            <w:r w:rsidRPr="005C5E32">
              <w:rPr>
                <w:bCs/>
                <w:color w:val="0E7C7E"/>
              </w:rPr>
              <w:br/>
            </w:r>
            <w:r w:rsidRPr="005C5E32">
              <w:rPr>
                <w:color w:val="0E7C7E"/>
              </w:rPr>
              <w:t>Actual</w:t>
            </w:r>
            <w:r w:rsidRPr="005C5E32">
              <w:rPr>
                <w:color w:val="0E7C7E"/>
              </w:rPr>
              <w:br/>
              <w:t>$000</w:t>
            </w:r>
          </w:p>
        </w:tc>
      </w:tr>
      <w:tr w:rsidR="0052115E" w:rsidRPr="005C5E32" w14:paraId="1ED1E610" w14:textId="77777777" w:rsidTr="00403DB3">
        <w:tc>
          <w:tcPr>
            <w:tcW w:w="3905" w:type="dxa"/>
            <w:tcBorders>
              <w:top w:val="single" w:sz="2" w:space="0" w:color="000000" w:themeColor="text1"/>
            </w:tcBorders>
          </w:tcPr>
          <w:p w14:paraId="00F179A9" w14:textId="77777777" w:rsidR="0052115E" w:rsidRPr="005C5E32" w:rsidRDefault="0052115E">
            <w:pPr>
              <w:pStyle w:val="TableboldGreen"/>
              <w:spacing w:before="40" w:after="40"/>
            </w:pPr>
            <w:r w:rsidRPr="005C5E32">
              <w:t>Cash flows from operating activities</w:t>
            </w:r>
          </w:p>
        </w:tc>
        <w:tc>
          <w:tcPr>
            <w:tcW w:w="1150" w:type="dxa"/>
            <w:tcBorders>
              <w:top w:val="single" w:sz="2" w:space="0" w:color="000000" w:themeColor="text1"/>
            </w:tcBorders>
          </w:tcPr>
          <w:p w14:paraId="4AD50024" w14:textId="77777777" w:rsidR="0052115E" w:rsidRPr="005C5E32" w:rsidRDefault="0052115E">
            <w:pPr>
              <w:pStyle w:val="TableText"/>
              <w:spacing w:before="40" w:after="40"/>
              <w:jc w:val="right"/>
            </w:pPr>
          </w:p>
        </w:tc>
        <w:tc>
          <w:tcPr>
            <w:tcW w:w="1150" w:type="dxa"/>
            <w:tcBorders>
              <w:top w:val="single" w:sz="2" w:space="0" w:color="000000" w:themeColor="text1"/>
            </w:tcBorders>
          </w:tcPr>
          <w:p w14:paraId="68734450" w14:textId="77777777" w:rsidR="0052115E" w:rsidRPr="005C5E32" w:rsidRDefault="0052115E">
            <w:pPr>
              <w:pStyle w:val="TableText"/>
              <w:spacing w:before="40" w:after="40"/>
              <w:jc w:val="right"/>
            </w:pPr>
          </w:p>
        </w:tc>
        <w:tc>
          <w:tcPr>
            <w:tcW w:w="1150" w:type="dxa"/>
            <w:vMerge w:val="restart"/>
            <w:tcBorders>
              <w:top w:val="single" w:sz="2" w:space="0" w:color="000000" w:themeColor="text1"/>
            </w:tcBorders>
            <w:shd w:val="clear" w:color="auto" w:fill="E7F2F2"/>
            <w:vAlign w:val="bottom"/>
          </w:tcPr>
          <w:p w14:paraId="29109132" w14:textId="77777777" w:rsidR="0052115E" w:rsidRPr="005C5E32" w:rsidRDefault="0052115E">
            <w:pPr>
              <w:pStyle w:val="TableText"/>
              <w:spacing w:before="40" w:after="40"/>
              <w:jc w:val="right"/>
            </w:pPr>
            <w:r w:rsidRPr="005C5E32">
              <w:t xml:space="preserve"> 217,086</w:t>
            </w:r>
          </w:p>
        </w:tc>
      </w:tr>
      <w:tr w:rsidR="0052115E" w:rsidRPr="005C5E32" w14:paraId="2F1C1B85" w14:textId="77777777" w:rsidTr="00403DB3">
        <w:tc>
          <w:tcPr>
            <w:tcW w:w="3905" w:type="dxa"/>
            <w:tcBorders>
              <w:bottom w:val="single" w:sz="2" w:space="0" w:color="58595B"/>
            </w:tcBorders>
          </w:tcPr>
          <w:p w14:paraId="7573BB37" w14:textId="77777777" w:rsidR="0052115E" w:rsidRPr="005C5E32" w:rsidRDefault="0052115E">
            <w:pPr>
              <w:pStyle w:val="TableText"/>
              <w:spacing w:before="40" w:after="40"/>
            </w:pPr>
            <w:r w:rsidRPr="005C5E32">
              <w:t>Receipts from the Crown</w:t>
            </w:r>
          </w:p>
        </w:tc>
        <w:tc>
          <w:tcPr>
            <w:tcW w:w="1150" w:type="dxa"/>
            <w:tcBorders>
              <w:bottom w:val="single" w:sz="2" w:space="0" w:color="58595B"/>
            </w:tcBorders>
          </w:tcPr>
          <w:p w14:paraId="73E23127" w14:textId="77777777" w:rsidR="0052115E" w:rsidRPr="005C5E32" w:rsidRDefault="0052115E">
            <w:pPr>
              <w:pStyle w:val="TableText"/>
              <w:spacing w:before="40" w:after="40"/>
              <w:jc w:val="right"/>
            </w:pPr>
            <w:r w:rsidRPr="005C5E32">
              <w:t>215,140</w:t>
            </w:r>
          </w:p>
        </w:tc>
        <w:tc>
          <w:tcPr>
            <w:tcW w:w="1150" w:type="dxa"/>
            <w:tcBorders>
              <w:bottom w:val="single" w:sz="2" w:space="0" w:color="58595B"/>
            </w:tcBorders>
          </w:tcPr>
          <w:p w14:paraId="47848EE4" w14:textId="77777777" w:rsidR="0052115E" w:rsidRPr="005C5E32" w:rsidRDefault="0052115E">
            <w:pPr>
              <w:pStyle w:val="TableText"/>
              <w:spacing w:before="40" w:after="40"/>
              <w:jc w:val="right"/>
            </w:pPr>
            <w:r w:rsidRPr="005C5E32">
              <w:t>207,089</w:t>
            </w:r>
          </w:p>
        </w:tc>
        <w:tc>
          <w:tcPr>
            <w:tcW w:w="1150" w:type="dxa"/>
            <w:vMerge/>
          </w:tcPr>
          <w:p w14:paraId="436AA60E" w14:textId="77777777" w:rsidR="0052115E" w:rsidRPr="005C5E32" w:rsidRDefault="0052115E">
            <w:pPr>
              <w:pStyle w:val="TableText"/>
              <w:spacing w:before="40" w:after="40"/>
              <w:jc w:val="right"/>
              <w:rPr>
                <w:highlight w:val="yellow"/>
              </w:rPr>
            </w:pPr>
          </w:p>
        </w:tc>
      </w:tr>
      <w:tr w:rsidR="0052115E" w:rsidRPr="005C5E32" w14:paraId="00980626" w14:textId="77777777" w:rsidTr="00403DB3">
        <w:tc>
          <w:tcPr>
            <w:tcW w:w="3905" w:type="dxa"/>
            <w:tcBorders>
              <w:top w:val="single" w:sz="2" w:space="0" w:color="58595B"/>
              <w:bottom w:val="single" w:sz="2" w:space="0" w:color="58595B"/>
            </w:tcBorders>
          </w:tcPr>
          <w:p w14:paraId="645877D5" w14:textId="77777777" w:rsidR="0052115E" w:rsidRPr="005C5E32" w:rsidRDefault="0052115E">
            <w:pPr>
              <w:pStyle w:val="TableText"/>
              <w:spacing w:before="40" w:after="40"/>
            </w:pPr>
            <w:r w:rsidRPr="005C5E32">
              <w:t>Receipts from other revenue</w:t>
            </w:r>
          </w:p>
        </w:tc>
        <w:tc>
          <w:tcPr>
            <w:tcW w:w="1150" w:type="dxa"/>
            <w:tcBorders>
              <w:top w:val="single" w:sz="2" w:space="0" w:color="58595B"/>
              <w:bottom w:val="single" w:sz="2" w:space="0" w:color="58595B"/>
            </w:tcBorders>
          </w:tcPr>
          <w:p w14:paraId="30FA2143" w14:textId="77777777" w:rsidR="0052115E" w:rsidRPr="005C5E32" w:rsidRDefault="0052115E">
            <w:pPr>
              <w:pStyle w:val="TableText"/>
              <w:spacing w:before="40" w:after="40"/>
              <w:jc w:val="right"/>
            </w:pPr>
            <w:r w:rsidRPr="005C5E32">
              <w:t>134</w:t>
            </w:r>
          </w:p>
        </w:tc>
        <w:tc>
          <w:tcPr>
            <w:tcW w:w="1150" w:type="dxa"/>
            <w:tcBorders>
              <w:top w:val="single" w:sz="2" w:space="0" w:color="58595B"/>
              <w:bottom w:val="single" w:sz="2" w:space="0" w:color="58595B"/>
            </w:tcBorders>
          </w:tcPr>
          <w:p w14:paraId="06DADCFD" w14:textId="77777777" w:rsidR="0052115E" w:rsidRPr="005C5E32" w:rsidRDefault="0052115E">
            <w:pPr>
              <w:pStyle w:val="TableText"/>
              <w:spacing w:before="40" w:after="40"/>
              <w:jc w:val="right"/>
            </w:pPr>
            <w:r w:rsidRPr="005C5E32">
              <w:t>955</w:t>
            </w:r>
          </w:p>
        </w:tc>
        <w:tc>
          <w:tcPr>
            <w:tcW w:w="1150" w:type="dxa"/>
            <w:tcBorders>
              <w:top w:val="single" w:sz="2" w:space="0" w:color="58595B"/>
              <w:bottom w:val="single" w:sz="2" w:space="0" w:color="58595B"/>
            </w:tcBorders>
            <w:shd w:val="clear" w:color="auto" w:fill="E7F2F2"/>
          </w:tcPr>
          <w:p w14:paraId="155C7AA1" w14:textId="77777777" w:rsidR="0052115E" w:rsidRPr="005C5E32" w:rsidRDefault="0052115E">
            <w:pPr>
              <w:pStyle w:val="TableText"/>
              <w:spacing w:before="40" w:after="40"/>
              <w:jc w:val="right"/>
            </w:pPr>
            <w:r w:rsidRPr="005C5E32">
              <w:t>851</w:t>
            </w:r>
          </w:p>
        </w:tc>
      </w:tr>
      <w:tr w:rsidR="0052115E" w:rsidRPr="005C5E32" w14:paraId="6AB2CC89" w14:textId="77777777" w:rsidTr="00403DB3">
        <w:tc>
          <w:tcPr>
            <w:tcW w:w="3905" w:type="dxa"/>
            <w:tcBorders>
              <w:top w:val="single" w:sz="2" w:space="0" w:color="58595B"/>
              <w:bottom w:val="single" w:sz="2" w:space="0" w:color="58595B"/>
            </w:tcBorders>
          </w:tcPr>
          <w:p w14:paraId="63308A96" w14:textId="77777777" w:rsidR="0052115E" w:rsidRPr="005C5E32" w:rsidRDefault="0052115E">
            <w:pPr>
              <w:pStyle w:val="TableText"/>
              <w:spacing w:before="40" w:after="40"/>
            </w:pPr>
            <w:r w:rsidRPr="005C5E32">
              <w:t>Payments to suppliers</w:t>
            </w:r>
          </w:p>
        </w:tc>
        <w:tc>
          <w:tcPr>
            <w:tcW w:w="1150" w:type="dxa"/>
            <w:tcBorders>
              <w:top w:val="single" w:sz="2" w:space="0" w:color="58595B"/>
              <w:bottom w:val="single" w:sz="2" w:space="0" w:color="58595B"/>
            </w:tcBorders>
          </w:tcPr>
          <w:p w14:paraId="584191D4" w14:textId="77777777" w:rsidR="0052115E" w:rsidRPr="005C5E32" w:rsidRDefault="0052115E">
            <w:pPr>
              <w:pStyle w:val="TableText"/>
              <w:spacing w:before="40" w:after="40"/>
              <w:jc w:val="right"/>
            </w:pPr>
            <w:r w:rsidRPr="005C5E32">
              <w:t>(63,940</w:t>
            </w:r>
            <w:r w:rsidRPr="005C5E32" w:rsidDel="00F375CA">
              <w:t>)</w:t>
            </w:r>
          </w:p>
        </w:tc>
        <w:tc>
          <w:tcPr>
            <w:tcW w:w="1150" w:type="dxa"/>
            <w:tcBorders>
              <w:top w:val="single" w:sz="2" w:space="0" w:color="58595B"/>
              <w:bottom w:val="single" w:sz="2" w:space="0" w:color="58595B"/>
            </w:tcBorders>
          </w:tcPr>
          <w:p w14:paraId="6684688D" w14:textId="77777777" w:rsidR="0052115E" w:rsidRPr="005C5E32" w:rsidRDefault="0052115E">
            <w:pPr>
              <w:pStyle w:val="TableText"/>
              <w:spacing w:before="40" w:after="40"/>
              <w:jc w:val="right"/>
            </w:pPr>
            <w:r w:rsidRPr="005C5E32">
              <w:t>(63,255</w:t>
            </w:r>
            <w:r w:rsidRPr="005C5E32" w:rsidDel="00F375CA">
              <w:t>)</w:t>
            </w:r>
          </w:p>
        </w:tc>
        <w:tc>
          <w:tcPr>
            <w:tcW w:w="1150" w:type="dxa"/>
            <w:tcBorders>
              <w:top w:val="single" w:sz="2" w:space="0" w:color="58595B"/>
              <w:bottom w:val="single" w:sz="2" w:space="0" w:color="58595B"/>
            </w:tcBorders>
            <w:shd w:val="clear" w:color="auto" w:fill="E7F2F2"/>
          </w:tcPr>
          <w:p w14:paraId="00ABD0B4" w14:textId="77777777" w:rsidR="0052115E" w:rsidRPr="005C5E32" w:rsidRDefault="0052115E">
            <w:pPr>
              <w:pStyle w:val="TableText"/>
              <w:spacing w:before="40" w:after="40"/>
              <w:jc w:val="right"/>
            </w:pPr>
            <w:r w:rsidRPr="005C5E32">
              <w:t>(85,976)</w:t>
            </w:r>
          </w:p>
        </w:tc>
      </w:tr>
      <w:tr w:rsidR="0052115E" w:rsidRPr="005C5E32" w14:paraId="1E5F4D61" w14:textId="77777777" w:rsidTr="00403DB3">
        <w:tc>
          <w:tcPr>
            <w:tcW w:w="3905" w:type="dxa"/>
            <w:tcBorders>
              <w:top w:val="single" w:sz="2" w:space="0" w:color="58595B"/>
              <w:bottom w:val="single" w:sz="2" w:space="0" w:color="58595B"/>
            </w:tcBorders>
          </w:tcPr>
          <w:p w14:paraId="685D9B47" w14:textId="77777777" w:rsidR="0052115E" w:rsidRPr="005C5E32" w:rsidRDefault="0052115E">
            <w:pPr>
              <w:pStyle w:val="TableText"/>
              <w:spacing w:before="40" w:after="40"/>
            </w:pPr>
            <w:r w:rsidRPr="005C5E32">
              <w:t>Payments to employees</w:t>
            </w:r>
          </w:p>
        </w:tc>
        <w:tc>
          <w:tcPr>
            <w:tcW w:w="1150" w:type="dxa"/>
            <w:tcBorders>
              <w:top w:val="single" w:sz="2" w:space="0" w:color="58595B"/>
              <w:bottom w:val="single" w:sz="2" w:space="0" w:color="58595B"/>
            </w:tcBorders>
          </w:tcPr>
          <w:p w14:paraId="6A1AE821" w14:textId="77777777" w:rsidR="0052115E" w:rsidRPr="005C5E32" w:rsidRDefault="0052115E">
            <w:pPr>
              <w:pStyle w:val="TableText"/>
              <w:spacing w:before="40" w:after="40"/>
              <w:jc w:val="right"/>
            </w:pPr>
            <w:r w:rsidRPr="005C5E32">
              <w:t>(126,084</w:t>
            </w:r>
            <w:r w:rsidRPr="005C5E32" w:rsidDel="00F375CA">
              <w:t>)</w:t>
            </w:r>
          </w:p>
        </w:tc>
        <w:tc>
          <w:tcPr>
            <w:tcW w:w="1150" w:type="dxa"/>
            <w:tcBorders>
              <w:top w:val="single" w:sz="2" w:space="0" w:color="58595B"/>
              <w:bottom w:val="single" w:sz="2" w:space="0" w:color="58595B"/>
            </w:tcBorders>
          </w:tcPr>
          <w:p w14:paraId="25482510" w14:textId="77777777" w:rsidR="0052115E" w:rsidRPr="005C5E32" w:rsidRDefault="0052115E">
            <w:pPr>
              <w:pStyle w:val="TableText"/>
              <w:spacing w:before="40" w:after="40"/>
              <w:jc w:val="right"/>
            </w:pPr>
            <w:r w:rsidRPr="005C5E32">
              <w:t>(143,926</w:t>
            </w:r>
            <w:r w:rsidRPr="005C5E32" w:rsidDel="00F375CA">
              <w:t>)</w:t>
            </w:r>
          </w:p>
        </w:tc>
        <w:tc>
          <w:tcPr>
            <w:tcW w:w="1150" w:type="dxa"/>
            <w:tcBorders>
              <w:top w:val="single" w:sz="2" w:space="0" w:color="58595B"/>
              <w:bottom w:val="single" w:sz="2" w:space="0" w:color="58595B"/>
            </w:tcBorders>
            <w:shd w:val="clear" w:color="auto" w:fill="E7F2F2"/>
          </w:tcPr>
          <w:p w14:paraId="5BC29FF1" w14:textId="77777777" w:rsidR="0052115E" w:rsidRPr="005C5E32" w:rsidRDefault="0052115E">
            <w:pPr>
              <w:pStyle w:val="TableText"/>
              <w:spacing w:before="40" w:after="40"/>
              <w:jc w:val="right"/>
            </w:pPr>
            <w:r w:rsidRPr="005C5E32">
              <w:t>(115,939)</w:t>
            </w:r>
          </w:p>
        </w:tc>
      </w:tr>
      <w:tr w:rsidR="0052115E" w:rsidRPr="005C5E32" w14:paraId="52AB989C" w14:textId="77777777" w:rsidTr="00403DB3">
        <w:tc>
          <w:tcPr>
            <w:tcW w:w="3905" w:type="dxa"/>
            <w:tcBorders>
              <w:top w:val="single" w:sz="2" w:space="0" w:color="58595B"/>
              <w:bottom w:val="single" w:sz="2" w:space="0" w:color="58595B"/>
            </w:tcBorders>
          </w:tcPr>
          <w:p w14:paraId="492849A5" w14:textId="77777777" w:rsidR="0052115E" w:rsidRPr="005C5E32" w:rsidRDefault="0052115E">
            <w:pPr>
              <w:pStyle w:val="TableText"/>
              <w:spacing w:before="40" w:after="40"/>
            </w:pPr>
            <w:r w:rsidRPr="005C5E32">
              <w:t>Payments for capital charge</w:t>
            </w:r>
          </w:p>
        </w:tc>
        <w:tc>
          <w:tcPr>
            <w:tcW w:w="1150" w:type="dxa"/>
            <w:tcBorders>
              <w:top w:val="single" w:sz="2" w:space="0" w:color="58595B"/>
              <w:bottom w:val="single" w:sz="2" w:space="0" w:color="58595B"/>
            </w:tcBorders>
          </w:tcPr>
          <w:p w14:paraId="299E1CC1" w14:textId="77777777" w:rsidR="0052115E" w:rsidRPr="005C5E32" w:rsidRDefault="0052115E">
            <w:pPr>
              <w:pStyle w:val="TableText"/>
              <w:spacing w:before="40" w:after="40"/>
              <w:jc w:val="right"/>
            </w:pPr>
            <w:r w:rsidRPr="005C5E32">
              <w:t>(362)</w:t>
            </w:r>
          </w:p>
        </w:tc>
        <w:tc>
          <w:tcPr>
            <w:tcW w:w="1150" w:type="dxa"/>
            <w:tcBorders>
              <w:top w:val="single" w:sz="2" w:space="0" w:color="58595B"/>
              <w:bottom w:val="single" w:sz="2" w:space="0" w:color="58595B"/>
            </w:tcBorders>
          </w:tcPr>
          <w:p w14:paraId="31C1DB7A" w14:textId="77777777" w:rsidR="0052115E" w:rsidRPr="005C5E32" w:rsidRDefault="0052115E">
            <w:pPr>
              <w:pStyle w:val="TableText"/>
              <w:spacing w:before="40" w:after="40"/>
              <w:jc w:val="right"/>
            </w:pPr>
            <w:r w:rsidRPr="005C5E32">
              <w:t>(362)</w:t>
            </w:r>
          </w:p>
        </w:tc>
        <w:tc>
          <w:tcPr>
            <w:tcW w:w="1150" w:type="dxa"/>
            <w:tcBorders>
              <w:top w:val="single" w:sz="2" w:space="0" w:color="58595B"/>
              <w:bottom w:val="single" w:sz="2" w:space="0" w:color="58595B"/>
            </w:tcBorders>
            <w:shd w:val="clear" w:color="auto" w:fill="E7F2F2"/>
          </w:tcPr>
          <w:p w14:paraId="750D961B" w14:textId="77777777" w:rsidR="0052115E" w:rsidRPr="005C5E32" w:rsidRDefault="0052115E">
            <w:pPr>
              <w:pStyle w:val="TableText"/>
              <w:spacing w:before="40" w:after="40"/>
              <w:jc w:val="right"/>
            </w:pPr>
            <w:r w:rsidRPr="005C5E32">
              <w:t>(362</w:t>
            </w:r>
            <w:r w:rsidRPr="005C5E32" w:rsidDel="00B82B9A">
              <w:t>)</w:t>
            </w:r>
          </w:p>
        </w:tc>
      </w:tr>
      <w:tr w:rsidR="0052115E" w:rsidRPr="005C5E32" w14:paraId="47777A59" w14:textId="77777777" w:rsidTr="00403DB3">
        <w:tc>
          <w:tcPr>
            <w:tcW w:w="3905" w:type="dxa"/>
            <w:tcBorders>
              <w:top w:val="single" w:sz="2" w:space="0" w:color="58595B"/>
              <w:bottom w:val="single" w:sz="4" w:space="0" w:color="000000" w:themeColor="text1"/>
            </w:tcBorders>
          </w:tcPr>
          <w:p w14:paraId="1C0A8013" w14:textId="77777777" w:rsidR="0052115E" w:rsidRPr="005C5E32" w:rsidRDefault="0052115E">
            <w:pPr>
              <w:pStyle w:val="TableText"/>
              <w:spacing w:before="40" w:after="40"/>
            </w:pPr>
            <w:r w:rsidRPr="005C5E32">
              <w:t>Goods and services tax (net)</w:t>
            </w:r>
          </w:p>
        </w:tc>
        <w:tc>
          <w:tcPr>
            <w:tcW w:w="1150" w:type="dxa"/>
            <w:tcBorders>
              <w:top w:val="single" w:sz="2" w:space="0" w:color="58595B"/>
              <w:bottom w:val="single" w:sz="4" w:space="0" w:color="000000" w:themeColor="text1"/>
            </w:tcBorders>
          </w:tcPr>
          <w:p w14:paraId="59E025DA" w14:textId="77777777" w:rsidR="0052115E" w:rsidRPr="005C5E32" w:rsidRDefault="0052115E">
            <w:pPr>
              <w:pStyle w:val="TableText"/>
              <w:spacing w:before="40" w:after="40"/>
              <w:jc w:val="right"/>
            </w:pPr>
            <w:r w:rsidRPr="005C5E32">
              <w:t xml:space="preserve">72 </w:t>
            </w:r>
          </w:p>
        </w:tc>
        <w:tc>
          <w:tcPr>
            <w:tcW w:w="1150" w:type="dxa"/>
            <w:tcBorders>
              <w:top w:val="single" w:sz="2" w:space="0" w:color="58595B"/>
              <w:bottom w:val="single" w:sz="4" w:space="0" w:color="000000" w:themeColor="text1"/>
            </w:tcBorders>
          </w:tcPr>
          <w:p w14:paraId="07190AF1" w14:textId="77777777" w:rsidR="0052115E" w:rsidRPr="005C5E32" w:rsidRDefault="0052115E">
            <w:pPr>
              <w:pStyle w:val="TableText"/>
              <w:spacing w:before="40" w:after="40"/>
              <w:jc w:val="right"/>
            </w:pPr>
            <w:r w:rsidRPr="005C5E32">
              <w:t>–</w:t>
            </w:r>
          </w:p>
        </w:tc>
        <w:tc>
          <w:tcPr>
            <w:tcW w:w="1150" w:type="dxa"/>
            <w:tcBorders>
              <w:top w:val="single" w:sz="2" w:space="0" w:color="58595B"/>
              <w:bottom w:val="single" w:sz="4" w:space="0" w:color="000000" w:themeColor="text1"/>
            </w:tcBorders>
            <w:shd w:val="clear" w:color="auto" w:fill="E7F2F2"/>
          </w:tcPr>
          <w:p w14:paraId="66C584DB" w14:textId="77777777" w:rsidR="0052115E" w:rsidRPr="005C5E32" w:rsidRDefault="0052115E">
            <w:pPr>
              <w:pStyle w:val="TableText"/>
              <w:spacing w:before="40" w:after="40"/>
              <w:jc w:val="right"/>
            </w:pPr>
            <w:r w:rsidRPr="005C5E32">
              <w:t>(276)</w:t>
            </w:r>
          </w:p>
        </w:tc>
      </w:tr>
      <w:tr w:rsidR="0052115E" w:rsidRPr="005C5E32" w14:paraId="2612A7B6" w14:textId="77777777" w:rsidTr="00403DB3">
        <w:tc>
          <w:tcPr>
            <w:tcW w:w="3905" w:type="dxa"/>
            <w:tcBorders>
              <w:top w:val="single" w:sz="4" w:space="0" w:color="000000" w:themeColor="text1"/>
              <w:bottom w:val="single" w:sz="4" w:space="0" w:color="000000" w:themeColor="text1"/>
            </w:tcBorders>
          </w:tcPr>
          <w:p w14:paraId="4D9D82FF" w14:textId="77777777" w:rsidR="0052115E" w:rsidRPr="001D5532" w:rsidRDefault="0052115E">
            <w:pPr>
              <w:pStyle w:val="TableText"/>
              <w:spacing w:before="40" w:after="40"/>
              <w:rPr>
                <w:b/>
              </w:rPr>
            </w:pPr>
            <w:r w:rsidRPr="001D5532">
              <w:rPr>
                <w:b/>
              </w:rPr>
              <w:t>Net cash flow from operating activities</w:t>
            </w:r>
          </w:p>
        </w:tc>
        <w:tc>
          <w:tcPr>
            <w:tcW w:w="1150" w:type="dxa"/>
            <w:tcBorders>
              <w:top w:val="single" w:sz="4" w:space="0" w:color="000000" w:themeColor="text1"/>
              <w:bottom w:val="single" w:sz="4" w:space="0" w:color="000000" w:themeColor="text1"/>
            </w:tcBorders>
          </w:tcPr>
          <w:p w14:paraId="2EB7423C" w14:textId="77777777" w:rsidR="0052115E" w:rsidRPr="001D5532" w:rsidRDefault="0052115E">
            <w:pPr>
              <w:pStyle w:val="TableText"/>
              <w:spacing w:before="40" w:after="40"/>
              <w:jc w:val="right"/>
              <w:rPr>
                <w:b/>
              </w:rPr>
            </w:pPr>
            <w:r w:rsidRPr="001D5532">
              <w:rPr>
                <w:b/>
              </w:rPr>
              <w:t>24,960</w:t>
            </w:r>
          </w:p>
        </w:tc>
        <w:tc>
          <w:tcPr>
            <w:tcW w:w="1150" w:type="dxa"/>
            <w:tcBorders>
              <w:top w:val="single" w:sz="4" w:space="0" w:color="000000" w:themeColor="text1"/>
              <w:bottom w:val="single" w:sz="4" w:space="0" w:color="000000" w:themeColor="text1"/>
            </w:tcBorders>
          </w:tcPr>
          <w:p w14:paraId="4774CA38" w14:textId="77777777" w:rsidR="0052115E" w:rsidRPr="001D5532" w:rsidRDefault="0052115E">
            <w:pPr>
              <w:pStyle w:val="TableText"/>
              <w:spacing w:before="40" w:after="40"/>
              <w:jc w:val="right"/>
              <w:rPr>
                <w:b/>
              </w:rPr>
            </w:pPr>
            <w:r w:rsidRPr="001D5532">
              <w:rPr>
                <w:b/>
              </w:rPr>
              <w:t>501</w:t>
            </w:r>
          </w:p>
        </w:tc>
        <w:tc>
          <w:tcPr>
            <w:tcW w:w="1150" w:type="dxa"/>
            <w:tcBorders>
              <w:top w:val="single" w:sz="4" w:space="0" w:color="000000" w:themeColor="text1"/>
              <w:bottom w:val="single" w:sz="4" w:space="0" w:color="000000" w:themeColor="text1"/>
            </w:tcBorders>
            <w:shd w:val="clear" w:color="auto" w:fill="E7F2F2"/>
          </w:tcPr>
          <w:p w14:paraId="667E98B0" w14:textId="77777777" w:rsidR="0052115E" w:rsidRPr="001D5532" w:rsidRDefault="0052115E">
            <w:pPr>
              <w:pStyle w:val="TableText"/>
              <w:spacing w:before="40" w:after="40"/>
              <w:jc w:val="right"/>
              <w:rPr>
                <w:b/>
              </w:rPr>
            </w:pPr>
            <w:r w:rsidRPr="001D5532">
              <w:rPr>
                <w:b/>
              </w:rPr>
              <w:t>15,384</w:t>
            </w:r>
          </w:p>
        </w:tc>
      </w:tr>
      <w:tr w:rsidR="0052115E" w:rsidRPr="005C5E32" w14:paraId="17E26634" w14:textId="77777777" w:rsidTr="00403DB3">
        <w:tc>
          <w:tcPr>
            <w:tcW w:w="3905" w:type="dxa"/>
            <w:tcBorders>
              <w:top w:val="single" w:sz="4" w:space="0" w:color="000000" w:themeColor="text1"/>
            </w:tcBorders>
          </w:tcPr>
          <w:p w14:paraId="34B8C03E" w14:textId="77777777" w:rsidR="0052115E" w:rsidRPr="005C5E32" w:rsidRDefault="0052115E">
            <w:pPr>
              <w:pStyle w:val="TableboldGreen"/>
              <w:spacing w:before="40" w:after="40"/>
            </w:pPr>
            <w:r w:rsidRPr="005C5E32">
              <w:t>Cash flows from investing activities</w:t>
            </w:r>
          </w:p>
        </w:tc>
        <w:tc>
          <w:tcPr>
            <w:tcW w:w="1150" w:type="dxa"/>
            <w:tcBorders>
              <w:top w:val="single" w:sz="4" w:space="0" w:color="000000" w:themeColor="text1"/>
            </w:tcBorders>
          </w:tcPr>
          <w:p w14:paraId="2EB3DD2C" w14:textId="77777777" w:rsidR="0052115E" w:rsidRPr="005C5E32" w:rsidRDefault="0052115E">
            <w:pPr>
              <w:pStyle w:val="TableText"/>
              <w:spacing w:before="40" w:after="40"/>
              <w:jc w:val="right"/>
            </w:pPr>
          </w:p>
        </w:tc>
        <w:tc>
          <w:tcPr>
            <w:tcW w:w="1150" w:type="dxa"/>
            <w:tcBorders>
              <w:top w:val="single" w:sz="4" w:space="0" w:color="000000" w:themeColor="text1"/>
            </w:tcBorders>
          </w:tcPr>
          <w:p w14:paraId="4538A1DF" w14:textId="77777777" w:rsidR="0052115E" w:rsidRPr="005C5E32" w:rsidRDefault="0052115E">
            <w:pPr>
              <w:pStyle w:val="TableText"/>
              <w:spacing w:before="40" w:after="40"/>
              <w:jc w:val="right"/>
            </w:pPr>
          </w:p>
        </w:tc>
        <w:tc>
          <w:tcPr>
            <w:tcW w:w="1150" w:type="dxa"/>
            <w:vMerge w:val="restart"/>
            <w:tcBorders>
              <w:top w:val="single" w:sz="4" w:space="0" w:color="000000" w:themeColor="text1"/>
            </w:tcBorders>
            <w:shd w:val="clear" w:color="auto" w:fill="E7F2F2"/>
            <w:vAlign w:val="bottom"/>
          </w:tcPr>
          <w:p w14:paraId="28A6CD64" w14:textId="77777777" w:rsidR="0052115E" w:rsidRPr="005C5E32" w:rsidRDefault="0052115E">
            <w:pPr>
              <w:pStyle w:val="TableText"/>
              <w:spacing w:before="40" w:after="40"/>
              <w:jc w:val="right"/>
              <w:rPr>
                <w:highlight w:val="yellow"/>
              </w:rPr>
            </w:pPr>
            <w:r w:rsidRPr="005C5E32">
              <w:t>–</w:t>
            </w:r>
          </w:p>
        </w:tc>
      </w:tr>
      <w:tr w:rsidR="0052115E" w:rsidRPr="005C5E32" w14:paraId="2526DB65" w14:textId="77777777" w:rsidTr="00403DB3">
        <w:tc>
          <w:tcPr>
            <w:tcW w:w="3905" w:type="dxa"/>
            <w:tcBorders>
              <w:bottom w:val="single" w:sz="2" w:space="0" w:color="58595B"/>
            </w:tcBorders>
          </w:tcPr>
          <w:p w14:paraId="63779415" w14:textId="77777777" w:rsidR="0052115E" w:rsidRPr="005C5E32" w:rsidRDefault="0052115E">
            <w:pPr>
              <w:pStyle w:val="TableText"/>
              <w:spacing w:before="0" w:after="40"/>
            </w:pPr>
            <w:r w:rsidRPr="005C5E32">
              <w:t>Receipts from sale of plant and equipment</w:t>
            </w:r>
          </w:p>
        </w:tc>
        <w:tc>
          <w:tcPr>
            <w:tcW w:w="1150" w:type="dxa"/>
            <w:tcBorders>
              <w:bottom w:val="single" w:sz="2" w:space="0" w:color="58595B"/>
            </w:tcBorders>
            <w:vAlign w:val="bottom"/>
          </w:tcPr>
          <w:p w14:paraId="7D78D67F" w14:textId="77777777" w:rsidR="0052115E" w:rsidRPr="005C5E32" w:rsidRDefault="0052115E">
            <w:pPr>
              <w:pStyle w:val="TableText"/>
              <w:spacing w:before="0" w:after="40"/>
              <w:jc w:val="right"/>
            </w:pPr>
            <w:r w:rsidRPr="005C5E32">
              <w:t>–</w:t>
            </w:r>
          </w:p>
        </w:tc>
        <w:tc>
          <w:tcPr>
            <w:tcW w:w="1150" w:type="dxa"/>
            <w:tcBorders>
              <w:bottom w:val="single" w:sz="2" w:space="0" w:color="58595B"/>
            </w:tcBorders>
            <w:vAlign w:val="bottom"/>
          </w:tcPr>
          <w:p w14:paraId="1FC9C36B" w14:textId="77777777" w:rsidR="0052115E" w:rsidRPr="005C5E32" w:rsidRDefault="0052115E">
            <w:pPr>
              <w:pStyle w:val="TableText"/>
              <w:spacing w:before="0" w:after="40"/>
              <w:jc w:val="right"/>
            </w:pPr>
            <w:r w:rsidRPr="005C5E32">
              <w:t>5</w:t>
            </w:r>
          </w:p>
        </w:tc>
        <w:tc>
          <w:tcPr>
            <w:tcW w:w="1150" w:type="dxa"/>
            <w:vMerge/>
          </w:tcPr>
          <w:p w14:paraId="1A5AAE53" w14:textId="77777777" w:rsidR="0052115E" w:rsidRPr="005C5E32" w:rsidRDefault="0052115E">
            <w:pPr>
              <w:pStyle w:val="TableText"/>
              <w:spacing w:before="0" w:after="40"/>
              <w:jc w:val="right"/>
              <w:rPr>
                <w:highlight w:val="yellow"/>
              </w:rPr>
            </w:pPr>
          </w:p>
        </w:tc>
      </w:tr>
      <w:tr w:rsidR="0052115E" w:rsidRPr="005C5E32" w14:paraId="30E8AE9E" w14:textId="77777777" w:rsidTr="00403DB3">
        <w:tc>
          <w:tcPr>
            <w:tcW w:w="3905" w:type="dxa"/>
            <w:tcBorders>
              <w:top w:val="single" w:sz="2" w:space="0" w:color="58595B"/>
              <w:bottom w:val="single" w:sz="2" w:space="0" w:color="58595B"/>
            </w:tcBorders>
          </w:tcPr>
          <w:p w14:paraId="5EBB6D55" w14:textId="77777777" w:rsidR="0052115E" w:rsidRPr="005C5E32" w:rsidRDefault="0052115E">
            <w:pPr>
              <w:pStyle w:val="TableText"/>
              <w:spacing w:before="40" w:after="40"/>
            </w:pPr>
            <w:r w:rsidRPr="005C5E32">
              <w:t>Purchase of plant and equipment</w:t>
            </w:r>
          </w:p>
        </w:tc>
        <w:tc>
          <w:tcPr>
            <w:tcW w:w="1150" w:type="dxa"/>
            <w:tcBorders>
              <w:top w:val="single" w:sz="2" w:space="0" w:color="58595B"/>
              <w:bottom w:val="single" w:sz="2" w:space="0" w:color="58595B"/>
            </w:tcBorders>
          </w:tcPr>
          <w:p w14:paraId="575E4632" w14:textId="77777777" w:rsidR="0052115E" w:rsidRPr="005C5E32" w:rsidRDefault="0052115E">
            <w:pPr>
              <w:pStyle w:val="TableText"/>
              <w:spacing w:before="40" w:after="40"/>
              <w:jc w:val="right"/>
            </w:pPr>
            <w:r w:rsidRPr="005C5E32">
              <w:t>(256</w:t>
            </w:r>
            <w:r w:rsidRPr="005C5E32" w:rsidDel="00F375CA">
              <w:t>)</w:t>
            </w:r>
          </w:p>
        </w:tc>
        <w:tc>
          <w:tcPr>
            <w:tcW w:w="1150" w:type="dxa"/>
            <w:tcBorders>
              <w:top w:val="single" w:sz="2" w:space="0" w:color="58595B"/>
              <w:bottom w:val="single" w:sz="2" w:space="0" w:color="58595B"/>
            </w:tcBorders>
          </w:tcPr>
          <w:p w14:paraId="56B7D0B7" w14:textId="77777777" w:rsidR="0052115E" w:rsidRPr="005C5E32" w:rsidRDefault="0052115E">
            <w:pPr>
              <w:pStyle w:val="TableText"/>
              <w:spacing w:before="40" w:after="40"/>
              <w:jc w:val="right"/>
            </w:pPr>
            <w:r w:rsidRPr="005C5E32">
              <w:t>(300</w:t>
            </w:r>
            <w:r w:rsidRPr="005C5E32" w:rsidDel="006625C8">
              <w:t>)</w:t>
            </w:r>
          </w:p>
        </w:tc>
        <w:tc>
          <w:tcPr>
            <w:tcW w:w="1150" w:type="dxa"/>
            <w:tcBorders>
              <w:top w:val="single" w:sz="2" w:space="0" w:color="58595B"/>
              <w:bottom w:val="single" w:sz="2" w:space="0" w:color="58595B"/>
            </w:tcBorders>
            <w:shd w:val="clear" w:color="auto" w:fill="E7F2F2"/>
          </w:tcPr>
          <w:p w14:paraId="64CEF38A" w14:textId="77777777" w:rsidR="0052115E" w:rsidRPr="005C5E32" w:rsidRDefault="0052115E">
            <w:pPr>
              <w:pStyle w:val="TableText"/>
              <w:spacing w:before="40" w:after="40"/>
              <w:jc w:val="right"/>
            </w:pPr>
            <w:r w:rsidRPr="005C5E32">
              <w:t>(741</w:t>
            </w:r>
            <w:r w:rsidRPr="005C5E32" w:rsidDel="00B82B9A">
              <w:t>)</w:t>
            </w:r>
          </w:p>
        </w:tc>
      </w:tr>
      <w:tr w:rsidR="0052115E" w:rsidRPr="005C5E32" w14:paraId="2F63160E" w14:textId="77777777" w:rsidTr="00403DB3">
        <w:tc>
          <w:tcPr>
            <w:tcW w:w="3905" w:type="dxa"/>
            <w:tcBorders>
              <w:top w:val="single" w:sz="2" w:space="0" w:color="58595B"/>
              <w:bottom w:val="single" w:sz="4" w:space="0" w:color="000000" w:themeColor="text1"/>
            </w:tcBorders>
          </w:tcPr>
          <w:p w14:paraId="697FAA5A" w14:textId="77777777" w:rsidR="0052115E" w:rsidRPr="005C5E32" w:rsidRDefault="0052115E">
            <w:pPr>
              <w:pStyle w:val="TableText"/>
              <w:spacing w:before="40" w:after="40"/>
            </w:pPr>
            <w:r w:rsidRPr="005C5E32">
              <w:t>Purchase of intangible assets</w:t>
            </w:r>
          </w:p>
        </w:tc>
        <w:tc>
          <w:tcPr>
            <w:tcW w:w="1150" w:type="dxa"/>
            <w:tcBorders>
              <w:top w:val="single" w:sz="2" w:space="0" w:color="58595B"/>
              <w:bottom w:val="single" w:sz="4" w:space="0" w:color="000000" w:themeColor="text1"/>
            </w:tcBorders>
          </w:tcPr>
          <w:p w14:paraId="61B73F6C" w14:textId="77777777" w:rsidR="0052115E" w:rsidRPr="005C5E32" w:rsidRDefault="0052115E">
            <w:pPr>
              <w:pStyle w:val="TableText"/>
              <w:spacing w:before="40" w:after="40"/>
              <w:jc w:val="right"/>
            </w:pPr>
            <w:r w:rsidRPr="005C5E32">
              <w:t>28</w:t>
            </w:r>
          </w:p>
        </w:tc>
        <w:tc>
          <w:tcPr>
            <w:tcW w:w="1150" w:type="dxa"/>
            <w:tcBorders>
              <w:top w:val="single" w:sz="2" w:space="0" w:color="58595B"/>
              <w:bottom w:val="single" w:sz="4" w:space="0" w:color="000000" w:themeColor="text1"/>
            </w:tcBorders>
          </w:tcPr>
          <w:p w14:paraId="4E08EE52" w14:textId="77777777" w:rsidR="0052115E" w:rsidRPr="005C5E32" w:rsidRDefault="0052115E">
            <w:pPr>
              <w:pStyle w:val="TableText"/>
              <w:spacing w:before="40" w:after="40"/>
              <w:jc w:val="right"/>
            </w:pPr>
            <w:r w:rsidRPr="005C5E32">
              <w:t>(500</w:t>
            </w:r>
            <w:r w:rsidRPr="005C5E32" w:rsidDel="006625C8">
              <w:t>)</w:t>
            </w:r>
          </w:p>
        </w:tc>
        <w:tc>
          <w:tcPr>
            <w:tcW w:w="1150" w:type="dxa"/>
            <w:tcBorders>
              <w:top w:val="single" w:sz="2" w:space="0" w:color="58595B"/>
              <w:bottom w:val="single" w:sz="4" w:space="0" w:color="000000" w:themeColor="text1"/>
            </w:tcBorders>
            <w:shd w:val="clear" w:color="auto" w:fill="E7F2F2"/>
          </w:tcPr>
          <w:p w14:paraId="47ABA2B2" w14:textId="77777777" w:rsidR="0052115E" w:rsidRPr="005C5E32" w:rsidRDefault="0052115E">
            <w:pPr>
              <w:pStyle w:val="TableText"/>
              <w:spacing w:before="40" w:after="40"/>
              <w:jc w:val="right"/>
            </w:pPr>
            <w:r w:rsidRPr="005C5E32">
              <w:t>(8)</w:t>
            </w:r>
          </w:p>
        </w:tc>
      </w:tr>
      <w:tr w:rsidR="0052115E" w:rsidRPr="005C5E32" w14:paraId="24BE421C" w14:textId="77777777" w:rsidTr="00403DB3">
        <w:tc>
          <w:tcPr>
            <w:tcW w:w="3905" w:type="dxa"/>
            <w:tcBorders>
              <w:top w:val="single" w:sz="4" w:space="0" w:color="000000" w:themeColor="text1"/>
              <w:bottom w:val="single" w:sz="4" w:space="0" w:color="000000" w:themeColor="text1"/>
            </w:tcBorders>
          </w:tcPr>
          <w:p w14:paraId="0751EC48" w14:textId="77777777" w:rsidR="0052115E" w:rsidRPr="001D5532" w:rsidRDefault="0052115E">
            <w:pPr>
              <w:pStyle w:val="TableText"/>
              <w:spacing w:before="40" w:after="40"/>
              <w:rPr>
                <w:b/>
              </w:rPr>
            </w:pPr>
            <w:r w:rsidRPr="001D5532">
              <w:rPr>
                <w:b/>
              </w:rPr>
              <w:t>Net cash flow from investing activities</w:t>
            </w:r>
          </w:p>
        </w:tc>
        <w:tc>
          <w:tcPr>
            <w:tcW w:w="1150" w:type="dxa"/>
            <w:tcBorders>
              <w:top w:val="single" w:sz="4" w:space="0" w:color="000000" w:themeColor="text1"/>
              <w:bottom w:val="single" w:sz="4" w:space="0" w:color="000000" w:themeColor="text1"/>
            </w:tcBorders>
          </w:tcPr>
          <w:p w14:paraId="6CE24DC9" w14:textId="77777777" w:rsidR="0052115E" w:rsidRPr="001D5532" w:rsidRDefault="0052115E">
            <w:pPr>
              <w:pStyle w:val="TableText"/>
              <w:spacing w:before="40" w:after="40"/>
              <w:jc w:val="right"/>
              <w:rPr>
                <w:b/>
              </w:rPr>
            </w:pPr>
            <w:r w:rsidRPr="001D5532">
              <w:rPr>
                <w:b/>
              </w:rPr>
              <w:t>(228</w:t>
            </w:r>
            <w:r w:rsidRPr="001D5532" w:rsidDel="00F375CA">
              <w:rPr>
                <w:b/>
              </w:rPr>
              <w:t>)</w:t>
            </w:r>
          </w:p>
        </w:tc>
        <w:tc>
          <w:tcPr>
            <w:tcW w:w="1150" w:type="dxa"/>
            <w:tcBorders>
              <w:top w:val="single" w:sz="4" w:space="0" w:color="000000" w:themeColor="text1"/>
              <w:bottom w:val="single" w:sz="4" w:space="0" w:color="000000" w:themeColor="text1"/>
            </w:tcBorders>
          </w:tcPr>
          <w:p w14:paraId="40CF0ABC" w14:textId="77777777" w:rsidR="0052115E" w:rsidRPr="001D5532" w:rsidRDefault="0052115E">
            <w:pPr>
              <w:pStyle w:val="TableText"/>
              <w:spacing w:before="40" w:after="40"/>
              <w:jc w:val="right"/>
              <w:rPr>
                <w:b/>
              </w:rPr>
            </w:pPr>
            <w:r w:rsidRPr="001D5532">
              <w:rPr>
                <w:b/>
              </w:rPr>
              <w:t>(795</w:t>
            </w:r>
            <w:r w:rsidRPr="001D5532" w:rsidDel="006625C8">
              <w:rPr>
                <w:b/>
              </w:rPr>
              <w:t>)</w:t>
            </w:r>
          </w:p>
        </w:tc>
        <w:tc>
          <w:tcPr>
            <w:tcW w:w="1150" w:type="dxa"/>
            <w:tcBorders>
              <w:top w:val="single" w:sz="4" w:space="0" w:color="000000" w:themeColor="text1"/>
              <w:bottom w:val="single" w:sz="4" w:space="0" w:color="000000" w:themeColor="text1"/>
            </w:tcBorders>
            <w:shd w:val="clear" w:color="auto" w:fill="E7F2F2"/>
          </w:tcPr>
          <w:p w14:paraId="61DBABBB" w14:textId="77777777" w:rsidR="0052115E" w:rsidRPr="001D5532" w:rsidRDefault="0052115E">
            <w:pPr>
              <w:pStyle w:val="TableText"/>
              <w:spacing w:before="40" w:after="40"/>
              <w:jc w:val="right"/>
              <w:rPr>
                <w:b/>
              </w:rPr>
            </w:pPr>
            <w:r w:rsidRPr="001D5532">
              <w:rPr>
                <w:b/>
              </w:rPr>
              <w:t>(749)</w:t>
            </w:r>
          </w:p>
        </w:tc>
      </w:tr>
      <w:tr w:rsidR="0052115E" w:rsidRPr="005C5E32" w14:paraId="135C45E4" w14:textId="77777777" w:rsidTr="00403DB3">
        <w:tc>
          <w:tcPr>
            <w:tcW w:w="3905" w:type="dxa"/>
            <w:tcBorders>
              <w:top w:val="single" w:sz="4" w:space="0" w:color="000000" w:themeColor="text1"/>
            </w:tcBorders>
          </w:tcPr>
          <w:p w14:paraId="31FAE605" w14:textId="77777777" w:rsidR="0052115E" w:rsidRPr="005C5E32" w:rsidRDefault="0052115E">
            <w:pPr>
              <w:pStyle w:val="TableboldGreen"/>
              <w:spacing w:before="40" w:after="40"/>
            </w:pPr>
            <w:r w:rsidRPr="005C5E32">
              <w:t>Cash flows from financing activities</w:t>
            </w:r>
          </w:p>
        </w:tc>
        <w:tc>
          <w:tcPr>
            <w:tcW w:w="1150" w:type="dxa"/>
            <w:tcBorders>
              <w:top w:val="single" w:sz="4" w:space="0" w:color="000000" w:themeColor="text1"/>
            </w:tcBorders>
            <w:vAlign w:val="bottom"/>
          </w:tcPr>
          <w:p w14:paraId="015709FD" w14:textId="77777777" w:rsidR="0052115E" w:rsidRPr="005C5E32" w:rsidRDefault="0052115E">
            <w:pPr>
              <w:pStyle w:val="TableText"/>
              <w:spacing w:before="40" w:after="40"/>
              <w:jc w:val="right"/>
            </w:pPr>
          </w:p>
        </w:tc>
        <w:tc>
          <w:tcPr>
            <w:tcW w:w="1150" w:type="dxa"/>
            <w:tcBorders>
              <w:top w:val="single" w:sz="4" w:space="0" w:color="000000" w:themeColor="text1"/>
            </w:tcBorders>
            <w:vAlign w:val="bottom"/>
          </w:tcPr>
          <w:p w14:paraId="0326DCEC" w14:textId="77777777" w:rsidR="0052115E" w:rsidRPr="005C5E32" w:rsidRDefault="0052115E">
            <w:pPr>
              <w:pStyle w:val="TableText"/>
              <w:spacing w:before="40" w:after="40"/>
              <w:jc w:val="right"/>
            </w:pPr>
          </w:p>
        </w:tc>
        <w:tc>
          <w:tcPr>
            <w:tcW w:w="1150" w:type="dxa"/>
            <w:vMerge w:val="restart"/>
            <w:tcBorders>
              <w:top w:val="single" w:sz="4" w:space="0" w:color="000000" w:themeColor="text1"/>
            </w:tcBorders>
            <w:shd w:val="clear" w:color="auto" w:fill="E7F2F2"/>
            <w:vAlign w:val="bottom"/>
          </w:tcPr>
          <w:p w14:paraId="04F5EB15" w14:textId="77777777" w:rsidR="0052115E" w:rsidRPr="005C5E32" w:rsidRDefault="0052115E">
            <w:pPr>
              <w:pStyle w:val="TableText"/>
              <w:spacing w:before="40" w:after="40"/>
              <w:jc w:val="right"/>
              <w:rPr>
                <w:highlight w:val="yellow"/>
              </w:rPr>
            </w:pPr>
            <w:r w:rsidRPr="005C5E32">
              <w:t>–</w:t>
            </w:r>
          </w:p>
        </w:tc>
      </w:tr>
      <w:tr w:rsidR="0052115E" w:rsidRPr="005C5E32" w14:paraId="72B2E83E" w14:textId="77777777" w:rsidTr="00403DB3">
        <w:tc>
          <w:tcPr>
            <w:tcW w:w="3905" w:type="dxa"/>
            <w:tcBorders>
              <w:bottom w:val="single" w:sz="2" w:space="0" w:color="58595B"/>
            </w:tcBorders>
          </w:tcPr>
          <w:p w14:paraId="55F1EE7B" w14:textId="77777777" w:rsidR="0052115E" w:rsidRPr="005C5E32" w:rsidRDefault="0052115E">
            <w:pPr>
              <w:pStyle w:val="TableText"/>
              <w:spacing w:before="40" w:after="40"/>
            </w:pPr>
            <w:r w:rsidRPr="005C5E32">
              <w:t>Capital contribution received</w:t>
            </w:r>
          </w:p>
        </w:tc>
        <w:tc>
          <w:tcPr>
            <w:tcW w:w="1150" w:type="dxa"/>
            <w:tcBorders>
              <w:bottom w:val="single" w:sz="2" w:space="0" w:color="58595B"/>
            </w:tcBorders>
          </w:tcPr>
          <w:p w14:paraId="3D56B66E" w14:textId="77777777" w:rsidR="0052115E" w:rsidRPr="005C5E32" w:rsidRDefault="0052115E">
            <w:pPr>
              <w:pStyle w:val="TableText"/>
              <w:spacing w:before="40" w:after="40"/>
              <w:jc w:val="right"/>
            </w:pPr>
            <w:r w:rsidRPr="005C5E32">
              <w:t>–</w:t>
            </w:r>
          </w:p>
        </w:tc>
        <w:tc>
          <w:tcPr>
            <w:tcW w:w="1150" w:type="dxa"/>
            <w:tcBorders>
              <w:bottom w:val="single" w:sz="2" w:space="0" w:color="58595B"/>
            </w:tcBorders>
          </w:tcPr>
          <w:p w14:paraId="42A17A52" w14:textId="77777777" w:rsidR="0052115E" w:rsidRPr="005C5E32" w:rsidRDefault="0052115E">
            <w:pPr>
              <w:pStyle w:val="TableText"/>
              <w:spacing w:before="40" w:after="40"/>
              <w:jc w:val="right"/>
            </w:pPr>
            <w:r w:rsidRPr="005C5E32">
              <w:t>–</w:t>
            </w:r>
          </w:p>
        </w:tc>
        <w:tc>
          <w:tcPr>
            <w:tcW w:w="1150" w:type="dxa"/>
            <w:vMerge/>
          </w:tcPr>
          <w:p w14:paraId="47DE65E5" w14:textId="77777777" w:rsidR="0052115E" w:rsidRPr="005C5E32" w:rsidRDefault="0052115E">
            <w:pPr>
              <w:pStyle w:val="TableText"/>
              <w:spacing w:before="40" w:after="40"/>
              <w:jc w:val="right"/>
              <w:rPr>
                <w:highlight w:val="yellow"/>
              </w:rPr>
            </w:pPr>
          </w:p>
        </w:tc>
      </w:tr>
      <w:tr w:rsidR="0052115E" w:rsidRPr="005C5E32" w14:paraId="25C597A8" w14:textId="77777777" w:rsidTr="00403DB3">
        <w:tc>
          <w:tcPr>
            <w:tcW w:w="3905" w:type="dxa"/>
            <w:tcBorders>
              <w:top w:val="single" w:sz="2" w:space="0" w:color="58595B"/>
              <w:bottom w:val="single" w:sz="4" w:space="0" w:color="000000" w:themeColor="text1"/>
            </w:tcBorders>
          </w:tcPr>
          <w:p w14:paraId="5484852A" w14:textId="77777777" w:rsidR="0052115E" w:rsidRPr="005C5E32" w:rsidRDefault="0052115E">
            <w:pPr>
              <w:pStyle w:val="TableText"/>
              <w:spacing w:before="40" w:after="40"/>
            </w:pPr>
            <w:r w:rsidRPr="005C5E32">
              <w:t>Return of operating surplus</w:t>
            </w:r>
          </w:p>
        </w:tc>
        <w:tc>
          <w:tcPr>
            <w:tcW w:w="1150" w:type="dxa"/>
            <w:tcBorders>
              <w:top w:val="single" w:sz="2" w:space="0" w:color="58595B"/>
              <w:bottom w:val="single" w:sz="4" w:space="0" w:color="000000" w:themeColor="text1"/>
            </w:tcBorders>
          </w:tcPr>
          <w:p w14:paraId="7AF572CC" w14:textId="77777777" w:rsidR="0052115E" w:rsidRPr="005C5E32" w:rsidRDefault="0052115E">
            <w:pPr>
              <w:pStyle w:val="TableText"/>
              <w:spacing w:before="40" w:after="40"/>
              <w:jc w:val="right"/>
            </w:pPr>
            <w:r w:rsidRPr="005C5E32">
              <w:t>(27,883</w:t>
            </w:r>
            <w:r w:rsidRPr="005C5E32" w:rsidDel="00F375CA">
              <w:t>)</w:t>
            </w:r>
          </w:p>
        </w:tc>
        <w:tc>
          <w:tcPr>
            <w:tcW w:w="1150" w:type="dxa"/>
            <w:tcBorders>
              <w:top w:val="single" w:sz="2" w:space="0" w:color="58595B"/>
              <w:bottom w:val="single" w:sz="4" w:space="0" w:color="000000" w:themeColor="text1"/>
            </w:tcBorders>
          </w:tcPr>
          <w:p w14:paraId="3541F472" w14:textId="77777777" w:rsidR="0052115E" w:rsidRPr="005C5E32" w:rsidRDefault="0052115E">
            <w:pPr>
              <w:pStyle w:val="TableText"/>
              <w:spacing w:before="40" w:after="40"/>
              <w:jc w:val="right"/>
            </w:pPr>
            <w:r w:rsidRPr="005C5E32">
              <w:t>(5</w:t>
            </w:r>
            <w:r w:rsidRPr="005C5E32" w:rsidDel="006625C8">
              <w:t>)</w:t>
            </w:r>
          </w:p>
        </w:tc>
        <w:tc>
          <w:tcPr>
            <w:tcW w:w="1150" w:type="dxa"/>
            <w:tcBorders>
              <w:top w:val="single" w:sz="2" w:space="0" w:color="58595B"/>
              <w:bottom w:val="single" w:sz="4" w:space="0" w:color="000000" w:themeColor="text1"/>
            </w:tcBorders>
            <w:shd w:val="clear" w:color="auto" w:fill="E7F2F2"/>
          </w:tcPr>
          <w:p w14:paraId="3E4B8877" w14:textId="77777777" w:rsidR="0052115E" w:rsidRPr="005C5E32" w:rsidRDefault="0052115E">
            <w:pPr>
              <w:pStyle w:val="TableText"/>
              <w:spacing w:before="40" w:after="40"/>
              <w:jc w:val="right"/>
            </w:pPr>
            <w:r w:rsidRPr="005C5E32">
              <w:t>(10,167</w:t>
            </w:r>
            <w:r w:rsidRPr="005C5E32" w:rsidDel="00C068CC">
              <w:t>)</w:t>
            </w:r>
          </w:p>
        </w:tc>
      </w:tr>
      <w:tr w:rsidR="0052115E" w:rsidRPr="005C5E32" w14:paraId="048F3854" w14:textId="77777777" w:rsidTr="00403DB3">
        <w:tc>
          <w:tcPr>
            <w:tcW w:w="3905" w:type="dxa"/>
            <w:tcBorders>
              <w:top w:val="single" w:sz="4" w:space="0" w:color="000000" w:themeColor="text1"/>
              <w:bottom w:val="single" w:sz="4" w:space="0" w:color="000000" w:themeColor="text1"/>
            </w:tcBorders>
          </w:tcPr>
          <w:p w14:paraId="2857C6BF" w14:textId="77777777" w:rsidR="0052115E" w:rsidRPr="001D5532" w:rsidRDefault="0052115E">
            <w:pPr>
              <w:pStyle w:val="TableText"/>
              <w:spacing w:before="40" w:after="40"/>
              <w:rPr>
                <w:b/>
              </w:rPr>
            </w:pPr>
            <w:r w:rsidRPr="001D5532">
              <w:rPr>
                <w:b/>
              </w:rPr>
              <w:t>Net cash flow from financing activities</w:t>
            </w:r>
          </w:p>
        </w:tc>
        <w:tc>
          <w:tcPr>
            <w:tcW w:w="1150" w:type="dxa"/>
            <w:tcBorders>
              <w:top w:val="single" w:sz="4" w:space="0" w:color="000000" w:themeColor="text1"/>
              <w:bottom w:val="single" w:sz="4" w:space="0" w:color="000000" w:themeColor="text1"/>
            </w:tcBorders>
          </w:tcPr>
          <w:p w14:paraId="4A706880" w14:textId="77777777" w:rsidR="0052115E" w:rsidRPr="001D5532" w:rsidRDefault="0052115E">
            <w:pPr>
              <w:pStyle w:val="TableText"/>
              <w:spacing w:before="40" w:after="40"/>
              <w:jc w:val="right"/>
              <w:rPr>
                <w:b/>
              </w:rPr>
            </w:pPr>
            <w:r w:rsidRPr="001D5532">
              <w:rPr>
                <w:b/>
              </w:rPr>
              <w:t>(27,883</w:t>
            </w:r>
            <w:r w:rsidRPr="001D5532" w:rsidDel="00F375CA">
              <w:rPr>
                <w:b/>
              </w:rPr>
              <w:t>)</w:t>
            </w:r>
          </w:p>
        </w:tc>
        <w:tc>
          <w:tcPr>
            <w:tcW w:w="1150" w:type="dxa"/>
            <w:tcBorders>
              <w:top w:val="single" w:sz="4" w:space="0" w:color="000000" w:themeColor="text1"/>
              <w:bottom w:val="single" w:sz="4" w:space="0" w:color="000000" w:themeColor="text1"/>
            </w:tcBorders>
          </w:tcPr>
          <w:p w14:paraId="5565CB8B" w14:textId="77777777" w:rsidR="0052115E" w:rsidRPr="001D5532" w:rsidRDefault="0052115E">
            <w:pPr>
              <w:pStyle w:val="TableText"/>
              <w:spacing w:before="40" w:after="40"/>
              <w:jc w:val="right"/>
              <w:rPr>
                <w:b/>
              </w:rPr>
            </w:pPr>
            <w:r w:rsidRPr="001D5532">
              <w:rPr>
                <w:b/>
              </w:rPr>
              <w:t>(5</w:t>
            </w:r>
            <w:r w:rsidRPr="001D5532" w:rsidDel="006625C8">
              <w:rPr>
                <w:b/>
              </w:rPr>
              <w:t>)</w:t>
            </w:r>
          </w:p>
        </w:tc>
        <w:tc>
          <w:tcPr>
            <w:tcW w:w="1150" w:type="dxa"/>
            <w:tcBorders>
              <w:top w:val="single" w:sz="4" w:space="0" w:color="000000" w:themeColor="text1"/>
              <w:bottom w:val="single" w:sz="4" w:space="0" w:color="000000" w:themeColor="text1"/>
            </w:tcBorders>
            <w:shd w:val="clear" w:color="auto" w:fill="E7F2F2"/>
          </w:tcPr>
          <w:p w14:paraId="3D3E738E" w14:textId="77777777" w:rsidR="0052115E" w:rsidRPr="001D5532" w:rsidRDefault="0052115E">
            <w:pPr>
              <w:pStyle w:val="TableText"/>
              <w:spacing w:before="40" w:after="40"/>
              <w:jc w:val="right"/>
              <w:rPr>
                <w:b/>
              </w:rPr>
            </w:pPr>
            <w:r w:rsidRPr="001D5532">
              <w:rPr>
                <w:b/>
              </w:rPr>
              <w:t>(10,167</w:t>
            </w:r>
            <w:r w:rsidRPr="001D5532" w:rsidDel="00C068CC">
              <w:rPr>
                <w:b/>
              </w:rPr>
              <w:t>)</w:t>
            </w:r>
          </w:p>
        </w:tc>
      </w:tr>
      <w:tr w:rsidR="0052115E" w:rsidRPr="005C5E32" w14:paraId="719298BA" w14:textId="77777777" w:rsidTr="00403DB3">
        <w:tc>
          <w:tcPr>
            <w:tcW w:w="3905" w:type="dxa"/>
            <w:tcBorders>
              <w:top w:val="single" w:sz="4" w:space="0" w:color="000000" w:themeColor="text1"/>
              <w:bottom w:val="single" w:sz="2" w:space="0" w:color="58595B"/>
            </w:tcBorders>
          </w:tcPr>
          <w:p w14:paraId="05708F1D" w14:textId="77777777" w:rsidR="0052115E" w:rsidRPr="005C5E32" w:rsidRDefault="0052115E">
            <w:pPr>
              <w:pStyle w:val="TableTextbold"/>
              <w:spacing w:before="40" w:after="40"/>
            </w:pPr>
            <w:r w:rsidRPr="005C5E32">
              <w:t>Net increase/(decrease) in cash</w:t>
            </w:r>
          </w:p>
        </w:tc>
        <w:tc>
          <w:tcPr>
            <w:tcW w:w="1150" w:type="dxa"/>
            <w:tcBorders>
              <w:top w:val="single" w:sz="4" w:space="0" w:color="000000" w:themeColor="text1"/>
              <w:bottom w:val="single" w:sz="2" w:space="0" w:color="58595B"/>
            </w:tcBorders>
          </w:tcPr>
          <w:p w14:paraId="4A2EFF89" w14:textId="77777777" w:rsidR="0052115E" w:rsidRPr="005C5E32" w:rsidRDefault="0052115E">
            <w:pPr>
              <w:pStyle w:val="TableText"/>
              <w:spacing w:before="40" w:after="40"/>
              <w:jc w:val="right"/>
            </w:pPr>
            <w:r w:rsidRPr="005C5E32">
              <w:t>(3,151)</w:t>
            </w:r>
          </w:p>
        </w:tc>
        <w:tc>
          <w:tcPr>
            <w:tcW w:w="1150" w:type="dxa"/>
            <w:tcBorders>
              <w:top w:val="single" w:sz="4" w:space="0" w:color="000000" w:themeColor="text1"/>
              <w:bottom w:val="single" w:sz="2" w:space="0" w:color="58595B"/>
            </w:tcBorders>
          </w:tcPr>
          <w:p w14:paraId="080E06DC" w14:textId="77777777" w:rsidR="0052115E" w:rsidRPr="005C5E32" w:rsidRDefault="0052115E">
            <w:pPr>
              <w:pStyle w:val="TableText"/>
              <w:spacing w:before="40" w:after="40"/>
              <w:jc w:val="right"/>
            </w:pPr>
            <w:r w:rsidRPr="005C5E32">
              <w:t>(299)</w:t>
            </w:r>
          </w:p>
        </w:tc>
        <w:tc>
          <w:tcPr>
            <w:tcW w:w="1150" w:type="dxa"/>
            <w:tcBorders>
              <w:top w:val="single" w:sz="4" w:space="0" w:color="000000" w:themeColor="text1"/>
              <w:bottom w:val="single" w:sz="2" w:space="0" w:color="58595B"/>
            </w:tcBorders>
            <w:shd w:val="clear" w:color="auto" w:fill="E7F2F2"/>
          </w:tcPr>
          <w:p w14:paraId="1D29E277" w14:textId="77777777" w:rsidR="0052115E" w:rsidRPr="005C5E32" w:rsidRDefault="0052115E">
            <w:pPr>
              <w:pStyle w:val="TableText"/>
              <w:spacing w:before="40" w:after="40"/>
              <w:jc w:val="right"/>
            </w:pPr>
            <w:r w:rsidRPr="005C5E32">
              <w:t>4,468</w:t>
            </w:r>
          </w:p>
        </w:tc>
      </w:tr>
      <w:tr w:rsidR="0052115E" w:rsidRPr="005C5E32" w14:paraId="1E96884B" w14:textId="77777777" w:rsidTr="00403DB3">
        <w:tc>
          <w:tcPr>
            <w:tcW w:w="3905" w:type="dxa"/>
            <w:tcBorders>
              <w:top w:val="single" w:sz="2" w:space="0" w:color="58595B"/>
              <w:bottom w:val="single" w:sz="4" w:space="0" w:color="000000" w:themeColor="text1"/>
            </w:tcBorders>
          </w:tcPr>
          <w:p w14:paraId="1FFA1347" w14:textId="77777777" w:rsidR="0052115E" w:rsidRPr="005C5E32" w:rsidRDefault="0052115E">
            <w:pPr>
              <w:pStyle w:val="TableText"/>
              <w:spacing w:before="40" w:after="40"/>
            </w:pPr>
            <w:r w:rsidRPr="005C5E32">
              <w:t>Cash at the beginning of the year</w:t>
            </w:r>
          </w:p>
        </w:tc>
        <w:tc>
          <w:tcPr>
            <w:tcW w:w="1150" w:type="dxa"/>
            <w:tcBorders>
              <w:top w:val="single" w:sz="2" w:space="0" w:color="58595B"/>
              <w:bottom w:val="single" w:sz="4" w:space="0" w:color="000000" w:themeColor="text1"/>
            </w:tcBorders>
          </w:tcPr>
          <w:p w14:paraId="57C2606F" w14:textId="77777777" w:rsidR="0052115E" w:rsidRPr="005C5E32" w:rsidRDefault="0052115E">
            <w:pPr>
              <w:pStyle w:val="TableText"/>
              <w:spacing w:before="40" w:after="40"/>
              <w:jc w:val="right"/>
            </w:pPr>
            <w:r w:rsidRPr="005C5E32">
              <w:t>18,859</w:t>
            </w:r>
          </w:p>
        </w:tc>
        <w:tc>
          <w:tcPr>
            <w:tcW w:w="1150" w:type="dxa"/>
            <w:tcBorders>
              <w:top w:val="single" w:sz="2" w:space="0" w:color="58595B"/>
              <w:bottom w:val="single" w:sz="4" w:space="0" w:color="000000" w:themeColor="text1"/>
            </w:tcBorders>
          </w:tcPr>
          <w:p w14:paraId="56FA73C4" w14:textId="77777777" w:rsidR="0052115E" w:rsidRPr="005C5E32" w:rsidRDefault="0052115E">
            <w:pPr>
              <w:pStyle w:val="TableText"/>
              <w:spacing w:before="40" w:after="40"/>
              <w:jc w:val="right"/>
            </w:pPr>
            <w:r w:rsidRPr="005C5E32">
              <w:t>16,707</w:t>
            </w:r>
          </w:p>
        </w:tc>
        <w:tc>
          <w:tcPr>
            <w:tcW w:w="1150" w:type="dxa"/>
            <w:tcBorders>
              <w:top w:val="single" w:sz="2" w:space="0" w:color="58595B"/>
              <w:bottom w:val="single" w:sz="4" w:space="0" w:color="000000" w:themeColor="text1"/>
            </w:tcBorders>
            <w:shd w:val="clear" w:color="auto" w:fill="E7F2F2"/>
          </w:tcPr>
          <w:p w14:paraId="61380031" w14:textId="77777777" w:rsidR="0052115E" w:rsidRPr="005C5E32" w:rsidRDefault="0052115E">
            <w:pPr>
              <w:pStyle w:val="TableText"/>
              <w:spacing w:before="40" w:after="40"/>
              <w:jc w:val="right"/>
            </w:pPr>
            <w:r w:rsidRPr="005C5E32">
              <w:t>15,708</w:t>
            </w:r>
          </w:p>
        </w:tc>
      </w:tr>
      <w:tr w:rsidR="0052115E" w:rsidRPr="005C5E32" w14:paraId="5BD8DEF0" w14:textId="77777777" w:rsidTr="00403DB3">
        <w:tc>
          <w:tcPr>
            <w:tcW w:w="3905" w:type="dxa"/>
            <w:tcBorders>
              <w:top w:val="single" w:sz="4" w:space="0" w:color="000000" w:themeColor="text1"/>
              <w:bottom w:val="single" w:sz="4" w:space="0" w:color="000000" w:themeColor="text1"/>
            </w:tcBorders>
          </w:tcPr>
          <w:p w14:paraId="0FF77439" w14:textId="77777777" w:rsidR="0052115E" w:rsidRPr="005C5E32" w:rsidRDefault="0052115E">
            <w:pPr>
              <w:pStyle w:val="TableTextbold"/>
              <w:spacing w:before="40" w:after="40"/>
            </w:pPr>
            <w:r w:rsidRPr="005C5E32">
              <w:t>Cash at the end of the year</w:t>
            </w:r>
          </w:p>
        </w:tc>
        <w:tc>
          <w:tcPr>
            <w:tcW w:w="1150" w:type="dxa"/>
            <w:tcBorders>
              <w:top w:val="single" w:sz="4" w:space="0" w:color="000000" w:themeColor="text1"/>
              <w:bottom w:val="single" w:sz="4" w:space="0" w:color="000000" w:themeColor="text1"/>
            </w:tcBorders>
          </w:tcPr>
          <w:p w14:paraId="2332736B" w14:textId="77777777" w:rsidR="0052115E" w:rsidRPr="005C5E32" w:rsidRDefault="0052115E">
            <w:pPr>
              <w:pStyle w:val="TableTextbold"/>
              <w:spacing w:before="40" w:after="40"/>
              <w:jc w:val="right"/>
            </w:pPr>
            <w:r w:rsidRPr="005C5E32">
              <w:rPr>
                <w:bCs/>
              </w:rPr>
              <w:t>15,708</w:t>
            </w:r>
          </w:p>
        </w:tc>
        <w:tc>
          <w:tcPr>
            <w:tcW w:w="1150" w:type="dxa"/>
            <w:tcBorders>
              <w:top w:val="single" w:sz="4" w:space="0" w:color="000000" w:themeColor="text1"/>
              <w:bottom w:val="single" w:sz="4" w:space="0" w:color="000000" w:themeColor="text1"/>
            </w:tcBorders>
          </w:tcPr>
          <w:p w14:paraId="61829900" w14:textId="77777777" w:rsidR="0052115E" w:rsidRPr="005C5E32" w:rsidRDefault="0052115E">
            <w:pPr>
              <w:pStyle w:val="TableTextbold"/>
              <w:spacing w:before="40" w:after="40"/>
              <w:jc w:val="right"/>
            </w:pPr>
            <w:r w:rsidRPr="005C5E32">
              <w:rPr>
                <w:bCs/>
              </w:rPr>
              <w:t>16,408</w:t>
            </w:r>
          </w:p>
        </w:tc>
        <w:tc>
          <w:tcPr>
            <w:tcW w:w="1150" w:type="dxa"/>
            <w:tcBorders>
              <w:top w:val="single" w:sz="4" w:space="0" w:color="000000" w:themeColor="text1"/>
              <w:bottom w:val="single" w:sz="4" w:space="0" w:color="000000" w:themeColor="text1"/>
            </w:tcBorders>
            <w:shd w:val="clear" w:color="auto" w:fill="E7F2F2"/>
          </w:tcPr>
          <w:p w14:paraId="6A3479A0" w14:textId="77777777" w:rsidR="0052115E" w:rsidRPr="005C5E32" w:rsidRDefault="0052115E">
            <w:pPr>
              <w:pStyle w:val="TableTextbold"/>
              <w:spacing w:before="40" w:after="40"/>
              <w:jc w:val="right"/>
            </w:pPr>
            <w:r w:rsidRPr="005C5E32">
              <w:rPr>
                <w:bCs/>
              </w:rPr>
              <w:t>20,176</w:t>
            </w:r>
          </w:p>
        </w:tc>
      </w:tr>
    </w:tbl>
    <w:p w14:paraId="29ED7B13" w14:textId="77777777" w:rsidR="00D06CB2" w:rsidRPr="005C5E32" w:rsidRDefault="00D06CB2" w:rsidP="00403DB3">
      <w:pPr>
        <w:pStyle w:val="Note"/>
        <w:spacing w:after="0"/>
      </w:pPr>
      <w:r w:rsidRPr="005C5E32">
        <w:t>* The statement of accounting policies explains the basis for these figures, which are not subject to audit.</w:t>
      </w:r>
    </w:p>
    <w:p w14:paraId="1697523C" w14:textId="77777777" w:rsidR="00D06CB2" w:rsidRPr="005C5E32" w:rsidRDefault="00D06CB2" w:rsidP="00403DB3">
      <w:pPr>
        <w:pStyle w:val="Note"/>
      </w:pPr>
      <w:r w:rsidRPr="005C5E32">
        <w:t>The goods and services tax (GST) (net) component of operating activities reflects the net GST paid to and received from</w:t>
      </w:r>
      <w:r w:rsidRPr="005C5E32" w:rsidDel="009649AE">
        <w:t xml:space="preserve"> </w:t>
      </w:r>
      <w:r w:rsidRPr="005C5E32">
        <w:t>Inland Revenue. The GST (net) component has been presented on a net basis, as the gross amounts do not provide meaningful information for financial statement purposes and to be consistent with the presentation basis of the other primary financial statements.</w:t>
      </w:r>
    </w:p>
    <w:p w14:paraId="463A8277" w14:textId="77777777" w:rsidR="00D06CB2" w:rsidRPr="005C5E32" w:rsidRDefault="00D06CB2" w:rsidP="00A03341">
      <w:pPr>
        <w:pStyle w:val="BodyText"/>
      </w:pPr>
    </w:p>
    <w:p w14:paraId="4DABF1B0" w14:textId="77777777" w:rsidR="00D06CB2" w:rsidRPr="005C5E32" w:rsidRDefault="00D06CB2" w:rsidP="00A03341">
      <w:pPr>
        <w:pStyle w:val="BodyText"/>
      </w:pPr>
    </w:p>
    <w:p w14:paraId="212AF9E5" w14:textId="77777777" w:rsidR="00403DB3" w:rsidRPr="005C5E32" w:rsidRDefault="00403DB3" w:rsidP="00A03341">
      <w:pPr>
        <w:pStyle w:val="BodyText"/>
      </w:pPr>
    </w:p>
    <w:p w14:paraId="5863BA56" w14:textId="77777777" w:rsidR="00D06CB2" w:rsidRPr="005C5E32" w:rsidRDefault="00D06CB2" w:rsidP="00A03341">
      <w:pPr>
        <w:pStyle w:val="BodyText"/>
      </w:pPr>
    </w:p>
    <w:p w14:paraId="04F06770" w14:textId="77777777" w:rsidR="00D06CB2" w:rsidRPr="005C5E32" w:rsidRDefault="00D06CB2" w:rsidP="00A03341">
      <w:pPr>
        <w:pStyle w:val="BodyText"/>
      </w:pPr>
    </w:p>
    <w:p w14:paraId="15BCE046" w14:textId="77777777" w:rsidR="00D06CB2" w:rsidRPr="005C5E32" w:rsidRDefault="00D06CB2" w:rsidP="00A03341">
      <w:pPr>
        <w:pStyle w:val="BodyText"/>
      </w:pPr>
    </w:p>
    <w:p w14:paraId="09F493D5" w14:textId="77777777" w:rsidR="00D06CB2" w:rsidRPr="005C5E32" w:rsidRDefault="00D06CB2" w:rsidP="00A03341">
      <w:pPr>
        <w:pStyle w:val="BodyText"/>
      </w:pPr>
    </w:p>
    <w:p w14:paraId="06D800EA" w14:textId="77777777" w:rsidR="00D06CB2" w:rsidRPr="005C5E32" w:rsidRDefault="00D06CB2" w:rsidP="00A03341">
      <w:pPr>
        <w:pStyle w:val="Note"/>
      </w:pPr>
    </w:p>
    <w:p w14:paraId="27A7BCC5" w14:textId="77777777" w:rsidR="00D06CB2" w:rsidRPr="005C5E32" w:rsidRDefault="00D06CB2" w:rsidP="00A03341">
      <w:pPr>
        <w:pStyle w:val="Note"/>
        <w:spacing w:before="0" w:after="0"/>
      </w:pPr>
      <w:r w:rsidRPr="005C5E32">
        <w:t>The accompanying notes form part of these financial statements.</w:t>
      </w:r>
    </w:p>
    <w:p w14:paraId="69018809" w14:textId="77777777" w:rsidR="00D06CB2" w:rsidRPr="005C5E32" w:rsidRDefault="00D06CB2" w:rsidP="005A645E">
      <w:pPr>
        <w:pStyle w:val="Heading2green"/>
      </w:pPr>
      <w:bookmarkStart w:id="305" w:name="_Toc112144616"/>
      <w:bookmarkStart w:id="306" w:name="_Toc207017409"/>
      <w:bookmarkStart w:id="307" w:name="_Toc207017498"/>
      <w:bookmarkStart w:id="308" w:name="_Toc207192315"/>
      <w:bookmarkStart w:id="309" w:name="_Toc239677693"/>
      <w:bookmarkStart w:id="310" w:name="_Toc240445581"/>
      <w:r w:rsidRPr="005C5E32">
        <w:lastRenderedPageBreak/>
        <w:t>Statement of cash flows</w:t>
      </w:r>
      <w:bookmarkEnd w:id="305"/>
      <w:bookmarkEnd w:id="306"/>
      <w:bookmarkEnd w:id="307"/>
      <w:bookmarkEnd w:id="308"/>
      <w:bookmarkEnd w:id="309"/>
      <w:bookmarkEnd w:id="310"/>
    </w:p>
    <w:p w14:paraId="7ACCC37E" w14:textId="77777777" w:rsidR="00D06CB2" w:rsidRPr="005C5E32" w:rsidRDefault="00D06CB2" w:rsidP="00A03341">
      <w:pPr>
        <w:pStyle w:val="BodyText"/>
        <w:rPr>
          <w:sz w:val="28"/>
          <w:szCs w:val="28"/>
        </w:rPr>
      </w:pPr>
      <w:r w:rsidRPr="005C5E32">
        <w:rPr>
          <w:sz w:val="28"/>
          <w:szCs w:val="28"/>
        </w:rPr>
        <w:t>for the year ended 30 June 2026 (continued)</w:t>
      </w:r>
    </w:p>
    <w:p w14:paraId="1C74AD24" w14:textId="77777777" w:rsidR="00D06CB2" w:rsidRPr="005C5E32" w:rsidRDefault="00D06CB2" w:rsidP="00A03341">
      <w:pPr>
        <w:pStyle w:val="BodyText"/>
        <w:rPr>
          <w:b/>
          <w:bCs/>
        </w:rPr>
      </w:pPr>
      <w:r w:rsidRPr="005C5E32">
        <w:rPr>
          <w:b/>
          <w:bCs/>
        </w:rPr>
        <w:t>Reconciliation of net surplus to net cash flow from operating activities</w:t>
      </w:r>
    </w:p>
    <w:tbl>
      <w:tblPr>
        <w:tblW w:w="8505" w:type="dxa"/>
        <w:tblBorders>
          <w:top w:val="nil"/>
          <w:left w:val="nil"/>
          <w:bottom w:val="nil"/>
          <w:right w:val="nil"/>
          <w:insideH w:val="nil"/>
          <w:insideV w:val="nil"/>
        </w:tblBorders>
        <w:tblCellMar>
          <w:left w:w="85" w:type="dxa"/>
          <w:right w:w="85" w:type="dxa"/>
        </w:tblCellMar>
        <w:tblLook w:val="01E0" w:firstRow="1" w:lastRow="1" w:firstColumn="1" w:lastColumn="1" w:noHBand="0" w:noVBand="0"/>
      </w:tblPr>
      <w:tblGrid>
        <w:gridCol w:w="6089"/>
        <w:gridCol w:w="1106"/>
        <w:gridCol w:w="1310"/>
      </w:tblGrid>
      <w:tr w:rsidR="00D06CB2" w:rsidRPr="005C5E32" w14:paraId="4A534CB3" w14:textId="77777777" w:rsidTr="003046C5">
        <w:tc>
          <w:tcPr>
            <w:tcW w:w="6063" w:type="dxa"/>
            <w:tcBorders>
              <w:top w:val="single" w:sz="8" w:space="0" w:color="0E7C7E"/>
              <w:bottom w:val="single" w:sz="2" w:space="0" w:color="58595B"/>
            </w:tcBorders>
          </w:tcPr>
          <w:p w14:paraId="4322F500" w14:textId="77777777" w:rsidR="00D06CB2" w:rsidRPr="005C5E32" w:rsidRDefault="00D06CB2">
            <w:pPr>
              <w:pStyle w:val="TableboldGreen"/>
              <w:spacing w:before="40" w:after="40"/>
              <w:jc w:val="right"/>
            </w:pPr>
          </w:p>
        </w:tc>
        <w:tc>
          <w:tcPr>
            <w:tcW w:w="1101" w:type="dxa"/>
            <w:tcBorders>
              <w:top w:val="single" w:sz="8" w:space="0" w:color="0E7C7E"/>
              <w:bottom w:val="single" w:sz="2" w:space="0" w:color="58595B"/>
            </w:tcBorders>
          </w:tcPr>
          <w:p w14:paraId="2F1DE04F" w14:textId="77777777" w:rsidR="00D06CB2" w:rsidRPr="005C5E32" w:rsidRDefault="00D06CB2">
            <w:pPr>
              <w:pStyle w:val="TableboldGreen"/>
              <w:spacing w:before="40" w:after="40"/>
              <w:jc w:val="right"/>
            </w:pPr>
            <w:r w:rsidRPr="005C5E32">
              <w:rPr>
                <w:rFonts w:cstheme="minorBidi"/>
                <w:bCs/>
                <w:color w:val="0E7C7E"/>
                <w:szCs w:val="18"/>
              </w:rPr>
              <w:t>2024/25</w:t>
            </w:r>
            <w:r w:rsidRPr="005C5E32">
              <w:rPr>
                <w:rFonts w:cstheme="minorBidi"/>
                <w:bCs/>
                <w:color w:val="0E7C7E"/>
                <w:szCs w:val="18"/>
              </w:rPr>
              <w:br/>
            </w:r>
            <w:r w:rsidRPr="005C5E32">
              <w:rPr>
                <w:color w:val="0E7C7E"/>
              </w:rPr>
              <w:t>Actual</w:t>
            </w:r>
            <w:r w:rsidRPr="005C5E32">
              <w:rPr>
                <w:color w:val="0E7C7E"/>
              </w:rPr>
              <w:br/>
              <w:t>$000</w:t>
            </w:r>
          </w:p>
        </w:tc>
        <w:tc>
          <w:tcPr>
            <w:tcW w:w="1304" w:type="dxa"/>
            <w:tcBorders>
              <w:top w:val="single" w:sz="8" w:space="0" w:color="0E7C7E"/>
              <w:bottom w:val="single" w:sz="2" w:space="0" w:color="58595B"/>
            </w:tcBorders>
            <w:shd w:val="clear" w:color="auto" w:fill="E7F2F2"/>
          </w:tcPr>
          <w:p w14:paraId="28331257" w14:textId="77777777" w:rsidR="00D06CB2" w:rsidRPr="005C5E32" w:rsidRDefault="00D06CB2">
            <w:pPr>
              <w:pStyle w:val="TableboldGreen"/>
              <w:spacing w:before="40" w:after="40"/>
              <w:jc w:val="right"/>
            </w:pPr>
            <w:r w:rsidRPr="005C5E32">
              <w:rPr>
                <w:rFonts w:cstheme="minorBidi"/>
                <w:bCs/>
                <w:color w:val="0E7C7E"/>
                <w:szCs w:val="18"/>
              </w:rPr>
              <w:t>2025/26</w:t>
            </w:r>
            <w:r w:rsidRPr="005C5E32">
              <w:rPr>
                <w:rFonts w:cstheme="minorBidi"/>
                <w:bCs/>
                <w:color w:val="0E7C7E"/>
                <w:szCs w:val="18"/>
              </w:rPr>
              <w:br/>
            </w:r>
            <w:r w:rsidRPr="005C5E32">
              <w:rPr>
                <w:color w:val="0E7C7E"/>
              </w:rPr>
              <w:t>Actual</w:t>
            </w:r>
            <w:r w:rsidRPr="005C5E32">
              <w:rPr>
                <w:color w:val="0E7C7E"/>
              </w:rPr>
              <w:br/>
              <w:t>$000</w:t>
            </w:r>
          </w:p>
        </w:tc>
      </w:tr>
      <w:tr w:rsidR="00D06CB2" w:rsidRPr="005C5E32" w14:paraId="2629E298" w14:textId="77777777" w:rsidTr="003046C5">
        <w:tc>
          <w:tcPr>
            <w:tcW w:w="6063" w:type="dxa"/>
            <w:tcBorders>
              <w:top w:val="single" w:sz="2" w:space="0" w:color="58595B"/>
              <w:bottom w:val="single" w:sz="2" w:space="0" w:color="000000" w:themeColor="text1"/>
            </w:tcBorders>
          </w:tcPr>
          <w:p w14:paraId="78B25899" w14:textId="77777777" w:rsidR="00D06CB2" w:rsidRPr="005C5E32" w:rsidRDefault="00D06CB2">
            <w:pPr>
              <w:pStyle w:val="TableTextbold"/>
              <w:spacing w:before="40" w:after="40"/>
            </w:pPr>
            <w:r w:rsidRPr="005C5E32">
              <w:t>Net surplus</w:t>
            </w:r>
          </w:p>
        </w:tc>
        <w:tc>
          <w:tcPr>
            <w:tcW w:w="1101" w:type="dxa"/>
            <w:tcBorders>
              <w:top w:val="single" w:sz="2" w:space="0" w:color="58595B"/>
              <w:bottom w:val="single" w:sz="2" w:space="0" w:color="000000" w:themeColor="text1"/>
            </w:tcBorders>
          </w:tcPr>
          <w:p w14:paraId="6CFDE329" w14:textId="77777777" w:rsidR="00D06CB2" w:rsidRPr="005C5E32" w:rsidRDefault="00D06CB2">
            <w:pPr>
              <w:pStyle w:val="TableTextbold"/>
              <w:spacing w:before="40" w:after="40"/>
              <w:jc w:val="right"/>
              <w:rPr>
                <w:szCs w:val="18"/>
              </w:rPr>
            </w:pPr>
            <w:r w:rsidRPr="005C5E32">
              <w:rPr>
                <w:bCs/>
                <w:szCs w:val="18"/>
              </w:rPr>
              <w:t>10,166</w:t>
            </w:r>
          </w:p>
        </w:tc>
        <w:tc>
          <w:tcPr>
            <w:tcW w:w="1304" w:type="dxa"/>
            <w:tcBorders>
              <w:top w:val="single" w:sz="2" w:space="0" w:color="58595B"/>
              <w:bottom w:val="single" w:sz="2" w:space="0" w:color="000000" w:themeColor="text1"/>
            </w:tcBorders>
            <w:shd w:val="clear" w:color="auto" w:fill="E7F2F2"/>
          </w:tcPr>
          <w:p w14:paraId="63008637" w14:textId="77777777" w:rsidR="00D06CB2" w:rsidRPr="005C5E32" w:rsidRDefault="00D06CB2">
            <w:pPr>
              <w:pStyle w:val="TableTextbold"/>
              <w:spacing w:before="40" w:after="40"/>
              <w:jc w:val="right"/>
              <w:rPr>
                <w:szCs w:val="18"/>
              </w:rPr>
            </w:pPr>
            <w:r w:rsidRPr="005C5E32">
              <w:rPr>
                <w:szCs w:val="18"/>
              </w:rPr>
              <w:t>18,309</w:t>
            </w:r>
          </w:p>
        </w:tc>
      </w:tr>
      <w:tr w:rsidR="00D06CB2" w:rsidRPr="005C5E32" w14:paraId="5B895AD6" w14:textId="77777777" w:rsidTr="003046C5">
        <w:tc>
          <w:tcPr>
            <w:tcW w:w="6063" w:type="dxa"/>
            <w:tcBorders>
              <w:top w:val="single" w:sz="2" w:space="0" w:color="000000" w:themeColor="text1"/>
            </w:tcBorders>
          </w:tcPr>
          <w:p w14:paraId="2FE6A94D" w14:textId="77777777" w:rsidR="00D06CB2" w:rsidRPr="005C5E32" w:rsidRDefault="00D06CB2">
            <w:pPr>
              <w:pStyle w:val="TableboldGreen"/>
              <w:spacing w:before="40" w:after="40"/>
            </w:pPr>
            <w:r w:rsidRPr="005C5E32">
              <w:t>Add/(less) non-cash items</w:t>
            </w:r>
          </w:p>
        </w:tc>
        <w:tc>
          <w:tcPr>
            <w:tcW w:w="1101" w:type="dxa"/>
            <w:tcBorders>
              <w:top w:val="single" w:sz="2" w:space="0" w:color="000000" w:themeColor="text1"/>
            </w:tcBorders>
          </w:tcPr>
          <w:p w14:paraId="3EF9BEC6" w14:textId="77777777" w:rsidR="00D06CB2" w:rsidRPr="005C5E32" w:rsidRDefault="00D06CB2">
            <w:pPr>
              <w:pStyle w:val="TableText"/>
              <w:spacing w:before="40" w:after="40"/>
              <w:jc w:val="right"/>
            </w:pPr>
          </w:p>
        </w:tc>
        <w:tc>
          <w:tcPr>
            <w:tcW w:w="1304" w:type="dxa"/>
            <w:tcBorders>
              <w:top w:val="single" w:sz="2" w:space="0" w:color="000000" w:themeColor="text1"/>
            </w:tcBorders>
            <w:shd w:val="clear" w:color="auto" w:fill="E7F2F2"/>
          </w:tcPr>
          <w:p w14:paraId="0E187691" w14:textId="77777777" w:rsidR="00D06CB2" w:rsidRPr="005C5E32" w:rsidRDefault="00D06CB2">
            <w:pPr>
              <w:pStyle w:val="TableText"/>
              <w:spacing w:before="40" w:after="40"/>
              <w:jc w:val="right"/>
              <w:rPr>
                <w:highlight w:val="yellow"/>
              </w:rPr>
            </w:pPr>
          </w:p>
        </w:tc>
      </w:tr>
      <w:tr w:rsidR="00D06CB2" w:rsidRPr="005C5E32" w14:paraId="6C940FDC" w14:textId="77777777" w:rsidTr="003046C5">
        <w:tc>
          <w:tcPr>
            <w:tcW w:w="6063" w:type="dxa"/>
            <w:tcBorders>
              <w:bottom w:val="single" w:sz="2" w:space="0" w:color="58595B"/>
            </w:tcBorders>
          </w:tcPr>
          <w:p w14:paraId="3F6EAC7E" w14:textId="77777777" w:rsidR="00D06CB2" w:rsidRPr="005C5E32" w:rsidRDefault="00D06CB2">
            <w:pPr>
              <w:pStyle w:val="TableText"/>
              <w:spacing w:before="0" w:after="40"/>
            </w:pPr>
            <w:r w:rsidRPr="005C5E32">
              <w:t>Depreciation and amortisation expense</w:t>
            </w:r>
          </w:p>
        </w:tc>
        <w:tc>
          <w:tcPr>
            <w:tcW w:w="1101" w:type="dxa"/>
            <w:tcBorders>
              <w:bottom w:val="single" w:sz="2" w:space="0" w:color="58595B"/>
            </w:tcBorders>
          </w:tcPr>
          <w:p w14:paraId="13DC3511" w14:textId="77777777" w:rsidR="00D06CB2" w:rsidRPr="005C5E32" w:rsidRDefault="00D06CB2">
            <w:pPr>
              <w:pStyle w:val="TableText"/>
              <w:spacing w:before="0" w:after="40"/>
              <w:jc w:val="right"/>
            </w:pPr>
            <w:r w:rsidRPr="005C5E32">
              <w:t>537</w:t>
            </w:r>
          </w:p>
        </w:tc>
        <w:tc>
          <w:tcPr>
            <w:tcW w:w="1304" w:type="dxa"/>
            <w:tcBorders>
              <w:bottom w:val="single" w:sz="2" w:space="0" w:color="58595B"/>
            </w:tcBorders>
            <w:shd w:val="clear" w:color="auto" w:fill="E7F2F2"/>
          </w:tcPr>
          <w:p w14:paraId="01EC981C" w14:textId="77777777" w:rsidR="00D06CB2" w:rsidRPr="005C5E32" w:rsidRDefault="00D06CB2">
            <w:pPr>
              <w:pStyle w:val="TableText"/>
              <w:spacing w:before="0" w:after="40"/>
              <w:jc w:val="right"/>
            </w:pPr>
            <w:r w:rsidRPr="005C5E32">
              <w:t>366</w:t>
            </w:r>
          </w:p>
        </w:tc>
      </w:tr>
      <w:tr w:rsidR="00D06CB2" w:rsidRPr="005C5E32" w14:paraId="5E0AE7A6" w14:textId="77777777" w:rsidTr="003046C5">
        <w:tc>
          <w:tcPr>
            <w:tcW w:w="6063" w:type="dxa"/>
            <w:tcBorders>
              <w:top w:val="single" w:sz="2" w:space="0" w:color="58595B"/>
              <w:bottom w:val="single" w:sz="4" w:space="0" w:color="000000" w:themeColor="text1"/>
            </w:tcBorders>
          </w:tcPr>
          <w:p w14:paraId="073152C7" w14:textId="77777777" w:rsidR="00D06CB2" w:rsidRPr="005C5E32" w:rsidRDefault="00D06CB2">
            <w:pPr>
              <w:pStyle w:val="TableText"/>
              <w:spacing w:before="40" w:after="40"/>
              <w:rPr>
                <w:rFonts w:cstheme="minorHAnsi"/>
              </w:rPr>
            </w:pPr>
            <w:r w:rsidRPr="005C5E32">
              <w:rPr>
                <w:rFonts w:cstheme="minorHAnsi"/>
              </w:rPr>
              <w:t>Net loss/(gain) on sale of fixed assets</w:t>
            </w:r>
          </w:p>
        </w:tc>
        <w:tc>
          <w:tcPr>
            <w:tcW w:w="1101" w:type="dxa"/>
            <w:tcBorders>
              <w:top w:val="single" w:sz="2" w:space="0" w:color="58595B"/>
              <w:bottom w:val="single" w:sz="4" w:space="0" w:color="000000" w:themeColor="text1"/>
            </w:tcBorders>
          </w:tcPr>
          <w:p w14:paraId="0A415D69" w14:textId="77777777" w:rsidR="00D06CB2" w:rsidRPr="005C5E32" w:rsidRDefault="00D06CB2">
            <w:pPr>
              <w:pStyle w:val="TableText"/>
              <w:spacing w:before="40" w:after="40"/>
              <w:jc w:val="right"/>
            </w:pPr>
            <w:r w:rsidRPr="005C5E32">
              <w:t>1</w:t>
            </w:r>
          </w:p>
        </w:tc>
        <w:tc>
          <w:tcPr>
            <w:tcW w:w="1304" w:type="dxa"/>
            <w:tcBorders>
              <w:top w:val="single" w:sz="2" w:space="0" w:color="58595B"/>
              <w:bottom w:val="single" w:sz="4" w:space="0" w:color="000000" w:themeColor="text1"/>
            </w:tcBorders>
            <w:shd w:val="clear" w:color="auto" w:fill="E7F2F2"/>
          </w:tcPr>
          <w:p w14:paraId="08A932B4" w14:textId="77777777" w:rsidR="00D06CB2" w:rsidRPr="005C5E32" w:rsidRDefault="00D06CB2">
            <w:pPr>
              <w:pStyle w:val="TableText"/>
              <w:spacing w:before="40" w:after="40"/>
              <w:jc w:val="right"/>
            </w:pPr>
            <w:r w:rsidRPr="005C5E32">
              <w:t>–</w:t>
            </w:r>
          </w:p>
        </w:tc>
      </w:tr>
      <w:tr w:rsidR="00D06CB2" w:rsidRPr="005C5E32" w14:paraId="2B1D7E99" w14:textId="77777777" w:rsidTr="003046C5">
        <w:tc>
          <w:tcPr>
            <w:tcW w:w="6063" w:type="dxa"/>
            <w:tcBorders>
              <w:top w:val="single" w:sz="4" w:space="0" w:color="000000" w:themeColor="text1"/>
              <w:bottom w:val="single" w:sz="4" w:space="0" w:color="000000" w:themeColor="text1"/>
            </w:tcBorders>
          </w:tcPr>
          <w:p w14:paraId="6365B759" w14:textId="77777777" w:rsidR="00D06CB2" w:rsidRPr="001D5532" w:rsidRDefault="00D06CB2">
            <w:pPr>
              <w:pStyle w:val="TableText"/>
              <w:spacing w:before="40" w:after="40"/>
              <w:rPr>
                <w:rFonts w:cstheme="minorHAnsi"/>
                <w:b/>
              </w:rPr>
            </w:pPr>
            <w:r w:rsidRPr="001D5532">
              <w:rPr>
                <w:rFonts w:cstheme="minorHAnsi"/>
                <w:b/>
              </w:rPr>
              <w:t>Total non-cash items</w:t>
            </w:r>
          </w:p>
        </w:tc>
        <w:tc>
          <w:tcPr>
            <w:tcW w:w="1101" w:type="dxa"/>
            <w:tcBorders>
              <w:top w:val="single" w:sz="4" w:space="0" w:color="000000" w:themeColor="text1"/>
              <w:bottom w:val="single" w:sz="4" w:space="0" w:color="000000" w:themeColor="text1"/>
            </w:tcBorders>
          </w:tcPr>
          <w:p w14:paraId="5037CEB0" w14:textId="77777777" w:rsidR="00D06CB2" w:rsidRPr="001D5532" w:rsidRDefault="00D06CB2">
            <w:pPr>
              <w:pStyle w:val="TableText"/>
              <w:spacing w:before="40" w:after="40"/>
              <w:jc w:val="right"/>
              <w:rPr>
                <w:b/>
              </w:rPr>
            </w:pPr>
            <w:r w:rsidRPr="001D5532">
              <w:rPr>
                <w:b/>
              </w:rPr>
              <w:t>538</w:t>
            </w:r>
          </w:p>
        </w:tc>
        <w:tc>
          <w:tcPr>
            <w:tcW w:w="1304" w:type="dxa"/>
            <w:tcBorders>
              <w:top w:val="single" w:sz="4" w:space="0" w:color="000000" w:themeColor="text1"/>
              <w:bottom w:val="single" w:sz="4" w:space="0" w:color="000000" w:themeColor="text1"/>
            </w:tcBorders>
            <w:shd w:val="clear" w:color="auto" w:fill="E7F2F2"/>
          </w:tcPr>
          <w:p w14:paraId="08010B5C" w14:textId="77777777" w:rsidR="00D06CB2" w:rsidRPr="001D5532" w:rsidRDefault="00D06CB2">
            <w:pPr>
              <w:pStyle w:val="TableText"/>
              <w:spacing w:before="40" w:after="40"/>
              <w:jc w:val="right"/>
              <w:rPr>
                <w:b/>
              </w:rPr>
            </w:pPr>
            <w:r w:rsidRPr="001D5532">
              <w:rPr>
                <w:b/>
              </w:rPr>
              <w:t>366</w:t>
            </w:r>
          </w:p>
        </w:tc>
      </w:tr>
      <w:tr w:rsidR="00D06CB2" w:rsidRPr="005C5E32" w14:paraId="1E9E48C2" w14:textId="77777777" w:rsidTr="003046C5">
        <w:tc>
          <w:tcPr>
            <w:tcW w:w="6063" w:type="dxa"/>
            <w:tcBorders>
              <w:top w:val="single" w:sz="4" w:space="0" w:color="000000" w:themeColor="text1"/>
            </w:tcBorders>
          </w:tcPr>
          <w:p w14:paraId="258E7393" w14:textId="77777777" w:rsidR="00D06CB2" w:rsidRPr="005C5E32" w:rsidRDefault="00D06CB2">
            <w:pPr>
              <w:pStyle w:val="TableboldGreen"/>
              <w:spacing w:before="40" w:after="40"/>
            </w:pPr>
            <w:r w:rsidRPr="005C5E32">
              <w:t>Add/(less) movements in statement of financial position items</w:t>
            </w:r>
          </w:p>
        </w:tc>
        <w:tc>
          <w:tcPr>
            <w:tcW w:w="1101" w:type="dxa"/>
            <w:tcBorders>
              <w:top w:val="single" w:sz="4" w:space="0" w:color="000000" w:themeColor="text1"/>
            </w:tcBorders>
          </w:tcPr>
          <w:p w14:paraId="64F48686" w14:textId="77777777" w:rsidR="00D06CB2" w:rsidRPr="005C5E32" w:rsidRDefault="00D06CB2">
            <w:pPr>
              <w:pStyle w:val="TableText"/>
              <w:spacing w:before="40" w:after="40"/>
              <w:jc w:val="right"/>
            </w:pPr>
          </w:p>
        </w:tc>
        <w:tc>
          <w:tcPr>
            <w:tcW w:w="1304" w:type="dxa"/>
            <w:tcBorders>
              <w:top w:val="single" w:sz="4" w:space="0" w:color="000000" w:themeColor="text1"/>
            </w:tcBorders>
            <w:shd w:val="clear" w:color="auto" w:fill="E7F2F2"/>
          </w:tcPr>
          <w:p w14:paraId="13D99E65" w14:textId="77777777" w:rsidR="00D06CB2" w:rsidRPr="005C5E32" w:rsidRDefault="00D06CB2">
            <w:pPr>
              <w:pStyle w:val="TableText"/>
              <w:spacing w:before="40" w:after="40"/>
              <w:jc w:val="right"/>
              <w:rPr>
                <w:highlight w:val="yellow"/>
              </w:rPr>
            </w:pPr>
          </w:p>
        </w:tc>
      </w:tr>
      <w:tr w:rsidR="00D06CB2" w:rsidRPr="005C5E32" w14:paraId="462610CB" w14:textId="77777777" w:rsidTr="003046C5">
        <w:tc>
          <w:tcPr>
            <w:tcW w:w="6063" w:type="dxa"/>
            <w:tcBorders>
              <w:bottom w:val="single" w:sz="2" w:space="0" w:color="58595B"/>
            </w:tcBorders>
          </w:tcPr>
          <w:p w14:paraId="3959F991" w14:textId="77777777" w:rsidR="00D06CB2" w:rsidRPr="005C5E32" w:rsidRDefault="00D06CB2">
            <w:pPr>
              <w:pStyle w:val="TableText"/>
              <w:spacing w:before="0" w:after="40"/>
            </w:pPr>
            <w:r w:rsidRPr="005C5E32">
              <w:t>(Increase)/decrease in receivables</w:t>
            </w:r>
          </w:p>
        </w:tc>
        <w:tc>
          <w:tcPr>
            <w:tcW w:w="1101" w:type="dxa"/>
            <w:tcBorders>
              <w:bottom w:val="single" w:sz="2" w:space="0" w:color="58595B"/>
            </w:tcBorders>
          </w:tcPr>
          <w:p w14:paraId="4BC80744" w14:textId="77777777" w:rsidR="00D06CB2" w:rsidRPr="005C5E32" w:rsidRDefault="00D06CB2">
            <w:pPr>
              <w:pStyle w:val="TableText"/>
              <w:spacing w:before="0" w:after="40"/>
              <w:jc w:val="right"/>
              <w:rPr>
                <w:szCs w:val="18"/>
              </w:rPr>
            </w:pPr>
            <w:r w:rsidRPr="005C5E32">
              <w:rPr>
                <w:szCs w:val="18"/>
              </w:rPr>
              <w:t>24,900</w:t>
            </w:r>
          </w:p>
        </w:tc>
        <w:tc>
          <w:tcPr>
            <w:tcW w:w="1304" w:type="dxa"/>
            <w:tcBorders>
              <w:bottom w:val="single" w:sz="2" w:space="0" w:color="58595B"/>
            </w:tcBorders>
            <w:shd w:val="clear" w:color="auto" w:fill="E7F2F2"/>
          </w:tcPr>
          <w:p w14:paraId="53CBA281" w14:textId="77777777" w:rsidR="00D06CB2" w:rsidRPr="005C5E32" w:rsidRDefault="00D06CB2">
            <w:pPr>
              <w:pStyle w:val="TableText"/>
              <w:spacing w:before="0" w:after="40"/>
              <w:jc w:val="right"/>
              <w:rPr>
                <w:szCs w:val="18"/>
                <w:highlight w:val="yellow"/>
              </w:rPr>
            </w:pPr>
            <w:r w:rsidRPr="005C5E32">
              <w:rPr>
                <w:szCs w:val="18"/>
              </w:rPr>
              <w:t>4,546</w:t>
            </w:r>
          </w:p>
        </w:tc>
      </w:tr>
      <w:tr w:rsidR="00D06CB2" w:rsidRPr="005C5E32" w14:paraId="4F3CB180" w14:textId="77777777" w:rsidTr="003046C5">
        <w:tc>
          <w:tcPr>
            <w:tcW w:w="6063" w:type="dxa"/>
            <w:tcBorders>
              <w:top w:val="single" w:sz="2" w:space="0" w:color="58595B"/>
              <w:bottom w:val="single" w:sz="2" w:space="0" w:color="58595B"/>
            </w:tcBorders>
          </w:tcPr>
          <w:p w14:paraId="3D5F2519" w14:textId="77777777" w:rsidR="00D06CB2" w:rsidRPr="005C5E32" w:rsidRDefault="00D06CB2">
            <w:pPr>
              <w:pStyle w:val="TableText"/>
              <w:spacing w:before="40" w:after="40"/>
            </w:pPr>
            <w:r w:rsidRPr="005C5E32">
              <w:t>(Increase)/decrease in prepayments</w:t>
            </w:r>
          </w:p>
        </w:tc>
        <w:tc>
          <w:tcPr>
            <w:tcW w:w="1101" w:type="dxa"/>
            <w:tcBorders>
              <w:top w:val="single" w:sz="2" w:space="0" w:color="58595B"/>
              <w:bottom w:val="single" w:sz="2" w:space="0" w:color="58595B"/>
            </w:tcBorders>
          </w:tcPr>
          <w:p w14:paraId="061EF266" w14:textId="77777777" w:rsidR="00D06CB2" w:rsidRPr="005C5E32" w:rsidRDefault="00D06CB2">
            <w:pPr>
              <w:pStyle w:val="TableText"/>
              <w:spacing w:before="40" w:after="40"/>
              <w:jc w:val="right"/>
              <w:rPr>
                <w:szCs w:val="18"/>
              </w:rPr>
            </w:pPr>
            <w:r w:rsidRPr="005C5E32">
              <w:rPr>
                <w:szCs w:val="18"/>
              </w:rPr>
              <w:t>(120)</w:t>
            </w:r>
          </w:p>
        </w:tc>
        <w:tc>
          <w:tcPr>
            <w:tcW w:w="1304" w:type="dxa"/>
            <w:tcBorders>
              <w:top w:val="single" w:sz="2" w:space="0" w:color="58595B"/>
              <w:bottom w:val="single" w:sz="2" w:space="0" w:color="58595B"/>
            </w:tcBorders>
            <w:shd w:val="clear" w:color="auto" w:fill="E7F2F2"/>
          </w:tcPr>
          <w:p w14:paraId="6C45DD03" w14:textId="77777777" w:rsidR="00D06CB2" w:rsidRPr="005C5E32" w:rsidRDefault="00D06CB2">
            <w:pPr>
              <w:pStyle w:val="TableText"/>
              <w:spacing w:before="40" w:after="40"/>
              <w:jc w:val="right"/>
              <w:rPr>
                <w:szCs w:val="18"/>
              </w:rPr>
            </w:pPr>
            <w:r w:rsidRPr="005C5E32">
              <w:rPr>
                <w:szCs w:val="18"/>
              </w:rPr>
              <w:t>419</w:t>
            </w:r>
          </w:p>
        </w:tc>
      </w:tr>
      <w:tr w:rsidR="00D06CB2" w:rsidRPr="005C5E32" w14:paraId="405F5FFF" w14:textId="77777777" w:rsidTr="003046C5">
        <w:tc>
          <w:tcPr>
            <w:tcW w:w="6063" w:type="dxa"/>
            <w:tcBorders>
              <w:top w:val="single" w:sz="2" w:space="0" w:color="58595B"/>
              <w:bottom w:val="single" w:sz="2" w:space="0" w:color="58595B"/>
            </w:tcBorders>
          </w:tcPr>
          <w:p w14:paraId="66726D9D" w14:textId="77777777" w:rsidR="00D06CB2" w:rsidRPr="005C5E32" w:rsidRDefault="00D06CB2">
            <w:pPr>
              <w:pStyle w:val="TableText"/>
              <w:spacing w:before="40" w:after="40"/>
              <w:rPr>
                <w:sz w:val="10"/>
              </w:rPr>
            </w:pPr>
            <w:r w:rsidRPr="005C5E32">
              <w:t>Increase/(decrease) in payables*</w:t>
            </w:r>
          </w:p>
        </w:tc>
        <w:tc>
          <w:tcPr>
            <w:tcW w:w="1101" w:type="dxa"/>
            <w:tcBorders>
              <w:top w:val="single" w:sz="2" w:space="0" w:color="58595B"/>
              <w:bottom w:val="single" w:sz="2" w:space="0" w:color="58595B"/>
            </w:tcBorders>
          </w:tcPr>
          <w:p w14:paraId="4EE41260" w14:textId="77777777" w:rsidR="00D06CB2" w:rsidRPr="005C5E32" w:rsidRDefault="00D06CB2">
            <w:pPr>
              <w:pStyle w:val="TableText"/>
              <w:spacing w:before="40" w:after="40"/>
              <w:jc w:val="right"/>
              <w:rPr>
                <w:szCs w:val="18"/>
              </w:rPr>
            </w:pPr>
            <w:r w:rsidRPr="005C5E32">
              <w:rPr>
                <w:szCs w:val="18"/>
              </w:rPr>
              <w:t>(7,107)</w:t>
            </w:r>
          </w:p>
        </w:tc>
        <w:tc>
          <w:tcPr>
            <w:tcW w:w="1304" w:type="dxa"/>
            <w:tcBorders>
              <w:top w:val="single" w:sz="2" w:space="0" w:color="58595B"/>
              <w:bottom w:val="single" w:sz="2" w:space="0" w:color="58595B"/>
            </w:tcBorders>
            <w:shd w:val="clear" w:color="auto" w:fill="E7F2F2"/>
          </w:tcPr>
          <w:p w14:paraId="1EA1CDC2" w14:textId="77777777" w:rsidR="00D06CB2" w:rsidRPr="005C5E32" w:rsidRDefault="00D06CB2">
            <w:pPr>
              <w:pStyle w:val="TableText"/>
              <w:spacing w:before="40" w:after="40"/>
              <w:jc w:val="right"/>
              <w:rPr>
                <w:szCs w:val="18"/>
              </w:rPr>
            </w:pPr>
            <w:r w:rsidRPr="005C5E32">
              <w:rPr>
                <w:szCs w:val="18"/>
              </w:rPr>
              <w:t>(2,925)</w:t>
            </w:r>
          </w:p>
        </w:tc>
      </w:tr>
      <w:tr w:rsidR="00D06CB2" w:rsidRPr="005C5E32" w14:paraId="23FDE1A1" w14:textId="77777777" w:rsidTr="003046C5">
        <w:tc>
          <w:tcPr>
            <w:tcW w:w="6063" w:type="dxa"/>
            <w:tcBorders>
              <w:top w:val="single" w:sz="2" w:space="0" w:color="58595B"/>
              <w:bottom w:val="single" w:sz="4" w:space="0" w:color="000000" w:themeColor="text1"/>
            </w:tcBorders>
          </w:tcPr>
          <w:p w14:paraId="25F28F48" w14:textId="77777777" w:rsidR="00D06CB2" w:rsidRPr="005C5E32" w:rsidRDefault="00D06CB2">
            <w:pPr>
              <w:pStyle w:val="TableText"/>
              <w:spacing w:before="40" w:after="40"/>
            </w:pPr>
            <w:r w:rsidRPr="005C5E32">
              <w:t>Increase/(decrease) in employee entitlements</w:t>
            </w:r>
          </w:p>
        </w:tc>
        <w:tc>
          <w:tcPr>
            <w:tcW w:w="1101" w:type="dxa"/>
            <w:tcBorders>
              <w:top w:val="single" w:sz="2" w:space="0" w:color="58595B"/>
              <w:bottom w:val="single" w:sz="4" w:space="0" w:color="000000" w:themeColor="text1"/>
            </w:tcBorders>
          </w:tcPr>
          <w:p w14:paraId="656F883C" w14:textId="77777777" w:rsidR="00D06CB2" w:rsidRPr="005C5E32" w:rsidRDefault="00D06CB2">
            <w:pPr>
              <w:pStyle w:val="TableText"/>
              <w:spacing w:before="40" w:after="40"/>
              <w:jc w:val="right"/>
              <w:rPr>
                <w:szCs w:val="18"/>
              </w:rPr>
            </w:pPr>
            <w:r w:rsidRPr="005C5E32">
              <w:rPr>
                <w:szCs w:val="18"/>
              </w:rPr>
              <w:t>413</w:t>
            </w:r>
          </w:p>
        </w:tc>
        <w:tc>
          <w:tcPr>
            <w:tcW w:w="1304" w:type="dxa"/>
            <w:tcBorders>
              <w:top w:val="single" w:sz="2" w:space="0" w:color="58595B"/>
              <w:bottom w:val="single" w:sz="4" w:space="0" w:color="000000" w:themeColor="text1"/>
            </w:tcBorders>
            <w:shd w:val="clear" w:color="auto" w:fill="E7F2F2"/>
          </w:tcPr>
          <w:p w14:paraId="02CA3FCA" w14:textId="77777777" w:rsidR="00D06CB2" w:rsidRPr="005C5E32" w:rsidRDefault="00D06CB2">
            <w:pPr>
              <w:pStyle w:val="TableText"/>
              <w:spacing w:before="40" w:after="40"/>
              <w:jc w:val="right"/>
              <w:rPr>
                <w:szCs w:val="18"/>
              </w:rPr>
            </w:pPr>
            <w:r w:rsidRPr="005C5E32">
              <w:rPr>
                <w:szCs w:val="18"/>
              </w:rPr>
              <w:t>751</w:t>
            </w:r>
          </w:p>
        </w:tc>
      </w:tr>
      <w:tr w:rsidR="00D06CB2" w:rsidRPr="005C5E32" w14:paraId="6C5C1527" w14:textId="77777777" w:rsidTr="003046C5">
        <w:tc>
          <w:tcPr>
            <w:tcW w:w="6063" w:type="dxa"/>
            <w:tcBorders>
              <w:top w:val="single" w:sz="2" w:space="0" w:color="58595B"/>
              <w:bottom w:val="single" w:sz="4" w:space="0" w:color="000000" w:themeColor="text1"/>
            </w:tcBorders>
          </w:tcPr>
          <w:p w14:paraId="5DC5AEA3" w14:textId="77777777" w:rsidR="00D06CB2" w:rsidRPr="005C5E32" w:rsidRDefault="00D06CB2">
            <w:pPr>
              <w:pStyle w:val="TableText"/>
              <w:spacing w:before="40" w:after="40"/>
            </w:pPr>
            <w:r w:rsidRPr="005C5E32">
              <w:t>Increase/(decrease) in provisions</w:t>
            </w:r>
          </w:p>
        </w:tc>
        <w:tc>
          <w:tcPr>
            <w:tcW w:w="1101" w:type="dxa"/>
            <w:tcBorders>
              <w:top w:val="single" w:sz="2" w:space="0" w:color="58595B"/>
              <w:bottom w:val="single" w:sz="4" w:space="0" w:color="000000" w:themeColor="text1"/>
            </w:tcBorders>
          </w:tcPr>
          <w:p w14:paraId="03C98932" w14:textId="77777777" w:rsidR="00D06CB2" w:rsidRPr="005C5E32" w:rsidRDefault="00D06CB2">
            <w:pPr>
              <w:pStyle w:val="TableText"/>
              <w:spacing w:before="40" w:after="40"/>
              <w:jc w:val="right"/>
              <w:rPr>
                <w:szCs w:val="18"/>
              </w:rPr>
            </w:pPr>
            <w:r w:rsidRPr="005C5E32">
              <w:rPr>
                <w:szCs w:val="18"/>
              </w:rPr>
              <w:t>(3,830)</w:t>
            </w:r>
          </w:p>
        </w:tc>
        <w:tc>
          <w:tcPr>
            <w:tcW w:w="1304" w:type="dxa"/>
            <w:tcBorders>
              <w:top w:val="single" w:sz="2" w:space="0" w:color="58595B"/>
              <w:bottom w:val="single" w:sz="4" w:space="0" w:color="000000" w:themeColor="text1"/>
            </w:tcBorders>
            <w:shd w:val="clear" w:color="auto" w:fill="E7F2F2"/>
          </w:tcPr>
          <w:p w14:paraId="65A0FECE" w14:textId="77777777" w:rsidR="00D06CB2" w:rsidRPr="005C5E32" w:rsidRDefault="00D06CB2">
            <w:pPr>
              <w:pStyle w:val="TableText"/>
              <w:spacing w:before="40" w:after="40"/>
              <w:jc w:val="right"/>
              <w:rPr>
                <w:szCs w:val="18"/>
              </w:rPr>
            </w:pPr>
            <w:r w:rsidRPr="005C5E32">
              <w:rPr>
                <w:szCs w:val="18"/>
              </w:rPr>
              <w:t>(6,082)</w:t>
            </w:r>
          </w:p>
        </w:tc>
      </w:tr>
      <w:tr w:rsidR="00D06CB2" w:rsidRPr="005C5E32" w14:paraId="20100B91" w14:textId="77777777" w:rsidTr="003046C5">
        <w:tc>
          <w:tcPr>
            <w:tcW w:w="6063" w:type="dxa"/>
            <w:tcBorders>
              <w:top w:val="single" w:sz="4" w:space="0" w:color="000000" w:themeColor="text1"/>
              <w:bottom w:val="single" w:sz="4" w:space="0" w:color="000000" w:themeColor="text1"/>
            </w:tcBorders>
          </w:tcPr>
          <w:p w14:paraId="23A45DB9" w14:textId="77777777" w:rsidR="00D06CB2" w:rsidRPr="001D5532" w:rsidRDefault="00D06CB2">
            <w:pPr>
              <w:pStyle w:val="TableText"/>
              <w:spacing w:before="40" w:after="40"/>
              <w:rPr>
                <w:b/>
              </w:rPr>
            </w:pPr>
            <w:r w:rsidRPr="001D5532">
              <w:rPr>
                <w:b/>
              </w:rPr>
              <w:t>Total net movement in working capital items</w:t>
            </w:r>
          </w:p>
        </w:tc>
        <w:tc>
          <w:tcPr>
            <w:tcW w:w="1101" w:type="dxa"/>
            <w:tcBorders>
              <w:top w:val="single" w:sz="4" w:space="0" w:color="000000" w:themeColor="text1"/>
              <w:bottom w:val="single" w:sz="4" w:space="0" w:color="000000" w:themeColor="text1"/>
            </w:tcBorders>
          </w:tcPr>
          <w:p w14:paraId="73AC530D" w14:textId="77777777" w:rsidR="00D06CB2" w:rsidRPr="001D5532" w:rsidRDefault="00D06CB2">
            <w:pPr>
              <w:pStyle w:val="TableText"/>
              <w:spacing w:before="40" w:after="40"/>
              <w:jc w:val="right"/>
              <w:rPr>
                <w:b/>
                <w:szCs w:val="18"/>
              </w:rPr>
            </w:pPr>
            <w:r w:rsidRPr="001D5532">
              <w:rPr>
                <w:b/>
                <w:szCs w:val="18"/>
              </w:rPr>
              <w:t>14,256</w:t>
            </w:r>
          </w:p>
        </w:tc>
        <w:tc>
          <w:tcPr>
            <w:tcW w:w="1304" w:type="dxa"/>
            <w:tcBorders>
              <w:top w:val="single" w:sz="4" w:space="0" w:color="000000" w:themeColor="text1"/>
              <w:bottom w:val="single" w:sz="4" w:space="0" w:color="000000" w:themeColor="text1"/>
            </w:tcBorders>
            <w:shd w:val="clear" w:color="auto" w:fill="E7F2F2"/>
          </w:tcPr>
          <w:p w14:paraId="34FB198D" w14:textId="77777777" w:rsidR="00D06CB2" w:rsidRPr="001D5532" w:rsidRDefault="00D06CB2">
            <w:pPr>
              <w:pStyle w:val="TableText"/>
              <w:spacing w:before="40" w:after="40"/>
              <w:jc w:val="right"/>
              <w:rPr>
                <w:b/>
                <w:szCs w:val="18"/>
              </w:rPr>
            </w:pPr>
            <w:r w:rsidRPr="001D5532">
              <w:rPr>
                <w:b/>
                <w:szCs w:val="18"/>
              </w:rPr>
              <w:t>(3,291)</w:t>
            </w:r>
          </w:p>
        </w:tc>
      </w:tr>
      <w:tr w:rsidR="00D06CB2" w:rsidRPr="005C5E32" w14:paraId="4035619F" w14:textId="77777777" w:rsidTr="003046C5">
        <w:tc>
          <w:tcPr>
            <w:tcW w:w="6063" w:type="dxa"/>
            <w:tcBorders>
              <w:top w:val="single" w:sz="4" w:space="0" w:color="000000" w:themeColor="text1"/>
              <w:bottom w:val="single" w:sz="4" w:space="0" w:color="000000" w:themeColor="text1"/>
            </w:tcBorders>
          </w:tcPr>
          <w:p w14:paraId="22988F3F" w14:textId="77777777" w:rsidR="00D06CB2" w:rsidRPr="005C5E32" w:rsidRDefault="00D06CB2">
            <w:pPr>
              <w:pStyle w:val="TableTextbold"/>
              <w:spacing w:before="40" w:after="40"/>
            </w:pPr>
            <w:r w:rsidRPr="005C5E32">
              <w:t>Net cash flow from operating activities</w:t>
            </w:r>
          </w:p>
        </w:tc>
        <w:tc>
          <w:tcPr>
            <w:tcW w:w="1101" w:type="dxa"/>
            <w:tcBorders>
              <w:top w:val="single" w:sz="4" w:space="0" w:color="000000" w:themeColor="text1"/>
              <w:bottom w:val="single" w:sz="4" w:space="0" w:color="000000" w:themeColor="text1"/>
            </w:tcBorders>
          </w:tcPr>
          <w:p w14:paraId="51BC27FF" w14:textId="77777777" w:rsidR="00D06CB2" w:rsidRPr="005C5E32" w:rsidRDefault="00D06CB2">
            <w:pPr>
              <w:pStyle w:val="TableTextbold"/>
              <w:spacing w:before="40" w:after="40"/>
              <w:jc w:val="right"/>
              <w:rPr>
                <w:szCs w:val="18"/>
              </w:rPr>
            </w:pPr>
            <w:r w:rsidRPr="005C5E32">
              <w:rPr>
                <w:bCs/>
                <w:szCs w:val="18"/>
              </w:rPr>
              <w:t>24,960</w:t>
            </w:r>
          </w:p>
        </w:tc>
        <w:tc>
          <w:tcPr>
            <w:tcW w:w="1304" w:type="dxa"/>
            <w:tcBorders>
              <w:top w:val="single" w:sz="4" w:space="0" w:color="000000" w:themeColor="text1"/>
              <w:bottom w:val="single" w:sz="4" w:space="0" w:color="000000" w:themeColor="text1"/>
            </w:tcBorders>
            <w:shd w:val="clear" w:color="auto" w:fill="E7F2F2"/>
          </w:tcPr>
          <w:p w14:paraId="3A573FBF" w14:textId="77777777" w:rsidR="00D06CB2" w:rsidRPr="005C5E32" w:rsidRDefault="00D06CB2">
            <w:pPr>
              <w:pStyle w:val="TableTextbold"/>
              <w:spacing w:before="40" w:after="40"/>
              <w:jc w:val="right"/>
              <w:rPr>
                <w:szCs w:val="18"/>
              </w:rPr>
            </w:pPr>
            <w:r w:rsidRPr="005C5E32">
              <w:rPr>
                <w:szCs w:val="18"/>
              </w:rPr>
              <w:t>15,384</w:t>
            </w:r>
          </w:p>
        </w:tc>
      </w:tr>
    </w:tbl>
    <w:p w14:paraId="5AEEE56E" w14:textId="77777777" w:rsidR="00D06CB2" w:rsidRPr="005C5E32" w:rsidRDefault="00D06CB2" w:rsidP="00403DB3">
      <w:pPr>
        <w:pStyle w:val="Note"/>
      </w:pPr>
      <w:r w:rsidRPr="005C5E32">
        <w:t>* Creditors and accruals for capital expenditure are excluded when calculating this increase or decrease.</w:t>
      </w:r>
    </w:p>
    <w:p w14:paraId="19E4908B" w14:textId="77777777" w:rsidR="00D06CB2" w:rsidRPr="005C5E32" w:rsidRDefault="00D06CB2" w:rsidP="00A03341">
      <w:pPr>
        <w:pStyle w:val="BodyText"/>
      </w:pPr>
    </w:p>
    <w:p w14:paraId="46B562EB" w14:textId="77777777" w:rsidR="00403DB3" w:rsidRPr="005C5E32" w:rsidRDefault="00403DB3" w:rsidP="00A03341">
      <w:pPr>
        <w:pStyle w:val="BodyText"/>
      </w:pPr>
    </w:p>
    <w:p w14:paraId="7089E754" w14:textId="77777777" w:rsidR="00D06CB2" w:rsidRPr="005C5E32" w:rsidRDefault="00D06CB2" w:rsidP="00A03341">
      <w:pPr>
        <w:pStyle w:val="BodyText"/>
      </w:pPr>
    </w:p>
    <w:p w14:paraId="757C829D" w14:textId="77777777" w:rsidR="00D06CB2" w:rsidRPr="005C5E32" w:rsidRDefault="00D06CB2" w:rsidP="00A03341">
      <w:pPr>
        <w:pStyle w:val="BodyText"/>
      </w:pPr>
    </w:p>
    <w:p w14:paraId="44ABC00A" w14:textId="77777777" w:rsidR="00D06CB2" w:rsidRPr="005C5E32" w:rsidRDefault="00D06CB2" w:rsidP="00A03341">
      <w:pPr>
        <w:pStyle w:val="BodyText"/>
      </w:pPr>
    </w:p>
    <w:p w14:paraId="0BF314FB" w14:textId="77777777" w:rsidR="00D06CB2" w:rsidRPr="005C5E32" w:rsidRDefault="00D06CB2" w:rsidP="00A03341">
      <w:pPr>
        <w:pStyle w:val="BodyText"/>
      </w:pPr>
    </w:p>
    <w:p w14:paraId="07789064" w14:textId="77777777" w:rsidR="00D06CB2" w:rsidRPr="005C5E32" w:rsidRDefault="00D06CB2" w:rsidP="00A03341">
      <w:pPr>
        <w:pStyle w:val="BodyText"/>
      </w:pPr>
    </w:p>
    <w:p w14:paraId="37481070" w14:textId="77777777" w:rsidR="00D06CB2" w:rsidRPr="005C5E32" w:rsidRDefault="00D06CB2" w:rsidP="00A03341">
      <w:pPr>
        <w:pStyle w:val="BodyText"/>
      </w:pPr>
    </w:p>
    <w:p w14:paraId="62AB76CC" w14:textId="77777777" w:rsidR="00D06CB2" w:rsidRPr="005C5E32" w:rsidRDefault="00D06CB2" w:rsidP="00A03341">
      <w:pPr>
        <w:pStyle w:val="BodyText"/>
      </w:pPr>
    </w:p>
    <w:p w14:paraId="66F94F57" w14:textId="77777777" w:rsidR="00D06CB2" w:rsidRPr="005C5E32" w:rsidRDefault="00D06CB2" w:rsidP="00A03341">
      <w:pPr>
        <w:pStyle w:val="BodyText"/>
      </w:pPr>
    </w:p>
    <w:p w14:paraId="0565B7A4" w14:textId="77777777" w:rsidR="00D06CB2" w:rsidRPr="005C5E32" w:rsidRDefault="00D06CB2" w:rsidP="00A03341">
      <w:pPr>
        <w:pStyle w:val="BodyText"/>
      </w:pPr>
    </w:p>
    <w:p w14:paraId="2A42CBCC" w14:textId="77777777" w:rsidR="00D06CB2" w:rsidRPr="005C5E32" w:rsidRDefault="00D06CB2" w:rsidP="00A03341">
      <w:pPr>
        <w:pStyle w:val="BodyText"/>
      </w:pPr>
    </w:p>
    <w:p w14:paraId="5F9113F2" w14:textId="77777777" w:rsidR="00D06CB2" w:rsidRPr="005C5E32" w:rsidRDefault="00D06CB2" w:rsidP="00A03341">
      <w:pPr>
        <w:pStyle w:val="BodyText"/>
      </w:pPr>
    </w:p>
    <w:p w14:paraId="5BB705A7" w14:textId="77777777" w:rsidR="00D06CB2" w:rsidRPr="005C5E32" w:rsidRDefault="00D06CB2" w:rsidP="00403DB3">
      <w:pPr>
        <w:pStyle w:val="BodyText"/>
        <w:spacing w:before="0" w:after="0"/>
      </w:pPr>
    </w:p>
    <w:p w14:paraId="1760B03C" w14:textId="77777777" w:rsidR="00D06CB2" w:rsidRPr="005C5E32" w:rsidRDefault="00D06CB2" w:rsidP="00A03341">
      <w:pPr>
        <w:pStyle w:val="Note"/>
        <w:spacing w:before="0" w:after="0"/>
      </w:pPr>
      <w:r w:rsidRPr="005C5E32">
        <w:t>The accompanying notes form part of these financial statements.</w:t>
      </w:r>
    </w:p>
    <w:p w14:paraId="7355BC18" w14:textId="77777777" w:rsidR="00D06CB2" w:rsidRPr="005C5E32" w:rsidRDefault="00D06CB2" w:rsidP="005A645E">
      <w:pPr>
        <w:pStyle w:val="Heading2green"/>
      </w:pPr>
      <w:bookmarkStart w:id="311" w:name="_Toc112144617"/>
      <w:bookmarkStart w:id="312" w:name="_Toc207017410"/>
      <w:bookmarkStart w:id="313" w:name="_Toc207017499"/>
      <w:bookmarkStart w:id="314" w:name="_Toc207192316"/>
      <w:bookmarkStart w:id="315" w:name="_Toc239677694"/>
      <w:bookmarkStart w:id="316" w:name="_Toc240445582"/>
      <w:r w:rsidRPr="005C5E32">
        <w:lastRenderedPageBreak/>
        <w:t>Statement of commitments</w:t>
      </w:r>
      <w:bookmarkEnd w:id="311"/>
      <w:bookmarkEnd w:id="312"/>
      <w:bookmarkEnd w:id="313"/>
      <w:bookmarkEnd w:id="314"/>
      <w:bookmarkEnd w:id="315"/>
      <w:bookmarkEnd w:id="316"/>
    </w:p>
    <w:p w14:paraId="3B1DDDCE" w14:textId="77777777" w:rsidR="00D06CB2" w:rsidRPr="005C5E32" w:rsidRDefault="00D06CB2" w:rsidP="00A03341">
      <w:pPr>
        <w:pStyle w:val="BodyText"/>
        <w:rPr>
          <w:sz w:val="28"/>
          <w:szCs w:val="28"/>
        </w:rPr>
      </w:pPr>
      <w:r w:rsidRPr="005C5E32">
        <w:rPr>
          <w:sz w:val="28"/>
          <w:szCs w:val="28"/>
        </w:rPr>
        <w:t>as at 30 June 2026</w:t>
      </w:r>
    </w:p>
    <w:p w14:paraId="03D2EFB2" w14:textId="77777777" w:rsidR="00D06CB2" w:rsidRPr="005C5E32" w:rsidRDefault="00D06CB2" w:rsidP="00A03341">
      <w:pPr>
        <w:pStyle w:val="Heading3"/>
      </w:pPr>
      <w:bookmarkStart w:id="317" w:name="_Toc112144618"/>
      <w:r w:rsidRPr="005C5E32">
        <w:t>Capital commitments</w:t>
      </w:r>
      <w:bookmarkEnd w:id="317"/>
    </w:p>
    <w:p w14:paraId="4E423A8F" w14:textId="77777777" w:rsidR="00D06CB2" w:rsidRPr="005C5E32" w:rsidRDefault="00D06CB2" w:rsidP="00A03341">
      <w:pPr>
        <w:pStyle w:val="BodyText"/>
      </w:pPr>
      <w:r w:rsidRPr="005C5E32">
        <w:rPr>
          <w:rStyle w:val="BodyTextChar"/>
        </w:rPr>
        <w:t>Capital commitments are the aggregate amount of capital expenditure contracted for the acquisition of plant, and equipment and intangible assets that have not been paid for or not recognised as a liability at balance date</w:t>
      </w:r>
      <w:r w:rsidRPr="005C5E32">
        <w:t>.</w:t>
      </w:r>
    </w:p>
    <w:p w14:paraId="5DCD50F2" w14:textId="77777777" w:rsidR="00D06CB2" w:rsidRPr="005C5E32" w:rsidRDefault="00D06CB2" w:rsidP="00A03341">
      <w:pPr>
        <w:pStyle w:val="BodyText"/>
      </w:pPr>
      <w:r w:rsidRPr="005C5E32">
        <w:t>The Ministry has no capital commitments (2024/25: None).</w:t>
      </w:r>
    </w:p>
    <w:p w14:paraId="28A73B51" w14:textId="77777777" w:rsidR="00D06CB2" w:rsidRPr="005C5E32" w:rsidRDefault="00D06CB2" w:rsidP="00A03341">
      <w:pPr>
        <w:pStyle w:val="Heading3"/>
      </w:pPr>
      <w:bookmarkStart w:id="318" w:name="_Toc112144619"/>
      <w:r w:rsidRPr="005C5E32">
        <w:t>Non-cancellable operating lease commitments</w:t>
      </w:r>
      <w:bookmarkEnd w:id="318"/>
    </w:p>
    <w:p w14:paraId="329B5F61" w14:textId="77777777" w:rsidR="00D06CB2" w:rsidRPr="005C5E32" w:rsidRDefault="00D06CB2" w:rsidP="00A03341">
      <w:pPr>
        <w:pStyle w:val="BodyText"/>
      </w:pPr>
      <w:r w:rsidRPr="005C5E32">
        <w:t>The Ministry leases plant and equipment in the normal course of its business. The majority of these lease commitments are for premises and photocopiers in Wellington, Christchurch and Auckland, which have a non-cancellable leasing period ranging from one to fifteen years.</w:t>
      </w:r>
    </w:p>
    <w:p w14:paraId="0DA6D49F" w14:textId="77777777" w:rsidR="00D06CB2" w:rsidRPr="005C5E32" w:rsidRDefault="00D06CB2" w:rsidP="00A03341">
      <w:pPr>
        <w:pStyle w:val="BodyText"/>
      </w:pPr>
      <w:r w:rsidRPr="005C5E32">
        <w:t>The Ministry’s non-cancellable operating leases have varying terms, escalation clauses and renewal rights. There are no restrictions placed on the Ministry by any of its leasing arrangements.</w:t>
      </w:r>
    </w:p>
    <w:p w14:paraId="54379D12" w14:textId="77777777" w:rsidR="00D06CB2" w:rsidRPr="005C5E32" w:rsidRDefault="00D06CB2" w:rsidP="00A03341">
      <w:pPr>
        <w:pStyle w:val="BodyText"/>
        <w:spacing w:after="240"/>
      </w:pPr>
      <w:r w:rsidRPr="005C5E32">
        <w:t>The total amount of future sub-lease payments expected to be received under non-cancellable sub-leases at the balance date is $nil (2024/25: $nil).</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5972"/>
        <w:gridCol w:w="1116"/>
        <w:gridCol w:w="1417"/>
      </w:tblGrid>
      <w:tr w:rsidR="00D06CB2" w:rsidRPr="005C5E32" w14:paraId="10442C21" w14:textId="77777777" w:rsidTr="00A969D5">
        <w:trPr>
          <w:trHeight w:val="20"/>
        </w:trPr>
        <w:tc>
          <w:tcPr>
            <w:tcW w:w="7088" w:type="dxa"/>
            <w:gridSpan w:val="2"/>
            <w:tcBorders>
              <w:top w:val="single" w:sz="8" w:space="0" w:color="0E7C7E"/>
              <w:bottom w:val="single" w:sz="2" w:space="0" w:color="000000" w:themeColor="text1"/>
            </w:tcBorders>
          </w:tcPr>
          <w:p w14:paraId="7491960D" w14:textId="77777777" w:rsidR="00D06CB2" w:rsidRPr="005C5E32" w:rsidRDefault="00D06CB2">
            <w:pPr>
              <w:pStyle w:val="TableboldGreen"/>
              <w:spacing w:before="40" w:after="40"/>
              <w:jc w:val="right"/>
            </w:pPr>
            <w:r w:rsidRPr="005C5E32">
              <w:rPr>
                <w:bCs/>
                <w:szCs w:val="18"/>
              </w:rPr>
              <w:t>2024/25</w:t>
            </w:r>
            <w:r w:rsidRPr="005C5E32">
              <w:rPr>
                <w:bCs/>
                <w:szCs w:val="18"/>
              </w:rPr>
              <w:br/>
            </w:r>
            <w:r w:rsidRPr="005C5E32">
              <w:t>Actual</w:t>
            </w:r>
            <w:r w:rsidRPr="005C5E32">
              <w:br/>
              <w:t>$000</w:t>
            </w:r>
          </w:p>
        </w:tc>
        <w:tc>
          <w:tcPr>
            <w:tcW w:w="1417" w:type="dxa"/>
            <w:tcBorders>
              <w:top w:val="single" w:sz="8" w:space="0" w:color="0E7C7E"/>
              <w:bottom w:val="single" w:sz="2" w:space="0" w:color="000000" w:themeColor="text1"/>
            </w:tcBorders>
            <w:shd w:val="clear" w:color="auto" w:fill="E7F2F2"/>
          </w:tcPr>
          <w:p w14:paraId="10365AC0" w14:textId="77777777" w:rsidR="00D06CB2" w:rsidRPr="005C5E32" w:rsidRDefault="00D06CB2">
            <w:pPr>
              <w:pStyle w:val="TableboldGreen"/>
              <w:spacing w:before="40" w:after="40"/>
              <w:jc w:val="right"/>
            </w:pPr>
            <w:r w:rsidRPr="005C5E32">
              <w:rPr>
                <w:bCs/>
                <w:szCs w:val="18"/>
              </w:rPr>
              <w:t>2025/26</w:t>
            </w:r>
            <w:r w:rsidRPr="005C5E32">
              <w:rPr>
                <w:bCs/>
                <w:szCs w:val="18"/>
              </w:rPr>
              <w:br/>
            </w:r>
            <w:r w:rsidRPr="005C5E32">
              <w:t>Actual</w:t>
            </w:r>
            <w:r w:rsidRPr="005C5E32">
              <w:br/>
              <w:t>$000</w:t>
            </w:r>
          </w:p>
        </w:tc>
      </w:tr>
      <w:tr w:rsidR="00D06CB2" w:rsidRPr="005C5E32" w14:paraId="192A077B" w14:textId="77777777" w:rsidTr="00A969D5">
        <w:trPr>
          <w:trHeight w:val="20"/>
        </w:trPr>
        <w:tc>
          <w:tcPr>
            <w:tcW w:w="5972" w:type="dxa"/>
            <w:tcBorders>
              <w:top w:val="single" w:sz="2" w:space="0" w:color="000000" w:themeColor="text1"/>
            </w:tcBorders>
          </w:tcPr>
          <w:p w14:paraId="225DA031" w14:textId="77777777" w:rsidR="00D06CB2" w:rsidRPr="005C5E32" w:rsidRDefault="00D06CB2">
            <w:pPr>
              <w:pStyle w:val="TableboldGreen"/>
              <w:spacing w:before="40" w:after="0"/>
            </w:pPr>
            <w:r w:rsidRPr="005C5E32">
              <w:t>Operating leases as lessee</w:t>
            </w:r>
          </w:p>
        </w:tc>
        <w:tc>
          <w:tcPr>
            <w:tcW w:w="1116" w:type="dxa"/>
            <w:tcBorders>
              <w:top w:val="single" w:sz="2" w:space="0" w:color="000000" w:themeColor="text1"/>
            </w:tcBorders>
            <w:vAlign w:val="bottom"/>
          </w:tcPr>
          <w:p w14:paraId="7CD74619" w14:textId="77777777" w:rsidR="00D06CB2" w:rsidRPr="005C5E32" w:rsidRDefault="00D06CB2">
            <w:pPr>
              <w:spacing w:before="40" w:after="40"/>
              <w:jc w:val="right"/>
              <w:rPr>
                <w:rFonts w:cs="Calibri"/>
              </w:rPr>
            </w:pPr>
          </w:p>
        </w:tc>
        <w:tc>
          <w:tcPr>
            <w:tcW w:w="1417" w:type="dxa"/>
            <w:vMerge w:val="restart"/>
            <w:tcBorders>
              <w:top w:val="single" w:sz="2" w:space="0" w:color="000000" w:themeColor="text1"/>
            </w:tcBorders>
            <w:shd w:val="clear" w:color="auto" w:fill="E7F2F2"/>
            <w:vAlign w:val="bottom"/>
          </w:tcPr>
          <w:p w14:paraId="69A9262A" w14:textId="06C18E8D" w:rsidR="00D06CB2" w:rsidRPr="005C5E32" w:rsidRDefault="00D06CB2">
            <w:pPr>
              <w:spacing w:before="40" w:after="40"/>
              <w:ind w:left="794"/>
              <w:jc w:val="right"/>
              <w:rPr>
                <w:rFonts w:cs="Calibri"/>
                <w:color w:val="414042"/>
                <w:sz w:val="18"/>
                <w:szCs w:val="18"/>
              </w:rPr>
            </w:pPr>
            <w:r w:rsidRPr="005C5E32">
              <w:rPr>
                <w:rFonts w:cs="Calibri"/>
                <w:color w:val="414042"/>
                <w:sz w:val="18"/>
                <w:szCs w:val="18"/>
              </w:rPr>
              <w:t>3,</w:t>
            </w:r>
            <w:r w:rsidR="00EC0F8F" w:rsidRPr="005C5E32">
              <w:rPr>
                <w:rFonts w:cs="Calibri"/>
                <w:color w:val="414042"/>
                <w:sz w:val="18"/>
                <w:szCs w:val="18"/>
              </w:rPr>
              <w:t>373</w:t>
            </w:r>
          </w:p>
        </w:tc>
      </w:tr>
      <w:tr w:rsidR="00D06CB2" w:rsidRPr="005C5E32" w14:paraId="5EEA8958" w14:textId="77777777" w:rsidTr="00A969D5">
        <w:trPr>
          <w:trHeight w:val="20"/>
        </w:trPr>
        <w:tc>
          <w:tcPr>
            <w:tcW w:w="5972" w:type="dxa"/>
          </w:tcPr>
          <w:p w14:paraId="7C6DB493" w14:textId="77777777" w:rsidR="00D06CB2" w:rsidRPr="005C5E32" w:rsidRDefault="00D06CB2">
            <w:pPr>
              <w:pStyle w:val="TableTextbold"/>
              <w:spacing w:before="0" w:after="0"/>
            </w:pPr>
            <w:r w:rsidRPr="005C5E32">
              <w:t>The future aggregate minimum lease payments to be paid under non</w:t>
            </w:r>
            <w:r w:rsidRPr="005C5E32">
              <w:noBreakHyphen/>
              <w:t>cancellable operating leases are as follows:</w:t>
            </w:r>
          </w:p>
        </w:tc>
        <w:tc>
          <w:tcPr>
            <w:tcW w:w="1116" w:type="dxa"/>
          </w:tcPr>
          <w:p w14:paraId="17B562C4" w14:textId="77777777" w:rsidR="00D06CB2" w:rsidRPr="005C5E32" w:rsidRDefault="00D06CB2">
            <w:pPr>
              <w:spacing w:before="0" w:after="0"/>
              <w:jc w:val="right"/>
              <w:rPr>
                <w:rFonts w:cs="Calibri"/>
              </w:rPr>
            </w:pPr>
          </w:p>
        </w:tc>
        <w:tc>
          <w:tcPr>
            <w:tcW w:w="1417" w:type="dxa"/>
            <w:vMerge/>
          </w:tcPr>
          <w:p w14:paraId="249ABA51" w14:textId="77777777" w:rsidR="00D06CB2" w:rsidRPr="005C5E32" w:rsidRDefault="00D06CB2">
            <w:pPr>
              <w:spacing w:before="0" w:after="0"/>
              <w:jc w:val="right"/>
              <w:rPr>
                <w:rFonts w:cs="Calibri"/>
              </w:rPr>
            </w:pPr>
          </w:p>
        </w:tc>
      </w:tr>
      <w:tr w:rsidR="00D06CB2" w:rsidRPr="005C5E32" w14:paraId="5C552B10" w14:textId="77777777" w:rsidTr="00A969D5">
        <w:trPr>
          <w:trHeight w:val="20"/>
        </w:trPr>
        <w:tc>
          <w:tcPr>
            <w:tcW w:w="5972" w:type="dxa"/>
            <w:tcBorders>
              <w:bottom w:val="single" w:sz="2" w:space="0" w:color="58595B"/>
            </w:tcBorders>
          </w:tcPr>
          <w:p w14:paraId="66A3DF97" w14:textId="77777777" w:rsidR="00D06CB2" w:rsidRPr="005C5E32" w:rsidRDefault="00D06CB2">
            <w:pPr>
              <w:pStyle w:val="TableText"/>
              <w:spacing w:before="40" w:after="40"/>
            </w:pPr>
            <w:r w:rsidRPr="005C5E32">
              <w:t>Not later than one year</w:t>
            </w:r>
          </w:p>
        </w:tc>
        <w:tc>
          <w:tcPr>
            <w:tcW w:w="1116" w:type="dxa"/>
            <w:tcBorders>
              <w:bottom w:val="single" w:sz="2" w:space="0" w:color="58595B"/>
            </w:tcBorders>
          </w:tcPr>
          <w:p w14:paraId="37C58FE7" w14:textId="77777777" w:rsidR="00D06CB2" w:rsidRPr="005C5E32" w:rsidRDefault="00D06CB2">
            <w:pPr>
              <w:pStyle w:val="TableText"/>
              <w:spacing w:before="40" w:after="40"/>
              <w:jc w:val="right"/>
            </w:pPr>
            <w:r w:rsidRPr="005C5E32">
              <w:t>3,198</w:t>
            </w:r>
          </w:p>
        </w:tc>
        <w:tc>
          <w:tcPr>
            <w:tcW w:w="1417" w:type="dxa"/>
            <w:vMerge/>
          </w:tcPr>
          <w:p w14:paraId="312E67E9" w14:textId="77777777" w:rsidR="00D06CB2" w:rsidRPr="005C5E32" w:rsidRDefault="00D06CB2">
            <w:pPr>
              <w:pStyle w:val="TableText"/>
              <w:spacing w:before="40" w:after="40"/>
              <w:jc w:val="right"/>
            </w:pPr>
          </w:p>
        </w:tc>
      </w:tr>
      <w:tr w:rsidR="00D06CB2" w:rsidRPr="005C5E32" w14:paraId="0E69542A" w14:textId="77777777" w:rsidTr="00A969D5">
        <w:trPr>
          <w:trHeight w:val="20"/>
        </w:trPr>
        <w:tc>
          <w:tcPr>
            <w:tcW w:w="5972" w:type="dxa"/>
            <w:tcBorders>
              <w:top w:val="single" w:sz="2" w:space="0" w:color="58595B"/>
              <w:bottom w:val="single" w:sz="4" w:space="0" w:color="000000" w:themeColor="text1"/>
            </w:tcBorders>
          </w:tcPr>
          <w:p w14:paraId="4A61E159" w14:textId="77777777" w:rsidR="00D06CB2" w:rsidRPr="005C5E32" w:rsidRDefault="00D06CB2">
            <w:pPr>
              <w:pStyle w:val="TableText"/>
              <w:spacing w:before="40" w:after="40"/>
            </w:pPr>
            <w:r w:rsidRPr="005C5E32">
              <w:t>Later than one year but not later than five years</w:t>
            </w:r>
          </w:p>
        </w:tc>
        <w:tc>
          <w:tcPr>
            <w:tcW w:w="1116" w:type="dxa"/>
            <w:tcBorders>
              <w:top w:val="single" w:sz="2" w:space="0" w:color="58595B"/>
              <w:bottom w:val="single" w:sz="4" w:space="0" w:color="000000" w:themeColor="text1"/>
            </w:tcBorders>
          </w:tcPr>
          <w:p w14:paraId="280EF9B0" w14:textId="77777777" w:rsidR="00D06CB2" w:rsidRPr="005C5E32" w:rsidRDefault="00D06CB2">
            <w:pPr>
              <w:pStyle w:val="TableText"/>
              <w:spacing w:before="40" w:after="40"/>
              <w:jc w:val="right"/>
            </w:pPr>
            <w:r w:rsidRPr="005C5E32">
              <w:t>13,070</w:t>
            </w:r>
          </w:p>
        </w:tc>
        <w:tc>
          <w:tcPr>
            <w:tcW w:w="1417" w:type="dxa"/>
            <w:tcBorders>
              <w:top w:val="single" w:sz="2" w:space="0" w:color="58595B"/>
              <w:bottom w:val="single" w:sz="4" w:space="0" w:color="000000" w:themeColor="text1"/>
            </w:tcBorders>
            <w:shd w:val="clear" w:color="auto" w:fill="E7F2F2"/>
          </w:tcPr>
          <w:p w14:paraId="618D8D0F" w14:textId="77777777" w:rsidR="00D06CB2" w:rsidRPr="005C5E32" w:rsidRDefault="00D06CB2">
            <w:pPr>
              <w:pStyle w:val="TableText"/>
              <w:spacing w:before="40" w:after="40"/>
              <w:jc w:val="right"/>
            </w:pPr>
            <w:r w:rsidRPr="005C5E32">
              <w:t>13,144</w:t>
            </w:r>
          </w:p>
        </w:tc>
      </w:tr>
      <w:tr w:rsidR="00D06CB2" w:rsidRPr="005C5E32" w14:paraId="48670B14" w14:textId="77777777" w:rsidTr="00A969D5">
        <w:trPr>
          <w:trHeight w:val="20"/>
        </w:trPr>
        <w:tc>
          <w:tcPr>
            <w:tcW w:w="5972" w:type="dxa"/>
            <w:tcBorders>
              <w:top w:val="single" w:sz="2" w:space="0" w:color="58595B"/>
              <w:bottom w:val="single" w:sz="4" w:space="0" w:color="000000" w:themeColor="text1"/>
            </w:tcBorders>
          </w:tcPr>
          <w:p w14:paraId="79CE8F51" w14:textId="77777777" w:rsidR="00D06CB2" w:rsidRPr="005C5E32" w:rsidRDefault="00D06CB2">
            <w:pPr>
              <w:pStyle w:val="TableText"/>
              <w:spacing w:before="40" w:after="40"/>
            </w:pPr>
            <w:r w:rsidRPr="005C5E32">
              <w:t>Later than five years</w:t>
            </w:r>
          </w:p>
        </w:tc>
        <w:tc>
          <w:tcPr>
            <w:tcW w:w="1116" w:type="dxa"/>
            <w:tcBorders>
              <w:top w:val="single" w:sz="2" w:space="0" w:color="58595B"/>
              <w:bottom w:val="single" w:sz="4" w:space="0" w:color="000000" w:themeColor="text1"/>
            </w:tcBorders>
          </w:tcPr>
          <w:p w14:paraId="045D223F" w14:textId="77777777" w:rsidR="00D06CB2" w:rsidRPr="005C5E32" w:rsidRDefault="00D06CB2">
            <w:pPr>
              <w:pStyle w:val="TableText"/>
              <w:spacing w:before="40" w:after="40"/>
              <w:jc w:val="right"/>
            </w:pPr>
            <w:r w:rsidRPr="005C5E32">
              <w:t>24,807</w:t>
            </w:r>
          </w:p>
        </w:tc>
        <w:tc>
          <w:tcPr>
            <w:tcW w:w="1417" w:type="dxa"/>
            <w:tcBorders>
              <w:top w:val="single" w:sz="2" w:space="0" w:color="58595B"/>
              <w:bottom w:val="single" w:sz="4" w:space="0" w:color="000000" w:themeColor="text1"/>
            </w:tcBorders>
            <w:shd w:val="clear" w:color="auto" w:fill="E7F2F2"/>
          </w:tcPr>
          <w:p w14:paraId="03F77C45" w14:textId="77777777" w:rsidR="00D06CB2" w:rsidRPr="005C5E32" w:rsidRDefault="00D06CB2">
            <w:pPr>
              <w:pStyle w:val="TableText"/>
              <w:spacing w:before="40" w:after="40"/>
              <w:jc w:val="right"/>
            </w:pPr>
            <w:r w:rsidRPr="005C5E32">
              <w:t>21,470</w:t>
            </w:r>
          </w:p>
        </w:tc>
      </w:tr>
      <w:tr w:rsidR="00D06CB2" w:rsidRPr="005C5E32" w14:paraId="5F4EEBCC" w14:textId="77777777" w:rsidTr="00A969D5">
        <w:trPr>
          <w:trHeight w:val="20"/>
        </w:trPr>
        <w:tc>
          <w:tcPr>
            <w:tcW w:w="5972" w:type="dxa"/>
            <w:tcBorders>
              <w:top w:val="single" w:sz="4" w:space="0" w:color="000000" w:themeColor="text1"/>
              <w:bottom w:val="single" w:sz="4" w:space="0" w:color="000000" w:themeColor="text1"/>
            </w:tcBorders>
          </w:tcPr>
          <w:p w14:paraId="3420D7F5" w14:textId="77777777" w:rsidR="00D06CB2" w:rsidRPr="005C5E32" w:rsidRDefault="00D06CB2">
            <w:pPr>
              <w:pStyle w:val="TableText"/>
              <w:spacing w:before="40" w:after="40"/>
            </w:pPr>
            <w:r w:rsidRPr="005C5E32">
              <w:t>Total non-cancellable operating lease commitments</w:t>
            </w:r>
          </w:p>
        </w:tc>
        <w:tc>
          <w:tcPr>
            <w:tcW w:w="1116" w:type="dxa"/>
            <w:tcBorders>
              <w:top w:val="single" w:sz="4" w:space="0" w:color="000000" w:themeColor="text1"/>
              <w:bottom w:val="single" w:sz="4" w:space="0" w:color="000000" w:themeColor="text1"/>
            </w:tcBorders>
          </w:tcPr>
          <w:p w14:paraId="6B0995BD" w14:textId="37E696FE" w:rsidR="00D06CB2" w:rsidRPr="005C5E32" w:rsidRDefault="00D06CB2">
            <w:pPr>
              <w:pStyle w:val="TableText"/>
              <w:spacing w:before="40" w:after="40"/>
              <w:jc w:val="right"/>
            </w:pPr>
            <w:r w:rsidRPr="005C5E32">
              <w:t>41,07</w:t>
            </w:r>
            <w:r w:rsidR="008529C3" w:rsidRPr="005C5E32">
              <w:t>5</w:t>
            </w:r>
          </w:p>
        </w:tc>
        <w:tc>
          <w:tcPr>
            <w:tcW w:w="1417" w:type="dxa"/>
            <w:tcBorders>
              <w:top w:val="single" w:sz="4" w:space="0" w:color="000000" w:themeColor="text1"/>
              <w:bottom w:val="single" w:sz="4" w:space="0" w:color="000000" w:themeColor="text1"/>
            </w:tcBorders>
            <w:shd w:val="clear" w:color="auto" w:fill="E7F2F2"/>
          </w:tcPr>
          <w:p w14:paraId="69C2554A" w14:textId="70633FD9" w:rsidR="00D06CB2" w:rsidRPr="005C5E32" w:rsidRDefault="00D06CB2">
            <w:pPr>
              <w:pStyle w:val="TableText"/>
              <w:spacing w:before="40" w:after="40"/>
              <w:jc w:val="right"/>
            </w:pPr>
            <w:r w:rsidRPr="005C5E32">
              <w:t>37,</w:t>
            </w:r>
            <w:r w:rsidR="00F71858" w:rsidRPr="005C5E32">
              <w:t>987</w:t>
            </w:r>
          </w:p>
        </w:tc>
      </w:tr>
      <w:tr w:rsidR="00D06CB2" w:rsidRPr="005C5E32" w14:paraId="14569A04" w14:textId="77777777" w:rsidTr="00A969D5">
        <w:trPr>
          <w:trHeight w:val="20"/>
        </w:trPr>
        <w:tc>
          <w:tcPr>
            <w:tcW w:w="5972" w:type="dxa"/>
            <w:tcBorders>
              <w:top w:val="single" w:sz="4" w:space="0" w:color="000000" w:themeColor="text1"/>
              <w:bottom w:val="single" w:sz="4" w:space="0" w:color="000000" w:themeColor="text1"/>
            </w:tcBorders>
          </w:tcPr>
          <w:p w14:paraId="71B8CADF" w14:textId="77777777" w:rsidR="00D06CB2" w:rsidRPr="005C5E32" w:rsidRDefault="00D06CB2">
            <w:pPr>
              <w:pStyle w:val="TableTextbold"/>
              <w:spacing w:before="40" w:after="40"/>
            </w:pPr>
            <w:r w:rsidRPr="005C5E32">
              <w:t>Total commitments</w:t>
            </w:r>
          </w:p>
        </w:tc>
        <w:tc>
          <w:tcPr>
            <w:tcW w:w="1116" w:type="dxa"/>
            <w:tcBorders>
              <w:top w:val="single" w:sz="4" w:space="0" w:color="000000" w:themeColor="text1"/>
              <w:bottom w:val="single" w:sz="4" w:space="0" w:color="000000" w:themeColor="text1"/>
            </w:tcBorders>
          </w:tcPr>
          <w:p w14:paraId="594BBE14" w14:textId="5E5FC714" w:rsidR="00D06CB2" w:rsidRPr="005C5E32" w:rsidRDefault="00D06CB2">
            <w:pPr>
              <w:pStyle w:val="TableTextbold"/>
              <w:spacing w:before="40" w:after="40"/>
              <w:jc w:val="right"/>
              <w:rPr>
                <w:szCs w:val="18"/>
              </w:rPr>
            </w:pPr>
            <w:r w:rsidRPr="005C5E32">
              <w:rPr>
                <w:bCs/>
                <w:szCs w:val="18"/>
              </w:rPr>
              <w:t>41,07</w:t>
            </w:r>
            <w:r w:rsidR="008529C3" w:rsidRPr="005C5E32">
              <w:rPr>
                <w:bCs/>
                <w:szCs w:val="18"/>
              </w:rPr>
              <w:t>5</w:t>
            </w:r>
          </w:p>
        </w:tc>
        <w:tc>
          <w:tcPr>
            <w:tcW w:w="1417" w:type="dxa"/>
            <w:tcBorders>
              <w:top w:val="single" w:sz="4" w:space="0" w:color="000000" w:themeColor="text1"/>
              <w:bottom w:val="single" w:sz="4" w:space="0" w:color="000000" w:themeColor="text1"/>
            </w:tcBorders>
            <w:shd w:val="clear" w:color="auto" w:fill="E7F2F2"/>
          </w:tcPr>
          <w:p w14:paraId="49C7E2DA" w14:textId="6D51465B" w:rsidR="00D06CB2" w:rsidRPr="005C5E32" w:rsidRDefault="00D06CB2">
            <w:pPr>
              <w:pStyle w:val="TableTextbold"/>
              <w:spacing w:before="40" w:after="40"/>
              <w:jc w:val="right"/>
              <w:rPr>
                <w:szCs w:val="18"/>
              </w:rPr>
            </w:pPr>
            <w:r w:rsidRPr="005C5E32">
              <w:rPr>
                <w:bCs/>
                <w:szCs w:val="18"/>
              </w:rPr>
              <w:t>37,</w:t>
            </w:r>
            <w:r w:rsidR="00F71858" w:rsidRPr="005C5E32">
              <w:rPr>
                <w:bCs/>
                <w:szCs w:val="18"/>
              </w:rPr>
              <w:t>987</w:t>
            </w:r>
          </w:p>
        </w:tc>
      </w:tr>
    </w:tbl>
    <w:p w14:paraId="303EBA5F" w14:textId="6B760AAD" w:rsidR="00293ED9" w:rsidRDefault="00293ED9" w:rsidP="00293ED9">
      <w:pPr>
        <w:pStyle w:val="BodyText"/>
      </w:pPr>
      <w:r>
        <w:t>The Ministry’s commitments as at 30 June 2026 transferred to the Ministry for Cities, Environment, Regions and Transport (MCERT) on 1 July 2026.</w:t>
      </w:r>
    </w:p>
    <w:p w14:paraId="6B5AC952" w14:textId="63C5000D" w:rsidR="00293ED9" w:rsidRDefault="00293ED9" w:rsidP="00293ED9">
      <w:pPr>
        <w:pStyle w:val="BodyText"/>
      </w:pPr>
      <w:r>
        <w:t xml:space="preserve">As part of the MCERT establishment process, the Ministry expects to relocate from its current leased premises before the expiry of the minimum contractual lease term. The relocation is currently expected to occur in January 2027. The operating lease commitments amounts disclosed above include lease payments that may be payable beyond the expected relocation date and up to the contractual expiry of the lease. </w:t>
      </w:r>
    </w:p>
    <w:p w14:paraId="595F569B" w14:textId="35E88E78" w:rsidR="00D06CB2" w:rsidRPr="00664CD9" w:rsidRDefault="00293ED9" w:rsidP="00293ED9">
      <w:pPr>
        <w:pStyle w:val="BodyText"/>
        <w:rPr>
          <w:spacing w:val="-4"/>
        </w:rPr>
      </w:pPr>
      <w:r w:rsidRPr="00664CD9">
        <w:rPr>
          <w:spacing w:val="-4"/>
        </w:rPr>
        <w:t>The Ministry expects that another government agency will occupy the premises following its relocation</w:t>
      </w:r>
      <w:r w:rsidR="00F72620" w:rsidRPr="00664CD9">
        <w:rPr>
          <w:spacing w:val="-4"/>
        </w:rPr>
        <w:t xml:space="preserve"> and will assume responsibility for the remaining lease payments</w:t>
      </w:r>
      <w:r w:rsidRPr="00664CD9">
        <w:rPr>
          <w:spacing w:val="-4"/>
        </w:rPr>
        <w:t>. As at 30 June 2026, the Ministry has assessed that no onerous obligation will arise from these changes and no contingent recoveries have been offset against the operating lease commitments disclosed above.</w:t>
      </w:r>
    </w:p>
    <w:p w14:paraId="1084BE4D" w14:textId="77777777" w:rsidR="00D06CB2" w:rsidRPr="005C5E32" w:rsidRDefault="00D06CB2" w:rsidP="00E956BD">
      <w:pPr>
        <w:pStyle w:val="Note"/>
        <w:spacing w:before="0" w:after="0"/>
      </w:pPr>
      <w:r w:rsidRPr="005C5E32">
        <w:t>The accompanying notes form part of these financial statements.</w:t>
      </w:r>
    </w:p>
    <w:p w14:paraId="4F853CA1" w14:textId="77777777" w:rsidR="00D06CB2" w:rsidRPr="005C5E32" w:rsidRDefault="00D06CB2" w:rsidP="005A645E">
      <w:pPr>
        <w:pStyle w:val="Heading2green"/>
      </w:pPr>
      <w:bookmarkStart w:id="319" w:name="_Toc112144620"/>
      <w:bookmarkStart w:id="320" w:name="_Toc207017411"/>
      <w:bookmarkStart w:id="321" w:name="_Toc207017500"/>
      <w:bookmarkStart w:id="322" w:name="_Toc207192317"/>
      <w:bookmarkStart w:id="323" w:name="_Toc239677695"/>
      <w:bookmarkStart w:id="324" w:name="_Toc240445583"/>
      <w:r w:rsidRPr="005C5E32">
        <w:lastRenderedPageBreak/>
        <w:t>Statement of contingent liabilities and contingent assets</w:t>
      </w:r>
      <w:bookmarkEnd w:id="319"/>
      <w:bookmarkEnd w:id="320"/>
      <w:bookmarkEnd w:id="321"/>
      <w:bookmarkEnd w:id="322"/>
      <w:bookmarkEnd w:id="323"/>
      <w:bookmarkEnd w:id="324"/>
    </w:p>
    <w:p w14:paraId="4573D038" w14:textId="77777777" w:rsidR="00D06CB2" w:rsidRPr="005C5E32" w:rsidRDefault="00D06CB2" w:rsidP="00A03341">
      <w:pPr>
        <w:pStyle w:val="BodyText"/>
        <w:rPr>
          <w:sz w:val="28"/>
          <w:szCs w:val="28"/>
        </w:rPr>
      </w:pPr>
      <w:r w:rsidRPr="005C5E32">
        <w:rPr>
          <w:sz w:val="28"/>
          <w:szCs w:val="28"/>
        </w:rPr>
        <w:t>as at 30 June 2026</w:t>
      </w:r>
    </w:p>
    <w:p w14:paraId="0707C51F" w14:textId="77777777" w:rsidR="00D06CB2" w:rsidRPr="005C5E32" w:rsidRDefault="00D06CB2" w:rsidP="00A03341">
      <w:pPr>
        <w:pStyle w:val="Heading3"/>
      </w:pPr>
      <w:bookmarkStart w:id="325" w:name="_Toc112144621"/>
      <w:r w:rsidRPr="005C5E32">
        <w:t>Contingent liabilities</w:t>
      </w:r>
      <w:bookmarkEnd w:id="325"/>
    </w:p>
    <w:p w14:paraId="5021E265" w14:textId="77777777" w:rsidR="00D06CB2" w:rsidRPr="005C5E32" w:rsidRDefault="00D06CB2" w:rsidP="00A03341">
      <w:pPr>
        <w:pStyle w:val="Heading4"/>
        <w:spacing w:before="240"/>
      </w:pPr>
      <w:r w:rsidRPr="005C5E32">
        <w:t>Legal matters</w:t>
      </w:r>
    </w:p>
    <w:p w14:paraId="3EF71602" w14:textId="77777777" w:rsidR="00D06CB2" w:rsidRPr="005C5E32" w:rsidRDefault="00D06CB2" w:rsidP="00A03341">
      <w:pPr>
        <w:pStyle w:val="BodyText"/>
      </w:pPr>
      <w:r w:rsidRPr="005C5E32">
        <w:t xml:space="preserve">There are nine potential liabilities in relation to legal matters of approximately $1.472 million as at 30 June 2026 (2024/25: Ten potential liabilities in relation to legal matters of up to $1.780 million). </w:t>
      </w:r>
    </w:p>
    <w:p w14:paraId="281411FC" w14:textId="77777777" w:rsidR="00D06CB2" w:rsidRPr="005C5E32" w:rsidRDefault="00D06CB2" w:rsidP="00A03341">
      <w:pPr>
        <w:pStyle w:val="BodyText"/>
      </w:pPr>
      <w:r w:rsidRPr="005C5E32">
        <w:t>Under certain contracts and licences, the department may still be held liable for contractual obligations, as these agreements do not explicitly exclude departmental liability. However, the majority of these contracts are considered low value and/or low risk. For high-value contracts or if the Ministry considers the risk to be significant, liability is typically capped.</w:t>
      </w:r>
    </w:p>
    <w:p w14:paraId="2502C06C" w14:textId="77777777" w:rsidR="00D06CB2" w:rsidRPr="005C5E32" w:rsidRDefault="00D06CB2" w:rsidP="00A03341">
      <w:pPr>
        <w:pStyle w:val="Heading4"/>
      </w:pPr>
      <w:r w:rsidRPr="005C5E32">
        <w:t>Contingent assets</w:t>
      </w:r>
    </w:p>
    <w:p w14:paraId="759CBAD6" w14:textId="77777777" w:rsidR="00D06CB2" w:rsidRPr="005C5E32" w:rsidRDefault="00D06CB2" w:rsidP="00A03341">
      <w:pPr>
        <w:pStyle w:val="BodyText"/>
      </w:pPr>
      <w:r w:rsidRPr="005C5E32">
        <w:t>There were no contingent assets as at 30 June 2026 (2024/25: $nil).</w:t>
      </w:r>
    </w:p>
    <w:p w14:paraId="18B88826" w14:textId="77777777" w:rsidR="00D06CB2" w:rsidRPr="005C5E32" w:rsidRDefault="00D06CB2" w:rsidP="00A03341">
      <w:pPr>
        <w:pStyle w:val="BodyText"/>
      </w:pPr>
    </w:p>
    <w:p w14:paraId="7A4BDC90" w14:textId="77777777" w:rsidR="00D06CB2" w:rsidRPr="005C5E32" w:rsidRDefault="00D06CB2" w:rsidP="00A03341">
      <w:pPr>
        <w:pStyle w:val="BodyText"/>
      </w:pPr>
    </w:p>
    <w:p w14:paraId="4B597A72" w14:textId="77777777" w:rsidR="00D06CB2" w:rsidRPr="005C5E32" w:rsidRDefault="00D06CB2" w:rsidP="00A03341">
      <w:pPr>
        <w:pStyle w:val="BodyText"/>
      </w:pPr>
    </w:p>
    <w:p w14:paraId="42BB4440" w14:textId="77777777" w:rsidR="00D06CB2" w:rsidRPr="005C5E32" w:rsidRDefault="00D06CB2" w:rsidP="00A03341">
      <w:pPr>
        <w:pStyle w:val="BodyText"/>
      </w:pPr>
    </w:p>
    <w:p w14:paraId="2536271D" w14:textId="77777777" w:rsidR="00D06CB2" w:rsidRPr="005C5E32" w:rsidRDefault="00D06CB2" w:rsidP="00A03341">
      <w:pPr>
        <w:pStyle w:val="BodyText"/>
      </w:pPr>
    </w:p>
    <w:p w14:paraId="2987518A" w14:textId="77777777" w:rsidR="00D06CB2" w:rsidRPr="005C5E32" w:rsidRDefault="00D06CB2" w:rsidP="00A03341">
      <w:pPr>
        <w:pStyle w:val="BodyText"/>
      </w:pPr>
    </w:p>
    <w:p w14:paraId="474FD1FB" w14:textId="77777777" w:rsidR="00D06CB2" w:rsidRPr="005C5E32" w:rsidRDefault="00D06CB2" w:rsidP="00A03341">
      <w:pPr>
        <w:pStyle w:val="BodyText"/>
      </w:pPr>
    </w:p>
    <w:p w14:paraId="5C376286" w14:textId="77777777" w:rsidR="00D06CB2" w:rsidRPr="005C5E32" w:rsidRDefault="00D06CB2" w:rsidP="00A03341">
      <w:pPr>
        <w:pStyle w:val="BodyText"/>
      </w:pPr>
    </w:p>
    <w:p w14:paraId="53CB8E70" w14:textId="77777777" w:rsidR="00D06CB2" w:rsidRPr="005C5E32" w:rsidRDefault="00D06CB2" w:rsidP="00A03341">
      <w:pPr>
        <w:pStyle w:val="BodyText"/>
      </w:pPr>
    </w:p>
    <w:p w14:paraId="43243DC6" w14:textId="77777777" w:rsidR="00D06CB2" w:rsidRPr="005C5E32" w:rsidRDefault="00D06CB2" w:rsidP="00A03341">
      <w:pPr>
        <w:pStyle w:val="BodyText"/>
      </w:pPr>
    </w:p>
    <w:p w14:paraId="60629BA9" w14:textId="77777777" w:rsidR="00D06CB2" w:rsidRPr="005C5E32" w:rsidRDefault="00D06CB2" w:rsidP="00A03341">
      <w:pPr>
        <w:pStyle w:val="BodyText"/>
      </w:pPr>
    </w:p>
    <w:p w14:paraId="41FA8E37" w14:textId="77777777" w:rsidR="00D06CB2" w:rsidRPr="005C5E32" w:rsidRDefault="00D06CB2" w:rsidP="00A03341">
      <w:pPr>
        <w:pStyle w:val="BodyText"/>
      </w:pPr>
    </w:p>
    <w:p w14:paraId="442EBC6E" w14:textId="77777777" w:rsidR="00D06CB2" w:rsidRPr="005C5E32" w:rsidRDefault="00D06CB2" w:rsidP="00A03341">
      <w:pPr>
        <w:pStyle w:val="BodyText"/>
      </w:pPr>
    </w:p>
    <w:p w14:paraId="4FFFA9BE" w14:textId="77777777" w:rsidR="00D06CB2" w:rsidRPr="005C5E32" w:rsidRDefault="00D06CB2" w:rsidP="00A03341">
      <w:pPr>
        <w:pStyle w:val="BodyText"/>
      </w:pPr>
    </w:p>
    <w:p w14:paraId="1E1FB970" w14:textId="77777777" w:rsidR="00D06CB2" w:rsidRPr="005C5E32" w:rsidRDefault="00D06CB2" w:rsidP="00A03341">
      <w:pPr>
        <w:pStyle w:val="BodyText"/>
      </w:pPr>
    </w:p>
    <w:p w14:paraId="4219C83E" w14:textId="77777777" w:rsidR="00D06CB2" w:rsidRPr="005C5E32" w:rsidRDefault="00D06CB2" w:rsidP="002B6F3B">
      <w:pPr>
        <w:pStyle w:val="Note"/>
        <w:spacing w:before="0" w:after="0"/>
      </w:pPr>
      <w:r w:rsidRPr="005C5E32">
        <w:t xml:space="preserve">The accompanying notes form part of these financial statements. </w:t>
      </w:r>
      <w:r w:rsidRPr="005C5E32">
        <w:br w:type="page"/>
      </w:r>
    </w:p>
    <w:p w14:paraId="7223C218" w14:textId="77777777" w:rsidR="00D06CB2" w:rsidRPr="005C5E32" w:rsidRDefault="00D06CB2" w:rsidP="005A645E">
      <w:pPr>
        <w:pStyle w:val="Heading2green"/>
      </w:pPr>
      <w:bookmarkStart w:id="326" w:name="_Toc112144622"/>
      <w:bookmarkStart w:id="327" w:name="_Toc207017412"/>
      <w:bookmarkStart w:id="328" w:name="_Toc207017501"/>
      <w:bookmarkStart w:id="329" w:name="_Toc207192318"/>
      <w:bookmarkStart w:id="330" w:name="_Toc239677696"/>
      <w:bookmarkStart w:id="331" w:name="_Toc240445584"/>
      <w:r w:rsidRPr="005C5E32">
        <w:lastRenderedPageBreak/>
        <w:t>Notes to the financial statements</w:t>
      </w:r>
      <w:bookmarkEnd w:id="326"/>
      <w:bookmarkEnd w:id="327"/>
      <w:bookmarkEnd w:id="328"/>
      <w:bookmarkEnd w:id="329"/>
      <w:bookmarkEnd w:id="330"/>
      <w:bookmarkEnd w:id="331"/>
    </w:p>
    <w:p w14:paraId="60DA0F2C" w14:textId="77777777" w:rsidR="00D06CB2" w:rsidRPr="005C5E32" w:rsidRDefault="00D06CB2" w:rsidP="009362A2">
      <w:pPr>
        <w:pStyle w:val="Heading3"/>
        <w:tabs>
          <w:tab w:val="clear" w:pos="851"/>
        </w:tabs>
        <w:spacing w:before="240"/>
        <w:ind w:left="567" w:hanging="567"/>
      </w:pPr>
      <w:bookmarkStart w:id="332" w:name="_Toc112144623"/>
      <w:r w:rsidRPr="005C5E32">
        <w:t>1.</w:t>
      </w:r>
      <w:r w:rsidRPr="005C5E32">
        <w:tab/>
        <w:t xml:space="preserve">Statement of accounting policies </w:t>
      </w:r>
      <w:bookmarkEnd w:id="332"/>
    </w:p>
    <w:p w14:paraId="2884FFF3" w14:textId="77777777" w:rsidR="00D06CB2" w:rsidRPr="005C5E32" w:rsidRDefault="00D06CB2" w:rsidP="00A03341">
      <w:pPr>
        <w:pStyle w:val="Heading4"/>
        <w:spacing w:before="240"/>
      </w:pPr>
      <w:r w:rsidRPr="005C5E32">
        <w:t>Reporting entity</w:t>
      </w:r>
    </w:p>
    <w:p w14:paraId="115BD583" w14:textId="5F8B0B4F" w:rsidR="00D06CB2" w:rsidRPr="005C5E32" w:rsidRDefault="00D06CB2" w:rsidP="00A03341">
      <w:pPr>
        <w:pStyle w:val="BodyText"/>
      </w:pPr>
      <w:r w:rsidRPr="005C5E32">
        <w:t>The Ministry for the Environment | Manatū mō te Taiao (the Ministry) is a government department as defined by section 5 of the Public Service Act 2020 and is domiciled and operates in Aotearoa New Zealand. The relevant legislation governing the Ministry’s operations includes the Public Finance Act 1989, Public Service Act 2020 and the Environment</w:t>
      </w:r>
      <w:r w:rsidR="009362A2" w:rsidRPr="005C5E32">
        <w:t> </w:t>
      </w:r>
      <w:r w:rsidRPr="005C5E32">
        <w:t>Act 1986. The Ministry’s ultimate parent is the New Zealand Crown.</w:t>
      </w:r>
    </w:p>
    <w:p w14:paraId="0B1AB9F7" w14:textId="0FA31EBC" w:rsidR="00D06CB2" w:rsidRPr="005C5E32" w:rsidRDefault="00D06CB2" w:rsidP="00A03341">
      <w:pPr>
        <w:pStyle w:val="BodyText"/>
      </w:pPr>
      <w:r w:rsidRPr="005C5E32">
        <w:t xml:space="preserve">In addition, the Ministry has reported on Crown activities that it administers in the non-departmental statements and schedules on pages </w:t>
      </w:r>
      <w:r w:rsidRPr="00A969D5">
        <w:t>10</w:t>
      </w:r>
      <w:r w:rsidR="00F00D72" w:rsidRPr="00A969D5">
        <w:t>0</w:t>
      </w:r>
      <w:r w:rsidRPr="00A969D5">
        <w:t xml:space="preserve"> to 1</w:t>
      </w:r>
      <w:r w:rsidR="00436DFA" w:rsidRPr="00A969D5">
        <w:t>26</w:t>
      </w:r>
      <w:r w:rsidRPr="005C5E32">
        <w:t>.</w:t>
      </w:r>
    </w:p>
    <w:p w14:paraId="1B5CF520" w14:textId="01A8C316" w:rsidR="00D06CB2" w:rsidRPr="005C5E32" w:rsidRDefault="00D06CB2" w:rsidP="00A03341">
      <w:pPr>
        <w:pStyle w:val="BodyText"/>
      </w:pPr>
      <w:r w:rsidRPr="005C5E32">
        <w:t xml:space="preserve">The primary objective of the Ministry is to provide advice to the Government on the </w:t>
      </w:r>
      <w:r w:rsidRPr="005C5E32" w:rsidDel="00FF185A">
        <w:t>New Zealand</w:t>
      </w:r>
      <w:r w:rsidRPr="005C5E32">
        <w:t xml:space="preserve"> environment and international matters that affect the environment. The Ministry does not operate to make financial returns. Accordingly, the Ministry has designated itself as a public benefit entity (PBE) for financial reporting purposes and</w:t>
      </w:r>
      <w:r w:rsidR="009362A2" w:rsidRPr="005C5E32">
        <w:t> </w:t>
      </w:r>
      <w:r w:rsidRPr="005C5E32">
        <w:t>complying with generally accepted accounting practice (GAAP).</w:t>
      </w:r>
    </w:p>
    <w:p w14:paraId="58348F89" w14:textId="77777777" w:rsidR="00D06CB2" w:rsidRPr="005C5E32" w:rsidRDefault="00D06CB2">
      <w:pPr>
        <w:pStyle w:val="Heading4"/>
        <w:spacing w:before="240"/>
      </w:pPr>
      <w:r w:rsidRPr="005C5E32">
        <w:t xml:space="preserve">Disestablishment of the Ministry </w:t>
      </w:r>
    </w:p>
    <w:p w14:paraId="73735C79" w14:textId="77777777" w:rsidR="00D06CB2" w:rsidRPr="005C5E32" w:rsidRDefault="00D06CB2">
      <w:pPr>
        <w:pStyle w:val="BodyText"/>
      </w:pPr>
      <w:r w:rsidRPr="005C5E32">
        <w:t>In December 2025, the Government confirmed its plans to establish a new Ministry for Cities, Environment, Regions &amp; Transport (MCERT) to support the Government’s reforms in housing, transport, urban development and the environment.</w:t>
      </w:r>
    </w:p>
    <w:p w14:paraId="2BAF88C4" w14:textId="77777777" w:rsidR="00D06CB2" w:rsidRPr="005C5E32" w:rsidRDefault="00D06CB2">
      <w:pPr>
        <w:pStyle w:val="BodyText"/>
      </w:pPr>
      <w:r w:rsidRPr="005C5E32">
        <w:t xml:space="preserve">The new ministry brings together the Ministry for the Environment, the Ministry of Housing and Urban Development, the Ministry of Transport, and local government functions from the Department of Internal Affairs into one new agency. </w:t>
      </w:r>
    </w:p>
    <w:p w14:paraId="081E95F5" w14:textId="3445F3FD" w:rsidR="00D06CB2" w:rsidRPr="005C5E32" w:rsidRDefault="00D06CB2">
      <w:pPr>
        <w:pStyle w:val="BodyText"/>
      </w:pPr>
      <w:r w:rsidRPr="005C5E32">
        <w:t>MCERT was formally established on 1 April 2026 and became operational from 1 July 2026. The</w:t>
      </w:r>
      <w:r w:rsidR="009362A2" w:rsidRPr="005C5E32">
        <w:t> </w:t>
      </w:r>
      <w:r w:rsidRPr="005C5E32">
        <w:t>Environment (Disestablishment of Ministry for the Environment) Amendment Act 2026 formally disestablished the Ministry for the Environment and transferred all of its existing functions and responsibilities to MCERT from the beginning of 1 July 2026.</w:t>
      </w:r>
    </w:p>
    <w:p w14:paraId="186B87D0" w14:textId="77777777" w:rsidR="00D06CB2" w:rsidRPr="005C5E32" w:rsidRDefault="00D06CB2">
      <w:pPr>
        <w:pStyle w:val="BodyText"/>
      </w:pPr>
      <w:r w:rsidRPr="005C5E32">
        <w:t>As a result, the Ministry for the Environment’s existing functions, assets, liabilities and appropriations were transferred to and amalgamated into MCERT on 1 July 2026. The Ministry for the Environment ceased operations at the end of 30 June 2026 and did not undertake any transactions between this date and its disestablishment at the beginning of 1 July 2026. Accordingly, these financial statements represent the final annual report of the Ministry for the year ended 30 June 2026.</w:t>
      </w:r>
    </w:p>
    <w:p w14:paraId="7045E5B1" w14:textId="77777777" w:rsidR="00D06CB2" w:rsidRPr="005C5E32" w:rsidRDefault="00D06CB2">
      <w:pPr>
        <w:pStyle w:val="Heading4"/>
      </w:pPr>
      <w:r w:rsidRPr="005C5E32">
        <w:t>Statement of compliance</w:t>
      </w:r>
    </w:p>
    <w:p w14:paraId="44899ACE" w14:textId="77777777" w:rsidR="00D06CB2" w:rsidRPr="005C5E32" w:rsidRDefault="00D06CB2">
      <w:pPr>
        <w:pStyle w:val="BodyText"/>
      </w:pPr>
      <w:r w:rsidRPr="005C5E32">
        <w:t>These financial statements have been prepared in accordance with the requirements of the Public Finance Act 1989, which include the requirement to comply with the New Zealand generally accepted accounting practice (NZ GAAP) and Treasury Instructions. They comply with Tier 1 PBE Accounting Standards and other applicable financial reporting standards, as appropriate for public benefit entities.</w:t>
      </w:r>
    </w:p>
    <w:p w14:paraId="6E04B310" w14:textId="15B10E8E" w:rsidR="00D06CB2" w:rsidRPr="005C5E32" w:rsidRDefault="00D06CB2" w:rsidP="005425DC">
      <w:pPr>
        <w:pStyle w:val="BodyText"/>
        <w:spacing w:after="100"/>
      </w:pPr>
      <w:r w:rsidRPr="005C5E32">
        <w:lastRenderedPageBreak/>
        <w:t xml:space="preserve">The financial statements were authorised for issue by the Secretary for the Environment, Jeremy Lightfoot. Mr Lightfoot was appointed on 27 April 2026 and is the Chief Executive </w:t>
      </w:r>
      <w:r w:rsidR="008A082C">
        <w:t>for</w:t>
      </w:r>
      <w:r w:rsidR="008A082C" w:rsidRPr="005C5E32">
        <w:t> </w:t>
      </w:r>
      <w:r w:rsidRPr="005C5E32">
        <w:t>MCERT.</w:t>
      </w:r>
    </w:p>
    <w:p w14:paraId="45567209" w14:textId="77777777" w:rsidR="00D06CB2" w:rsidRPr="005C5E32" w:rsidRDefault="00D06CB2" w:rsidP="005425DC">
      <w:pPr>
        <w:pStyle w:val="Heading4"/>
        <w:spacing w:before="240"/>
      </w:pPr>
      <w:r w:rsidRPr="005C5E32">
        <w:t>Basis of preparation</w:t>
      </w:r>
    </w:p>
    <w:p w14:paraId="20619B9D" w14:textId="2064FA50" w:rsidR="00D06CB2" w:rsidRPr="005C5E32" w:rsidRDefault="00D06CB2" w:rsidP="005425DC">
      <w:pPr>
        <w:pStyle w:val="BodyText"/>
        <w:spacing w:before="100" w:after="100"/>
      </w:pPr>
      <w:r w:rsidRPr="005C5E32">
        <w:t xml:space="preserve">The financial statements have been prepared on </w:t>
      </w:r>
      <w:r w:rsidR="005525BF">
        <w:t>the basis</w:t>
      </w:r>
      <w:r w:rsidR="003D1606">
        <w:t xml:space="preserve"> that the Ministry operated as </w:t>
      </w:r>
      <w:r w:rsidR="00CC5276">
        <w:t xml:space="preserve">a </w:t>
      </w:r>
      <w:r w:rsidRPr="005C5E32">
        <w:t xml:space="preserve">going concern throughout the </w:t>
      </w:r>
      <w:r w:rsidR="004E243B">
        <w:t>reporting year.</w:t>
      </w:r>
    </w:p>
    <w:p w14:paraId="5B9B8F6E" w14:textId="5DD49740" w:rsidR="00D06CB2" w:rsidRPr="005C5E32" w:rsidRDefault="00D06CB2" w:rsidP="005425DC">
      <w:pPr>
        <w:pStyle w:val="BodyText"/>
        <w:spacing w:before="100" w:after="100"/>
      </w:pPr>
      <w:r w:rsidRPr="005C5E32">
        <w:t xml:space="preserve">While the Ministry </w:t>
      </w:r>
      <w:r w:rsidR="005E1331">
        <w:t>ceased</w:t>
      </w:r>
      <w:r w:rsidRPr="005C5E32">
        <w:t xml:space="preserve"> to exist as a separate legal entity from 1 July 2026, its operations and service delivery will continue without material change within MCERT. Accordingly, the accounting policies have been applied consistently throughout the year, and no changes have been made to the recognition and measurement, or presentation of assets and liabilities in these financial statements, as these are expected to be realised or settled in the normal course of operations within MCERT.</w:t>
      </w:r>
    </w:p>
    <w:p w14:paraId="79DA4E0B" w14:textId="77777777" w:rsidR="00D06CB2" w:rsidRPr="005C5E32" w:rsidRDefault="00D06CB2" w:rsidP="005425DC">
      <w:pPr>
        <w:pStyle w:val="Heading4"/>
        <w:spacing w:before="240"/>
      </w:pPr>
      <w:r w:rsidRPr="005C5E32">
        <w:t xml:space="preserve">Basis of recognition and measurement </w:t>
      </w:r>
    </w:p>
    <w:p w14:paraId="46F0E917" w14:textId="28A949B8" w:rsidR="00D06CB2" w:rsidRPr="005C5E32" w:rsidRDefault="00D06CB2" w:rsidP="005425DC">
      <w:pPr>
        <w:pStyle w:val="BodyText"/>
        <w:spacing w:before="100" w:after="100"/>
      </w:pPr>
      <w:r w:rsidRPr="005C5E32">
        <w:t>The financial statements have been prepared on an accrual basis unless otherwise specified (eg, the statement of cash flows). Under an accrual basis, revenues are recognised when rights to assets are earned rather than when cash is received, and expenses are recognised when obligations are incurred rather than when they are settled.</w:t>
      </w:r>
      <w:r w:rsidR="005B7E42" w:rsidRPr="005C5E32">
        <w:t xml:space="preserve"> </w:t>
      </w:r>
      <w:r w:rsidRPr="005C5E32">
        <w:t xml:space="preserve">The financial statements have also been prepared on a historical cost basis unless otherwise stated. </w:t>
      </w:r>
    </w:p>
    <w:p w14:paraId="232B032E" w14:textId="77777777" w:rsidR="00D06CB2" w:rsidRPr="005C5E32" w:rsidRDefault="00D06CB2" w:rsidP="005425DC">
      <w:pPr>
        <w:pStyle w:val="BodyText"/>
        <w:spacing w:before="100" w:after="100"/>
      </w:pPr>
      <w:r w:rsidRPr="005C5E32">
        <w:t>For further information on the recognition and measurement of certain items in these financial statements please refer to the relevant note.</w:t>
      </w:r>
    </w:p>
    <w:p w14:paraId="4425BDCC" w14:textId="77777777" w:rsidR="00D06CB2" w:rsidRPr="005C5E32" w:rsidRDefault="00D06CB2" w:rsidP="005425DC">
      <w:pPr>
        <w:pStyle w:val="Heading4"/>
        <w:spacing w:before="240"/>
      </w:pPr>
      <w:r w:rsidRPr="005C5E32">
        <w:t>Presentation currency and rounding</w:t>
      </w:r>
    </w:p>
    <w:p w14:paraId="76EF1CE3" w14:textId="77777777" w:rsidR="00D06CB2" w:rsidRPr="005C5E32" w:rsidRDefault="00D06CB2" w:rsidP="005425DC">
      <w:pPr>
        <w:pStyle w:val="BodyText"/>
        <w:spacing w:before="100" w:after="100"/>
      </w:pPr>
      <w:r w:rsidRPr="005C5E32">
        <w:t>The financial statements are presented in New Zealand dollars and all values are rounded to the nearest thousand dollars ($000) unless otherwise stated. The functional currency of the Ministry is New Zealand dollars.</w:t>
      </w:r>
    </w:p>
    <w:p w14:paraId="4E34323D" w14:textId="77777777" w:rsidR="00D06CB2" w:rsidRPr="005C5E32" w:rsidRDefault="00D06CB2" w:rsidP="005425DC">
      <w:pPr>
        <w:pStyle w:val="Heading4"/>
        <w:spacing w:before="240"/>
      </w:pPr>
      <w:r w:rsidRPr="005C5E32">
        <w:t xml:space="preserve">Comparatives </w:t>
      </w:r>
    </w:p>
    <w:p w14:paraId="43783F14" w14:textId="77777777" w:rsidR="00D06CB2" w:rsidRPr="005C5E32" w:rsidRDefault="00D06CB2" w:rsidP="005425DC">
      <w:pPr>
        <w:pStyle w:val="BodyText"/>
        <w:spacing w:before="100" w:after="100"/>
      </w:pPr>
      <w:r w:rsidRPr="005C5E32">
        <w:t xml:space="preserve">All comparative amounts are consistent with those included in the previous year’s annual report. There have been some classification amendments to ensure consistency with the current year’s presentation. </w:t>
      </w:r>
    </w:p>
    <w:p w14:paraId="7718B1D6" w14:textId="77777777" w:rsidR="00D06CB2" w:rsidRPr="005C5E32" w:rsidRDefault="00D06CB2" w:rsidP="005425DC">
      <w:pPr>
        <w:pStyle w:val="BodyText"/>
        <w:spacing w:before="240" w:after="0" w:line="360" w:lineRule="atLeast"/>
        <w:rPr>
          <w:rFonts w:ascii="Georgia" w:eastAsiaTheme="majorEastAsia" w:hAnsi="Georgia" w:cstheme="majorBidi"/>
          <w:b/>
          <w:bCs/>
          <w:sz w:val="24"/>
        </w:rPr>
      </w:pPr>
      <w:r w:rsidRPr="005C5E32">
        <w:rPr>
          <w:rFonts w:ascii="Georgia" w:eastAsiaTheme="majorEastAsia" w:hAnsi="Georgia" w:cstheme="majorBidi"/>
          <w:b/>
          <w:bCs/>
          <w:sz w:val="24"/>
        </w:rPr>
        <w:t>New or amended standards adopted</w:t>
      </w:r>
    </w:p>
    <w:p w14:paraId="096B5B34" w14:textId="77777777" w:rsidR="00D06CB2" w:rsidRPr="005C5E32" w:rsidRDefault="00D06CB2" w:rsidP="005425DC">
      <w:pPr>
        <w:pStyle w:val="BodyText"/>
        <w:spacing w:before="100" w:after="100"/>
        <w:rPr>
          <w:rFonts w:asciiTheme="minorHAnsi" w:eastAsiaTheme="majorEastAsia" w:hAnsiTheme="minorHAnsi"/>
        </w:rPr>
      </w:pPr>
      <w:r w:rsidRPr="005C5E32">
        <w:rPr>
          <w:rFonts w:asciiTheme="minorHAnsi" w:eastAsiaTheme="majorEastAsia" w:hAnsiTheme="minorHAnsi"/>
        </w:rPr>
        <w:t xml:space="preserve">No new accounting standards have been adopted in the year that have had a material impact on the preparation of these financial statements </w:t>
      </w:r>
    </w:p>
    <w:p w14:paraId="76968220" w14:textId="77777777" w:rsidR="00D06CB2" w:rsidRPr="005C5E32" w:rsidRDefault="00D06CB2" w:rsidP="005425DC">
      <w:pPr>
        <w:pStyle w:val="BodyText"/>
        <w:spacing w:before="240" w:after="0" w:line="360" w:lineRule="atLeast"/>
        <w:rPr>
          <w:rFonts w:ascii="Georgia" w:eastAsiaTheme="majorEastAsia" w:hAnsi="Georgia" w:cstheme="majorBidi"/>
          <w:b/>
          <w:sz w:val="24"/>
        </w:rPr>
      </w:pPr>
      <w:r w:rsidRPr="005C5E32">
        <w:rPr>
          <w:rFonts w:ascii="Georgia" w:eastAsiaTheme="majorEastAsia" w:hAnsi="Georgia" w:cstheme="majorBidi"/>
          <w:b/>
          <w:sz w:val="24"/>
        </w:rPr>
        <w:t>Other changes in accounting policies</w:t>
      </w:r>
    </w:p>
    <w:p w14:paraId="070AF439" w14:textId="77777777" w:rsidR="00D06CB2" w:rsidRPr="005C5E32" w:rsidRDefault="00D06CB2" w:rsidP="005425DC">
      <w:pPr>
        <w:pStyle w:val="BodyText"/>
        <w:spacing w:before="100" w:after="100"/>
        <w:rPr>
          <w:rFonts w:asciiTheme="minorHAnsi" w:eastAsiaTheme="majorEastAsia" w:hAnsiTheme="minorHAnsi" w:cstheme="minorHAnsi"/>
        </w:rPr>
      </w:pPr>
      <w:r w:rsidRPr="005C5E32">
        <w:rPr>
          <w:rFonts w:asciiTheme="minorHAnsi" w:eastAsiaTheme="majorEastAsia" w:hAnsiTheme="minorHAnsi" w:cstheme="minorHAnsi"/>
        </w:rPr>
        <w:t>There have been no other changes in the Ministry’s accounting policies since the date of the last audited financial statements.</w:t>
      </w:r>
    </w:p>
    <w:p w14:paraId="4A47E614" w14:textId="77777777" w:rsidR="00D06CB2" w:rsidRPr="005C5E32" w:rsidRDefault="00D06CB2" w:rsidP="005425DC">
      <w:pPr>
        <w:pStyle w:val="Heading4"/>
        <w:spacing w:before="240"/>
      </w:pPr>
      <w:r w:rsidRPr="005C5E32">
        <w:lastRenderedPageBreak/>
        <w:t>Standards issued and not yet effective and not early adopted</w:t>
      </w:r>
    </w:p>
    <w:p w14:paraId="43527005" w14:textId="576BF6EA" w:rsidR="00D06CB2" w:rsidRPr="005C5E32" w:rsidRDefault="00D06CB2" w:rsidP="005425DC">
      <w:pPr>
        <w:pStyle w:val="BodyText"/>
        <w:spacing w:before="100" w:after="100"/>
      </w:pPr>
      <w:r w:rsidRPr="005C5E32">
        <w:t>No new accounting standards have been issued but are not yet effective and have not been</w:t>
      </w:r>
      <w:r w:rsidR="005425DC" w:rsidRPr="005C5E32">
        <w:t xml:space="preserve"> </w:t>
      </w:r>
      <w:r w:rsidRPr="005C5E32">
        <w:t xml:space="preserve">early adopted, which are considered likely to have a material impact on these financial statements when adopted in future years. </w:t>
      </w:r>
    </w:p>
    <w:p w14:paraId="4CA05917" w14:textId="77777777" w:rsidR="00D06CB2" w:rsidRPr="005C5E32" w:rsidRDefault="00D06CB2" w:rsidP="005425DC">
      <w:pPr>
        <w:pStyle w:val="Heading4"/>
        <w:spacing w:before="240"/>
      </w:pPr>
      <w:r w:rsidRPr="005C5E32">
        <w:t>Summary of significant accounting policies</w:t>
      </w:r>
    </w:p>
    <w:p w14:paraId="3E86A910" w14:textId="77777777" w:rsidR="00D06CB2" w:rsidRPr="005C5E32" w:rsidRDefault="00D06CB2" w:rsidP="005425DC">
      <w:pPr>
        <w:pStyle w:val="BodyText"/>
        <w:spacing w:before="100" w:after="100"/>
      </w:pPr>
      <w:r w:rsidRPr="005C5E32">
        <w:t>Significant accounting policies are included in the notes to which they relate. Significant accounting policies that do not relate to a specific note are included below.</w:t>
      </w:r>
    </w:p>
    <w:p w14:paraId="4F109F42" w14:textId="1C0A3680" w:rsidR="00D06CB2" w:rsidRPr="005C5E32" w:rsidRDefault="00D06CB2" w:rsidP="00A03341">
      <w:pPr>
        <w:pStyle w:val="Heading5"/>
      </w:pPr>
      <w:r w:rsidRPr="005C5E32">
        <w:t>Budgeting figures</w:t>
      </w:r>
    </w:p>
    <w:p w14:paraId="4BBA75A7" w14:textId="2D0E527C" w:rsidR="00D06CB2" w:rsidRPr="005C5E32" w:rsidRDefault="00D06CB2" w:rsidP="005425DC">
      <w:pPr>
        <w:pStyle w:val="BodyText"/>
        <w:spacing w:before="100" w:after="100"/>
      </w:pPr>
      <w:r w:rsidRPr="005C5E32">
        <w:t>The budget figures are those included in the Budget Economic and Fiscal Update (BEFU 2025) outyear 1 figures for the year ending 30 June 2026 that were published in the 2024/25 annual</w:t>
      </w:r>
      <w:r w:rsidR="007308A7" w:rsidRPr="005C5E32">
        <w:t xml:space="preserve"> </w:t>
      </w:r>
      <w:r w:rsidRPr="005C5E32">
        <w:t>report for forecast figures.</w:t>
      </w:r>
    </w:p>
    <w:p w14:paraId="4B4056DE" w14:textId="77777777" w:rsidR="00D06CB2" w:rsidRPr="005C5E32" w:rsidRDefault="00D06CB2" w:rsidP="005425DC">
      <w:pPr>
        <w:pStyle w:val="BodyText"/>
        <w:spacing w:before="100" w:after="100"/>
      </w:pPr>
      <w:r w:rsidRPr="005C5E32">
        <w:t>The budget figures have been prepared in accordance with NZ GAAP, using accounting policies that are consistent with those adopted in preparing these financial statements and are based on PBE Accounting Standards.</w:t>
      </w:r>
    </w:p>
    <w:p w14:paraId="124D5979" w14:textId="1E1635A3" w:rsidR="00D06CB2" w:rsidRPr="005C5E32" w:rsidRDefault="00F73D66" w:rsidP="005425DC">
      <w:pPr>
        <w:pStyle w:val="BodyText"/>
        <w:spacing w:before="100" w:after="100"/>
      </w:pPr>
      <w:r w:rsidRPr="005C5E32">
        <w:rPr>
          <w:spacing w:val="-2"/>
        </w:rPr>
        <w:t>T</w:t>
      </w:r>
      <w:r w:rsidR="00D06CB2" w:rsidRPr="005C5E32">
        <w:rPr>
          <w:spacing w:val="-2"/>
        </w:rPr>
        <w:t>he budget figures are unaudited and have been prepared in accordance with the requirements</w:t>
      </w:r>
      <w:r w:rsidR="00D06CB2" w:rsidRPr="005C5E32">
        <w:t xml:space="preserve"> of the Public Finance Act 1989</w:t>
      </w:r>
      <w:r w:rsidR="00D06CB2" w:rsidRPr="005C5E32" w:rsidDel="00010619">
        <w:t xml:space="preserve"> and</w:t>
      </w:r>
      <w:r w:rsidR="00D06CB2" w:rsidRPr="005C5E32">
        <w:t xml:space="preserve"> comply with Tier 1 PBE Accounting Standards and other applicable financial reporting standards, as appropriate for public benefit entities. </w:t>
      </w:r>
    </w:p>
    <w:p w14:paraId="15CF8479" w14:textId="28D6769F" w:rsidR="0087582F" w:rsidRPr="005C5E32" w:rsidRDefault="007C6683" w:rsidP="00A03341">
      <w:pPr>
        <w:pStyle w:val="Heading5"/>
      </w:pPr>
      <w:r w:rsidRPr="005C5E32">
        <w:t>Forecast financial statements</w:t>
      </w:r>
    </w:p>
    <w:p w14:paraId="4F356C1D" w14:textId="4FBEBD6F" w:rsidR="00E82D8A" w:rsidRPr="005C5E32" w:rsidRDefault="00E82D8A" w:rsidP="005425DC">
      <w:pPr>
        <w:pStyle w:val="BodyText"/>
        <w:spacing w:before="100" w:after="100"/>
      </w:pPr>
      <w:r w:rsidRPr="005C5E32">
        <w:t>Pursuant to section 45BA of the Public Finance Act, forecast financial statements would normally be required to be disclosed. However</w:t>
      </w:r>
      <w:r w:rsidR="00E92DBD" w:rsidRPr="005C5E32">
        <w:t>,</w:t>
      </w:r>
      <w:r w:rsidRPr="005C5E32">
        <w:t xml:space="preserve"> due to the disestablishment of the Ministry for</w:t>
      </w:r>
      <w:r w:rsidR="005425DC" w:rsidRPr="005C5E32">
        <w:t> </w:t>
      </w:r>
      <w:r w:rsidRPr="005C5E32">
        <w:t>the Environment no forecast financial statements are presented. Future activities and associated financial information of the new departmental agency will be incorporated in the reporting for the Ministry for Cities, Environment, Regions and Transport.</w:t>
      </w:r>
    </w:p>
    <w:p w14:paraId="7BB756F4" w14:textId="77777777" w:rsidR="00D06CB2" w:rsidRPr="005C5E32" w:rsidRDefault="00D06CB2" w:rsidP="00A03341">
      <w:pPr>
        <w:pStyle w:val="Heading5"/>
      </w:pPr>
      <w:r w:rsidRPr="005C5E32">
        <w:t>Expenses</w:t>
      </w:r>
    </w:p>
    <w:p w14:paraId="438FD9A2" w14:textId="77777777" w:rsidR="00D06CB2" w:rsidRPr="005C5E32" w:rsidRDefault="00D06CB2" w:rsidP="005425DC">
      <w:pPr>
        <w:pStyle w:val="Heading6"/>
        <w:spacing w:before="120"/>
        <w:rPr>
          <w:lang w:val="en-NZ"/>
        </w:rPr>
      </w:pPr>
      <w:r w:rsidRPr="005C5E32">
        <w:rPr>
          <w:lang w:val="en-NZ"/>
        </w:rPr>
        <w:t>Cost allocation</w:t>
      </w:r>
    </w:p>
    <w:p w14:paraId="009CF399" w14:textId="4A1D0428" w:rsidR="00D06CB2" w:rsidRPr="005C5E32" w:rsidRDefault="00D06CB2" w:rsidP="005425DC">
      <w:pPr>
        <w:pStyle w:val="BodyText"/>
        <w:spacing w:before="80" w:after="100"/>
      </w:pPr>
      <w:r w:rsidRPr="005C5E32">
        <w:t>The Ministry derives the cost of outputs using a cost allocation system. Direct costs are charged directly to the Ministry’s outputs. Indirect costs are charged to outputs based on a</w:t>
      </w:r>
      <w:r w:rsidR="005425DC" w:rsidRPr="005C5E32">
        <w:t> </w:t>
      </w:r>
      <w:r w:rsidRPr="005C5E32">
        <w:t>primary budgeted cost driver of salaried full-time equivalents.</w:t>
      </w:r>
    </w:p>
    <w:p w14:paraId="2039DC99" w14:textId="77777777" w:rsidR="00D06CB2" w:rsidRPr="005C5E32" w:rsidRDefault="00D06CB2" w:rsidP="005425DC">
      <w:pPr>
        <w:pStyle w:val="BodyText"/>
        <w:spacing w:before="100" w:after="100"/>
      </w:pPr>
      <w:r w:rsidRPr="005C5E32">
        <w:t xml:space="preserve">Direct costs are those costs directly attributed to an output. Indirect costs are those costs that cannot be directly associated with a specific output. </w:t>
      </w:r>
    </w:p>
    <w:p w14:paraId="66D08CE8" w14:textId="77777777" w:rsidR="00D06CB2" w:rsidRPr="005C5E32" w:rsidRDefault="00D06CB2" w:rsidP="005425DC">
      <w:pPr>
        <w:pStyle w:val="BodyText"/>
        <w:spacing w:before="100" w:after="100"/>
      </w:pPr>
      <w:r w:rsidRPr="005C5E32">
        <w:t>There were no material changes to the cost allocation model since the date of the last audited financial statements.</w:t>
      </w:r>
    </w:p>
    <w:p w14:paraId="69BA95E1" w14:textId="77777777" w:rsidR="00D06CB2" w:rsidRPr="005C5E32" w:rsidRDefault="00D06CB2" w:rsidP="00A03341">
      <w:pPr>
        <w:pStyle w:val="Heading6"/>
        <w:rPr>
          <w:lang w:val="en-NZ"/>
        </w:rPr>
      </w:pPr>
      <w:r w:rsidRPr="005C5E32">
        <w:rPr>
          <w:lang w:val="en-NZ"/>
        </w:rPr>
        <w:t>Foreign currency</w:t>
      </w:r>
    </w:p>
    <w:p w14:paraId="3614C8FB" w14:textId="77777777" w:rsidR="00D06CB2" w:rsidRPr="005C5E32" w:rsidRDefault="00D06CB2" w:rsidP="005425DC">
      <w:pPr>
        <w:pStyle w:val="BodyText"/>
        <w:spacing w:before="80" w:after="100"/>
      </w:pPr>
      <w:r w:rsidRPr="005C5E32">
        <w:t>Transactions in foreign currencies are initially translated at the foreign exchange rate at the date of the transaction.</w:t>
      </w:r>
    </w:p>
    <w:p w14:paraId="566F22C5" w14:textId="77777777" w:rsidR="00D06CB2" w:rsidRPr="005C5E32" w:rsidRDefault="00D06CB2" w:rsidP="005425DC">
      <w:pPr>
        <w:pStyle w:val="BodyText"/>
        <w:spacing w:before="80" w:after="100"/>
      </w:pPr>
      <w:r w:rsidRPr="005C5E32">
        <w:rPr>
          <w:spacing w:val="-2"/>
        </w:rPr>
        <w:t>Monetary assets and liabilities denominated in foreign currencies at balance date are translated</w:t>
      </w:r>
      <w:r w:rsidRPr="005C5E32">
        <w:t xml:space="preserve"> to New Zealand dollars at the foreign exchange rate at balance date. Foreign exchange gains or losses arising from translation of monetary assets and liabilities are recognised in the surplus or deficit for the year as reported in the statement of comprehensive revenue and expense.</w:t>
      </w:r>
    </w:p>
    <w:p w14:paraId="0095B464" w14:textId="77777777" w:rsidR="00D06CB2" w:rsidRPr="005C5E32" w:rsidRDefault="00D06CB2" w:rsidP="00A03341">
      <w:pPr>
        <w:pStyle w:val="Heading5"/>
        <w:rPr>
          <w:strike/>
        </w:rPr>
      </w:pPr>
      <w:r w:rsidRPr="005C5E32">
        <w:lastRenderedPageBreak/>
        <w:t>Statement of cash flows</w:t>
      </w:r>
    </w:p>
    <w:p w14:paraId="0A36051F" w14:textId="77777777" w:rsidR="00D06CB2" w:rsidRPr="005C5E32" w:rsidRDefault="00D06CB2" w:rsidP="00FA18CF">
      <w:pPr>
        <w:pStyle w:val="BodyText"/>
        <w:spacing w:before="80" w:after="100"/>
      </w:pPr>
      <w:r w:rsidRPr="005C5E32">
        <w:t xml:space="preserve">Cash and cash equivalents include cash on hand, deposits held at call with banks, and other short-term highly liquid investments with original maturities of three months or less. </w:t>
      </w:r>
    </w:p>
    <w:p w14:paraId="556F30DB" w14:textId="77777777" w:rsidR="00D06CB2" w:rsidRPr="005C5E32" w:rsidRDefault="00D06CB2" w:rsidP="00FA18CF">
      <w:pPr>
        <w:pStyle w:val="BodyText"/>
        <w:spacing w:before="100" w:after="100"/>
      </w:pPr>
      <w:r w:rsidRPr="005C5E32">
        <w:t>Operating activities include cash received from all income sources of the Ministry and the cash payments made for the supply of goods and services.</w:t>
      </w:r>
    </w:p>
    <w:p w14:paraId="25B2288D" w14:textId="77777777" w:rsidR="00D06CB2" w:rsidRPr="005C5E32" w:rsidRDefault="00D06CB2" w:rsidP="00FA18CF">
      <w:pPr>
        <w:pStyle w:val="BodyText"/>
        <w:spacing w:before="100" w:after="100"/>
        <w:rPr>
          <w:spacing w:val="-2"/>
        </w:rPr>
      </w:pPr>
      <w:r w:rsidRPr="005C5E32">
        <w:t xml:space="preserve">Investing activities are those activities relating to the acquisition and disposal of non-current </w:t>
      </w:r>
      <w:r w:rsidRPr="005C5E32">
        <w:rPr>
          <w:spacing w:val="-2"/>
        </w:rPr>
        <w:t xml:space="preserve">assets. </w:t>
      </w:r>
    </w:p>
    <w:p w14:paraId="3ECA6311" w14:textId="77777777" w:rsidR="00D06CB2" w:rsidRPr="005C5E32" w:rsidRDefault="00D06CB2" w:rsidP="00FA18CF">
      <w:pPr>
        <w:pStyle w:val="BodyText"/>
        <w:spacing w:before="100" w:after="100"/>
      </w:pPr>
      <w:r w:rsidRPr="005C5E32">
        <w:rPr>
          <w:spacing w:val="-2"/>
        </w:rPr>
        <w:t>Financing activities comprise capital injections by, or repayment of capital to, the Crown</w:t>
      </w:r>
      <w:r w:rsidRPr="005C5E32">
        <w:t>.</w:t>
      </w:r>
    </w:p>
    <w:p w14:paraId="754765B4" w14:textId="77777777" w:rsidR="00D06CB2" w:rsidRPr="005C5E32" w:rsidRDefault="00D06CB2" w:rsidP="00A03341">
      <w:pPr>
        <w:pStyle w:val="Heading5"/>
      </w:pPr>
      <w:r w:rsidRPr="005C5E32">
        <w:t>Goods and services tax (GST)</w:t>
      </w:r>
    </w:p>
    <w:p w14:paraId="4F15A51F" w14:textId="1D6896CE" w:rsidR="00D06CB2" w:rsidRPr="005C5E32" w:rsidRDefault="00D06CB2" w:rsidP="00FA18CF">
      <w:pPr>
        <w:pStyle w:val="BodyText"/>
        <w:spacing w:before="80" w:after="100"/>
      </w:pPr>
      <w:r w:rsidRPr="005C5E32">
        <w:t xml:space="preserve">All items in the financial statements and the appropriation statements (on pages </w:t>
      </w:r>
      <w:r w:rsidR="00EC5872" w:rsidRPr="00A969D5">
        <w:t>7</w:t>
      </w:r>
      <w:r w:rsidRPr="00A969D5">
        <w:t xml:space="preserve">0 to </w:t>
      </w:r>
      <w:r w:rsidR="00F00D72" w:rsidRPr="00A969D5">
        <w:t>78</w:t>
      </w:r>
      <w:r w:rsidRPr="005C5E32">
        <w:t xml:space="preserve"> and </w:t>
      </w:r>
      <w:r w:rsidR="00F00D72" w:rsidRPr="00A969D5">
        <w:t>127</w:t>
      </w:r>
      <w:r w:rsidRPr="00A969D5">
        <w:t xml:space="preserve"> to </w:t>
      </w:r>
      <w:r w:rsidR="00F00D72" w:rsidRPr="00A969D5">
        <w:t>134</w:t>
      </w:r>
      <w:r w:rsidRPr="005C5E32">
        <w:t>) are stated exclusive of GST, except where otherwise stated. Receivables and payables in the statement of financial position are stated inclusive of GST. Where GST is not recoverable as an input tax, then it is recognised as part of the related asset or expense. The</w:t>
      </w:r>
      <w:r w:rsidR="005A5A85">
        <w:t> </w:t>
      </w:r>
      <w:r w:rsidRPr="005C5E32">
        <w:t>GST payable or receivable at balance date is included in payables or receivables in the statement of financial position.</w:t>
      </w:r>
    </w:p>
    <w:p w14:paraId="0C6C847C" w14:textId="77777777" w:rsidR="00D06CB2" w:rsidRPr="005C5E32" w:rsidRDefault="00D06CB2" w:rsidP="00FA18CF">
      <w:pPr>
        <w:pStyle w:val="BodyText"/>
        <w:spacing w:before="100" w:after="100"/>
      </w:pPr>
      <w:r w:rsidRPr="005C5E32">
        <w:t>The net GST paid to or received from Inland Revenue, including the GST relating to investing and financing activities, is classified as an operating cash flow in the statement of cash flows.</w:t>
      </w:r>
    </w:p>
    <w:p w14:paraId="3A2343F1" w14:textId="741E9511" w:rsidR="00D06CB2" w:rsidRPr="005C5E32" w:rsidRDefault="00D06CB2" w:rsidP="00FA18CF">
      <w:pPr>
        <w:pStyle w:val="BodyText"/>
        <w:spacing w:before="100" w:after="100"/>
      </w:pPr>
      <w:r w:rsidRPr="005C5E32">
        <w:t xml:space="preserve">Commitments and contingencies on pages </w:t>
      </w:r>
      <w:r w:rsidR="00DE1D69" w:rsidRPr="005C5E32">
        <w:t>7</w:t>
      </w:r>
      <w:r w:rsidR="00EC5872">
        <w:t>7</w:t>
      </w:r>
      <w:r w:rsidRPr="005C5E32">
        <w:t xml:space="preserve"> and </w:t>
      </w:r>
      <w:r w:rsidR="00DE1D69" w:rsidRPr="005C5E32">
        <w:t>7</w:t>
      </w:r>
      <w:r w:rsidR="00EC5872">
        <w:t>8</w:t>
      </w:r>
      <w:r w:rsidRPr="005C5E32">
        <w:t xml:space="preserve"> are disclosed exclusive of GST.</w:t>
      </w:r>
    </w:p>
    <w:p w14:paraId="75F2458C" w14:textId="77777777" w:rsidR="00D06CB2" w:rsidRPr="005C5E32" w:rsidRDefault="00D06CB2" w:rsidP="00A03341">
      <w:pPr>
        <w:pStyle w:val="Heading5"/>
      </w:pPr>
      <w:r w:rsidRPr="005C5E32">
        <w:t>Income tax</w:t>
      </w:r>
    </w:p>
    <w:p w14:paraId="6A62F342" w14:textId="77777777" w:rsidR="00D06CB2" w:rsidRPr="005C5E32" w:rsidRDefault="00D06CB2" w:rsidP="00FA18CF">
      <w:pPr>
        <w:pStyle w:val="BodyText"/>
        <w:spacing w:before="80"/>
      </w:pPr>
      <w:r w:rsidRPr="005C5E32">
        <w:t>The Ministry is a public authority and consequently is exempt from the payment of income tax. Accordingly, no provision has been made for income tax.</w:t>
      </w:r>
    </w:p>
    <w:p w14:paraId="711B1E4A" w14:textId="77777777" w:rsidR="00D06CB2" w:rsidRPr="005C5E32" w:rsidRDefault="00D06CB2" w:rsidP="00A03341">
      <w:pPr>
        <w:pStyle w:val="Heading5"/>
      </w:pPr>
      <w:r w:rsidRPr="005C5E32">
        <w:t>Critical accounting estimates and assumptions</w:t>
      </w:r>
    </w:p>
    <w:p w14:paraId="3865EBA1" w14:textId="77777777" w:rsidR="00D06CB2" w:rsidRPr="005C5E32" w:rsidRDefault="00D06CB2" w:rsidP="00FA18CF">
      <w:pPr>
        <w:pStyle w:val="BodyText"/>
        <w:spacing w:before="80" w:after="100"/>
      </w:pPr>
      <w:r w:rsidRPr="005C5E32">
        <w:t>The preparation of financial statements in conformity with PBE Accounting Standards requires judgements, estimates and assumptions that affect the application of policies and reported amounts of assets, liabilities, revenue and expenses.</w:t>
      </w:r>
    </w:p>
    <w:p w14:paraId="390D44F3" w14:textId="77777777" w:rsidR="00D06CB2" w:rsidRPr="005C5E32" w:rsidRDefault="00D06CB2" w:rsidP="00FA18CF">
      <w:pPr>
        <w:pStyle w:val="BodyText"/>
        <w:spacing w:before="100" w:after="100"/>
      </w:pPr>
      <w:r w:rsidRPr="005C5E32">
        <w:t>The estimates and associated assumptions are based on historical experience and other factors that are considered reasonable under the circumstances. Actual results may differ from these estimates.</w:t>
      </w:r>
    </w:p>
    <w:p w14:paraId="4D1AE05D" w14:textId="77777777" w:rsidR="00D06CB2" w:rsidRPr="005C5E32" w:rsidRDefault="00D06CB2" w:rsidP="00FA18CF">
      <w:pPr>
        <w:pStyle w:val="BodyText"/>
        <w:spacing w:before="100" w:after="100"/>
      </w:pPr>
      <w:r w:rsidRPr="005C5E32">
        <w:t>The estimates and underlying assumptions are reviewed on an ongoing basis. Revisions to accounting estimates are recognised in the period in which the estimates are revised, if the revisions affect only that period, or in the period of the revisions and future periods if the revisions affect both current and future periods.</w:t>
      </w:r>
    </w:p>
    <w:p w14:paraId="1B1E3192" w14:textId="77777777" w:rsidR="00D06CB2" w:rsidRPr="005C5E32" w:rsidRDefault="00D06CB2" w:rsidP="00FA18CF">
      <w:pPr>
        <w:pStyle w:val="BodyText"/>
        <w:spacing w:after="100"/>
      </w:pPr>
      <w:r w:rsidRPr="005C5E32">
        <w:t>Judgements that have a significant effect on the financial statements and estimates with a significant risk of material adjustments to the carrying amounts of assets and liabilities within the next financial year are in respect of:</w:t>
      </w:r>
    </w:p>
    <w:p w14:paraId="70606316" w14:textId="7A390B3E" w:rsidR="00D06CB2" w:rsidRPr="005C5E32" w:rsidRDefault="00D06CB2" w:rsidP="00FA18CF">
      <w:pPr>
        <w:pStyle w:val="Bullet"/>
        <w:spacing w:after="100"/>
      </w:pPr>
      <w:r w:rsidRPr="005C5E32">
        <w:t>estimating the useful lives of property, plant and equipment and of intangible assets –</w:t>
      </w:r>
      <w:r w:rsidR="00147978" w:rsidRPr="005C5E32">
        <w:t> </w:t>
      </w:r>
      <w:r w:rsidRPr="005C5E32">
        <w:t>refer to Notes 8 and 9</w:t>
      </w:r>
    </w:p>
    <w:p w14:paraId="3CC633E9" w14:textId="77777777" w:rsidR="00D06CB2" w:rsidRPr="005C5E32" w:rsidRDefault="00D06CB2" w:rsidP="00FA18CF">
      <w:pPr>
        <w:pStyle w:val="Bullet"/>
        <w:spacing w:after="100"/>
      </w:pPr>
      <w:r w:rsidRPr="005C5E32">
        <w:t>key assumptions used in measuring provisions – refer to Note 12</w:t>
      </w:r>
    </w:p>
    <w:p w14:paraId="1AC2414C" w14:textId="77777777" w:rsidR="00D06CB2" w:rsidRPr="005C5E32" w:rsidRDefault="00D06CB2" w:rsidP="00FA18CF">
      <w:pPr>
        <w:pStyle w:val="Bullet"/>
        <w:spacing w:after="100"/>
      </w:pPr>
      <w:r w:rsidRPr="005C5E32">
        <w:t xml:space="preserve">key assumptions used in determining the estimates for long-service leave and retirement gratuities – refer to Note 13. </w:t>
      </w:r>
    </w:p>
    <w:p w14:paraId="294FB74F" w14:textId="77777777" w:rsidR="00D06CB2" w:rsidRPr="005C5E32" w:rsidRDefault="00D06CB2" w:rsidP="00A03341">
      <w:pPr>
        <w:pStyle w:val="Heading5"/>
      </w:pPr>
      <w:r w:rsidRPr="005C5E32">
        <w:lastRenderedPageBreak/>
        <w:t>Commitments</w:t>
      </w:r>
    </w:p>
    <w:p w14:paraId="72381C1A" w14:textId="59A2AFF1" w:rsidR="00D06CB2" w:rsidRPr="005C5E32" w:rsidRDefault="00D06CB2" w:rsidP="00A03341">
      <w:pPr>
        <w:pStyle w:val="BodyText"/>
      </w:pPr>
      <w:r w:rsidRPr="005C5E32">
        <w:t xml:space="preserve">Commitments are future expenses and liabilities to be incurred on contracts that have been </w:t>
      </w:r>
      <w:r w:rsidRPr="005C5E32">
        <w:rPr>
          <w:spacing w:val="-2"/>
        </w:rPr>
        <w:t>entered into as at balance date. Information on non-cancellable capital and lease commitments</w:t>
      </w:r>
      <w:r w:rsidRPr="005C5E32">
        <w:t xml:space="preserve"> is reported in the statement of commitments on page </w:t>
      </w:r>
      <w:r w:rsidR="006E7A8A" w:rsidRPr="00497775">
        <w:t>7</w:t>
      </w:r>
      <w:r w:rsidR="00EC5872">
        <w:t>7</w:t>
      </w:r>
      <w:r w:rsidRPr="005C5E32">
        <w:t>.</w:t>
      </w:r>
    </w:p>
    <w:p w14:paraId="6D9AF971" w14:textId="77777777" w:rsidR="00D06CB2" w:rsidRPr="005C5E32" w:rsidRDefault="00D06CB2" w:rsidP="00A03341">
      <w:pPr>
        <w:pStyle w:val="Heading5"/>
      </w:pPr>
      <w:r w:rsidRPr="005C5E32">
        <w:t>Contingencies</w:t>
      </w:r>
    </w:p>
    <w:p w14:paraId="6D6068BF" w14:textId="77777777" w:rsidR="00D06CB2" w:rsidRPr="005C5E32" w:rsidRDefault="00D06CB2" w:rsidP="00A03341">
      <w:pPr>
        <w:pStyle w:val="BodyText"/>
      </w:pPr>
      <w:r w:rsidRPr="005C5E32">
        <w:t>Contingent liabilities and contingent assets are reported at the point at which the contingency is evident or when a present liability is unable to be measured with sufficient reliability to be recorded in the financial statements (unquantifiable liability). Contingent liabilities, including unquantifiable liabilities, are disclosed if the possibility that they will crystallise is not remote. Contingent assets are disclosed if it is probable that the benefits will be realised.</w:t>
      </w:r>
    </w:p>
    <w:p w14:paraId="269F5B9A" w14:textId="77777777" w:rsidR="00D06CB2" w:rsidRPr="005C5E32" w:rsidRDefault="00D06CB2" w:rsidP="00A03341">
      <w:pPr>
        <w:pStyle w:val="Heading3"/>
        <w:tabs>
          <w:tab w:val="clear" w:pos="851"/>
          <w:tab w:val="left" w:pos="567"/>
        </w:tabs>
      </w:pPr>
      <w:bookmarkStart w:id="333" w:name="_Toc112144624"/>
      <w:r w:rsidRPr="005C5E32">
        <w:t>2.</w:t>
      </w:r>
      <w:r w:rsidRPr="005C5E32">
        <w:tab/>
        <w:t>Revenue</w:t>
      </w:r>
      <w:bookmarkEnd w:id="333"/>
    </w:p>
    <w:p w14:paraId="4A89F24B" w14:textId="77777777" w:rsidR="00D06CB2" w:rsidRPr="005C5E32" w:rsidRDefault="00D06CB2" w:rsidP="00A03341">
      <w:pPr>
        <w:pStyle w:val="Heading4"/>
        <w:spacing w:before="240"/>
      </w:pPr>
      <w:r w:rsidRPr="005C5E32">
        <w:t>Accounting policy</w:t>
      </w:r>
    </w:p>
    <w:p w14:paraId="29210ECC" w14:textId="77777777" w:rsidR="00D06CB2" w:rsidRPr="005C5E32" w:rsidRDefault="00D06CB2" w:rsidP="00A03341">
      <w:pPr>
        <w:pStyle w:val="Heading5"/>
      </w:pPr>
      <w:r w:rsidRPr="005C5E32">
        <w:t>Revenue Crown</w:t>
      </w:r>
    </w:p>
    <w:p w14:paraId="744182FF" w14:textId="77777777" w:rsidR="00D06CB2" w:rsidRPr="005C5E32" w:rsidRDefault="00D06CB2" w:rsidP="00A03341">
      <w:pPr>
        <w:pStyle w:val="BodyText"/>
        <w:keepNext/>
        <w:keepLines/>
        <w:spacing w:before="100" w:after="100"/>
      </w:pPr>
      <w:r w:rsidRPr="005C5E32">
        <w:t>Revenue from the Crown is measured based on the Ministry’s funding entitlement for the reporting period. The funding entitlement is established by Parliament when it passes the Appropriation Acts for the financial year. The amount of revenue recognised takes into account any amendments to appropriations approved in the Appropriation (Supplementary Estimates) Act for the year and certain other unconditional funding adjustments formally approved before balance date.</w:t>
      </w:r>
    </w:p>
    <w:p w14:paraId="104B5724" w14:textId="77777777" w:rsidR="00D06CB2" w:rsidRPr="005C5E32" w:rsidRDefault="00D06CB2" w:rsidP="00A03341">
      <w:pPr>
        <w:pStyle w:val="BodyText"/>
      </w:pPr>
      <w:r w:rsidRPr="005C5E32">
        <w:t>There are no conditions attached to the funding from the Crown. However, the Ministry can incur expenses only within the scope and limits of its appropriations.</w:t>
      </w:r>
    </w:p>
    <w:p w14:paraId="355AC623" w14:textId="77777777" w:rsidR="00D06CB2" w:rsidRPr="005C5E32" w:rsidRDefault="00D06CB2" w:rsidP="00A03341">
      <w:pPr>
        <w:pStyle w:val="BodyText"/>
      </w:pPr>
      <w:r w:rsidRPr="005C5E32">
        <w:t>The fair value of Revenue Crown has been determined to be equivalent to the funding entitlement.</w:t>
      </w:r>
    </w:p>
    <w:p w14:paraId="7670002F" w14:textId="77777777" w:rsidR="00D06CB2" w:rsidRPr="005C5E32" w:rsidRDefault="00D06CB2" w:rsidP="00A03341">
      <w:pPr>
        <w:pStyle w:val="Heading5"/>
      </w:pPr>
      <w:r w:rsidRPr="005C5E32">
        <w:t>Revenue other</w:t>
      </w:r>
    </w:p>
    <w:p w14:paraId="41C3F240" w14:textId="77777777" w:rsidR="00D06CB2" w:rsidRPr="00301CBE" w:rsidRDefault="00D06CB2" w:rsidP="00A03341">
      <w:pPr>
        <w:pStyle w:val="BodyText"/>
      </w:pPr>
      <w:r w:rsidRPr="005C5E32">
        <w:t>The Ministry derived revenue from the reimbursement of fast-track process costs, requiring authority fees and rental income. Such revenue is recognised when earned and is reported in the financial period to which it relates.</w:t>
      </w:r>
    </w:p>
    <w:p w14:paraId="15315FBD" w14:textId="77777777" w:rsidR="00D06CB2" w:rsidRPr="005C5E32" w:rsidRDefault="00D06CB2" w:rsidP="00A03341">
      <w:pPr>
        <w:pStyle w:val="Heading5"/>
        <w:spacing w:after="240"/>
      </w:pPr>
      <w:r w:rsidRPr="005C5E32">
        <w:t>Breakdown of other revenue</w:t>
      </w:r>
    </w:p>
    <w:tbl>
      <w:tblPr>
        <w:tblStyle w:val="TableGrid"/>
        <w:tblW w:w="8505" w:type="dxa"/>
        <w:tblBorders>
          <w:top w:val="single" w:sz="4" w:space="0" w:color="0E7B7E"/>
          <w:left w:val="none" w:sz="0" w:space="0" w:color="auto"/>
          <w:right w:val="none" w:sz="0" w:space="0" w:color="auto"/>
          <w:insideV w:val="none" w:sz="0" w:space="0" w:color="auto"/>
        </w:tblBorders>
        <w:tblLook w:val="04A0" w:firstRow="1" w:lastRow="0" w:firstColumn="1" w:lastColumn="0" w:noHBand="0" w:noVBand="1"/>
      </w:tblPr>
      <w:tblGrid>
        <w:gridCol w:w="4695"/>
        <w:gridCol w:w="2274"/>
        <w:gridCol w:w="1536"/>
      </w:tblGrid>
      <w:tr w:rsidR="00D06CB2" w:rsidRPr="005C5E32" w14:paraId="7A9A165A" w14:textId="77777777" w:rsidTr="002B7200">
        <w:tc>
          <w:tcPr>
            <w:tcW w:w="4679" w:type="dxa"/>
            <w:tcBorders>
              <w:top w:val="single" w:sz="4" w:space="0" w:color="0E7B7E"/>
              <w:bottom w:val="single" w:sz="4" w:space="0" w:color="58595B"/>
            </w:tcBorders>
          </w:tcPr>
          <w:p w14:paraId="22328B03" w14:textId="77777777" w:rsidR="00D06CB2" w:rsidRPr="005C5E32" w:rsidRDefault="00D06CB2">
            <w:pPr>
              <w:pStyle w:val="TableTextbold"/>
              <w:spacing w:before="40" w:after="40"/>
            </w:pPr>
          </w:p>
        </w:tc>
        <w:tc>
          <w:tcPr>
            <w:tcW w:w="2267" w:type="dxa"/>
            <w:tcBorders>
              <w:top w:val="single" w:sz="4" w:space="0" w:color="0E7B7E"/>
              <w:bottom w:val="single" w:sz="4" w:space="0" w:color="58595B"/>
            </w:tcBorders>
            <w:vAlign w:val="bottom"/>
          </w:tcPr>
          <w:p w14:paraId="080BB228" w14:textId="77777777" w:rsidR="00D06CB2" w:rsidRPr="005C5E32" w:rsidRDefault="00D06CB2">
            <w:pPr>
              <w:pStyle w:val="TableTextbold"/>
              <w:spacing w:before="40" w:after="40"/>
              <w:jc w:val="right"/>
              <w:rPr>
                <w:color w:val="0E7B7E"/>
              </w:rPr>
            </w:pPr>
            <w:r w:rsidRPr="005C5E32">
              <w:rPr>
                <w:color w:val="0E7B7E"/>
              </w:rPr>
              <w:t xml:space="preserve">2024/25 </w:t>
            </w:r>
            <w:r w:rsidRPr="005C5E32">
              <w:rPr>
                <w:color w:val="0E7B7E"/>
              </w:rPr>
              <w:br/>
              <w:t xml:space="preserve">Actual </w:t>
            </w:r>
            <w:r w:rsidRPr="005C5E32">
              <w:rPr>
                <w:color w:val="0E7B7E"/>
              </w:rPr>
              <w:br/>
              <w:t>$000</w:t>
            </w:r>
          </w:p>
        </w:tc>
        <w:tc>
          <w:tcPr>
            <w:tcW w:w="1531" w:type="dxa"/>
            <w:tcBorders>
              <w:top w:val="single" w:sz="4" w:space="0" w:color="0E7B7E"/>
              <w:bottom w:val="single" w:sz="4" w:space="0" w:color="58595B"/>
            </w:tcBorders>
            <w:shd w:val="clear" w:color="auto" w:fill="E7F2F2"/>
            <w:vAlign w:val="bottom"/>
          </w:tcPr>
          <w:p w14:paraId="43BE679F" w14:textId="77777777" w:rsidR="00D06CB2" w:rsidRPr="005C5E32" w:rsidRDefault="00D06CB2">
            <w:pPr>
              <w:pStyle w:val="TableTextbold"/>
              <w:spacing w:before="40" w:after="40"/>
              <w:jc w:val="right"/>
              <w:rPr>
                <w:color w:val="0E7B7E"/>
              </w:rPr>
            </w:pPr>
            <w:r w:rsidRPr="005C5E32">
              <w:rPr>
                <w:color w:val="0E7B7E"/>
              </w:rPr>
              <w:t xml:space="preserve">2025/26 </w:t>
            </w:r>
            <w:r w:rsidRPr="005C5E32">
              <w:rPr>
                <w:color w:val="0E7B7E"/>
              </w:rPr>
              <w:br/>
              <w:t xml:space="preserve">Actual </w:t>
            </w:r>
            <w:r w:rsidRPr="005C5E32">
              <w:rPr>
                <w:color w:val="0E7B7E"/>
              </w:rPr>
              <w:br/>
              <w:t>$000</w:t>
            </w:r>
          </w:p>
        </w:tc>
      </w:tr>
      <w:tr w:rsidR="00D06CB2" w:rsidRPr="005C5E32" w14:paraId="416F1D5B" w14:textId="77777777" w:rsidTr="002B7200">
        <w:tc>
          <w:tcPr>
            <w:tcW w:w="4679" w:type="dxa"/>
            <w:tcBorders>
              <w:top w:val="single" w:sz="4" w:space="0" w:color="58595B"/>
              <w:bottom w:val="single" w:sz="4" w:space="0" w:color="58595B"/>
            </w:tcBorders>
          </w:tcPr>
          <w:p w14:paraId="04586180" w14:textId="77777777" w:rsidR="00D06CB2" w:rsidRPr="005C5E32" w:rsidRDefault="00D06CB2">
            <w:pPr>
              <w:pStyle w:val="TableText"/>
              <w:spacing w:before="40" w:after="40"/>
            </w:pPr>
            <w:r w:rsidRPr="005C5E32">
              <w:t>Fast-track and requiring authority</w:t>
            </w:r>
          </w:p>
        </w:tc>
        <w:tc>
          <w:tcPr>
            <w:tcW w:w="2267" w:type="dxa"/>
            <w:tcBorders>
              <w:top w:val="single" w:sz="4" w:space="0" w:color="58595B"/>
              <w:bottom w:val="single" w:sz="4" w:space="0" w:color="58595B"/>
            </w:tcBorders>
            <w:vAlign w:val="bottom"/>
          </w:tcPr>
          <w:p w14:paraId="4DA12711" w14:textId="77777777" w:rsidR="00D06CB2" w:rsidRPr="005C5E32" w:rsidRDefault="00D06CB2">
            <w:pPr>
              <w:pStyle w:val="TableText"/>
              <w:spacing w:before="40" w:after="40"/>
              <w:jc w:val="right"/>
            </w:pPr>
            <w:r w:rsidRPr="005C5E32">
              <w:t>237</w:t>
            </w:r>
          </w:p>
        </w:tc>
        <w:tc>
          <w:tcPr>
            <w:tcW w:w="1531" w:type="dxa"/>
            <w:tcBorders>
              <w:top w:val="single" w:sz="4" w:space="0" w:color="58595B"/>
              <w:bottom w:val="single" w:sz="4" w:space="0" w:color="58595B"/>
            </w:tcBorders>
            <w:shd w:val="clear" w:color="auto" w:fill="E7F2F2"/>
            <w:vAlign w:val="bottom"/>
          </w:tcPr>
          <w:p w14:paraId="3A64A087" w14:textId="77777777" w:rsidR="00D06CB2" w:rsidRPr="005C5E32" w:rsidRDefault="00D06CB2">
            <w:pPr>
              <w:pStyle w:val="TableText"/>
              <w:spacing w:before="40" w:after="40"/>
              <w:jc w:val="right"/>
            </w:pPr>
            <w:r w:rsidRPr="005C5E32">
              <w:t>1,288</w:t>
            </w:r>
          </w:p>
        </w:tc>
      </w:tr>
      <w:tr w:rsidR="00D06CB2" w:rsidRPr="005C5E32" w14:paraId="665D3F7D" w14:textId="77777777" w:rsidTr="002B7200">
        <w:tc>
          <w:tcPr>
            <w:tcW w:w="4679" w:type="dxa"/>
            <w:tcBorders>
              <w:top w:val="single" w:sz="4" w:space="0" w:color="58595B"/>
              <w:bottom w:val="single" w:sz="4" w:space="0" w:color="58595B"/>
            </w:tcBorders>
          </w:tcPr>
          <w:p w14:paraId="5EC5FC61" w14:textId="77777777" w:rsidR="00D06CB2" w:rsidRPr="005C5E32" w:rsidRDefault="00D06CB2">
            <w:pPr>
              <w:pStyle w:val="TableText"/>
              <w:spacing w:before="40" w:after="40"/>
            </w:pPr>
            <w:r w:rsidRPr="005C5E32">
              <w:t>Rental income</w:t>
            </w:r>
          </w:p>
        </w:tc>
        <w:tc>
          <w:tcPr>
            <w:tcW w:w="2267" w:type="dxa"/>
            <w:tcBorders>
              <w:top w:val="single" w:sz="4" w:space="0" w:color="58595B"/>
              <w:bottom w:val="single" w:sz="4" w:space="0" w:color="58595B"/>
            </w:tcBorders>
            <w:vAlign w:val="bottom"/>
          </w:tcPr>
          <w:p w14:paraId="6C700AA6" w14:textId="77777777" w:rsidR="00D06CB2" w:rsidRPr="005C5E32" w:rsidRDefault="00D06CB2">
            <w:pPr>
              <w:pStyle w:val="TableText"/>
              <w:spacing w:before="40" w:after="40"/>
              <w:jc w:val="right"/>
            </w:pPr>
            <w:r w:rsidRPr="005C5E32">
              <w:t>–</w:t>
            </w:r>
          </w:p>
        </w:tc>
        <w:tc>
          <w:tcPr>
            <w:tcW w:w="1531" w:type="dxa"/>
            <w:tcBorders>
              <w:top w:val="single" w:sz="4" w:space="0" w:color="58595B"/>
              <w:bottom w:val="single" w:sz="4" w:space="0" w:color="58595B"/>
            </w:tcBorders>
            <w:shd w:val="clear" w:color="auto" w:fill="E7F2F2"/>
            <w:vAlign w:val="bottom"/>
          </w:tcPr>
          <w:p w14:paraId="21557459" w14:textId="77777777" w:rsidR="00D06CB2" w:rsidRPr="005C5E32" w:rsidRDefault="00D06CB2">
            <w:pPr>
              <w:pStyle w:val="TableText"/>
              <w:spacing w:before="40" w:after="40"/>
              <w:jc w:val="right"/>
            </w:pPr>
            <w:r w:rsidRPr="005C5E32">
              <w:t>13</w:t>
            </w:r>
          </w:p>
        </w:tc>
      </w:tr>
      <w:tr w:rsidR="00D06CB2" w:rsidRPr="005C5E32" w14:paraId="557B88C7" w14:textId="77777777" w:rsidTr="002B7200">
        <w:tc>
          <w:tcPr>
            <w:tcW w:w="4679" w:type="dxa"/>
            <w:tcBorders>
              <w:top w:val="single" w:sz="4" w:space="0" w:color="58595B"/>
              <w:bottom w:val="single" w:sz="4" w:space="0" w:color="58595B"/>
            </w:tcBorders>
          </w:tcPr>
          <w:p w14:paraId="2259915A" w14:textId="77777777" w:rsidR="00D06CB2" w:rsidRPr="005C5E32" w:rsidRDefault="00D06CB2">
            <w:pPr>
              <w:pStyle w:val="TableTextbold"/>
              <w:spacing w:before="40" w:after="40"/>
            </w:pPr>
            <w:r w:rsidRPr="005C5E32">
              <w:t>Total other revenue</w:t>
            </w:r>
          </w:p>
        </w:tc>
        <w:tc>
          <w:tcPr>
            <w:tcW w:w="2267" w:type="dxa"/>
            <w:tcBorders>
              <w:top w:val="single" w:sz="4" w:space="0" w:color="58595B"/>
              <w:bottom w:val="single" w:sz="4" w:space="0" w:color="58595B"/>
            </w:tcBorders>
            <w:vAlign w:val="bottom"/>
          </w:tcPr>
          <w:p w14:paraId="6129F599" w14:textId="77777777" w:rsidR="00D06CB2" w:rsidRPr="005C5E32" w:rsidRDefault="00D06CB2">
            <w:pPr>
              <w:pStyle w:val="TableTextbold"/>
              <w:spacing w:before="40" w:after="40"/>
              <w:jc w:val="right"/>
              <w:rPr>
                <w:rFonts w:cstheme="minorBidi"/>
                <w:szCs w:val="18"/>
              </w:rPr>
            </w:pPr>
            <w:r w:rsidRPr="005C5E32">
              <w:rPr>
                <w:rFonts w:cstheme="minorBidi"/>
                <w:szCs w:val="18"/>
              </w:rPr>
              <w:t>237</w:t>
            </w:r>
          </w:p>
        </w:tc>
        <w:tc>
          <w:tcPr>
            <w:tcW w:w="1531" w:type="dxa"/>
            <w:tcBorders>
              <w:top w:val="single" w:sz="4" w:space="0" w:color="58595B"/>
              <w:bottom w:val="single" w:sz="4" w:space="0" w:color="58595B"/>
            </w:tcBorders>
            <w:shd w:val="clear" w:color="auto" w:fill="E7F2F2"/>
            <w:vAlign w:val="bottom"/>
          </w:tcPr>
          <w:p w14:paraId="21BFC880" w14:textId="77777777" w:rsidR="00D06CB2" w:rsidRPr="005C5E32" w:rsidRDefault="00D06CB2">
            <w:pPr>
              <w:pStyle w:val="TableTextbold"/>
              <w:spacing w:before="40" w:after="40"/>
              <w:jc w:val="right"/>
              <w:rPr>
                <w:rFonts w:cstheme="minorBidi"/>
                <w:szCs w:val="18"/>
              </w:rPr>
            </w:pPr>
            <w:r w:rsidRPr="005C5E32">
              <w:t>1,301</w:t>
            </w:r>
          </w:p>
        </w:tc>
      </w:tr>
    </w:tbl>
    <w:p w14:paraId="7F3B0F8F" w14:textId="77777777" w:rsidR="00D06CB2" w:rsidRPr="005C5E32" w:rsidRDefault="00D06CB2" w:rsidP="00A03341">
      <w:pPr>
        <w:pStyle w:val="Heading3"/>
        <w:tabs>
          <w:tab w:val="clear" w:pos="851"/>
          <w:tab w:val="left" w:pos="567"/>
        </w:tabs>
        <w:spacing w:before="440"/>
      </w:pPr>
      <w:bookmarkStart w:id="334" w:name="_Toc112144625"/>
      <w:r w:rsidRPr="005C5E32">
        <w:lastRenderedPageBreak/>
        <w:t>3.</w:t>
      </w:r>
      <w:r w:rsidRPr="005C5E32">
        <w:tab/>
        <w:t>Personnel costs</w:t>
      </w:r>
      <w:bookmarkEnd w:id="334"/>
    </w:p>
    <w:p w14:paraId="17D0D5EA" w14:textId="77777777" w:rsidR="00D06CB2" w:rsidRPr="005C5E32" w:rsidRDefault="00D06CB2" w:rsidP="00A03341">
      <w:pPr>
        <w:pStyle w:val="Heading4"/>
        <w:spacing w:before="180"/>
      </w:pPr>
      <w:r w:rsidRPr="005C5E32">
        <w:t>Accounting policy</w:t>
      </w:r>
    </w:p>
    <w:p w14:paraId="41AB3A50" w14:textId="77777777" w:rsidR="00D06CB2" w:rsidRPr="005C5E32" w:rsidRDefault="00D06CB2" w:rsidP="00A03341">
      <w:pPr>
        <w:pStyle w:val="Heading5"/>
        <w:spacing w:before="180"/>
      </w:pPr>
      <w:r w:rsidRPr="005C5E32">
        <w:t>Salaries and wages</w:t>
      </w:r>
    </w:p>
    <w:p w14:paraId="60E8F3C4" w14:textId="77777777" w:rsidR="00D06CB2" w:rsidRPr="005C5E32" w:rsidRDefault="00D06CB2" w:rsidP="00A03341">
      <w:pPr>
        <w:pStyle w:val="BodyText"/>
      </w:pPr>
      <w:r w:rsidRPr="005C5E32">
        <w:t>Salaries and wages are recognised as an expense as employees provide services.</w:t>
      </w:r>
    </w:p>
    <w:p w14:paraId="63DC84D6" w14:textId="77777777" w:rsidR="00D06CB2" w:rsidRPr="005C5E32" w:rsidRDefault="00D06CB2" w:rsidP="00A03341">
      <w:pPr>
        <w:pStyle w:val="Heading5"/>
      </w:pPr>
      <w:r w:rsidRPr="005C5E32">
        <w:t>Superannuation schemes</w:t>
      </w:r>
    </w:p>
    <w:p w14:paraId="1DE0EF65" w14:textId="77777777" w:rsidR="00D06CB2" w:rsidRPr="005C5E32" w:rsidRDefault="00D06CB2" w:rsidP="00A03341">
      <w:pPr>
        <w:pStyle w:val="Heading6"/>
        <w:spacing w:before="120"/>
        <w:rPr>
          <w:lang w:val="en-NZ"/>
        </w:rPr>
      </w:pPr>
      <w:r w:rsidRPr="005C5E32">
        <w:rPr>
          <w:lang w:val="en-NZ"/>
        </w:rPr>
        <w:t>Defined contribution schemes</w:t>
      </w:r>
    </w:p>
    <w:p w14:paraId="594CAD83" w14:textId="77777777" w:rsidR="00D06CB2" w:rsidRPr="005C5E32" w:rsidRDefault="00D06CB2" w:rsidP="00A03341">
      <w:pPr>
        <w:pStyle w:val="BodyText"/>
      </w:pPr>
      <w:r w:rsidRPr="005C5E32">
        <w:t>Employee contributions to the State Sector Retirement Savings Scheme, KiwiSaver and the Government Superannuation Fund are accounted for as defined contribution superannuation schemes and are expensed in the surplus or deficit as incurred.</w:t>
      </w:r>
    </w:p>
    <w:p w14:paraId="6DA960CA" w14:textId="77777777" w:rsidR="00D06CB2" w:rsidRPr="005C5E32" w:rsidRDefault="00D06CB2" w:rsidP="00A03341">
      <w:pPr>
        <w:pStyle w:val="Heading5"/>
        <w:spacing w:after="240"/>
      </w:pPr>
      <w:r w:rsidRPr="005C5E32">
        <w:t>Breakdown of personnel costs</w:t>
      </w:r>
    </w:p>
    <w:tbl>
      <w:tblPr>
        <w:tblStyle w:val="TableGrid"/>
        <w:tblW w:w="8505" w:type="dxa"/>
        <w:tblBorders>
          <w:top w:val="single" w:sz="4" w:space="0" w:color="0E7B7E"/>
          <w:left w:val="none" w:sz="0" w:space="0" w:color="auto"/>
          <w:right w:val="none" w:sz="0" w:space="0" w:color="auto"/>
          <w:insideV w:val="none" w:sz="0" w:space="0" w:color="auto"/>
        </w:tblBorders>
        <w:tblLook w:val="04A0" w:firstRow="1" w:lastRow="0" w:firstColumn="1" w:lastColumn="0" w:noHBand="0" w:noVBand="1"/>
      </w:tblPr>
      <w:tblGrid>
        <w:gridCol w:w="4695"/>
        <w:gridCol w:w="2274"/>
        <w:gridCol w:w="1536"/>
      </w:tblGrid>
      <w:tr w:rsidR="00D06CB2" w:rsidRPr="005C5E32" w14:paraId="113BB848" w14:textId="77777777" w:rsidTr="002B7200">
        <w:tc>
          <w:tcPr>
            <w:tcW w:w="4679" w:type="dxa"/>
            <w:tcBorders>
              <w:bottom w:val="single" w:sz="4" w:space="0" w:color="58595B"/>
            </w:tcBorders>
          </w:tcPr>
          <w:p w14:paraId="15F31C4C" w14:textId="77777777" w:rsidR="00D06CB2" w:rsidRPr="005C5E32" w:rsidRDefault="00D06CB2">
            <w:pPr>
              <w:pStyle w:val="TableTextbold"/>
              <w:keepNext/>
              <w:spacing w:before="30" w:after="40"/>
            </w:pPr>
          </w:p>
        </w:tc>
        <w:tc>
          <w:tcPr>
            <w:tcW w:w="2267" w:type="dxa"/>
            <w:tcBorders>
              <w:bottom w:val="single" w:sz="4" w:space="0" w:color="58595B"/>
            </w:tcBorders>
            <w:shd w:val="clear" w:color="auto" w:fill="FFFFFF" w:themeFill="background1"/>
            <w:vAlign w:val="bottom"/>
          </w:tcPr>
          <w:p w14:paraId="2A914D47" w14:textId="77777777" w:rsidR="00D06CB2" w:rsidRPr="005C5E32" w:rsidRDefault="00D06CB2">
            <w:pPr>
              <w:pStyle w:val="TableTextbold"/>
              <w:keepNext/>
              <w:spacing w:before="30" w:after="40"/>
              <w:jc w:val="right"/>
              <w:rPr>
                <w:color w:val="0E7B7E"/>
              </w:rPr>
            </w:pPr>
            <w:r w:rsidRPr="005C5E32">
              <w:rPr>
                <w:color w:val="0E7B7E"/>
              </w:rPr>
              <w:t xml:space="preserve">2024/25 </w:t>
            </w:r>
            <w:r w:rsidRPr="005C5E32">
              <w:rPr>
                <w:color w:val="0E7B7E"/>
              </w:rPr>
              <w:br/>
              <w:t xml:space="preserve">Actual </w:t>
            </w:r>
            <w:r w:rsidRPr="005C5E32">
              <w:rPr>
                <w:color w:val="0E7B7E"/>
              </w:rPr>
              <w:br/>
              <w:t>$000</w:t>
            </w:r>
          </w:p>
        </w:tc>
        <w:tc>
          <w:tcPr>
            <w:tcW w:w="1531" w:type="dxa"/>
            <w:tcBorders>
              <w:bottom w:val="single" w:sz="4" w:space="0" w:color="58595B"/>
            </w:tcBorders>
            <w:shd w:val="clear" w:color="auto" w:fill="E7F2F2"/>
            <w:vAlign w:val="bottom"/>
          </w:tcPr>
          <w:p w14:paraId="234E6314" w14:textId="77777777" w:rsidR="00D06CB2" w:rsidRPr="005C5E32" w:rsidRDefault="00D06CB2">
            <w:pPr>
              <w:pStyle w:val="TableTextbold"/>
              <w:keepNext/>
              <w:spacing w:before="30" w:after="40"/>
              <w:jc w:val="right"/>
              <w:rPr>
                <w:color w:val="0E7B7E"/>
              </w:rPr>
            </w:pPr>
            <w:r w:rsidRPr="005C5E32">
              <w:rPr>
                <w:color w:val="0E7B7E"/>
              </w:rPr>
              <w:t xml:space="preserve">2025/26 </w:t>
            </w:r>
            <w:r w:rsidRPr="005C5E32">
              <w:rPr>
                <w:color w:val="0E7B7E"/>
              </w:rPr>
              <w:br/>
              <w:t>Actual</w:t>
            </w:r>
            <w:r w:rsidRPr="005C5E32">
              <w:rPr>
                <w:color w:val="0E7B7E"/>
              </w:rPr>
              <w:br/>
              <w:t>$000</w:t>
            </w:r>
          </w:p>
        </w:tc>
      </w:tr>
      <w:tr w:rsidR="00D06CB2" w:rsidRPr="005C5E32" w14:paraId="1FF88A67" w14:textId="77777777" w:rsidTr="002B7200">
        <w:tc>
          <w:tcPr>
            <w:tcW w:w="4679" w:type="dxa"/>
            <w:tcBorders>
              <w:top w:val="single" w:sz="4" w:space="0" w:color="58595B"/>
              <w:bottom w:val="single" w:sz="4" w:space="0" w:color="58595B"/>
            </w:tcBorders>
          </w:tcPr>
          <w:p w14:paraId="3B19569B" w14:textId="77777777" w:rsidR="00D06CB2" w:rsidRPr="005C5E32" w:rsidRDefault="00D06CB2">
            <w:pPr>
              <w:pStyle w:val="TableText"/>
              <w:keepNext/>
              <w:spacing w:before="30" w:after="40"/>
            </w:pPr>
            <w:r w:rsidRPr="005C5E32">
              <w:t>Salaries and wages</w:t>
            </w:r>
          </w:p>
        </w:tc>
        <w:tc>
          <w:tcPr>
            <w:tcW w:w="2267" w:type="dxa"/>
            <w:tcBorders>
              <w:top w:val="single" w:sz="4" w:space="0" w:color="58595B"/>
              <w:bottom w:val="single" w:sz="4" w:space="0" w:color="58595B"/>
            </w:tcBorders>
            <w:shd w:val="clear" w:color="auto" w:fill="FFFFFF" w:themeFill="background1"/>
          </w:tcPr>
          <w:p w14:paraId="561C57D7" w14:textId="77777777" w:rsidR="00D06CB2" w:rsidRPr="005C5E32" w:rsidRDefault="00D06CB2">
            <w:pPr>
              <w:pStyle w:val="TableText"/>
              <w:keepNext/>
              <w:spacing w:before="30" w:after="40"/>
              <w:jc w:val="right"/>
            </w:pPr>
            <w:r w:rsidRPr="005C5E32">
              <w:t>112,940</w:t>
            </w:r>
          </w:p>
        </w:tc>
        <w:tc>
          <w:tcPr>
            <w:tcW w:w="1531" w:type="dxa"/>
            <w:tcBorders>
              <w:top w:val="single" w:sz="4" w:space="0" w:color="58595B"/>
              <w:bottom w:val="single" w:sz="4" w:space="0" w:color="58595B"/>
            </w:tcBorders>
            <w:shd w:val="clear" w:color="auto" w:fill="E7F2F2"/>
          </w:tcPr>
          <w:p w14:paraId="1862C3A7" w14:textId="77777777" w:rsidR="00D06CB2" w:rsidRPr="005C5E32" w:rsidRDefault="00D06CB2">
            <w:pPr>
              <w:pStyle w:val="TableText"/>
              <w:keepNext/>
              <w:spacing w:before="30" w:after="40"/>
              <w:jc w:val="right"/>
            </w:pPr>
            <w:r w:rsidRPr="005C5E32">
              <w:t>110,543</w:t>
            </w:r>
          </w:p>
        </w:tc>
      </w:tr>
      <w:tr w:rsidR="00D06CB2" w:rsidRPr="005C5E32" w14:paraId="173CF9B3" w14:textId="77777777" w:rsidTr="002B7200">
        <w:trPr>
          <w:trHeight w:val="300"/>
        </w:trPr>
        <w:tc>
          <w:tcPr>
            <w:tcW w:w="4679" w:type="dxa"/>
            <w:tcBorders>
              <w:top w:val="single" w:sz="4" w:space="0" w:color="58595B"/>
              <w:bottom w:val="single" w:sz="4" w:space="0" w:color="58595B"/>
            </w:tcBorders>
          </w:tcPr>
          <w:p w14:paraId="1CE255C1" w14:textId="77777777" w:rsidR="00D06CB2" w:rsidRPr="005C5E32" w:rsidRDefault="00D06CB2">
            <w:pPr>
              <w:pStyle w:val="TableText"/>
              <w:spacing w:before="30" w:after="40"/>
            </w:pPr>
            <w:r w:rsidRPr="005C5E32">
              <w:t>Restructure costs*</w:t>
            </w:r>
          </w:p>
        </w:tc>
        <w:tc>
          <w:tcPr>
            <w:tcW w:w="2267" w:type="dxa"/>
            <w:tcBorders>
              <w:top w:val="single" w:sz="4" w:space="0" w:color="58595B"/>
              <w:bottom w:val="single" w:sz="4" w:space="0" w:color="58595B"/>
            </w:tcBorders>
            <w:shd w:val="clear" w:color="auto" w:fill="FFFFFF" w:themeFill="background1"/>
          </w:tcPr>
          <w:p w14:paraId="320099C4" w14:textId="77777777" w:rsidR="00D06CB2" w:rsidRPr="005C5E32" w:rsidRDefault="00D06CB2">
            <w:pPr>
              <w:pStyle w:val="TableText"/>
              <w:spacing w:before="30" w:after="40"/>
              <w:jc w:val="right"/>
            </w:pPr>
            <w:r w:rsidRPr="005C5E32">
              <w:t>2,318</w:t>
            </w:r>
          </w:p>
        </w:tc>
        <w:tc>
          <w:tcPr>
            <w:tcW w:w="1531" w:type="dxa"/>
            <w:tcBorders>
              <w:top w:val="single" w:sz="4" w:space="0" w:color="58595B"/>
              <w:bottom w:val="single" w:sz="4" w:space="0" w:color="58595B"/>
            </w:tcBorders>
            <w:shd w:val="clear" w:color="auto" w:fill="E7F2F2"/>
          </w:tcPr>
          <w:p w14:paraId="5C17C713" w14:textId="77777777" w:rsidR="00D06CB2" w:rsidRPr="005C5E32" w:rsidRDefault="00D06CB2">
            <w:pPr>
              <w:pStyle w:val="TableText"/>
              <w:spacing w:before="30" w:after="40"/>
              <w:jc w:val="right"/>
            </w:pPr>
            <w:r w:rsidRPr="005C5E32">
              <w:t>(689)</w:t>
            </w:r>
          </w:p>
        </w:tc>
      </w:tr>
      <w:tr w:rsidR="00D06CB2" w:rsidRPr="005C5E32" w14:paraId="24097AE4" w14:textId="77777777" w:rsidTr="002B7200">
        <w:tc>
          <w:tcPr>
            <w:tcW w:w="4679" w:type="dxa"/>
            <w:tcBorders>
              <w:top w:val="single" w:sz="4" w:space="0" w:color="58595B"/>
              <w:bottom w:val="single" w:sz="4" w:space="0" w:color="58595B"/>
            </w:tcBorders>
          </w:tcPr>
          <w:p w14:paraId="1943FAAE" w14:textId="77777777" w:rsidR="00D06CB2" w:rsidRPr="005C5E32" w:rsidRDefault="00D06CB2">
            <w:pPr>
              <w:pStyle w:val="TableText"/>
              <w:spacing w:before="30" w:after="40"/>
            </w:pPr>
            <w:r w:rsidRPr="005C5E32">
              <w:t>Employer contributions to defined contribution plans</w:t>
            </w:r>
          </w:p>
        </w:tc>
        <w:tc>
          <w:tcPr>
            <w:tcW w:w="2267" w:type="dxa"/>
            <w:tcBorders>
              <w:top w:val="single" w:sz="4" w:space="0" w:color="58595B"/>
              <w:bottom w:val="single" w:sz="4" w:space="0" w:color="58595B"/>
            </w:tcBorders>
            <w:shd w:val="clear" w:color="auto" w:fill="FFFFFF" w:themeFill="background1"/>
          </w:tcPr>
          <w:p w14:paraId="5FF4B6F5" w14:textId="77777777" w:rsidR="00D06CB2" w:rsidRPr="005C5E32" w:rsidRDefault="00D06CB2">
            <w:pPr>
              <w:pStyle w:val="TableText"/>
              <w:spacing w:before="30" w:after="40"/>
              <w:jc w:val="right"/>
            </w:pPr>
            <w:r w:rsidRPr="005C5E32">
              <w:t>3,449</w:t>
            </w:r>
          </w:p>
        </w:tc>
        <w:tc>
          <w:tcPr>
            <w:tcW w:w="1531" w:type="dxa"/>
            <w:tcBorders>
              <w:top w:val="single" w:sz="4" w:space="0" w:color="58595B"/>
              <w:bottom w:val="single" w:sz="4" w:space="0" w:color="58595B"/>
            </w:tcBorders>
            <w:shd w:val="clear" w:color="auto" w:fill="E7F2F2"/>
          </w:tcPr>
          <w:p w14:paraId="4A1BB55D" w14:textId="77777777" w:rsidR="00D06CB2" w:rsidRPr="005C5E32" w:rsidRDefault="00D06CB2">
            <w:pPr>
              <w:pStyle w:val="TableText"/>
              <w:spacing w:before="30" w:after="40"/>
              <w:jc w:val="right"/>
            </w:pPr>
            <w:r w:rsidRPr="005C5E32">
              <w:t>3,480</w:t>
            </w:r>
          </w:p>
        </w:tc>
      </w:tr>
      <w:tr w:rsidR="00D06CB2" w:rsidRPr="005C5E32" w14:paraId="16F42FD6" w14:textId="77777777" w:rsidTr="002B7200">
        <w:tc>
          <w:tcPr>
            <w:tcW w:w="4679" w:type="dxa"/>
            <w:tcBorders>
              <w:top w:val="single" w:sz="4" w:space="0" w:color="58595B"/>
              <w:bottom w:val="single" w:sz="4" w:space="0" w:color="58595B"/>
            </w:tcBorders>
          </w:tcPr>
          <w:p w14:paraId="1ABC48F5" w14:textId="77777777" w:rsidR="00D06CB2" w:rsidRPr="005C5E32" w:rsidRDefault="00D06CB2">
            <w:pPr>
              <w:pStyle w:val="TableText"/>
              <w:spacing w:before="30" w:after="40"/>
            </w:pPr>
            <w:r w:rsidRPr="005C5E32">
              <w:t>Accident Compensation Corporation (ACC) levy</w:t>
            </w:r>
          </w:p>
        </w:tc>
        <w:tc>
          <w:tcPr>
            <w:tcW w:w="2267" w:type="dxa"/>
            <w:tcBorders>
              <w:top w:val="single" w:sz="4" w:space="0" w:color="58595B"/>
              <w:bottom w:val="single" w:sz="4" w:space="0" w:color="58595B"/>
            </w:tcBorders>
            <w:shd w:val="clear" w:color="auto" w:fill="FFFFFF" w:themeFill="background1"/>
          </w:tcPr>
          <w:p w14:paraId="4447A776" w14:textId="77777777" w:rsidR="00D06CB2" w:rsidRPr="005C5E32" w:rsidRDefault="00D06CB2">
            <w:pPr>
              <w:pStyle w:val="TableText"/>
              <w:spacing w:before="30" w:after="40"/>
              <w:jc w:val="right"/>
            </w:pPr>
            <w:r w:rsidRPr="005C5E32">
              <w:t>82</w:t>
            </w:r>
          </w:p>
        </w:tc>
        <w:tc>
          <w:tcPr>
            <w:tcW w:w="1531" w:type="dxa"/>
            <w:tcBorders>
              <w:top w:val="single" w:sz="4" w:space="0" w:color="58595B"/>
              <w:bottom w:val="single" w:sz="4" w:space="0" w:color="58595B"/>
            </w:tcBorders>
            <w:shd w:val="clear" w:color="auto" w:fill="E7F2F2"/>
          </w:tcPr>
          <w:p w14:paraId="0BF02626" w14:textId="77777777" w:rsidR="00D06CB2" w:rsidRPr="005C5E32" w:rsidRDefault="00D06CB2">
            <w:pPr>
              <w:pStyle w:val="TableText"/>
              <w:spacing w:before="30" w:after="40"/>
              <w:jc w:val="right"/>
            </w:pPr>
            <w:r w:rsidRPr="005C5E32">
              <w:t>79</w:t>
            </w:r>
          </w:p>
        </w:tc>
      </w:tr>
      <w:tr w:rsidR="00D06CB2" w:rsidRPr="005C5E32" w14:paraId="3A6D71A8" w14:textId="77777777" w:rsidTr="002B7200">
        <w:tc>
          <w:tcPr>
            <w:tcW w:w="4679" w:type="dxa"/>
            <w:tcBorders>
              <w:top w:val="single" w:sz="4" w:space="0" w:color="58595B"/>
              <w:bottom w:val="single" w:sz="4" w:space="0" w:color="58595B"/>
            </w:tcBorders>
          </w:tcPr>
          <w:p w14:paraId="30DBE8C7" w14:textId="77777777" w:rsidR="00D06CB2" w:rsidRPr="005C5E32" w:rsidRDefault="00D06CB2">
            <w:pPr>
              <w:pStyle w:val="TableText"/>
              <w:spacing w:before="30" w:after="40"/>
            </w:pPr>
            <w:r w:rsidRPr="005C5E32">
              <w:t>Net employee entitlements</w:t>
            </w:r>
          </w:p>
        </w:tc>
        <w:tc>
          <w:tcPr>
            <w:tcW w:w="2267" w:type="dxa"/>
            <w:tcBorders>
              <w:top w:val="single" w:sz="4" w:space="0" w:color="58595B"/>
              <w:bottom w:val="single" w:sz="4" w:space="0" w:color="58595B"/>
            </w:tcBorders>
            <w:shd w:val="clear" w:color="auto" w:fill="FFFFFF" w:themeFill="background1"/>
          </w:tcPr>
          <w:p w14:paraId="7F7DF16E" w14:textId="77777777" w:rsidR="00D06CB2" w:rsidRPr="005C5E32" w:rsidRDefault="00D06CB2">
            <w:pPr>
              <w:pStyle w:val="TableText"/>
              <w:spacing w:before="30" w:after="40"/>
              <w:jc w:val="right"/>
            </w:pPr>
            <w:r w:rsidRPr="005C5E32">
              <w:t>2,064</w:t>
            </w:r>
          </w:p>
        </w:tc>
        <w:tc>
          <w:tcPr>
            <w:tcW w:w="1531" w:type="dxa"/>
            <w:tcBorders>
              <w:top w:val="single" w:sz="4" w:space="0" w:color="58595B"/>
              <w:bottom w:val="single" w:sz="4" w:space="0" w:color="58595B"/>
            </w:tcBorders>
            <w:shd w:val="clear" w:color="auto" w:fill="E7F2F2"/>
          </w:tcPr>
          <w:p w14:paraId="1DA412AE" w14:textId="77777777" w:rsidR="00D06CB2" w:rsidRPr="005C5E32" w:rsidRDefault="00D06CB2">
            <w:pPr>
              <w:pStyle w:val="TableText"/>
              <w:spacing w:before="30" w:after="40"/>
              <w:jc w:val="right"/>
            </w:pPr>
            <w:r w:rsidRPr="005C5E32">
              <w:t>1,489</w:t>
            </w:r>
          </w:p>
        </w:tc>
      </w:tr>
      <w:tr w:rsidR="00D06CB2" w:rsidRPr="005C5E32" w14:paraId="217C28BF" w14:textId="77777777" w:rsidTr="002B7200">
        <w:tc>
          <w:tcPr>
            <w:tcW w:w="4679" w:type="dxa"/>
            <w:tcBorders>
              <w:top w:val="single" w:sz="4" w:space="0" w:color="58595B"/>
              <w:bottom w:val="single" w:sz="4" w:space="0" w:color="58595B"/>
            </w:tcBorders>
          </w:tcPr>
          <w:p w14:paraId="13AE08B6" w14:textId="77777777" w:rsidR="00D06CB2" w:rsidRPr="005C5E32" w:rsidRDefault="00D06CB2">
            <w:pPr>
              <w:pStyle w:val="TableText"/>
              <w:spacing w:before="30" w:after="40"/>
            </w:pPr>
            <w:r w:rsidRPr="005C5E32">
              <w:t>Other</w:t>
            </w:r>
          </w:p>
        </w:tc>
        <w:tc>
          <w:tcPr>
            <w:tcW w:w="2267" w:type="dxa"/>
            <w:tcBorders>
              <w:top w:val="single" w:sz="4" w:space="0" w:color="58595B"/>
              <w:bottom w:val="single" w:sz="4" w:space="0" w:color="58595B"/>
            </w:tcBorders>
            <w:shd w:val="clear" w:color="auto" w:fill="FFFFFF" w:themeFill="background1"/>
          </w:tcPr>
          <w:p w14:paraId="1690D6F5" w14:textId="77777777" w:rsidR="00D06CB2" w:rsidRPr="005C5E32" w:rsidRDefault="00D06CB2">
            <w:pPr>
              <w:pStyle w:val="TableText"/>
              <w:spacing w:before="30" w:after="40"/>
              <w:jc w:val="right"/>
            </w:pPr>
            <w:r w:rsidRPr="005C5E32">
              <w:t>138</w:t>
            </w:r>
          </w:p>
        </w:tc>
        <w:tc>
          <w:tcPr>
            <w:tcW w:w="1531" w:type="dxa"/>
            <w:tcBorders>
              <w:top w:val="single" w:sz="4" w:space="0" w:color="58595B"/>
              <w:bottom w:val="single" w:sz="4" w:space="0" w:color="58595B"/>
            </w:tcBorders>
            <w:shd w:val="clear" w:color="auto" w:fill="E7F2F2"/>
          </w:tcPr>
          <w:p w14:paraId="4D932841" w14:textId="77777777" w:rsidR="00D06CB2" w:rsidRPr="005C5E32" w:rsidRDefault="00D06CB2">
            <w:pPr>
              <w:pStyle w:val="TableText"/>
              <w:spacing w:before="30" w:after="40"/>
              <w:jc w:val="right"/>
            </w:pPr>
            <w:r w:rsidRPr="005C5E32">
              <w:t>149</w:t>
            </w:r>
          </w:p>
        </w:tc>
      </w:tr>
      <w:tr w:rsidR="00D06CB2" w:rsidRPr="005C5E32" w14:paraId="25B9FA29" w14:textId="77777777" w:rsidTr="002B7200">
        <w:tc>
          <w:tcPr>
            <w:tcW w:w="4679" w:type="dxa"/>
            <w:tcBorders>
              <w:top w:val="single" w:sz="4" w:space="0" w:color="58595B"/>
              <w:bottom w:val="single" w:sz="4" w:space="0" w:color="58595B"/>
            </w:tcBorders>
          </w:tcPr>
          <w:p w14:paraId="3333E6C7" w14:textId="77777777" w:rsidR="00D06CB2" w:rsidRPr="005C5E32" w:rsidRDefault="00D06CB2">
            <w:pPr>
              <w:pStyle w:val="TableTextbold"/>
              <w:spacing w:before="30" w:after="40"/>
            </w:pPr>
            <w:r w:rsidRPr="005C5E32">
              <w:t>Total personnel costs</w:t>
            </w:r>
          </w:p>
        </w:tc>
        <w:tc>
          <w:tcPr>
            <w:tcW w:w="2267" w:type="dxa"/>
            <w:tcBorders>
              <w:top w:val="single" w:sz="4" w:space="0" w:color="58595B"/>
              <w:bottom w:val="single" w:sz="4" w:space="0" w:color="58595B"/>
            </w:tcBorders>
            <w:shd w:val="clear" w:color="auto" w:fill="FFFFFF" w:themeFill="background1"/>
          </w:tcPr>
          <w:p w14:paraId="69292D64" w14:textId="77777777" w:rsidR="00D06CB2" w:rsidRPr="005C5E32" w:rsidRDefault="00D06CB2">
            <w:pPr>
              <w:pStyle w:val="TableTextbold"/>
              <w:spacing w:before="30" w:after="40"/>
              <w:jc w:val="right"/>
            </w:pPr>
            <w:r w:rsidRPr="005C5E32">
              <w:t>120,991</w:t>
            </w:r>
          </w:p>
        </w:tc>
        <w:tc>
          <w:tcPr>
            <w:tcW w:w="1531" w:type="dxa"/>
            <w:tcBorders>
              <w:top w:val="single" w:sz="4" w:space="0" w:color="58595B"/>
              <w:bottom w:val="single" w:sz="4" w:space="0" w:color="58595B"/>
            </w:tcBorders>
            <w:shd w:val="clear" w:color="auto" w:fill="E7F2F2"/>
          </w:tcPr>
          <w:p w14:paraId="6BBF5202" w14:textId="77777777" w:rsidR="00D06CB2" w:rsidRPr="005C5E32" w:rsidRDefault="00D06CB2">
            <w:pPr>
              <w:pStyle w:val="TableTextbold"/>
              <w:spacing w:before="30" w:after="40"/>
              <w:jc w:val="right"/>
            </w:pPr>
            <w:r w:rsidRPr="005C5E32">
              <w:t>115,051</w:t>
            </w:r>
          </w:p>
        </w:tc>
      </w:tr>
    </w:tbl>
    <w:p w14:paraId="6ABEABDE" w14:textId="77777777" w:rsidR="00D06CB2" w:rsidRPr="005C5E32" w:rsidRDefault="00D06CB2" w:rsidP="00A03341">
      <w:pPr>
        <w:pStyle w:val="Note"/>
      </w:pPr>
      <w:bookmarkStart w:id="335" w:name="_Toc112144626"/>
      <w:r w:rsidRPr="005C5E32">
        <w:t xml:space="preserve">* In 2024 the Ministry went through an organisation-wide restructure to better align with future output demands on the Ministry and reduction in baseline funding. </w:t>
      </w:r>
    </w:p>
    <w:p w14:paraId="2FD44D99" w14:textId="77777777" w:rsidR="00D06CB2" w:rsidRPr="005C5E32" w:rsidRDefault="00D06CB2" w:rsidP="00A03341">
      <w:pPr>
        <w:pStyle w:val="Heading3"/>
        <w:tabs>
          <w:tab w:val="clear" w:pos="851"/>
          <w:tab w:val="left" w:pos="567"/>
        </w:tabs>
      </w:pPr>
      <w:r w:rsidRPr="005C5E32">
        <w:t>4.</w:t>
      </w:r>
      <w:r w:rsidRPr="005C5E32">
        <w:tab/>
        <w:t>Capital charge</w:t>
      </w:r>
      <w:bookmarkEnd w:id="335"/>
    </w:p>
    <w:p w14:paraId="7EB1BA46" w14:textId="77777777" w:rsidR="00D06CB2" w:rsidRPr="005C5E32" w:rsidRDefault="00D06CB2" w:rsidP="00A03341">
      <w:pPr>
        <w:pStyle w:val="Heading4"/>
        <w:spacing w:before="180"/>
      </w:pPr>
      <w:r w:rsidRPr="005C5E32">
        <w:t>Accounting policy</w:t>
      </w:r>
    </w:p>
    <w:p w14:paraId="03440B84" w14:textId="77777777" w:rsidR="00D06CB2" w:rsidRPr="005C5E32" w:rsidRDefault="00D06CB2" w:rsidP="00A03341">
      <w:pPr>
        <w:pStyle w:val="BodyText"/>
      </w:pPr>
      <w:r w:rsidRPr="005C5E32">
        <w:t>The capital charge is recognised as an expense in the financial year to which the charge relates.</w:t>
      </w:r>
    </w:p>
    <w:p w14:paraId="647A72A2" w14:textId="77777777" w:rsidR="00D06CB2" w:rsidRPr="005C5E32" w:rsidRDefault="00D06CB2" w:rsidP="00A03341">
      <w:pPr>
        <w:pStyle w:val="Heading4"/>
        <w:spacing w:before="240"/>
      </w:pPr>
      <w:r w:rsidRPr="005C5E32">
        <w:t>Further information</w:t>
      </w:r>
    </w:p>
    <w:p w14:paraId="488CAD16" w14:textId="77777777" w:rsidR="00D06CB2" w:rsidRPr="005C5E32" w:rsidRDefault="00D06CB2" w:rsidP="00A03341">
      <w:pPr>
        <w:pStyle w:val="BodyText"/>
        <w:spacing w:before="100" w:after="100"/>
      </w:pPr>
      <w:r w:rsidRPr="005C5E32">
        <w:t>The Ministry pays a capital charge to the Crown on its equity as at 30 June and 31 December each year. The capital charge rate for the year ended 30 June 2026 was 5 percent (2024/25: 5 percent).</w:t>
      </w:r>
    </w:p>
    <w:p w14:paraId="57D8F59D" w14:textId="77777777" w:rsidR="00D06CB2" w:rsidRPr="005C5E32" w:rsidRDefault="00D06CB2" w:rsidP="00A03341">
      <w:pPr>
        <w:pStyle w:val="Heading3"/>
        <w:tabs>
          <w:tab w:val="clear" w:pos="851"/>
          <w:tab w:val="left" w:pos="567"/>
        </w:tabs>
        <w:spacing w:before="320"/>
      </w:pPr>
      <w:bookmarkStart w:id="336" w:name="_Toc112144627"/>
      <w:r w:rsidRPr="005C5E32">
        <w:t>5.</w:t>
      </w:r>
      <w:r w:rsidRPr="005C5E32">
        <w:tab/>
        <w:t>Finance costs</w:t>
      </w:r>
      <w:bookmarkEnd w:id="336"/>
    </w:p>
    <w:p w14:paraId="395372F5" w14:textId="77777777" w:rsidR="00D06CB2" w:rsidRPr="005C5E32" w:rsidRDefault="00D06CB2" w:rsidP="00A03341">
      <w:pPr>
        <w:pStyle w:val="BodyText"/>
        <w:spacing w:before="100" w:after="100"/>
      </w:pPr>
      <w:r w:rsidRPr="005C5E32">
        <w:t xml:space="preserve">The Ministry has not incurred any finance costs during the financial year ended 30 June 2026 (2024/25: $nil). </w:t>
      </w:r>
    </w:p>
    <w:p w14:paraId="516E028F" w14:textId="77777777" w:rsidR="00D06CB2" w:rsidRPr="005C5E32" w:rsidRDefault="00D06CB2" w:rsidP="00A03341">
      <w:pPr>
        <w:pStyle w:val="Heading3"/>
        <w:tabs>
          <w:tab w:val="clear" w:pos="851"/>
          <w:tab w:val="left" w:pos="567"/>
        </w:tabs>
        <w:spacing w:before="320"/>
      </w:pPr>
      <w:bookmarkStart w:id="337" w:name="_Toc112144628"/>
      <w:r w:rsidRPr="005C5E32">
        <w:lastRenderedPageBreak/>
        <w:t>6.</w:t>
      </w:r>
      <w:r w:rsidRPr="005C5E32">
        <w:tab/>
        <w:t>Other expenses</w:t>
      </w:r>
      <w:bookmarkEnd w:id="337"/>
    </w:p>
    <w:p w14:paraId="046514D3" w14:textId="77777777" w:rsidR="00D06CB2" w:rsidRPr="005C5E32" w:rsidRDefault="00D06CB2" w:rsidP="00A03341">
      <w:pPr>
        <w:pStyle w:val="Heading4"/>
        <w:spacing w:before="180"/>
      </w:pPr>
      <w:r w:rsidRPr="005C5E32">
        <w:t>Accounting policy</w:t>
      </w:r>
    </w:p>
    <w:p w14:paraId="34DC9335" w14:textId="77777777" w:rsidR="00D06CB2" w:rsidRPr="005C5E32" w:rsidRDefault="00D06CB2" w:rsidP="00A03341">
      <w:pPr>
        <w:pStyle w:val="Heading5"/>
      </w:pPr>
      <w:r w:rsidRPr="005C5E32">
        <w:t>Operating leases</w:t>
      </w:r>
    </w:p>
    <w:p w14:paraId="0D0826B5" w14:textId="77777777" w:rsidR="00D06CB2" w:rsidRPr="005C5E32" w:rsidRDefault="00D06CB2" w:rsidP="00A03341">
      <w:pPr>
        <w:pStyle w:val="BodyText"/>
        <w:spacing w:before="100" w:after="100"/>
      </w:pPr>
      <w:r w:rsidRPr="005C5E32">
        <w:t>An operating lease is a lease where the lessor does not transfer substantially all the risks and rewards of ownership of an asset. Lease payments under an operating lease are recognised as an expense in a systematic manner over the term of the lease.</w:t>
      </w:r>
    </w:p>
    <w:p w14:paraId="0CC1A80D" w14:textId="77777777" w:rsidR="00D06CB2" w:rsidRPr="005C5E32" w:rsidRDefault="00D06CB2" w:rsidP="00A03341">
      <w:pPr>
        <w:pStyle w:val="BodyText"/>
        <w:spacing w:before="100" w:after="100"/>
      </w:pPr>
      <w:r w:rsidRPr="005C5E32">
        <w:t>Lease incentives received are recognised evenly over the term of the lease as a reduction in rental expense.</w:t>
      </w:r>
    </w:p>
    <w:p w14:paraId="7C58BA55" w14:textId="77777777" w:rsidR="00D06CB2" w:rsidRPr="005C5E32" w:rsidRDefault="00D06CB2" w:rsidP="00A03341">
      <w:pPr>
        <w:pStyle w:val="Heading5"/>
      </w:pPr>
      <w:r w:rsidRPr="005C5E32">
        <w:t>Other expenses</w:t>
      </w:r>
    </w:p>
    <w:p w14:paraId="72F1573F" w14:textId="77777777" w:rsidR="00D06CB2" w:rsidRPr="005C5E32" w:rsidRDefault="00D06CB2" w:rsidP="00A03341">
      <w:pPr>
        <w:pStyle w:val="BodyText"/>
        <w:spacing w:before="100" w:after="100"/>
      </w:pPr>
      <w:r w:rsidRPr="005C5E32">
        <w:t>Other expenses are recognised as goods and services are received. Recognition of contractors and consulting fees expenses aligns to the Public Service Commission guidelines.</w:t>
      </w:r>
    </w:p>
    <w:p w14:paraId="2FACFC35" w14:textId="77777777" w:rsidR="00D06CB2" w:rsidRPr="005C5E32" w:rsidRDefault="00D06CB2" w:rsidP="00A03341">
      <w:pPr>
        <w:pStyle w:val="Heading5"/>
        <w:spacing w:after="180"/>
      </w:pPr>
      <w:r w:rsidRPr="005C5E32">
        <w:t>Breakdown of other expenses and further information</w:t>
      </w:r>
    </w:p>
    <w:tbl>
      <w:tblPr>
        <w:tblStyle w:val="TableGrid"/>
        <w:tblW w:w="8505" w:type="dxa"/>
        <w:tblBorders>
          <w:top w:val="single" w:sz="4" w:space="0" w:color="0E7B7E"/>
          <w:left w:val="none" w:sz="0" w:space="0" w:color="auto"/>
          <w:right w:val="none" w:sz="0" w:space="0" w:color="auto"/>
          <w:insideV w:val="none" w:sz="0" w:space="0" w:color="auto"/>
        </w:tblBorders>
        <w:tblLook w:val="04A0" w:firstRow="1" w:lastRow="0" w:firstColumn="1" w:lastColumn="0" w:noHBand="0" w:noVBand="1"/>
      </w:tblPr>
      <w:tblGrid>
        <w:gridCol w:w="4899"/>
        <w:gridCol w:w="2003"/>
        <w:gridCol w:w="1603"/>
      </w:tblGrid>
      <w:tr w:rsidR="00D06CB2" w:rsidRPr="005C5E32" w14:paraId="68F26473" w14:textId="77777777" w:rsidTr="002B7200">
        <w:trPr>
          <w:tblHeader/>
        </w:trPr>
        <w:tc>
          <w:tcPr>
            <w:tcW w:w="4679" w:type="dxa"/>
            <w:tcBorders>
              <w:bottom w:val="single" w:sz="4" w:space="0" w:color="58595B"/>
            </w:tcBorders>
          </w:tcPr>
          <w:p w14:paraId="1A543B86" w14:textId="77777777" w:rsidR="00D06CB2" w:rsidRPr="005C5E32" w:rsidRDefault="00D06CB2">
            <w:pPr>
              <w:pStyle w:val="TableTextbold"/>
              <w:spacing w:before="40" w:after="40"/>
            </w:pPr>
          </w:p>
        </w:tc>
        <w:tc>
          <w:tcPr>
            <w:tcW w:w="1913" w:type="dxa"/>
            <w:tcBorders>
              <w:bottom w:val="single" w:sz="4" w:space="0" w:color="58595B"/>
            </w:tcBorders>
            <w:shd w:val="clear" w:color="auto" w:fill="FFFFFF" w:themeFill="background1"/>
            <w:vAlign w:val="bottom"/>
          </w:tcPr>
          <w:p w14:paraId="2C7C34FC" w14:textId="77777777" w:rsidR="00D06CB2" w:rsidRPr="005C5E32" w:rsidRDefault="00D06CB2">
            <w:pPr>
              <w:pStyle w:val="TableTextbold"/>
              <w:spacing w:before="40" w:after="40"/>
              <w:jc w:val="right"/>
              <w:rPr>
                <w:color w:val="0E7B7E"/>
              </w:rPr>
            </w:pPr>
            <w:r w:rsidRPr="005C5E32">
              <w:rPr>
                <w:color w:val="0E7B7E"/>
              </w:rPr>
              <w:t xml:space="preserve">2024/25 </w:t>
            </w:r>
            <w:r w:rsidRPr="005C5E32">
              <w:rPr>
                <w:color w:val="0E7B7E"/>
              </w:rPr>
              <w:br/>
              <w:t xml:space="preserve">Actual </w:t>
            </w:r>
            <w:r w:rsidRPr="005C5E32">
              <w:rPr>
                <w:color w:val="0E7B7E"/>
              </w:rPr>
              <w:br/>
              <w:t>$000</w:t>
            </w:r>
          </w:p>
        </w:tc>
        <w:tc>
          <w:tcPr>
            <w:tcW w:w="1531" w:type="dxa"/>
            <w:tcBorders>
              <w:bottom w:val="single" w:sz="4" w:space="0" w:color="58595B"/>
            </w:tcBorders>
            <w:shd w:val="clear" w:color="auto" w:fill="E7F2F2"/>
            <w:vAlign w:val="bottom"/>
          </w:tcPr>
          <w:p w14:paraId="34096EF4" w14:textId="77777777" w:rsidR="00D06CB2" w:rsidRPr="005C5E32" w:rsidRDefault="00D06CB2">
            <w:pPr>
              <w:pStyle w:val="TableTextbold"/>
              <w:spacing w:before="40" w:after="40"/>
              <w:jc w:val="right"/>
              <w:rPr>
                <w:color w:val="0E7B7E"/>
              </w:rPr>
            </w:pPr>
            <w:r w:rsidRPr="005C5E32">
              <w:rPr>
                <w:color w:val="0E7B7E"/>
              </w:rPr>
              <w:t xml:space="preserve">2025/26 </w:t>
            </w:r>
            <w:r w:rsidRPr="005C5E32">
              <w:rPr>
                <w:color w:val="0E7B7E"/>
              </w:rPr>
              <w:br/>
              <w:t xml:space="preserve">Actual </w:t>
            </w:r>
            <w:r w:rsidRPr="005C5E32">
              <w:rPr>
                <w:color w:val="0E7B7E"/>
              </w:rPr>
              <w:br/>
              <w:t>$000</w:t>
            </w:r>
          </w:p>
        </w:tc>
      </w:tr>
      <w:tr w:rsidR="00D06CB2" w:rsidRPr="005C5E32" w14:paraId="073326AD" w14:textId="77777777" w:rsidTr="002B7200">
        <w:tc>
          <w:tcPr>
            <w:tcW w:w="4679" w:type="dxa"/>
            <w:tcBorders>
              <w:top w:val="single" w:sz="4" w:space="0" w:color="58595B"/>
              <w:bottom w:val="single" w:sz="4" w:space="0" w:color="58595B"/>
            </w:tcBorders>
          </w:tcPr>
          <w:p w14:paraId="36047981" w14:textId="77777777" w:rsidR="00D06CB2" w:rsidRPr="005C5E32" w:rsidRDefault="00D06CB2">
            <w:pPr>
              <w:pStyle w:val="TableText"/>
              <w:spacing w:before="40" w:after="40"/>
            </w:pPr>
            <w:r w:rsidRPr="005C5E32">
              <w:t>Audit fees for the financial statement audit</w:t>
            </w:r>
          </w:p>
        </w:tc>
        <w:tc>
          <w:tcPr>
            <w:tcW w:w="1913" w:type="dxa"/>
            <w:tcBorders>
              <w:top w:val="single" w:sz="4" w:space="0" w:color="58595B"/>
              <w:bottom w:val="single" w:sz="4" w:space="0" w:color="58595B"/>
            </w:tcBorders>
            <w:shd w:val="clear" w:color="auto" w:fill="FFFFFF" w:themeFill="background1"/>
          </w:tcPr>
          <w:p w14:paraId="64B608A7" w14:textId="77777777" w:rsidR="00D06CB2" w:rsidRPr="005C5E32" w:rsidRDefault="00D06CB2">
            <w:pPr>
              <w:pStyle w:val="TableText"/>
              <w:spacing w:before="40" w:after="40"/>
              <w:jc w:val="right"/>
            </w:pPr>
            <w:r w:rsidRPr="005C5E32">
              <w:t>357</w:t>
            </w:r>
          </w:p>
        </w:tc>
        <w:tc>
          <w:tcPr>
            <w:tcW w:w="1531" w:type="dxa"/>
            <w:tcBorders>
              <w:top w:val="single" w:sz="4" w:space="0" w:color="58595B"/>
              <w:bottom w:val="single" w:sz="4" w:space="0" w:color="58595B"/>
            </w:tcBorders>
            <w:shd w:val="clear" w:color="auto" w:fill="E7F2F2"/>
          </w:tcPr>
          <w:p w14:paraId="3676D0C0" w14:textId="77777777" w:rsidR="00D06CB2" w:rsidRPr="005C5E32" w:rsidRDefault="00D06CB2">
            <w:pPr>
              <w:pStyle w:val="TableText"/>
              <w:spacing w:before="40" w:after="40"/>
              <w:jc w:val="right"/>
            </w:pPr>
            <w:r w:rsidRPr="005C5E32">
              <w:t>368</w:t>
            </w:r>
          </w:p>
        </w:tc>
      </w:tr>
      <w:tr w:rsidR="00D06CB2" w:rsidRPr="005C5E32" w14:paraId="6ADFCD23" w14:textId="77777777" w:rsidTr="002B7200">
        <w:tc>
          <w:tcPr>
            <w:tcW w:w="4679" w:type="dxa"/>
            <w:tcBorders>
              <w:top w:val="single" w:sz="4" w:space="0" w:color="58595B"/>
              <w:bottom w:val="single" w:sz="4" w:space="0" w:color="58595B"/>
            </w:tcBorders>
          </w:tcPr>
          <w:p w14:paraId="505F74EB" w14:textId="77777777" w:rsidR="00D06CB2" w:rsidRPr="005C5E32" w:rsidRDefault="00D06CB2">
            <w:pPr>
              <w:pStyle w:val="TableText"/>
              <w:spacing w:before="40" w:after="40"/>
            </w:pPr>
            <w:r w:rsidRPr="005C5E32">
              <w:t>Operating lease expenses</w:t>
            </w:r>
          </w:p>
        </w:tc>
        <w:tc>
          <w:tcPr>
            <w:tcW w:w="1913" w:type="dxa"/>
            <w:tcBorders>
              <w:top w:val="single" w:sz="4" w:space="0" w:color="58595B"/>
              <w:bottom w:val="single" w:sz="4" w:space="0" w:color="58595B"/>
            </w:tcBorders>
            <w:shd w:val="clear" w:color="auto" w:fill="FFFFFF" w:themeFill="background1"/>
          </w:tcPr>
          <w:p w14:paraId="79152C71" w14:textId="77777777" w:rsidR="00D06CB2" w:rsidRPr="005C5E32" w:rsidRDefault="00D06CB2">
            <w:pPr>
              <w:pStyle w:val="TableText"/>
              <w:spacing w:before="40" w:after="40"/>
              <w:jc w:val="right"/>
            </w:pPr>
            <w:r w:rsidRPr="005C5E32">
              <w:t>3,491</w:t>
            </w:r>
          </w:p>
        </w:tc>
        <w:tc>
          <w:tcPr>
            <w:tcW w:w="1531" w:type="dxa"/>
            <w:tcBorders>
              <w:top w:val="single" w:sz="4" w:space="0" w:color="58595B"/>
              <w:bottom w:val="single" w:sz="4" w:space="0" w:color="58595B"/>
            </w:tcBorders>
            <w:shd w:val="clear" w:color="auto" w:fill="E7F2F2"/>
          </w:tcPr>
          <w:p w14:paraId="3C56D96C" w14:textId="77777777" w:rsidR="00D06CB2" w:rsidRPr="005C5E32" w:rsidRDefault="00D06CB2">
            <w:pPr>
              <w:pStyle w:val="TableText"/>
              <w:spacing w:before="40" w:after="40"/>
              <w:jc w:val="right"/>
            </w:pPr>
            <w:r w:rsidRPr="005C5E32">
              <w:t>3,487</w:t>
            </w:r>
          </w:p>
        </w:tc>
      </w:tr>
      <w:tr w:rsidR="00D06CB2" w:rsidRPr="005C5E32" w14:paraId="2D541FD1" w14:textId="77777777" w:rsidTr="002B7200">
        <w:tc>
          <w:tcPr>
            <w:tcW w:w="4679" w:type="dxa"/>
            <w:tcBorders>
              <w:top w:val="single" w:sz="4" w:space="0" w:color="58595B"/>
              <w:bottom w:val="single" w:sz="4" w:space="0" w:color="58595B"/>
            </w:tcBorders>
          </w:tcPr>
          <w:p w14:paraId="26CDADCE" w14:textId="77777777" w:rsidR="00D06CB2" w:rsidRPr="005C5E32" w:rsidRDefault="00D06CB2">
            <w:pPr>
              <w:pStyle w:val="TableText"/>
              <w:spacing w:before="40" w:after="40"/>
            </w:pPr>
            <w:r w:rsidRPr="005C5E32">
              <w:t>Advertising and publicity</w:t>
            </w:r>
          </w:p>
        </w:tc>
        <w:tc>
          <w:tcPr>
            <w:tcW w:w="1913" w:type="dxa"/>
            <w:tcBorders>
              <w:top w:val="single" w:sz="4" w:space="0" w:color="58595B"/>
              <w:bottom w:val="single" w:sz="4" w:space="0" w:color="58595B"/>
            </w:tcBorders>
            <w:shd w:val="clear" w:color="auto" w:fill="FFFFFF" w:themeFill="background1"/>
          </w:tcPr>
          <w:p w14:paraId="3B917581" w14:textId="77777777" w:rsidR="00D06CB2" w:rsidRPr="005C5E32" w:rsidRDefault="00D06CB2">
            <w:pPr>
              <w:pStyle w:val="TableText"/>
              <w:spacing w:before="40" w:after="40"/>
              <w:jc w:val="right"/>
            </w:pPr>
            <w:r w:rsidRPr="005C5E32">
              <w:t>422</w:t>
            </w:r>
          </w:p>
        </w:tc>
        <w:tc>
          <w:tcPr>
            <w:tcW w:w="1531" w:type="dxa"/>
            <w:tcBorders>
              <w:top w:val="single" w:sz="4" w:space="0" w:color="58595B"/>
              <w:bottom w:val="single" w:sz="4" w:space="0" w:color="58595B"/>
            </w:tcBorders>
            <w:shd w:val="clear" w:color="auto" w:fill="E7F2F2"/>
          </w:tcPr>
          <w:p w14:paraId="56559C25" w14:textId="77777777" w:rsidR="00D06CB2" w:rsidRPr="005C5E32" w:rsidRDefault="00D06CB2">
            <w:pPr>
              <w:pStyle w:val="TableText"/>
              <w:spacing w:before="40" w:after="40"/>
              <w:jc w:val="right"/>
            </w:pPr>
            <w:r w:rsidRPr="005C5E32">
              <w:t>313</w:t>
            </w:r>
          </w:p>
        </w:tc>
      </w:tr>
      <w:tr w:rsidR="00D06CB2" w:rsidRPr="005C5E32" w14:paraId="07CD9811" w14:textId="77777777" w:rsidTr="002B7200">
        <w:tc>
          <w:tcPr>
            <w:tcW w:w="4679" w:type="dxa"/>
            <w:tcBorders>
              <w:top w:val="single" w:sz="4" w:space="0" w:color="58595B"/>
              <w:bottom w:val="single" w:sz="4" w:space="0" w:color="58595B"/>
            </w:tcBorders>
          </w:tcPr>
          <w:p w14:paraId="0F556FBE" w14:textId="77777777" w:rsidR="00D06CB2" w:rsidRPr="005C5E32" w:rsidRDefault="00D06CB2">
            <w:pPr>
              <w:pStyle w:val="TableText"/>
              <w:spacing w:before="40" w:after="40"/>
            </w:pPr>
            <w:r w:rsidRPr="005C5E32">
              <w:t>Contributions and sponsorship*</w:t>
            </w:r>
          </w:p>
        </w:tc>
        <w:tc>
          <w:tcPr>
            <w:tcW w:w="1913" w:type="dxa"/>
            <w:tcBorders>
              <w:top w:val="single" w:sz="4" w:space="0" w:color="58595B"/>
              <w:bottom w:val="single" w:sz="4" w:space="0" w:color="58595B"/>
            </w:tcBorders>
            <w:shd w:val="clear" w:color="auto" w:fill="FFFFFF" w:themeFill="background1"/>
          </w:tcPr>
          <w:p w14:paraId="5BAC8531" w14:textId="77777777" w:rsidR="00D06CB2" w:rsidRPr="005C5E32" w:rsidRDefault="00D06CB2">
            <w:pPr>
              <w:pStyle w:val="TableText"/>
              <w:spacing w:before="40" w:after="40"/>
              <w:jc w:val="right"/>
            </w:pPr>
            <w:r w:rsidRPr="005C5E32">
              <w:t>12,237</w:t>
            </w:r>
          </w:p>
        </w:tc>
        <w:tc>
          <w:tcPr>
            <w:tcW w:w="1531" w:type="dxa"/>
            <w:tcBorders>
              <w:top w:val="single" w:sz="4" w:space="0" w:color="58595B"/>
              <w:bottom w:val="single" w:sz="4" w:space="0" w:color="58595B"/>
            </w:tcBorders>
            <w:shd w:val="clear" w:color="auto" w:fill="E7F2F2"/>
          </w:tcPr>
          <w:p w14:paraId="047E9959" w14:textId="77777777" w:rsidR="00D06CB2" w:rsidRPr="005C5E32" w:rsidRDefault="00D06CB2">
            <w:pPr>
              <w:pStyle w:val="TableText"/>
              <w:spacing w:before="40" w:after="40"/>
              <w:jc w:val="right"/>
            </w:pPr>
            <w:r w:rsidRPr="005C5E32">
              <w:t>17,787</w:t>
            </w:r>
          </w:p>
        </w:tc>
      </w:tr>
      <w:tr w:rsidR="00D06CB2" w:rsidRPr="005C5E32" w14:paraId="0EEF675C" w14:textId="77777777" w:rsidTr="002B7200">
        <w:tc>
          <w:tcPr>
            <w:tcW w:w="4679" w:type="dxa"/>
            <w:tcBorders>
              <w:top w:val="single" w:sz="4" w:space="0" w:color="58595B"/>
              <w:bottom w:val="single" w:sz="4" w:space="0" w:color="58595B"/>
            </w:tcBorders>
          </w:tcPr>
          <w:p w14:paraId="754F8882" w14:textId="77777777" w:rsidR="00D06CB2" w:rsidRPr="005C5E32" w:rsidRDefault="00D06CB2" w:rsidP="00CB3B39">
            <w:pPr>
              <w:pStyle w:val="TableboldGreen"/>
            </w:pPr>
            <w:r w:rsidRPr="005C5E32">
              <w:t>External resources</w:t>
            </w:r>
          </w:p>
        </w:tc>
        <w:tc>
          <w:tcPr>
            <w:tcW w:w="1913" w:type="dxa"/>
            <w:tcBorders>
              <w:top w:val="single" w:sz="4" w:space="0" w:color="58595B"/>
              <w:bottom w:val="single" w:sz="4" w:space="0" w:color="58595B"/>
            </w:tcBorders>
            <w:shd w:val="clear" w:color="auto" w:fill="FFFFFF" w:themeFill="background1"/>
          </w:tcPr>
          <w:p w14:paraId="0734D63F" w14:textId="77777777" w:rsidR="00D06CB2" w:rsidRPr="005C5E32" w:rsidRDefault="00D06CB2">
            <w:pPr>
              <w:pStyle w:val="TableText"/>
              <w:spacing w:before="40" w:after="40"/>
              <w:jc w:val="right"/>
            </w:pPr>
          </w:p>
        </w:tc>
        <w:tc>
          <w:tcPr>
            <w:tcW w:w="1531" w:type="dxa"/>
            <w:tcBorders>
              <w:top w:val="single" w:sz="4" w:space="0" w:color="58595B"/>
              <w:bottom w:val="single" w:sz="4" w:space="0" w:color="58595B"/>
            </w:tcBorders>
            <w:shd w:val="clear" w:color="auto" w:fill="E7F2F2"/>
          </w:tcPr>
          <w:p w14:paraId="110BDB79" w14:textId="77777777" w:rsidR="00D06CB2" w:rsidRPr="005C5E32" w:rsidRDefault="00D06CB2">
            <w:pPr>
              <w:pStyle w:val="TableText"/>
              <w:spacing w:before="40" w:after="40"/>
              <w:jc w:val="right"/>
            </w:pPr>
          </w:p>
        </w:tc>
      </w:tr>
      <w:tr w:rsidR="00D06CB2" w:rsidRPr="005C5E32" w14:paraId="530EC5B5" w14:textId="77777777" w:rsidTr="002B7200">
        <w:tc>
          <w:tcPr>
            <w:tcW w:w="4679" w:type="dxa"/>
            <w:tcBorders>
              <w:top w:val="single" w:sz="4" w:space="0" w:color="58595B"/>
              <w:bottom w:val="single" w:sz="4" w:space="0" w:color="58595B"/>
            </w:tcBorders>
          </w:tcPr>
          <w:p w14:paraId="115CE2F5" w14:textId="77777777" w:rsidR="00D06CB2" w:rsidRPr="005C5E32" w:rsidRDefault="00D06CB2" w:rsidP="00140634">
            <w:pPr>
              <w:pStyle w:val="TableText"/>
              <w:spacing w:before="40" w:after="40"/>
              <w:ind w:left="397" w:hanging="218"/>
            </w:pPr>
            <w:r w:rsidRPr="005C5E32">
              <w:t>Contractors and consulting fees</w:t>
            </w:r>
          </w:p>
        </w:tc>
        <w:tc>
          <w:tcPr>
            <w:tcW w:w="1913" w:type="dxa"/>
            <w:tcBorders>
              <w:top w:val="single" w:sz="4" w:space="0" w:color="58595B"/>
              <w:bottom w:val="single" w:sz="4" w:space="0" w:color="58595B"/>
            </w:tcBorders>
            <w:shd w:val="clear" w:color="auto" w:fill="FFFFFF" w:themeFill="background1"/>
          </w:tcPr>
          <w:p w14:paraId="337B7CC3" w14:textId="77777777" w:rsidR="00D06CB2" w:rsidRPr="005C5E32" w:rsidRDefault="00D06CB2">
            <w:pPr>
              <w:pStyle w:val="TableText"/>
              <w:spacing w:before="40" w:after="40"/>
              <w:jc w:val="right"/>
            </w:pPr>
            <w:r w:rsidRPr="005C5E32">
              <w:t>10,253</w:t>
            </w:r>
          </w:p>
        </w:tc>
        <w:tc>
          <w:tcPr>
            <w:tcW w:w="1531" w:type="dxa"/>
            <w:tcBorders>
              <w:top w:val="single" w:sz="4" w:space="0" w:color="58595B"/>
              <w:bottom w:val="single" w:sz="4" w:space="0" w:color="58595B"/>
            </w:tcBorders>
            <w:shd w:val="clear" w:color="auto" w:fill="E7F2F2"/>
          </w:tcPr>
          <w:p w14:paraId="236E21AE" w14:textId="77777777" w:rsidR="00D06CB2" w:rsidRPr="005C5E32" w:rsidRDefault="00D06CB2">
            <w:pPr>
              <w:pStyle w:val="TableText"/>
              <w:spacing w:before="40" w:after="40"/>
              <w:jc w:val="right"/>
            </w:pPr>
            <w:r w:rsidRPr="005C5E32">
              <w:t>21,929</w:t>
            </w:r>
          </w:p>
        </w:tc>
      </w:tr>
      <w:tr w:rsidR="00D06CB2" w:rsidRPr="005C5E32" w14:paraId="61149859" w14:textId="77777777" w:rsidTr="002B7200">
        <w:tc>
          <w:tcPr>
            <w:tcW w:w="4679" w:type="dxa"/>
            <w:tcBorders>
              <w:top w:val="single" w:sz="4" w:space="0" w:color="58595B"/>
              <w:bottom w:val="single" w:sz="4" w:space="0" w:color="58595B"/>
            </w:tcBorders>
          </w:tcPr>
          <w:p w14:paraId="78C3A51D" w14:textId="77777777" w:rsidR="00D06CB2" w:rsidRPr="005C5E32" w:rsidRDefault="00D06CB2" w:rsidP="00140634">
            <w:pPr>
              <w:pStyle w:val="TableText"/>
              <w:spacing w:before="40" w:after="40"/>
              <w:ind w:left="397" w:hanging="218"/>
            </w:pPr>
            <w:r w:rsidRPr="005C5E32">
              <w:t>Advisory groups</w:t>
            </w:r>
          </w:p>
        </w:tc>
        <w:tc>
          <w:tcPr>
            <w:tcW w:w="1913" w:type="dxa"/>
            <w:tcBorders>
              <w:top w:val="single" w:sz="4" w:space="0" w:color="58595B"/>
              <w:bottom w:val="single" w:sz="4" w:space="0" w:color="58595B"/>
            </w:tcBorders>
            <w:shd w:val="clear" w:color="auto" w:fill="FFFFFF" w:themeFill="background1"/>
          </w:tcPr>
          <w:p w14:paraId="04A24D1D" w14:textId="77777777" w:rsidR="00D06CB2" w:rsidRPr="005C5E32" w:rsidRDefault="00D06CB2">
            <w:pPr>
              <w:pStyle w:val="TableText"/>
              <w:spacing w:before="40" w:after="40"/>
              <w:jc w:val="right"/>
            </w:pPr>
            <w:r w:rsidRPr="005C5E32">
              <w:t>661</w:t>
            </w:r>
          </w:p>
        </w:tc>
        <w:tc>
          <w:tcPr>
            <w:tcW w:w="1531" w:type="dxa"/>
            <w:tcBorders>
              <w:top w:val="single" w:sz="4" w:space="0" w:color="58595B"/>
              <w:bottom w:val="single" w:sz="4" w:space="0" w:color="58595B"/>
            </w:tcBorders>
            <w:shd w:val="clear" w:color="auto" w:fill="E7F2F2"/>
          </w:tcPr>
          <w:p w14:paraId="61750383" w14:textId="77777777" w:rsidR="00D06CB2" w:rsidRPr="005C5E32" w:rsidRDefault="00D06CB2">
            <w:pPr>
              <w:pStyle w:val="TableText"/>
              <w:spacing w:before="40" w:after="40"/>
              <w:jc w:val="right"/>
            </w:pPr>
            <w:r w:rsidRPr="005C5E32">
              <w:t>142</w:t>
            </w:r>
          </w:p>
        </w:tc>
      </w:tr>
      <w:tr w:rsidR="00D06CB2" w:rsidRPr="005C5E32" w14:paraId="096C92A8" w14:textId="77777777" w:rsidTr="002B7200">
        <w:tc>
          <w:tcPr>
            <w:tcW w:w="4679" w:type="dxa"/>
            <w:tcBorders>
              <w:top w:val="single" w:sz="4" w:space="0" w:color="58595B"/>
              <w:bottom w:val="single" w:sz="4" w:space="0" w:color="58595B"/>
            </w:tcBorders>
          </w:tcPr>
          <w:p w14:paraId="6E256D6A" w14:textId="77777777" w:rsidR="00D06CB2" w:rsidRPr="005C5E32" w:rsidRDefault="00D06CB2" w:rsidP="00140634">
            <w:pPr>
              <w:pStyle w:val="TableText"/>
              <w:spacing w:before="40" w:after="40"/>
              <w:ind w:left="397" w:hanging="218"/>
            </w:pPr>
            <w:r w:rsidRPr="005C5E32">
              <w:t>Legal advice</w:t>
            </w:r>
          </w:p>
        </w:tc>
        <w:tc>
          <w:tcPr>
            <w:tcW w:w="1913" w:type="dxa"/>
            <w:tcBorders>
              <w:top w:val="single" w:sz="4" w:space="0" w:color="58595B"/>
              <w:bottom w:val="single" w:sz="4" w:space="0" w:color="58595B"/>
            </w:tcBorders>
            <w:shd w:val="clear" w:color="auto" w:fill="FFFFFF" w:themeFill="background1"/>
          </w:tcPr>
          <w:p w14:paraId="2CE3689B" w14:textId="77777777" w:rsidR="00D06CB2" w:rsidRPr="005C5E32" w:rsidRDefault="00D06CB2">
            <w:pPr>
              <w:pStyle w:val="TableText"/>
              <w:spacing w:before="40" w:after="40"/>
              <w:jc w:val="right"/>
            </w:pPr>
            <w:r w:rsidRPr="005C5E32">
              <w:t>4,140</w:t>
            </w:r>
          </w:p>
        </w:tc>
        <w:tc>
          <w:tcPr>
            <w:tcW w:w="1531" w:type="dxa"/>
            <w:tcBorders>
              <w:top w:val="single" w:sz="4" w:space="0" w:color="58595B"/>
              <w:bottom w:val="single" w:sz="4" w:space="0" w:color="58595B"/>
            </w:tcBorders>
            <w:shd w:val="clear" w:color="auto" w:fill="E7F2F2"/>
          </w:tcPr>
          <w:p w14:paraId="2B30C7C5" w14:textId="77777777" w:rsidR="00D06CB2" w:rsidRPr="005C5E32" w:rsidRDefault="00D06CB2">
            <w:pPr>
              <w:pStyle w:val="TableText"/>
              <w:spacing w:before="40" w:after="40"/>
              <w:jc w:val="right"/>
            </w:pPr>
            <w:r w:rsidRPr="005C5E32">
              <w:t>4,224</w:t>
            </w:r>
          </w:p>
        </w:tc>
      </w:tr>
      <w:tr w:rsidR="00D06CB2" w:rsidRPr="005C5E32" w14:paraId="167095A3" w14:textId="77777777" w:rsidTr="002B7200">
        <w:tc>
          <w:tcPr>
            <w:tcW w:w="4679" w:type="dxa"/>
            <w:tcBorders>
              <w:top w:val="single" w:sz="4" w:space="0" w:color="58595B"/>
              <w:bottom w:val="single" w:sz="4" w:space="0" w:color="58595B"/>
            </w:tcBorders>
          </w:tcPr>
          <w:p w14:paraId="2542F274" w14:textId="77777777" w:rsidR="00D06CB2" w:rsidRPr="005C5E32" w:rsidRDefault="00D06CB2" w:rsidP="00140634">
            <w:pPr>
              <w:pStyle w:val="TableText"/>
              <w:spacing w:before="40" w:after="40"/>
              <w:ind w:left="397" w:hanging="218"/>
            </w:pPr>
            <w:r w:rsidRPr="005C5E32">
              <w:t>Annual outsourced specialist services</w:t>
            </w:r>
          </w:p>
        </w:tc>
        <w:tc>
          <w:tcPr>
            <w:tcW w:w="1913" w:type="dxa"/>
            <w:tcBorders>
              <w:top w:val="single" w:sz="4" w:space="0" w:color="58595B"/>
              <w:bottom w:val="single" w:sz="4" w:space="0" w:color="58595B"/>
            </w:tcBorders>
            <w:shd w:val="clear" w:color="auto" w:fill="FFFFFF" w:themeFill="background1"/>
          </w:tcPr>
          <w:p w14:paraId="145C0131" w14:textId="77777777" w:rsidR="00D06CB2" w:rsidRPr="005C5E32" w:rsidRDefault="00D06CB2">
            <w:pPr>
              <w:pStyle w:val="TableText"/>
              <w:spacing w:before="40" w:after="40"/>
              <w:jc w:val="right"/>
            </w:pPr>
            <w:r w:rsidRPr="005C5E32">
              <w:t>10,289</w:t>
            </w:r>
          </w:p>
        </w:tc>
        <w:tc>
          <w:tcPr>
            <w:tcW w:w="1531" w:type="dxa"/>
            <w:tcBorders>
              <w:top w:val="single" w:sz="4" w:space="0" w:color="58595B"/>
              <w:bottom w:val="single" w:sz="4" w:space="0" w:color="58595B"/>
            </w:tcBorders>
            <w:shd w:val="clear" w:color="auto" w:fill="E7F2F2"/>
          </w:tcPr>
          <w:p w14:paraId="28A67F5B" w14:textId="77777777" w:rsidR="00D06CB2" w:rsidRPr="005C5E32" w:rsidRDefault="00D06CB2">
            <w:pPr>
              <w:pStyle w:val="TableText"/>
              <w:spacing w:before="40" w:after="40"/>
              <w:jc w:val="right"/>
            </w:pPr>
            <w:r w:rsidRPr="005C5E32">
              <w:t>11,075</w:t>
            </w:r>
          </w:p>
        </w:tc>
      </w:tr>
      <w:tr w:rsidR="00D06CB2" w:rsidRPr="005C5E32" w14:paraId="364921EB" w14:textId="77777777" w:rsidTr="002B7200">
        <w:tc>
          <w:tcPr>
            <w:tcW w:w="4679" w:type="dxa"/>
            <w:tcBorders>
              <w:top w:val="single" w:sz="4" w:space="0" w:color="58595B"/>
              <w:bottom w:val="single" w:sz="4" w:space="0" w:color="58595B"/>
            </w:tcBorders>
          </w:tcPr>
          <w:p w14:paraId="78293DF1" w14:textId="77777777" w:rsidR="00D06CB2" w:rsidRPr="005C5E32" w:rsidRDefault="00D06CB2" w:rsidP="00140634">
            <w:pPr>
              <w:pStyle w:val="TableText"/>
              <w:spacing w:before="40" w:after="40"/>
              <w:ind w:left="397" w:hanging="218"/>
            </w:pPr>
            <w:r w:rsidRPr="005C5E32">
              <w:t>Services provided by other government agencies</w:t>
            </w:r>
          </w:p>
        </w:tc>
        <w:tc>
          <w:tcPr>
            <w:tcW w:w="1913" w:type="dxa"/>
            <w:tcBorders>
              <w:top w:val="single" w:sz="4" w:space="0" w:color="58595B"/>
              <w:bottom w:val="single" w:sz="4" w:space="0" w:color="58595B"/>
            </w:tcBorders>
            <w:shd w:val="clear" w:color="auto" w:fill="FFFFFF" w:themeFill="background1"/>
          </w:tcPr>
          <w:p w14:paraId="613A3B70" w14:textId="77777777" w:rsidR="00D06CB2" w:rsidRPr="005C5E32" w:rsidRDefault="00D06CB2">
            <w:pPr>
              <w:pStyle w:val="TableText"/>
              <w:spacing w:before="40" w:after="40"/>
              <w:jc w:val="right"/>
            </w:pPr>
            <w:r w:rsidRPr="005C5E32">
              <w:t>4,673</w:t>
            </w:r>
          </w:p>
        </w:tc>
        <w:tc>
          <w:tcPr>
            <w:tcW w:w="1531" w:type="dxa"/>
            <w:tcBorders>
              <w:top w:val="single" w:sz="4" w:space="0" w:color="58595B"/>
              <w:bottom w:val="single" w:sz="4" w:space="0" w:color="58595B"/>
            </w:tcBorders>
            <w:shd w:val="clear" w:color="auto" w:fill="E7F2F2"/>
          </w:tcPr>
          <w:p w14:paraId="12071F51" w14:textId="77777777" w:rsidR="00D06CB2" w:rsidRPr="005C5E32" w:rsidRDefault="00D06CB2">
            <w:pPr>
              <w:pStyle w:val="TableText"/>
              <w:spacing w:before="40" w:after="40"/>
              <w:jc w:val="right"/>
            </w:pPr>
            <w:r w:rsidRPr="005C5E32">
              <w:t>10,728</w:t>
            </w:r>
          </w:p>
        </w:tc>
      </w:tr>
      <w:tr w:rsidR="00D06CB2" w:rsidRPr="005C5E32" w14:paraId="790869C4" w14:textId="77777777" w:rsidTr="002B7200">
        <w:tc>
          <w:tcPr>
            <w:tcW w:w="4679" w:type="dxa"/>
            <w:tcBorders>
              <w:top w:val="single" w:sz="4" w:space="0" w:color="58595B"/>
              <w:bottom w:val="single" w:sz="4" w:space="0" w:color="58595B"/>
            </w:tcBorders>
          </w:tcPr>
          <w:p w14:paraId="2EA716C1" w14:textId="77777777" w:rsidR="00D06CB2" w:rsidRPr="005C5E32" w:rsidRDefault="00D06CB2" w:rsidP="001E6D05">
            <w:pPr>
              <w:pStyle w:val="TableText"/>
              <w:spacing w:before="40" w:after="40"/>
            </w:pPr>
            <w:r w:rsidRPr="005C5E32">
              <w:t>General and administration</w:t>
            </w:r>
          </w:p>
        </w:tc>
        <w:tc>
          <w:tcPr>
            <w:tcW w:w="1913" w:type="dxa"/>
            <w:tcBorders>
              <w:top w:val="single" w:sz="4" w:space="0" w:color="58595B"/>
              <w:bottom w:val="single" w:sz="4" w:space="0" w:color="58595B"/>
            </w:tcBorders>
            <w:shd w:val="clear" w:color="auto" w:fill="FFFFFF" w:themeFill="background1"/>
          </w:tcPr>
          <w:p w14:paraId="5B20B08B" w14:textId="77777777" w:rsidR="00D06CB2" w:rsidRPr="005C5E32" w:rsidRDefault="00D06CB2">
            <w:pPr>
              <w:pStyle w:val="TableText"/>
              <w:spacing w:before="40" w:after="40"/>
              <w:jc w:val="right"/>
            </w:pPr>
            <w:r w:rsidRPr="005C5E32">
              <w:t>4,461</w:t>
            </w:r>
          </w:p>
        </w:tc>
        <w:tc>
          <w:tcPr>
            <w:tcW w:w="1531" w:type="dxa"/>
            <w:tcBorders>
              <w:top w:val="single" w:sz="4" w:space="0" w:color="58595B"/>
              <w:bottom w:val="single" w:sz="4" w:space="0" w:color="58595B"/>
            </w:tcBorders>
            <w:shd w:val="clear" w:color="auto" w:fill="E7F2F2"/>
          </w:tcPr>
          <w:p w14:paraId="1021BAD0" w14:textId="77777777" w:rsidR="00D06CB2" w:rsidRPr="005C5E32" w:rsidRDefault="00D06CB2">
            <w:pPr>
              <w:pStyle w:val="TableText"/>
              <w:spacing w:before="40" w:after="40"/>
              <w:jc w:val="right"/>
            </w:pPr>
            <w:r w:rsidRPr="005C5E32">
              <w:t>(519)</w:t>
            </w:r>
          </w:p>
        </w:tc>
      </w:tr>
      <w:tr w:rsidR="00D06CB2" w:rsidRPr="005C5E32" w14:paraId="57486CF5" w14:textId="77777777" w:rsidTr="002B7200">
        <w:tc>
          <w:tcPr>
            <w:tcW w:w="4679" w:type="dxa"/>
            <w:tcBorders>
              <w:top w:val="single" w:sz="4" w:space="0" w:color="58595B"/>
              <w:bottom w:val="single" w:sz="4" w:space="0" w:color="58595B"/>
            </w:tcBorders>
          </w:tcPr>
          <w:p w14:paraId="52CE8AD9" w14:textId="77777777" w:rsidR="00D06CB2" w:rsidRPr="005C5E32" w:rsidRDefault="00D06CB2">
            <w:pPr>
              <w:pStyle w:val="TableText"/>
              <w:spacing w:before="40" w:after="40"/>
            </w:pPr>
            <w:r w:rsidRPr="005C5E32">
              <w:t>Net loss on disposal of property, plant and equipment</w:t>
            </w:r>
          </w:p>
        </w:tc>
        <w:tc>
          <w:tcPr>
            <w:tcW w:w="1913" w:type="dxa"/>
            <w:tcBorders>
              <w:top w:val="single" w:sz="4" w:space="0" w:color="58595B"/>
              <w:bottom w:val="single" w:sz="4" w:space="0" w:color="58595B"/>
            </w:tcBorders>
            <w:shd w:val="clear" w:color="auto" w:fill="FFFFFF" w:themeFill="background1"/>
          </w:tcPr>
          <w:p w14:paraId="58B19068" w14:textId="77777777" w:rsidR="00D06CB2" w:rsidRPr="005C5E32" w:rsidRDefault="00D06CB2">
            <w:pPr>
              <w:pStyle w:val="TableText"/>
              <w:spacing w:before="40" w:after="40"/>
              <w:jc w:val="right"/>
            </w:pPr>
            <w:r w:rsidRPr="005C5E32">
              <w:t>–</w:t>
            </w:r>
          </w:p>
        </w:tc>
        <w:tc>
          <w:tcPr>
            <w:tcW w:w="1531" w:type="dxa"/>
            <w:tcBorders>
              <w:top w:val="single" w:sz="4" w:space="0" w:color="58595B"/>
              <w:bottom w:val="single" w:sz="4" w:space="0" w:color="58595B"/>
            </w:tcBorders>
            <w:shd w:val="clear" w:color="auto" w:fill="E7F2F2"/>
          </w:tcPr>
          <w:p w14:paraId="2EFDBD00" w14:textId="77777777" w:rsidR="00D06CB2" w:rsidRPr="005C5E32" w:rsidRDefault="00D06CB2">
            <w:pPr>
              <w:pStyle w:val="TableText"/>
              <w:spacing w:before="40" w:after="40"/>
              <w:jc w:val="right"/>
            </w:pPr>
            <w:r w:rsidRPr="005C5E32">
              <w:t>–</w:t>
            </w:r>
          </w:p>
        </w:tc>
      </w:tr>
      <w:tr w:rsidR="00D06CB2" w:rsidRPr="005C5E32" w14:paraId="6E15F97A" w14:textId="77777777" w:rsidTr="002B7200">
        <w:tc>
          <w:tcPr>
            <w:tcW w:w="4679" w:type="dxa"/>
            <w:tcBorders>
              <w:top w:val="single" w:sz="4" w:space="0" w:color="58595B"/>
              <w:bottom w:val="single" w:sz="4" w:space="0" w:color="58595B"/>
            </w:tcBorders>
          </w:tcPr>
          <w:p w14:paraId="1088E98B" w14:textId="77777777" w:rsidR="00D06CB2" w:rsidRPr="005C5E32" w:rsidRDefault="00D06CB2">
            <w:pPr>
              <w:pStyle w:val="TableText"/>
              <w:spacing w:before="40" w:after="40"/>
            </w:pPr>
            <w:r w:rsidRPr="005C5E32">
              <w:t>Other expenses</w:t>
            </w:r>
          </w:p>
        </w:tc>
        <w:tc>
          <w:tcPr>
            <w:tcW w:w="1913" w:type="dxa"/>
            <w:tcBorders>
              <w:top w:val="single" w:sz="4" w:space="0" w:color="58595B"/>
              <w:bottom w:val="single" w:sz="4" w:space="0" w:color="58595B"/>
            </w:tcBorders>
            <w:shd w:val="clear" w:color="auto" w:fill="FFFFFF" w:themeFill="background1"/>
          </w:tcPr>
          <w:p w14:paraId="6F743A9B" w14:textId="77777777" w:rsidR="00D06CB2" w:rsidRPr="005C5E32" w:rsidRDefault="00D06CB2">
            <w:pPr>
              <w:pStyle w:val="TableText"/>
              <w:spacing w:before="40" w:after="40"/>
              <w:jc w:val="right"/>
            </w:pPr>
            <w:r w:rsidRPr="005C5E32">
              <w:t>7,336</w:t>
            </w:r>
          </w:p>
        </w:tc>
        <w:tc>
          <w:tcPr>
            <w:tcW w:w="1531" w:type="dxa"/>
            <w:tcBorders>
              <w:top w:val="single" w:sz="4" w:space="0" w:color="58595B"/>
              <w:bottom w:val="single" w:sz="4" w:space="0" w:color="58595B"/>
            </w:tcBorders>
            <w:shd w:val="clear" w:color="auto" w:fill="E7F2F2"/>
          </w:tcPr>
          <w:p w14:paraId="58F94697" w14:textId="77777777" w:rsidR="00D06CB2" w:rsidRPr="005C5E32" w:rsidRDefault="00D06CB2">
            <w:pPr>
              <w:pStyle w:val="TableText"/>
              <w:spacing w:before="40" w:after="40"/>
              <w:jc w:val="right"/>
            </w:pPr>
            <w:r w:rsidRPr="005C5E32">
              <w:t>9,764</w:t>
            </w:r>
          </w:p>
        </w:tc>
      </w:tr>
      <w:tr w:rsidR="00D06CB2" w:rsidRPr="005C5E32" w14:paraId="19602C75" w14:textId="77777777" w:rsidTr="002B7200">
        <w:tc>
          <w:tcPr>
            <w:tcW w:w="4679" w:type="dxa"/>
            <w:tcBorders>
              <w:top w:val="single" w:sz="4" w:space="0" w:color="58595B"/>
              <w:bottom w:val="single" w:sz="4" w:space="0" w:color="58595B"/>
            </w:tcBorders>
          </w:tcPr>
          <w:p w14:paraId="5C10A95E" w14:textId="77777777" w:rsidR="00D06CB2" w:rsidRPr="005C5E32" w:rsidRDefault="00D06CB2">
            <w:pPr>
              <w:pStyle w:val="TableTextbold"/>
              <w:spacing w:before="40" w:after="40"/>
            </w:pPr>
            <w:r w:rsidRPr="005C5E32">
              <w:t>Total other expenses</w:t>
            </w:r>
          </w:p>
        </w:tc>
        <w:tc>
          <w:tcPr>
            <w:tcW w:w="1913" w:type="dxa"/>
            <w:tcBorders>
              <w:top w:val="single" w:sz="4" w:space="0" w:color="58595B"/>
              <w:bottom w:val="single" w:sz="4" w:space="0" w:color="58595B"/>
            </w:tcBorders>
            <w:shd w:val="clear" w:color="auto" w:fill="FFFFFF" w:themeFill="background1"/>
          </w:tcPr>
          <w:p w14:paraId="063E524B" w14:textId="77777777" w:rsidR="00D06CB2" w:rsidRPr="005C5E32" w:rsidRDefault="00D06CB2">
            <w:pPr>
              <w:pStyle w:val="TableTextbold"/>
              <w:spacing w:before="40" w:after="40"/>
              <w:jc w:val="right"/>
            </w:pPr>
            <w:r w:rsidRPr="005C5E32">
              <w:t>58,320</w:t>
            </w:r>
          </w:p>
        </w:tc>
        <w:tc>
          <w:tcPr>
            <w:tcW w:w="1531" w:type="dxa"/>
            <w:tcBorders>
              <w:top w:val="single" w:sz="4" w:space="0" w:color="58595B"/>
              <w:bottom w:val="single" w:sz="4" w:space="0" w:color="58595B"/>
            </w:tcBorders>
            <w:shd w:val="clear" w:color="auto" w:fill="E7F2F2"/>
          </w:tcPr>
          <w:p w14:paraId="1FE7C43D" w14:textId="77777777" w:rsidR="00D06CB2" w:rsidRPr="005C5E32" w:rsidRDefault="00D06CB2">
            <w:pPr>
              <w:pStyle w:val="TableTextbold"/>
              <w:spacing w:before="40" w:after="40"/>
              <w:jc w:val="right"/>
            </w:pPr>
            <w:r w:rsidRPr="005C5E32">
              <w:t>79,298</w:t>
            </w:r>
          </w:p>
        </w:tc>
      </w:tr>
    </w:tbl>
    <w:p w14:paraId="1996453F" w14:textId="33D66508" w:rsidR="00D06CB2" w:rsidRPr="005C5E32" w:rsidRDefault="00D06CB2" w:rsidP="00A03341">
      <w:pPr>
        <w:pStyle w:val="Note"/>
      </w:pPr>
      <w:r w:rsidRPr="005C5E32">
        <w:t xml:space="preserve">* </w:t>
      </w:r>
      <w:r w:rsidRPr="005C5E32">
        <w:rPr>
          <w:spacing w:val="-2"/>
        </w:rPr>
        <w:t>Contributions and sponsorship are made towards waste reduction and sustainability initiatives</w:t>
      </w:r>
      <w:r w:rsidR="005B1910">
        <w:rPr>
          <w:spacing w:val="-2"/>
        </w:rPr>
        <w:t xml:space="preserve">, </w:t>
      </w:r>
      <w:r w:rsidRPr="005C5E32">
        <w:rPr>
          <w:spacing w:val="-2"/>
        </w:rPr>
        <w:t>iwi partnerships</w:t>
      </w:r>
      <w:r w:rsidR="00B66137">
        <w:rPr>
          <w:spacing w:val="-2"/>
        </w:rPr>
        <w:t xml:space="preserve"> and other items</w:t>
      </w:r>
      <w:r w:rsidRPr="005C5E32">
        <w:rPr>
          <w:spacing w:val="-2"/>
        </w:rPr>
        <w:t>.</w:t>
      </w:r>
      <w:r w:rsidRPr="005C5E32">
        <w:t xml:space="preserve"> </w:t>
      </w:r>
    </w:p>
    <w:p w14:paraId="34EB32F7" w14:textId="77777777" w:rsidR="00D06CB2" w:rsidRPr="005C5E32" w:rsidRDefault="00D06CB2" w:rsidP="00A03341">
      <w:pPr>
        <w:pStyle w:val="Heading3"/>
        <w:tabs>
          <w:tab w:val="clear" w:pos="851"/>
          <w:tab w:val="left" w:pos="567"/>
        </w:tabs>
      </w:pPr>
      <w:r w:rsidRPr="005C5E32">
        <w:t>7.</w:t>
      </w:r>
      <w:r w:rsidRPr="005C5E32">
        <w:tab/>
      </w:r>
      <w:bookmarkStart w:id="338" w:name="_Toc112144630"/>
      <w:r w:rsidRPr="005C5E32">
        <w:t>Receivables</w:t>
      </w:r>
      <w:bookmarkEnd w:id="338"/>
    </w:p>
    <w:p w14:paraId="3E0F0699" w14:textId="77777777" w:rsidR="00D06CB2" w:rsidRPr="005C5E32" w:rsidRDefault="00D06CB2" w:rsidP="00A03341">
      <w:pPr>
        <w:pStyle w:val="Heading4"/>
        <w:spacing w:before="180"/>
      </w:pPr>
      <w:r w:rsidRPr="005C5E32">
        <w:t>Accounting policy</w:t>
      </w:r>
    </w:p>
    <w:p w14:paraId="617CDF64" w14:textId="77777777" w:rsidR="00D06CB2" w:rsidRPr="005C5E32" w:rsidRDefault="00D06CB2" w:rsidP="00A03341">
      <w:pPr>
        <w:pStyle w:val="BodyText"/>
      </w:pPr>
      <w:r w:rsidRPr="005C5E32">
        <w:t>Receivables are initially measured at their face value, less an allowance for expected credit losses. The Ministry applies the simplified expected credit loss model of recognising lifetime expected credit losses for receivables.</w:t>
      </w:r>
    </w:p>
    <w:p w14:paraId="0E92E7EE" w14:textId="77777777" w:rsidR="00D06CB2" w:rsidRPr="005C5E32" w:rsidRDefault="00D06CB2" w:rsidP="00A03341">
      <w:pPr>
        <w:pStyle w:val="BodyText"/>
      </w:pPr>
      <w:r w:rsidRPr="005C5E32">
        <w:lastRenderedPageBreak/>
        <w:t>In measuring expected credit losses, the Ministry has assessed short-term receivables on a collective basis as they possess shared credit risk characteristics. They have been grouped based on the days past due.</w:t>
      </w:r>
    </w:p>
    <w:p w14:paraId="34D85ED1" w14:textId="77777777" w:rsidR="00D06CB2" w:rsidRPr="005C5E32" w:rsidRDefault="00D06CB2" w:rsidP="00A03341">
      <w:pPr>
        <w:pStyle w:val="BodyText"/>
      </w:pPr>
      <w:r w:rsidRPr="005C5E32">
        <w:t>Short-term receivables are written off when there is no reasonable expectation of recovery. Indicators that there is no reasonable expectation of recovery include the debtor being in liquidation.</w:t>
      </w:r>
    </w:p>
    <w:p w14:paraId="6BBA4B18" w14:textId="77777777" w:rsidR="00D06CB2" w:rsidRPr="005C5E32" w:rsidRDefault="00D06CB2" w:rsidP="00A03341">
      <w:pPr>
        <w:pStyle w:val="Heading5"/>
        <w:spacing w:after="120"/>
      </w:pPr>
      <w:r w:rsidRPr="005C5E32">
        <w:t>Breakdown of receivables and further information</w:t>
      </w:r>
    </w:p>
    <w:tbl>
      <w:tblPr>
        <w:tblStyle w:val="TableGrid"/>
        <w:tblW w:w="8505" w:type="dxa"/>
        <w:tblBorders>
          <w:left w:val="none" w:sz="0" w:space="0" w:color="auto"/>
          <w:right w:val="none" w:sz="0" w:space="0" w:color="auto"/>
        </w:tblBorders>
        <w:tblLook w:val="04A0" w:firstRow="1" w:lastRow="0" w:firstColumn="1" w:lastColumn="0" w:noHBand="0" w:noVBand="1"/>
      </w:tblPr>
      <w:tblGrid>
        <w:gridCol w:w="4610"/>
        <w:gridCol w:w="2378"/>
        <w:gridCol w:w="1517"/>
      </w:tblGrid>
      <w:tr w:rsidR="00D06CB2" w:rsidRPr="005C5E32" w14:paraId="253275C4" w14:textId="77777777" w:rsidTr="002B7200">
        <w:tc>
          <w:tcPr>
            <w:tcW w:w="4679" w:type="dxa"/>
            <w:tcBorders>
              <w:top w:val="single" w:sz="4" w:space="0" w:color="0E7B7E"/>
              <w:bottom w:val="single" w:sz="4" w:space="0" w:color="58595B"/>
              <w:right w:val="nil"/>
            </w:tcBorders>
          </w:tcPr>
          <w:p w14:paraId="64DFC962" w14:textId="77777777" w:rsidR="00D06CB2" w:rsidRPr="005C5E32" w:rsidRDefault="00D06CB2">
            <w:pPr>
              <w:pStyle w:val="TableTextbold"/>
              <w:spacing w:before="40" w:after="40"/>
            </w:pPr>
          </w:p>
        </w:tc>
        <w:tc>
          <w:tcPr>
            <w:tcW w:w="2409" w:type="dxa"/>
            <w:tcBorders>
              <w:top w:val="single" w:sz="4" w:space="0" w:color="0E7B7E"/>
              <w:left w:val="nil"/>
              <w:bottom w:val="single" w:sz="4" w:space="0" w:color="58595B"/>
              <w:right w:val="nil"/>
            </w:tcBorders>
            <w:vAlign w:val="bottom"/>
          </w:tcPr>
          <w:p w14:paraId="783DA391" w14:textId="77777777" w:rsidR="00D06CB2" w:rsidRPr="005C5E32" w:rsidRDefault="00D06CB2">
            <w:pPr>
              <w:pStyle w:val="TableTextbold"/>
              <w:spacing w:before="40" w:after="40"/>
              <w:jc w:val="right"/>
              <w:rPr>
                <w:color w:val="0E7B7E"/>
              </w:rPr>
            </w:pPr>
            <w:r w:rsidRPr="005C5E32">
              <w:rPr>
                <w:color w:val="0E7B7E"/>
              </w:rPr>
              <w:t xml:space="preserve">2024/25 </w:t>
            </w:r>
            <w:r w:rsidRPr="005C5E32">
              <w:rPr>
                <w:color w:val="0E7B7E"/>
              </w:rPr>
              <w:br/>
              <w:t xml:space="preserve">Actual </w:t>
            </w:r>
            <w:r w:rsidRPr="005C5E32">
              <w:rPr>
                <w:color w:val="0E7B7E"/>
              </w:rPr>
              <w:br/>
              <w:t>$000</w:t>
            </w:r>
          </w:p>
        </w:tc>
        <w:tc>
          <w:tcPr>
            <w:tcW w:w="1531" w:type="dxa"/>
            <w:tcBorders>
              <w:top w:val="single" w:sz="4" w:space="0" w:color="0E7B7E"/>
              <w:left w:val="nil"/>
              <w:bottom w:val="single" w:sz="4" w:space="0" w:color="58595B"/>
            </w:tcBorders>
            <w:shd w:val="clear" w:color="auto" w:fill="E7F2F2"/>
            <w:vAlign w:val="bottom"/>
          </w:tcPr>
          <w:p w14:paraId="6FB8F240" w14:textId="77777777" w:rsidR="00D06CB2" w:rsidRPr="005C5E32" w:rsidRDefault="00D06CB2">
            <w:pPr>
              <w:pStyle w:val="TableTextbold"/>
              <w:spacing w:before="40" w:after="40"/>
              <w:jc w:val="right"/>
              <w:rPr>
                <w:color w:val="0E7B7E"/>
              </w:rPr>
            </w:pPr>
            <w:r w:rsidRPr="005C5E32">
              <w:rPr>
                <w:color w:val="0E7B7E"/>
              </w:rPr>
              <w:t xml:space="preserve">2025/26 </w:t>
            </w:r>
            <w:r w:rsidRPr="005C5E32">
              <w:rPr>
                <w:color w:val="0E7B7E"/>
              </w:rPr>
              <w:br/>
              <w:t xml:space="preserve">Actual </w:t>
            </w:r>
            <w:r w:rsidRPr="005C5E32">
              <w:rPr>
                <w:color w:val="0E7B7E"/>
              </w:rPr>
              <w:br/>
              <w:t>$000</w:t>
            </w:r>
          </w:p>
        </w:tc>
      </w:tr>
      <w:tr w:rsidR="00D06CB2" w:rsidRPr="005C5E32" w14:paraId="126EBD1E" w14:textId="77777777" w:rsidTr="002B7200">
        <w:tc>
          <w:tcPr>
            <w:tcW w:w="4679" w:type="dxa"/>
            <w:tcBorders>
              <w:top w:val="single" w:sz="4" w:space="0" w:color="58595B"/>
              <w:bottom w:val="single" w:sz="4" w:space="0" w:color="58595B"/>
              <w:right w:val="nil"/>
            </w:tcBorders>
          </w:tcPr>
          <w:p w14:paraId="1BDCA511" w14:textId="77777777" w:rsidR="00D06CB2" w:rsidRPr="005C5E32" w:rsidRDefault="00D06CB2">
            <w:pPr>
              <w:pStyle w:val="TableboldGreen"/>
              <w:spacing w:before="40" w:after="40"/>
            </w:pPr>
            <w:r w:rsidRPr="005C5E32">
              <w:t>Receivables from non-exchange transactions</w:t>
            </w:r>
          </w:p>
        </w:tc>
        <w:tc>
          <w:tcPr>
            <w:tcW w:w="2409" w:type="dxa"/>
            <w:tcBorders>
              <w:top w:val="single" w:sz="4" w:space="0" w:color="58595B"/>
              <w:left w:val="nil"/>
              <w:bottom w:val="single" w:sz="4" w:space="0" w:color="58595B"/>
              <w:right w:val="nil"/>
            </w:tcBorders>
          </w:tcPr>
          <w:p w14:paraId="7AB52DE0" w14:textId="77777777" w:rsidR="00D06CB2" w:rsidRPr="005C5E32" w:rsidRDefault="00D06CB2">
            <w:pPr>
              <w:pStyle w:val="TableText"/>
              <w:spacing w:before="40" w:after="40"/>
              <w:jc w:val="right"/>
            </w:pPr>
          </w:p>
        </w:tc>
        <w:tc>
          <w:tcPr>
            <w:tcW w:w="1531" w:type="dxa"/>
            <w:tcBorders>
              <w:top w:val="single" w:sz="4" w:space="0" w:color="58595B"/>
              <w:left w:val="nil"/>
              <w:bottom w:val="single" w:sz="4" w:space="0" w:color="58595B"/>
            </w:tcBorders>
            <w:shd w:val="clear" w:color="auto" w:fill="E7F2F2"/>
          </w:tcPr>
          <w:p w14:paraId="13ADED21" w14:textId="77777777" w:rsidR="00D06CB2" w:rsidRPr="005C5E32" w:rsidRDefault="00D06CB2">
            <w:pPr>
              <w:pStyle w:val="TableText"/>
              <w:spacing w:before="40" w:after="40"/>
              <w:jc w:val="right"/>
            </w:pPr>
          </w:p>
        </w:tc>
      </w:tr>
      <w:tr w:rsidR="00D06CB2" w:rsidRPr="005C5E32" w14:paraId="76708A35" w14:textId="77777777" w:rsidTr="002B7200">
        <w:tc>
          <w:tcPr>
            <w:tcW w:w="4679" w:type="dxa"/>
            <w:tcBorders>
              <w:top w:val="single" w:sz="4" w:space="0" w:color="58595B"/>
              <w:bottom w:val="single" w:sz="4" w:space="0" w:color="58595B"/>
              <w:right w:val="nil"/>
            </w:tcBorders>
          </w:tcPr>
          <w:p w14:paraId="3D59EF3B" w14:textId="77777777" w:rsidR="00D06CB2" w:rsidRPr="005C5E32" w:rsidRDefault="00D06CB2">
            <w:pPr>
              <w:pStyle w:val="TableText"/>
              <w:spacing w:before="40" w:after="40"/>
            </w:pPr>
            <w:r w:rsidRPr="005C5E32">
              <w:t>Debtor Crown</w:t>
            </w:r>
          </w:p>
        </w:tc>
        <w:tc>
          <w:tcPr>
            <w:tcW w:w="2409" w:type="dxa"/>
            <w:tcBorders>
              <w:top w:val="single" w:sz="4" w:space="0" w:color="58595B"/>
              <w:left w:val="nil"/>
              <w:bottom w:val="single" w:sz="4" w:space="0" w:color="58595B"/>
              <w:right w:val="nil"/>
            </w:tcBorders>
          </w:tcPr>
          <w:p w14:paraId="3E3B8147" w14:textId="77777777" w:rsidR="00D06CB2" w:rsidRPr="005C5E32" w:rsidRDefault="00D06CB2">
            <w:pPr>
              <w:pStyle w:val="TableText"/>
              <w:spacing w:before="40" w:after="40"/>
              <w:jc w:val="right"/>
            </w:pPr>
            <w:r w:rsidRPr="005C5E32">
              <w:t>31,053</w:t>
            </w:r>
          </w:p>
        </w:tc>
        <w:tc>
          <w:tcPr>
            <w:tcW w:w="1531" w:type="dxa"/>
            <w:tcBorders>
              <w:top w:val="single" w:sz="4" w:space="0" w:color="58595B"/>
              <w:left w:val="nil"/>
              <w:bottom w:val="single" w:sz="4" w:space="0" w:color="58595B"/>
            </w:tcBorders>
            <w:shd w:val="clear" w:color="auto" w:fill="E7F2F2"/>
          </w:tcPr>
          <w:p w14:paraId="0BDB4847" w14:textId="77777777" w:rsidR="00D06CB2" w:rsidRPr="005C5E32" w:rsidRDefault="00D06CB2">
            <w:pPr>
              <w:pStyle w:val="TableText"/>
              <w:spacing w:before="40" w:after="40"/>
              <w:jc w:val="right"/>
            </w:pPr>
            <w:r w:rsidRPr="005C5E32">
              <w:t>26,053</w:t>
            </w:r>
          </w:p>
        </w:tc>
      </w:tr>
      <w:tr w:rsidR="00D06CB2" w:rsidRPr="005C5E32" w14:paraId="603BCCE7" w14:textId="77777777" w:rsidTr="002B7200">
        <w:tc>
          <w:tcPr>
            <w:tcW w:w="4679" w:type="dxa"/>
            <w:tcBorders>
              <w:top w:val="single" w:sz="4" w:space="0" w:color="58595B"/>
              <w:bottom w:val="single" w:sz="4" w:space="0" w:color="58595B"/>
              <w:right w:val="nil"/>
            </w:tcBorders>
          </w:tcPr>
          <w:p w14:paraId="5672F8DB" w14:textId="77777777" w:rsidR="00D06CB2" w:rsidRPr="005C5E32" w:rsidRDefault="00D06CB2">
            <w:pPr>
              <w:pStyle w:val="TableText"/>
              <w:spacing w:before="40" w:after="40"/>
            </w:pPr>
            <w:r w:rsidRPr="005C5E32">
              <w:t>Total receivables from non-exchange transactions</w:t>
            </w:r>
          </w:p>
        </w:tc>
        <w:tc>
          <w:tcPr>
            <w:tcW w:w="2409" w:type="dxa"/>
            <w:tcBorders>
              <w:top w:val="single" w:sz="4" w:space="0" w:color="58595B"/>
              <w:left w:val="nil"/>
              <w:bottom w:val="single" w:sz="4" w:space="0" w:color="58595B"/>
              <w:right w:val="nil"/>
            </w:tcBorders>
          </w:tcPr>
          <w:p w14:paraId="13C1CF17" w14:textId="77777777" w:rsidR="00D06CB2" w:rsidRPr="005C5E32" w:rsidRDefault="00D06CB2">
            <w:pPr>
              <w:pStyle w:val="TableText"/>
              <w:spacing w:before="40" w:after="40"/>
              <w:jc w:val="right"/>
            </w:pPr>
            <w:r w:rsidRPr="005C5E32">
              <w:t>31,053</w:t>
            </w:r>
          </w:p>
        </w:tc>
        <w:tc>
          <w:tcPr>
            <w:tcW w:w="1531" w:type="dxa"/>
            <w:tcBorders>
              <w:top w:val="single" w:sz="4" w:space="0" w:color="58595B"/>
              <w:left w:val="nil"/>
              <w:bottom w:val="single" w:sz="4" w:space="0" w:color="58595B"/>
            </w:tcBorders>
            <w:shd w:val="clear" w:color="auto" w:fill="E7F2F2"/>
          </w:tcPr>
          <w:p w14:paraId="0D325D8E" w14:textId="77777777" w:rsidR="00D06CB2" w:rsidRPr="005C5E32" w:rsidRDefault="00D06CB2">
            <w:pPr>
              <w:pStyle w:val="TableText"/>
              <w:spacing w:before="40" w:after="40"/>
              <w:jc w:val="right"/>
            </w:pPr>
            <w:r w:rsidRPr="005C5E32">
              <w:t>26,053</w:t>
            </w:r>
          </w:p>
        </w:tc>
      </w:tr>
      <w:tr w:rsidR="00D06CB2" w:rsidRPr="005C5E32" w14:paraId="5527F53F" w14:textId="77777777" w:rsidTr="002B7200">
        <w:tc>
          <w:tcPr>
            <w:tcW w:w="4679" w:type="dxa"/>
            <w:tcBorders>
              <w:top w:val="single" w:sz="4" w:space="0" w:color="58595B"/>
              <w:bottom w:val="single" w:sz="4" w:space="0" w:color="58595B"/>
              <w:right w:val="nil"/>
            </w:tcBorders>
          </w:tcPr>
          <w:p w14:paraId="71309C39" w14:textId="77777777" w:rsidR="00D06CB2" w:rsidRPr="005C5E32" w:rsidRDefault="00D06CB2">
            <w:pPr>
              <w:pStyle w:val="TableboldGreen"/>
              <w:spacing w:before="40" w:after="40"/>
              <w:rPr>
                <w:color w:val="414042"/>
              </w:rPr>
            </w:pPr>
            <w:r w:rsidRPr="005C5E32">
              <w:t>Receivables from exchange transactions</w:t>
            </w:r>
          </w:p>
        </w:tc>
        <w:tc>
          <w:tcPr>
            <w:tcW w:w="2409" w:type="dxa"/>
            <w:tcBorders>
              <w:top w:val="single" w:sz="4" w:space="0" w:color="58595B"/>
              <w:left w:val="nil"/>
              <w:bottom w:val="single" w:sz="4" w:space="0" w:color="58595B"/>
              <w:right w:val="nil"/>
            </w:tcBorders>
          </w:tcPr>
          <w:p w14:paraId="70E61C88" w14:textId="77777777" w:rsidR="00D06CB2" w:rsidRPr="005C5E32" w:rsidRDefault="00D06CB2">
            <w:pPr>
              <w:pStyle w:val="TableText"/>
              <w:spacing w:before="40" w:after="40"/>
              <w:jc w:val="right"/>
            </w:pPr>
          </w:p>
        </w:tc>
        <w:tc>
          <w:tcPr>
            <w:tcW w:w="1531" w:type="dxa"/>
            <w:tcBorders>
              <w:top w:val="single" w:sz="4" w:space="0" w:color="58595B"/>
              <w:left w:val="nil"/>
              <w:bottom w:val="single" w:sz="4" w:space="0" w:color="58595B"/>
            </w:tcBorders>
            <w:shd w:val="clear" w:color="auto" w:fill="E7F2F2"/>
          </w:tcPr>
          <w:p w14:paraId="46E187EA" w14:textId="77777777" w:rsidR="00D06CB2" w:rsidRPr="005C5E32" w:rsidRDefault="00D06CB2">
            <w:pPr>
              <w:pStyle w:val="TableText"/>
              <w:spacing w:before="40" w:after="40"/>
              <w:jc w:val="right"/>
            </w:pPr>
          </w:p>
        </w:tc>
      </w:tr>
      <w:tr w:rsidR="00D06CB2" w:rsidRPr="005C5E32" w14:paraId="047A78C8" w14:textId="77777777" w:rsidTr="002B7200">
        <w:tc>
          <w:tcPr>
            <w:tcW w:w="4679" w:type="dxa"/>
            <w:tcBorders>
              <w:top w:val="single" w:sz="4" w:space="0" w:color="58595B"/>
              <w:bottom w:val="single" w:sz="4" w:space="0" w:color="58595B"/>
              <w:right w:val="nil"/>
            </w:tcBorders>
          </w:tcPr>
          <w:p w14:paraId="78F85889" w14:textId="77777777" w:rsidR="00D06CB2" w:rsidRPr="005C5E32" w:rsidRDefault="00D06CB2">
            <w:pPr>
              <w:pStyle w:val="TableText"/>
              <w:spacing w:before="40" w:after="40"/>
            </w:pPr>
            <w:r w:rsidRPr="005C5E32">
              <w:t>Debtors other*</w:t>
            </w:r>
          </w:p>
        </w:tc>
        <w:tc>
          <w:tcPr>
            <w:tcW w:w="2409" w:type="dxa"/>
            <w:tcBorders>
              <w:top w:val="single" w:sz="4" w:space="0" w:color="58595B"/>
              <w:left w:val="nil"/>
              <w:bottom w:val="single" w:sz="4" w:space="0" w:color="58595B"/>
              <w:right w:val="nil"/>
            </w:tcBorders>
          </w:tcPr>
          <w:p w14:paraId="6A697A20" w14:textId="77777777" w:rsidR="00D06CB2" w:rsidRPr="005C5E32" w:rsidRDefault="00D06CB2">
            <w:pPr>
              <w:pStyle w:val="TableText"/>
              <w:spacing w:before="40" w:after="40"/>
              <w:jc w:val="right"/>
            </w:pPr>
            <w:r w:rsidRPr="005C5E32">
              <w:t>198</w:t>
            </w:r>
          </w:p>
        </w:tc>
        <w:tc>
          <w:tcPr>
            <w:tcW w:w="1531" w:type="dxa"/>
            <w:tcBorders>
              <w:top w:val="single" w:sz="4" w:space="0" w:color="58595B"/>
              <w:left w:val="nil"/>
              <w:bottom w:val="single" w:sz="4" w:space="0" w:color="58595B"/>
            </w:tcBorders>
            <w:shd w:val="clear" w:color="auto" w:fill="E7F2F2"/>
          </w:tcPr>
          <w:p w14:paraId="6B7F0F4A" w14:textId="77777777" w:rsidR="00D06CB2" w:rsidRPr="005C5E32" w:rsidRDefault="00D06CB2">
            <w:pPr>
              <w:pStyle w:val="TableText"/>
              <w:spacing w:before="40" w:after="40"/>
              <w:jc w:val="right"/>
            </w:pPr>
            <w:r w:rsidRPr="005C5E32">
              <w:t>652</w:t>
            </w:r>
          </w:p>
        </w:tc>
      </w:tr>
      <w:tr w:rsidR="00D06CB2" w:rsidRPr="005C5E32" w14:paraId="788B8E6B" w14:textId="77777777" w:rsidTr="002B7200">
        <w:tc>
          <w:tcPr>
            <w:tcW w:w="4679" w:type="dxa"/>
            <w:tcBorders>
              <w:top w:val="single" w:sz="4" w:space="0" w:color="58595B"/>
              <w:bottom w:val="single" w:sz="4" w:space="0" w:color="58595B"/>
              <w:right w:val="nil"/>
            </w:tcBorders>
          </w:tcPr>
          <w:p w14:paraId="69783D89" w14:textId="77777777" w:rsidR="00D06CB2" w:rsidRPr="005C5E32" w:rsidRDefault="00D06CB2">
            <w:pPr>
              <w:pStyle w:val="TableText"/>
              <w:spacing w:before="40" w:after="40"/>
            </w:pPr>
            <w:r w:rsidRPr="005C5E32">
              <w:t>Total receivables from exchange transactions</w:t>
            </w:r>
          </w:p>
        </w:tc>
        <w:tc>
          <w:tcPr>
            <w:tcW w:w="2409" w:type="dxa"/>
            <w:tcBorders>
              <w:top w:val="single" w:sz="4" w:space="0" w:color="58595B"/>
              <w:left w:val="nil"/>
              <w:bottom w:val="single" w:sz="4" w:space="0" w:color="58595B"/>
              <w:right w:val="nil"/>
            </w:tcBorders>
          </w:tcPr>
          <w:p w14:paraId="44DDA967" w14:textId="77777777" w:rsidR="00D06CB2" w:rsidRPr="005C5E32" w:rsidRDefault="00D06CB2">
            <w:pPr>
              <w:pStyle w:val="TableText"/>
              <w:spacing w:before="40" w:after="40"/>
              <w:jc w:val="right"/>
            </w:pPr>
            <w:r w:rsidRPr="005C5E32">
              <w:t>198</w:t>
            </w:r>
          </w:p>
        </w:tc>
        <w:tc>
          <w:tcPr>
            <w:tcW w:w="1531" w:type="dxa"/>
            <w:tcBorders>
              <w:top w:val="single" w:sz="4" w:space="0" w:color="58595B"/>
              <w:left w:val="nil"/>
              <w:bottom w:val="single" w:sz="4" w:space="0" w:color="58595B"/>
            </w:tcBorders>
            <w:shd w:val="clear" w:color="auto" w:fill="E7F2F2"/>
          </w:tcPr>
          <w:p w14:paraId="06B8BF32" w14:textId="77777777" w:rsidR="00D06CB2" w:rsidRPr="005C5E32" w:rsidRDefault="00D06CB2">
            <w:pPr>
              <w:pStyle w:val="TableText"/>
              <w:spacing w:before="40" w:after="40"/>
              <w:jc w:val="right"/>
            </w:pPr>
            <w:r w:rsidRPr="005C5E32">
              <w:t>652</w:t>
            </w:r>
          </w:p>
        </w:tc>
      </w:tr>
      <w:tr w:rsidR="00D06CB2" w:rsidRPr="005C5E32" w14:paraId="41B73ADA" w14:textId="77777777" w:rsidTr="002B7200">
        <w:tc>
          <w:tcPr>
            <w:tcW w:w="4679" w:type="dxa"/>
            <w:tcBorders>
              <w:top w:val="single" w:sz="4" w:space="0" w:color="58595B"/>
              <w:bottom w:val="single" w:sz="4" w:space="0" w:color="58595B"/>
              <w:right w:val="nil"/>
            </w:tcBorders>
          </w:tcPr>
          <w:p w14:paraId="1CE393FD" w14:textId="77777777" w:rsidR="00D06CB2" w:rsidRPr="005C5E32" w:rsidRDefault="00D06CB2">
            <w:pPr>
              <w:pStyle w:val="TableTextbold"/>
              <w:spacing w:before="40" w:after="40"/>
            </w:pPr>
            <w:r w:rsidRPr="005C5E32">
              <w:t>Total receivables</w:t>
            </w:r>
          </w:p>
        </w:tc>
        <w:tc>
          <w:tcPr>
            <w:tcW w:w="2409" w:type="dxa"/>
            <w:tcBorders>
              <w:top w:val="single" w:sz="4" w:space="0" w:color="58595B"/>
              <w:left w:val="nil"/>
              <w:bottom w:val="single" w:sz="4" w:space="0" w:color="58595B"/>
              <w:right w:val="nil"/>
            </w:tcBorders>
          </w:tcPr>
          <w:p w14:paraId="61B100CA" w14:textId="77777777" w:rsidR="00D06CB2" w:rsidRPr="005C5E32" w:rsidRDefault="00D06CB2">
            <w:pPr>
              <w:pStyle w:val="TableTextbold"/>
              <w:spacing w:before="40" w:after="40"/>
              <w:jc w:val="right"/>
            </w:pPr>
            <w:r w:rsidRPr="005C5E32">
              <w:t>31,251</w:t>
            </w:r>
          </w:p>
        </w:tc>
        <w:tc>
          <w:tcPr>
            <w:tcW w:w="1531" w:type="dxa"/>
            <w:tcBorders>
              <w:top w:val="single" w:sz="4" w:space="0" w:color="58595B"/>
              <w:left w:val="nil"/>
              <w:bottom w:val="single" w:sz="4" w:space="0" w:color="58595B"/>
            </w:tcBorders>
            <w:shd w:val="clear" w:color="auto" w:fill="E7F2F2"/>
          </w:tcPr>
          <w:p w14:paraId="5E7821D8" w14:textId="77777777" w:rsidR="00D06CB2" w:rsidRPr="005C5E32" w:rsidRDefault="00D06CB2">
            <w:pPr>
              <w:pStyle w:val="TableTextbold"/>
              <w:spacing w:before="40" w:after="40"/>
              <w:jc w:val="right"/>
            </w:pPr>
            <w:r w:rsidRPr="005C5E32">
              <w:t>26,705</w:t>
            </w:r>
          </w:p>
        </w:tc>
      </w:tr>
    </w:tbl>
    <w:p w14:paraId="2D599FCD" w14:textId="77777777" w:rsidR="00D06CB2" w:rsidRPr="005C5E32" w:rsidRDefault="00D06CB2" w:rsidP="00A03341">
      <w:pPr>
        <w:pStyle w:val="Note"/>
      </w:pPr>
      <w:r w:rsidRPr="005C5E32">
        <w:t xml:space="preserve">* Other debtors are made up of secondment invoicing of Ministry staff to other government departments. </w:t>
      </w:r>
    </w:p>
    <w:p w14:paraId="625456CF" w14:textId="77777777" w:rsidR="00D06CB2" w:rsidRPr="005C5E32" w:rsidRDefault="00D06CB2" w:rsidP="0043751C">
      <w:pPr>
        <w:pStyle w:val="BodyText"/>
      </w:pPr>
      <w:r w:rsidRPr="005C5E32">
        <w:t>There have been no changes during the reporting period in the estimation techniques or significant assumptions used in measuring the loss allowance.</w:t>
      </w:r>
    </w:p>
    <w:p w14:paraId="58932D26" w14:textId="77777777" w:rsidR="00D06CB2" w:rsidRPr="005C5E32" w:rsidRDefault="00D06CB2" w:rsidP="00A03341">
      <w:pPr>
        <w:pStyle w:val="BodyText"/>
      </w:pPr>
      <w:r w:rsidRPr="005C5E32">
        <w:t>The allowance for credit losses is determined as follows: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2977"/>
        <w:gridCol w:w="1134"/>
        <w:gridCol w:w="1134"/>
        <w:gridCol w:w="1134"/>
        <w:gridCol w:w="1134"/>
        <w:gridCol w:w="992"/>
      </w:tblGrid>
      <w:tr w:rsidR="00D06CB2" w:rsidRPr="005C5E32" w14:paraId="7B924004" w14:textId="77777777">
        <w:tc>
          <w:tcPr>
            <w:tcW w:w="2977" w:type="dxa"/>
            <w:tcBorders>
              <w:top w:val="single" w:sz="8" w:space="0" w:color="0E7C7E"/>
              <w:bottom w:val="single" w:sz="2" w:space="0" w:color="58595B"/>
            </w:tcBorders>
          </w:tcPr>
          <w:p w14:paraId="2137DE80" w14:textId="77777777" w:rsidR="00D06CB2" w:rsidRPr="005C5E32" w:rsidRDefault="00D06CB2">
            <w:pPr>
              <w:pStyle w:val="TableboldGreen"/>
              <w:spacing w:before="40" w:after="40"/>
              <w:rPr>
                <w:rFonts w:cs="Calibri"/>
                <w:szCs w:val="18"/>
              </w:rPr>
            </w:pPr>
            <w:r w:rsidRPr="005C5E32">
              <w:rPr>
                <w:rFonts w:cs="Calibri"/>
                <w:szCs w:val="18"/>
              </w:rPr>
              <w:t xml:space="preserve">30 June </w:t>
            </w:r>
            <w:r w:rsidRPr="005C5E32">
              <w:rPr>
                <w:rFonts w:cs="Calibri"/>
                <w:bCs/>
                <w:szCs w:val="18"/>
              </w:rPr>
              <w:t>2026</w:t>
            </w:r>
          </w:p>
        </w:tc>
        <w:tc>
          <w:tcPr>
            <w:tcW w:w="1134" w:type="dxa"/>
            <w:tcBorders>
              <w:top w:val="single" w:sz="8" w:space="0" w:color="0E7C7E"/>
              <w:bottom w:val="single" w:sz="2" w:space="0" w:color="58595B"/>
            </w:tcBorders>
          </w:tcPr>
          <w:p w14:paraId="775FAA37" w14:textId="77777777" w:rsidR="00D06CB2" w:rsidRPr="005C5E32" w:rsidRDefault="00D06CB2">
            <w:pPr>
              <w:pStyle w:val="TableboldGreen"/>
              <w:spacing w:before="40" w:after="40"/>
              <w:rPr>
                <w:rFonts w:cs="Calibri"/>
                <w:szCs w:val="18"/>
              </w:rPr>
            </w:pPr>
          </w:p>
        </w:tc>
        <w:tc>
          <w:tcPr>
            <w:tcW w:w="3402" w:type="dxa"/>
            <w:gridSpan w:val="3"/>
            <w:tcBorders>
              <w:top w:val="single" w:sz="8" w:space="0" w:color="0E7C7E"/>
              <w:bottom w:val="single" w:sz="2" w:space="0" w:color="58595B"/>
            </w:tcBorders>
          </w:tcPr>
          <w:p w14:paraId="2C11F864" w14:textId="77777777" w:rsidR="00D06CB2" w:rsidRPr="005C5E32" w:rsidRDefault="00D06CB2">
            <w:pPr>
              <w:pStyle w:val="TableboldGreen"/>
              <w:spacing w:before="40" w:after="40"/>
              <w:jc w:val="center"/>
              <w:rPr>
                <w:rFonts w:cs="Calibri"/>
                <w:szCs w:val="18"/>
              </w:rPr>
            </w:pPr>
            <w:r w:rsidRPr="005C5E32">
              <w:rPr>
                <w:rFonts w:cs="Calibri"/>
                <w:szCs w:val="18"/>
              </w:rPr>
              <w:t>Receivable days past due</w:t>
            </w:r>
          </w:p>
        </w:tc>
        <w:tc>
          <w:tcPr>
            <w:tcW w:w="992" w:type="dxa"/>
            <w:tcBorders>
              <w:top w:val="single" w:sz="8" w:space="0" w:color="0E7C7E"/>
              <w:bottom w:val="single" w:sz="2" w:space="0" w:color="58595B"/>
            </w:tcBorders>
          </w:tcPr>
          <w:p w14:paraId="4872EA45" w14:textId="77777777" w:rsidR="00D06CB2" w:rsidRPr="005C5E32" w:rsidRDefault="00D06CB2">
            <w:pPr>
              <w:pStyle w:val="TableboldGreen"/>
              <w:spacing w:before="40" w:after="40"/>
              <w:rPr>
                <w:rFonts w:cs="Calibri"/>
                <w:szCs w:val="18"/>
              </w:rPr>
            </w:pPr>
          </w:p>
        </w:tc>
      </w:tr>
      <w:tr w:rsidR="00D06CB2" w:rsidRPr="005C5E32" w14:paraId="4EC16AE3" w14:textId="77777777">
        <w:tc>
          <w:tcPr>
            <w:tcW w:w="2977" w:type="dxa"/>
            <w:tcBorders>
              <w:top w:val="single" w:sz="2" w:space="0" w:color="58595B"/>
              <w:bottom w:val="single" w:sz="2" w:space="0" w:color="58595B"/>
            </w:tcBorders>
            <w:vAlign w:val="bottom"/>
          </w:tcPr>
          <w:p w14:paraId="34AEC952" w14:textId="77777777" w:rsidR="00D06CB2" w:rsidRPr="005C5E32" w:rsidRDefault="00D06CB2">
            <w:pPr>
              <w:pStyle w:val="TableboldGreen"/>
              <w:spacing w:before="40" w:after="40"/>
              <w:jc w:val="center"/>
              <w:rPr>
                <w:rFonts w:cs="Calibri"/>
                <w:szCs w:val="18"/>
              </w:rPr>
            </w:pPr>
          </w:p>
        </w:tc>
        <w:tc>
          <w:tcPr>
            <w:tcW w:w="1134" w:type="dxa"/>
            <w:tcBorders>
              <w:top w:val="single" w:sz="2" w:space="0" w:color="58595B"/>
              <w:bottom w:val="single" w:sz="2" w:space="0" w:color="58595B"/>
            </w:tcBorders>
            <w:vAlign w:val="bottom"/>
          </w:tcPr>
          <w:p w14:paraId="306E2FF9" w14:textId="77777777" w:rsidR="00D06CB2" w:rsidRPr="005C5E32" w:rsidRDefault="00D06CB2">
            <w:pPr>
              <w:pStyle w:val="TableboldGreen"/>
              <w:spacing w:before="40" w:after="40"/>
              <w:jc w:val="right"/>
              <w:rPr>
                <w:rFonts w:cs="Calibri"/>
                <w:szCs w:val="18"/>
              </w:rPr>
            </w:pPr>
            <w:r w:rsidRPr="005C5E32">
              <w:rPr>
                <w:rFonts w:cs="Calibri"/>
                <w:szCs w:val="18"/>
              </w:rPr>
              <w:t>Current</w:t>
            </w:r>
          </w:p>
        </w:tc>
        <w:tc>
          <w:tcPr>
            <w:tcW w:w="1134" w:type="dxa"/>
            <w:tcBorders>
              <w:top w:val="single" w:sz="2" w:space="0" w:color="58595B"/>
              <w:bottom w:val="single" w:sz="2" w:space="0" w:color="58595B"/>
            </w:tcBorders>
            <w:vAlign w:val="bottom"/>
          </w:tcPr>
          <w:p w14:paraId="0E332D7D" w14:textId="77777777" w:rsidR="00D06CB2" w:rsidRPr="005C5E32" w:rsidRDefault="00D06CB2">
            <w:pPr>
              <w:pStyle w:val="TableboldGreen"/>
              <w:spacing w:before="40" w:after="40"/>
              <w:jc w:val="right"/>
              <w:rPr>
                <w:rFonts w:cs="Calibri"/>
                <w:szCs w:val="18"/>
              </w:rPr>
            </w:pPr>
            <w:r w:rsidRPr="005C5E32">
              <w:rPr>
                <w:rFonts w:cs="Calibri"/>
                <w:szCs w:val="18"/>
              </w:rPr>
              <w:t>More than 30 days</w:t>
            </w:r>
          </w:p>
        </w:tc>
        <w:tc>
          <w:tcPr>
            <w:tcW w:w="1134" w:type="dxa"/>
            <w:tcBorders>
              <w:top w:val="single" w:sz="2" w:space="0" w:color="58595B"/>
              <w:bottom w:val="single" w:sz="2" w:space="0" w:color="58595B"/>
            </w:tcBorders>
            <w:vAlign w:val="bottom"/>
          </w:tcPr>
          <w:p w14:paraId="5C64D991" w14:textId="77777777" w:rsidR="00D06CB2" w:rsidRPr="005C5E32" w:rsidRDefault="00D06CB2">
            <w:pPr>
              <w:pStyle w:val="TableboldGreen"/>
              <w:spacing w:before="40" w:after="40"/>
              <w:jc w:val="right"/>
              <w:rPr>
                <w:rFonts w:cs="Calibri"/>
                <w:szCs w:val="18"/>
              </w:rPr>
            </w:pPr>
            <w:r w:rsidRPr="005C5E32">
              <w:rPr>
                <w:rFonts w:cs="Calibri"/>
                <w:szCs w:val="18"/>
              </w:rPr>
              <w:t>More than 60 days</w:t>
            </w:r>
          </w:p>
        </w:tc>
        <w:tc>
          <w:tcPr>
            <w:tcW w:w="1134" w:type="dxa"/>
            <w:tcBorders>
              <w:top w:val="single" w:sz="2" w:space="0" w:color="58595B"/>
              <w:bottom w:val="single" w:sz="2" w:space="0" w:color="58595B"/>
            </w:tcBorders>
            <w:vAlign w:val="bottom"/>
          </w:tcPr>
          <w:p w14:paraId="23FB829E" w14:textId="77777777" w:rsidR="00D06CB2" w:rsidRPr="005C5E32" w:rsidRDefault="00D06CB2">
            <w:pPr>
              <w:pStyle w:val="TableboldGreen"/>
              <w:spacing w:before="40" w:after="40"/>
              <w:jc w:val="right"/>
              <w:rPr>
                <w:rFonts w:cs="Calibri"/>
                <w:szCs w:val="18"/>
              </w:rPr>
            </w:pPr>
            <w:r w:rsidRPr="005C5E32">
              <w:rPr>
                <w:rFonts w:cs="Calibri"/>
                <w:szCs w:val="18"/>
              </w:rPr>
              <w:t>More than 90 days</w:t>
            </w:r>
          </w:p>
        </w:tc>
        <w:tc>
          <w:tcPr>
            <w:tcW w:w="992" w:type="dxa"/>
            <w:tcBorders>
              <w:top w:val="single" w:sz="2" w:space="0" w:color="58595B"/>
              <w:bottom w:val="single" w:sz="2" w:space="0" w:color="58595B"/>
            </w:tcBorders>
            <w:vAlign w:val="bottom"/>
          </w:tcPr>
          <w:p w14:paraId="02CEB34E" w14:textId="77777777" w:rsidR="00D06CB2" w:rsidRPr="005C5E32" w:rsidRDefault="00D06CB2">
            <w:pPr>
              <w:pStyle w:val="TableboldGreen"/>
              <w:spacing w:before="40" w:after="40"/>
              <w:jc w:val="right"/>
              <w:rPr>
                <w:rFonts w:cs="Calibri"/>
                <w:szCs w:val="18"/>
              </w:rPr>
            </w:pPr>
            <w:r w:rsidRPr="005C5E32">
              <w:rPr>
                <w:rFonts w:cs="Calibri"/>
                <w:szCs w:val="18"/>
              </w:rPr>
              <w:t>Total</w:t>
            </w:r>
          </w:p>
        </w:tc>
      </w:tr>
      <w:tr w:rsidR="00D06CB2" w:rsidRPr="005C5E32" w14:paraId="5C16E109" w14:textId="77777777">
        <w:tc>
          <w:tcPr>
            <w:tcW w:w="2977" w:type="dxa"/>
            <w:tcBorders>
              <w:top w:val="single" w:sz="2" w:space="0" w:color="58595B"/>
              <w:bottom w:val="single" w:sz="2" w:space="0" w:color="58595B"/>
            </w:tcBorders>
          </w:tcPr>
          <w:p w14:paraId="6D2E5F1B" w14:textId="77777777" w:rsidR="00D06CB2" w:rsidRPr="005C5E32" w:rsidRDefault="00D06CB2">
            <w:pPr>
              <w:pStyle w:val="TableText"/>
              <w:spacing w:before="40" w:after="40"/>
            </w:pPr>
            <w:r w:rsidRPr="005C5E32">
              <w:t>Expected credit loss rate</w:t>
            </w:r>
          </w:p>
        </w:tc>
        <w:tc>
          <w:tcPr>
            <w:tcW w:w="1134" w:type="dxa"/>
            <w:tcBorders>
              <w:top w:val="single" w:sz="2" w:space="0" w:color="58595B"/>
              <w:bottom w:val="single" w:sz="2" w:space="0" w:color="58595B"/>
            </w:tcBorders>
          </w:tcPr>
          <w:p w14:paraId="27037B15" w14:textId="77777777" w:rsidR="00D06CB2" w:rsidRPr="005C5E32" w:rsidRDefault="00D06CB2">
            <w:pPr>
              <w:pStyle w:val="TableText"/>
              <w:spacing w:before="40" w:after="40"/>
              <w:jc w:val="right"/>
            </w:pPr>
            <w:r w:rsidRPr="005C5E32">
              <w:t>0%</w:t>
            </w:r>
          </w:p>
        </w:tc>
        <w:tc>
          <w:tcPr>
            <w:tcW w:w="1134" w:type="dxa"/>
            <w:tcBorders>
              <w:top w:val="single" w:sz="2" w:space="0" w:color="58595B"/>
              <w:bottom w:val="single" w:sz="2" w:space="0" w:color="58595B"/>
            </w:tcBorders>
          </w:tcPr>
          <w:p w14:paraId="4B959A3D" w14:textId="77777777" w:rsidR="00D06CB2" w:rsidRPr="005C5E32" w:rsidRDefault="00D06CB2">
            <w:pPr>
              <w:pStyle w:val="TableText"/>
              <w:spacing w:before="40" w:after="40"/>
              <w:jc w:val="right"/>
            </w:pPr>
            <w:r w:rsidRPr="005C5E32">
              <w:t>0%</w:t>
            </w:r>
          </w:p>
        </w:tc>
        <w:tc>
          <w:tcPr>
            <w:tcW w:w="1134" w:type="dxa"/>
            <w:tcBorders>
              <w:top w:val="single" w:sz="2" w:space="0" w:color="58595B"/>
              <w:bottom w:val="single" w:sz="2" w:space="0" w:color="58595B"/>
            </w:tcBorders>
          </w:tcPr>
          <w:p w14:paraId="454AE62F" w14:textId="77777777" w:rsidR="00D06CB2" w:rsidRPr="005C5E32" w:rsidRDefault="00D06CB2">
            <w:pPr>
              <w:pStyle w:val="TableText"/>
              <w:spacing w:before="40" w:after="40"/>
              <w:jc w:val="right"/>
            </w:pPr>
            <w:r w:rsidRPr="005C5E32">
              <w:t>0%</w:t>
            </w:r>
          </w:p>
        </w:tc>
        <w:tc>
          <w:tcPr>
            <w:tcW w:w="1134" w:type="dxa"/>
            <w:tcBorders>
              <w:top w:val="single" w:sz="2" w:space="0" w:color="58595B"/>
              <w:bottom w:val="single" w:sz="2" w:space="0" w:color="58595B"/>
            </w:tcBorders>
          </w:tcPr>
          <w:p w14:paraId="656D729D" w14:textId="77777777" w:rsidR="00D06CB2" w:rsidRPr="005C5E32" w:rsidRDefault="00D06CB2">
            <w:pPr>
              <w:pStyle w:val="TableText"/>
              <w:spacing w:before="40" w:after="40"/>
              <w:jc w:val="right"/>
            </w:pPr>
            <w:r w:rsidRPr="005C5E32">
              <w:t>0%</w:t>
            </w:r>
          </w:p>
        </w:tc>
        <w:tc>
          <w:tcPr>
            <w:tcW w:w="992" w:type="dxa"/>
            <w:tcBorders>
              <w:top w:val="single" w:sz="2" w:space="0" w:color="58595B"/>
              <w:bottom w:val="single" w:sz="2" w:space="0" w:color="58595B"/>
            </w:tcBorders>
          </w:tcPr>
          <w:p w14:paraId="32D2CD33" w14:textId="77777777" w:rsidR="00D06CB2" w:rsidRPr="005C5E32" w:rsidRDefault="00D06CB2">
            <w:pPr>
              <w:pStyle w:val="TableText"/>
              <w:spacing w:before="40" w:after="40"/>
              <w:jc w:val="right"/>
            </w:pPr>
            <w:r w:rsidRPr="005C5E32">
              <w:t>–</w:t>
            </w:r>
          </w:p>
        </w:tc>
      </w:tr>
      <w:tr w:rsidR="00D06CB2" w:rsidRPr="005C5E32" w14:paraId="618A0666" w14:textId="77777777">
        <w:tc>
          <w:tcPr>
            <w:tcW w:w="2977" w:type="dxa"/>
            <w:tcBorders>
              <w:top w:val="single" w:sz="2" w:space="0" w:color="58595B"/>
              <w:bottom w:val="single" w:sz="4" w:space="0" w:color="000000" w:themeColor="text1"/>
            </w:tcBorders>
          </w:tcPr>
          <w:p w14:paraId="74C4095B" w14:textId="77777777" w:rsidR="00D06CB2" w:rsidRPr="005C5E32" w:rsidRDefault="00D06CB2">
            <w:pPr>
              <w:pStyle w:val="TableText"/>
              <w:spacing w:before="40" w:after="40"/>
            </w:pPr>
            <w:r w:rsidRPr="005C5E32">
              <w:t>Gross carrying amount ($000)</w:t>
            </w:r>
          </w:p>
        </w:tc>
        <w:tc>
          <w:tcPr>
            <w:tcW w:w="1134" w:type="dxa"/>
            <w:tcBorders>
              <w:top w:val="single" w:sz="2" w:space="0" w:color="58595B"/>
              <w:bottom w:val="single" w:sz="4" w:space="0" w:color="000000" w:themeColor="text1"/>
            </w:tcBorders>
          </w:tcPr>
          <w:p w14:paraId="1FA7E843" w14:textId="77777777" w:rsidR="00D06CB2" w:rsidRPr="005C5E32" w:rsidRDefault="00D06CB2">
            <w:pPr>
              <w:pStyle w:val="TableText"/>
              <w:spacing w:before="40" w:after="40"/>
              <w:jc w:val="right"/>
            </w:pPr>
            <w:r w:rsidRPr="005C5E32">
              <w:t>26,705</w:t>
            </w:r>
          </w:p>
        </w:tc>
        <w:tc>
          <w:tcPr>
            <w:tcW w:w="1134" w:type="dxa"/>
            <w:tcBorders>
              <w:top w:val="single" w:sz="2" w:space="0" w:color="58595B"/>
              <w:bottom w:val="single" w:sz="4" w:space="0" w:color="000000" w:themeColor="text1"/>
            </w:tcBorders>
          </w:tcPr>
          <w:p w14:paraId="07862417" w14:textId="6C155E80" w:rsidR="00D06CB2" w:rsidRPr="005C5E32" w:rsidRDefault="00E80F04">
            <w:pPr>
              <w:pStyle w:val="TableText"/>
              <w:spacing w:before="40" w:after="40"/>
              <w:jc w:val="right"/>
            </w:pPr>
            <w:r w:rsidRPr="005C5E32">
              <w:t>–</w:t>
            </w:r>
          </w:p>
        </w:tc>
        <w:tc>
          <w:tcPr>
            <w:tcW w:w="1134" w:type="dxa"/>
            <w:tcBorders>
              <w:top w:val="single" w:sz="2" w:space="0" w:color="58595B"/>
              <w:bottom w:val="single" w:sz="4" w:space="0" w:color="000000" w:themeColor="text1"/>
            </w:tcBorders>
          </w:tcPr>
          <w:p w14:paraId="4023405A" w14:textId="60B4D3F6" w:rsidR="00D06CB2" w:rsidRPr="005C5E32" w:rsidRDefault="00E80F04">
            <w:pPr>
              <w:pStyle w:val="TableText"/>
              <w:spacing w:before="40" w:after="40"/>
              <w:jc w:val="right"/>
              <w:rPr>
                <w:highlight w:val="yellow"/>
              </w:rPr>
            </w:pPr>
            <w:r w:rsidRPr="005C5E32">
              <w:t>–</w:t>
            </w:r>
          </w:p>
        </w:tc>
        <w:tc>
          <w:tcPr>
            <w:tcW w:w="1134" w:type="dxa"/>
            <w:tcBorders>
              <w:top w:val="single" w:sz="2" w:space="0" w:color="58595B"/>
              <w:bottom w:val="single" w:sz="4" w:space="0" w:color="000000" w:themeColor="text1"/>
            </w:tcBorders>
          </w:tcPr>
          <w:p w14:paraId="236886CD" w14:textId="1446E58F" w:rsidR="00D06CB2" w:rsidRPr="005C5E32" w:rsidRDefault="00E80F04">
            <w:pPr>
              <w:pStyle w:val="TableText"/>
              <w:spacing w:before="40" w:after="40"/>
              <w:jc w:val="right"/>
            </w:pPr>
            <w:r w:rsidRPr="005C5E32">
              <w:t>–</w:t>
            </w:r>
          </w:p>
        </w:tc>
        <w:tc>
          <w:tcPr>
            <w:tcW w:w="992" w:type="dxa"/>
            <w:tcBorders>
              <w:top w:val="single" w:sz="2" w:space="0" w:color="58595B"/>
              <w:bottom w:val="single" w:sz="4" w:space="0" w:color="000000" w:themeColor="text1"/>
            </w:tcBorders>
          </w:tcPr>
          <w:p w14:paraId="7C083299" w14:textId="77777777" w:rsidR="00D06CB2" w:rsidRPr="005C5E32" w:rsidRDefault="00D06CB2">
            <w:pPr>
              <w:pStyle w:val="TableText"/>
              <w:spacing w:before="40" w:after="40"/>
              <w:jc w:val="right"/>
            </w:pPr>
            <w:r w:rsidRPr="005C5E32">
              <w:t>26,705</w:t>
            </w:r>
          </w:p>
        </w:tc>
      </w:tr>
      <w:tr w:rsidR="00D06CB2" w:rsidRPr="005C5E32" w14:paraId="01FB31E5" w14:textId="77777777">
        <w:tc>
          <w:tcPr>
            <w:tcW w:w="2977" w:type="dxa"/>
            <w:tcBorders>
              <w:top w:val="single" w:sz="4" w:space="0" w:color="000000" w:themeColor="text1"/>
              <w:bottom w:val="single" w:sz="4" w:space="0" w:color="000000" w:themeColor="text1"/>
            </w:tcBorders>
            <w:vAlign w:val="bottom"/>
          </w:tcPr>
          <w:p w14:paraId="072469C6" w14:textId="77777777" w:rsidR="00D06CB2" w:rsidRPr="005C5E32" w:rsidRDefault="00D06CB2">
            <w:pPr>
              <w:pStyle w:val="TableTextbold"/>
              <w:spacing w:before="40" w:after="40"/>
            </w:pPr>
            <w:r w:rsidRPr="005C5E32">
              <w:t>Lifetime expected credit loss ($000)</w:t>
            </w:r>
          </w:p>
        </w:tc>
        <w:tc>
          <w:tcPr>
            <w:tcW w:w="1134" w:type="dxa"/>
            <w:tcBorders>
              <w:top w:val="single" w:sz="4" w:space="0" w:color="000000" w:themeColor="text1"/>
              <w:bottom w:val="single" w:sz="4" w:space="0" w:color="000000" w:themeColor="text1"/>
            </w:tcBorders>
            <w:vAlign w:val="bottom"/>
          </w:tcPr>
          <w:p w14:paraId="1AFA87EE" w14:textId="493A8A41" w:rsidR="00D06CB2" w:rsidRPr="005C5E32" w:rsidRDefault="008F05C0">
            <w:pPr>
              <w:pStyle w:val="TableTextbold"/>
              <w:spacing w:before="40" w:after="40"/>
              <w:jc w:val="right"/>
            </w:pPr>
            <w:r w:rsidRPr="005C5E32">
              <w:t>–</w:t>
            </w:r>
          </w:p>
        </w:tc>
        <w:tc>
          <w:tcPr>
            <w:tcW w:w="1134" w:type="dxa"/>
            <w:tcBorders>
              <w:top w:val="single" w:sz="4" w:space="0" w:color="000000" w:themeColor="text1"/>
              <w:bottom w:val="single" w:sz="4" w:space="0" w:color="000000" w:themeColor="text1"/>
            </w:tcBorders>
            <w:vAlign w:val="bottom"/>
          </w:tcPr>
          <w:p w14:paraId="183D7561" w14:textId="40BCECF6" w:rsidR="00D06CB2" w:rsidRPr="005C5E32" w:rsidRDefault="008F05C0">
            <w:pPr>
              <w:pStyle w:val="TableTextbold"/>
              <w:spacing w:before="40" w:after="40"/>
              <w:jc w:val="right"/>
            </w:pPr>
            <w:r w:rsidRPr="005C5E32">
              <w:t>–</w:t>
            </w:r>
          </w:p>
        </w:tc>
        <w:tc>
          <w:tcPr>
            <w:tcW w:w="1134" w:type="dxa"/>
            <w:tcBorders>
              <w:top w:val="single" w:sz="4" w:space="0" w:color="000000" w:themeColor="text1"/>
              <w:bottom w:val="single" w:sz="4" w:space="0" w:color="000000" w:themeColor="text1"/>
            </w:tcBorders>
            <w:vAlign w:val="bottom"/>
          </w:tcPr>
          <w:p w14:paraId="08CCBB65" w14:textId="118EB132" w:rsidR="00D06CB2" w:rsidRPr="005C5E32" w:rsidRDefault="008F05C0">
            <w:pPr>
              <w:pStyle w:val="TableTextbold"/>
              <w:spacing w:before="40" w:after="40"/>
              <w:jc w:val="right"/>
            </w:pPr>
            <w:r w:rsidRPr="005C5E32">
              <w:t>–</w:t>
            </w:r>
          </w:p>
        </w:tc>
        <w:tc>
          <w:tcPr>
            <w:tcW w:w="1134" w:type="dxa"/>
            <w:tcBorders>
              <w:top w:val="single" w:sz="4" w:space="0" w:color="000000" w:themeColor="text1"/>
              <w:bottom w:val="single" w:sz="4" w:space="0" w:color="000000" w:themeColor="text1"/>
            </w:tcBorders>
            <w:vAlign w:val="bottom"/>
          </w:tcPr>
          <w:p w14:paraId="313DCB2A" w14:textId="5A896A79" w:rsidR="00D06CB2" w:rsidRPr="005C5E32" w:rsidRDefault="008F05C0">
            <w:pPr>
              <w:pStyle w:val="TableTextbold"/>
              <w:spacing w:before="40" w:after="40"/>
              <w:jc w:val="right"/>
            </w:pPr>
            <w:r w:rsidRPr="005C5E32">
              <w:t>–</w:t>
            </w:r>
          </w:p>
        </w:tc>
        <w:tc>
          <w:tcPr>
            <w:tcW w:w="992" w:type="dxa"/>
            <w:tcBorders>
              <w:top w:val="single" w:sz="4" w:space="0" w:color="000000" w:themeColor="text1"/>
              <w:bottom w:val="single" w:sz="4" w:space="0" w:color="000000" w:themeColor="text1"/>
            </w:tcBorders>
            <w:vAlign w:val="bottom"/>
          </w:tcPr>
          <w:p w14:paraId="2AA7C9F3" w14:textId="25F94E1F" w:rsidR="00D06CB2" w:rsidRPr="005C5E32" w:rsidRDefault="008F05C0">
            <w:pPr>
              <w:pStyle w:val="TableTextbold"/>
              <w:spacing w:before="40" w:after="40"/>
              <w:jc w:val="right"/>
            </w:pPr>
            <w:r w:rsidRPr="005C5E32">
              <w:t>–</w:t>
            </w:r>
          </w:p>
        </w:tc>
      </w:tr>
      <w:tr w:rsidR="00D06CB2" w:rsidRPr="005C5E32" w14:paraId="38754B6C" w14:textId="77777777">
        <w:tc>
          <w:tcPr>
            <w:tcW w:w="2977" w:type="dxa"/>
            <w:tcBorders>
              <w:top w:val="single" w:sz="4" w:space="0" w:color="000000" w:themeColor="text1"/>
              <w:bottom w:val="single" w:sz="8" w:space="0" w:color="0E7C7E"/>
            </w:tcBorders>
          </w:tcPr>
          <w:p w14:paraId="1CB5BDAA" w14:textId="77777777" w:rsidR="00D06CB2" w:rsidRPr="005C5E32" w:rsidRDefault="00D06CB2">
            <w:pPr>
              <w:pStyle w:val="TableText"/>
              <w:spacing w:before="40" w:after="40"/>
              <w:rPr>
                <w:rFonts w:cs="Calibri"/>
                <w:szCs w:val="18"/>
              </w:rPr>
            </w:pPr>
          </w:p>
        </w:tc>
        <w:tc>
          <w:tcPr>
            <w:tcW w:w="1134" w:type="dxa"/>
            <w:tcBorders>
              <w:top w:val="single" w:sz="4" w:space="0" w:color="000000" w:themeColor="text1"/>
              <w:bottom w:val="single" w:sz="8" w:space="0" w:color="0E7C7E"/>
            </w:tcBorders>
          </w:tcPr>
          <w:p w14:paraId="0339E154" w14:textId="77777777" w:rsidR="00D06CB2" w:rsidRPr="005C5E32" w:rsidRDefault="00D06CB2">
            <w:pPr>
              <w:pStyle w:val="TableText"/>
              <w:spacing w:before="40" w:after="40"/>
              <w:rPr>
                <w:rFonts w:cs="Calibri"/>
                <w:szCs w:val="18"/>
              </w:rPr>
            </w:pPr>
          </w:p>
        </w:tc>
        <w:tc>
          <w:tcPr>
            <w:tcW w:w="1134" w:type="dxa"/>
            <w:tcBorders>
              <w:top w:val="single" w:sz="4" w:space="0" w:color="000000" w:themeColor="text1"/>
              <w:bottom w:val="single" w:sz="8" w:space="0" w:color="0E7C7E"/>
            </w:tcBorders>
          </w:tcPr>
          <w:p w14:paraId="5E861154" w14:textId="77777777" w:rsidR="00D06CB2" w:rsidRPr="005C5E32" w:rsidRDefault="00D06CB2">
            <w:pPr>
              <w:pStyle w:val="TableText"/>
              <w:spacing w:before="40" w:after="40"/>
              <w:rPr>
                <w:rFonts w:cs="Calibri"/>
                <w:szCs w:val="18"/>
              </w:rPr>
            </w:pPr>
          </w:p>
        </w:tc>
        <w:tc>
          <w:tcPr>
            <w:tcW w:w="1134" w:type="dxa"/>
            <w:tcBorders>
              <w:top w:val="single" w:sz="4" w:space="0" w:color="000000" w:themeColor="text1"/>
              <w:bottom w:val="single" w:sz="8" w:space="0" w:color="0E7C7E"/>
            </w:tcBorders>
          </w:tcPr>
          <w:p w14:paraId="5853BE19" w14:textId="77777777" w:rsidR="00D06CB2" w:rsidRPr="005C5E32" w:rsidRDefault="00D06CB2">
            <w:pPr>
              <w:pStyle w:val="TableText"/>
              <w:spacing w:before="40" w:after="40"/>
              <w:rPr>
                <w:rFonts w:cs="Calibri"/>
                <w:szCs w:val="18"/>
              </w:rPr>
            </w:pPr>
          </w:p>
        </w:tc>
        <w:tc>
          <w:tcPr>
            <w:tcW w:w="1134" w:type="dxa"/>
            <w:tcBorders>
              <w:top w:val="single" w:sz="4" w:space="0" w:color="000000" w:themeColor="text1"/>
              <w:bottom w:val="single" w:sz="8" w:space="0" w:color="0E7C7E"/>
            </w:tcBorders>
          </w:tcPr>
          <w:p w14:paraId="1FB0BC38" w14:textId="77777777" w:rsidR="00D06CB2" w:rsidRPr="005C5E32" w:rsidRDefault="00D06CB2">
            <w:pPr>
              <w:pStyle w:val="TableText"/>
              <w:spacing w:before="40" w:after="40"/>
              <w:rPr>
                <w:rFonts w:cs="Calibri"/>
                <w:szCs w:val="18"/>
              </w:rPr>
            </w:pPr>
          </w:p>
        </w:tc>
        <w:tc>
          <w:tcPr>
            <w:tcW w:w="992" w:type="dxa"/>
            <w:tcBorders>
              <w:top w:val="single" w:sz="4" w:space="0" w:color="000000" w:themeColor="text1"/>
              <w:bottom w:val="single" w:sz="8" w:space="0" w:color="0E7C7E"/>
            </w:tcBorders>
          </w:tcPr>
          <w:p w14:paraId="5A3182D7" w14:textId="77777777" w:rsidR="00D06CB2" w:rsidRPr="005C5E32" w:rsidRDefault="00D06CB2">
            <w:pPr>
              <w:pStyle w:val="TableText"/>
              <w:spacing w:before="40" w:after="40"/>
              <w:rPr>
                <w:rFonts w:cs="Calibri"/>
                <w:szCs w:val="18"/>
              </w:rPr>
            </w:pPr>
          </w:p>
        </w:tc>
      </w:tr>
      <w:tr w:rsidR="00D06CB2" w:rsidRPr="005C5E32" w14:paraId="5B6927B2" w14:textId="77777777">
        <w:tc>
          <w:tcPr>
            <w:tcW w:w="2977" w:type="dxa"/>
            <w:tcBorders>
              <w:top w:val="single" w:sz="8" w:space="0" w:color="0E7C7E"/>
              <w:bottom w:val="single" w:sz="2" w:space="0" w:color="58595B"/>
            </w:tcBorders>
          </w:tcPr>
          <w:p w14:paraId="06DB357F" w14:textId="77777777" w:rsidR="00D06CB2" w:rsidRPr="005C5E32" w:rsidRDefault="00D06CB2">
            <w:pPr>
              <w:pStyle w:val="TableboldGreen"/>
              <w:spacing w:before="40" w:after="40"/>
              <w:rPr>
                <w:rFonts w:cs="Calibri"/>
                <w:szCs w:val="18"/>
              </w:rPr>
            </w:pPr>
            <w:r w:rsidRPr="005C5E32">
              <w:rPr>
                <w:rFonts w:cs="Calibri"/>
                <w:szCs w:val="18"/>
              </w:rPr>
              <w:t>30 June 2025</w:t>
            </w:r>
          </w:p>
        </w:tc>
        <w:tc>
          <w:tcPr>
            <w:tcW w:w="1134" w:type="dxa"/>
            <w:tcBorders>
              <w:top w:val="single" w:sz="8" w:space="0" w:color="0E7C7E"/>
              <w:bottom w:val="single" w:sz="2" w:space="0" w:color="58595B"/>
            </w:tcBorders>
          </w:tcPr>
          <w:p w14:paraId="229FF2A6" w14:textId="77777777" w:rsidR="00D06CB2" w:rsidRPr="005C5E32" w:rsidRDefault="00D06CB2">
            <w:pPr>
              <w:pStyle w:val="TableboldGreen"/>
              <w:spacing w:before="40" w:after="40"/>
              <w:rPr>
                <w:rFonts w:cs="Calibri"/>
                <w:szCs w:val="18"/>
              </w:rPr>
            </w:pPr>
          </w:p>
        </w:tc>
        <w:tc>
          <w:tcPr>
            <w:tcW w:w="3402" w:type="dxa"/>
            <w:gridSpan w:val="3"/>
            <w:tcBorders>
              <w:top w:val="single" w:sz="8" w:space="0" w:color="0E7C7E"/>
              <w:bottom w:val="single" w:sz="2" w:space="0" w:color="58595B"/>
            </w:tcBorders>
          </w:tcPr>
          <w:p w14:paraId="6D2C95E8" w14:textId="77777777" w:rsidR="00D06CB2" w:rsidRPr="005C5E32" w:rsidRDefault="00D06CB2">
            <w:pPr>
              <w:pStyle w:val="TableboldGreen"/>
              <w:spacing w:before="40" w:after="40"/>
              <w:jc w:val="center"/>
              <w:rPr>
                <w:rFonts w:cs="Calibri"/>
                <w:szCs w:val="18"/>
              </w:rPr>
            </w:pPr>
            <w:r w:rsidRPr="005C5E32">
              <w:rPr>
                <w:rFonts w:cs="Calibri"/>
                <w:szCs w:val="18"/>
              </w:rPr>
              <w:t>Receivable days past due</w:t>
            </w:r>
          </w:p>
        </w:tc>
        <w:tc>
          <w:tcPr>
            <w:tcW w:w="992" w:type="dxa"/>
            <w:tcBorders>
              <w:top w:val="single" w:sz="8" w:space="0" w:color="0E7C7E"/>
              <w:bottom w:val="single" w:sz="2" w:space="0" w:color="58595B"/>
            </w:tcBorders>
          </w:tcPr>
          <w:p w14:paraId="627FC9AF" w14:textId="77777777" w:rsidR="00D06CB2" w:rsidRPr="005C5E32" w:rsidRDefault="00D06CB2">
            <w:pPr>
              <w:pStyle w:val="TableboldGreen"/>
              <w:spacing w:before="40" w:after="40"/>
              <w:rPr>
                <w:rFonts w:cs="Calibri"/>
                <w:szCs w:val="18"/>
              </w:rPr>
            </w:pPr>
          </w:p>
        </w:tc>
      </w:tr>
      <w:tr w:rsidR="00D06CB2" w:rsidRPr="005C5E32" w14:paraId="4E3687C8" w14:textId="77777777">
        <w:tc>
          <w:tcPr>
            <w:tcW w:w="2977" w:type="dxa"/>
            <w:tcBorders>
              <w:top w:val="single" w:sz="2" w:space="0" w:color="58595B"/>
              <w:bottom w:val="single" w:sz="2" w:space="0" w:color="58595B"/>
            </w:tcBorders>
            <w:vAlign w:val="bottom"/>
          </w:tcPr>
          <w:p w14:paraId="6C24D1CB" w14:textId="77777777" w:rsidR="00D06CB2" w:rsidRPr="005C5E32" w:rsidRDefault="00D06CB2">
            <w:pPr>
              <w:pStyle w:val="TableboldGreen"/>
              <w:spacing w:before="40" w:after="40"/>
              <w:jc w:val="center"/>
              <w:rPr>
                <w:rFonts w:cs="Calibri"/>
                <w:szCs w:val="18"/>
              </w:rPr>
            </w:pPr>
          </w:p>
        </w:tc>
        <w:tc>
          <w:tcPr>
            <w:tcW w:w="1134" w:type="dxa"/>
            <w:tcBorders>
              <w:top w:val="single" w:sz="2" w:space="0" w:color="58595B"/>
              <w:bottom w:val="single" w:sz="2" w:space="0" w:color="58595B"/>
            </w:tcBorders>
            <w:vAlign w:val="bottom"/>
          </w:tcPr>
          <w:p w14:paraId="5B915BCB" w14:textId="77777777" w:rsidR="00D06CB2" w:rsidRPr="005C5E32" w:rsidRDefault="00D06CB2">
            <w:pPr>
              <w:pStyle w:val="TableboldGreen"/>
              <w:spacing w:before="40" w:after="40"/>
              <w:jc w:val="right"/>
              <w:rPr>
                <w:rFonts w:cs="Calibri"/>
                <w:szCs w:val="18"/>
              </w:rPr>
            </w:pPr>
            <w:r w:rsidRPr="005C5E32">
              <w:rPr>
                <w:rFonts w:cs="Calibri"/>
                <w:szCs w:val="18"/>
              </w:rPr>
              <w:t>Current</w:t>
            </w:r>
          </w:p>
        </w:tc>
        <w:tc>
          <w:tcPr>
            <w:tcW w:w="1134" w:type="dxa"/>
            <w:tcBorders>
              <w:top w:val="single" w:sz="2" w:space="0" w:color="58595B"/>
              <w:bottom w:val="single" w:sz="2" w:space="0" w:color="58595B"/>
            </w:tcBorders>
            <w:vAlign w:val="bottom"/>
          </w:tcPr>
          <w:p w14:paraId="727B6F1B" w14:textId="77777777" w:rsidR="00D06CB2" w:rsidRPr="005C5E32" w:rsidRDefault="00D06CB2">
            <w:pPr>
              <w:pStyle w:val="TableboldGreen"/>
              <w:spacing w:before="40" w:after="40"/>
              <w:jc w:val="right"/>
              <w:rPr>
                <w:rFonts w:cs="Calibri"/>
                <w:szCs w:val="18"/>
              </w:rPr>
            </w:pPr>
            <w:r w:rsidRPr="005C5E32">
              <w:rPr>
                <w:rFonts w:cs="Calibri"/>
                <w:szCs w:val="18"/>
              </w:rPr>
              <w:t>More than 30 days</w:t>
            </w:r>
          </w:p>
        </w:tc>
        <w:tc>
          <w:tcPr>
            <w:tcW w:w="1134" w:type="dxa"/>
            <w:tcBorders>
              <w:top w:val="single" w:sz="2" w:space="0" w:color="58595B"/>
              <w:bottom w:val="single" w:sz="2" w:space="0" w:color="58595B"/>
            </w:tcBorders>
            <w:vAlign w:val="bottom"/>
          </w:tcPr>
          <w:p w14:paraId="04626263" w14:textId="77777777" w:rsidR="00D06CB2" w:rsidRPr="005C5E32" w:rsidRDefault="00D06CB2">
            <w:pPr>
              <w:pStyle w:val="TableboldGreen"/>
              <w:spacing w:before="40" w:after="40"/>
              <w:jc w:val="right"/>
              <w:rPr>
                <w:rFonts w:cs="Calibri"/>
                <w:szCs w:val="18"/>
              </w:rPr>
            </w:pPr>
            <w:r w:rsidRPr="005C5E32">
              <w:rPr>
                <w:rFonts w:cs="Calibri"/>
                <w:szCs w:val="18"/>
              </w:rPr>
              <w:t>More than 60 days</w:t>
            </w:r>
          </w:p>
        </w:tc>
        <w:tc>
          <w:tcPr>
            <w:tcW w:w="1134" w:type="dxa"/>
            <w:tcBorders>
              <w:top w:val="single" w:sz="2" w:space="0" w:color="58595B"/>
              <w:bottom w:val="single" w:sz="2" w:space="0" w:color="58595B"/>
            </w:tcBorders>
            <w:vAlign w:val="bottom"/>
          </w:tcPr>
          <w:p w14:paraId="4D6521F1" w14:textId="77777777" w:rsidR="00D06CB2" w:rsidRPr="005C5E32" w:rsidRDefault="00D06CB2">
            <w:pPr>
              <w:pStyle w:val="TableboldGreen"/>
              <w:spacing w:before="40" w:after="40"/>
              <w:jc w:val="right"/>
              <w:rPr>
                <w:rFonts w:cs="Calibri"/>
                <w:szCs w:val="18"/>
              </w:rPr>
            </w:pPr>
            <w:r w:rsidRPr="005C5E32">
              <w:rPr>
                <w:rFonts w:cs="Calibri"/>
                <w:szCs w:val="18"/>
              </w:rPr>
              <w:t>More than 90 days</w:t>
            </w:r>
          </w:p>
        </w:tc>
        <w:tc>
          <w:tcPr>
            <w:tcW w:w="992" w:type="dxa"/>
            <w:tcBorders>
              <w:top w:val="single" w:sz="2" w:space="0" w:color="58595B"/>
              <w:bottom w:val="single" w:sz="2" w:space="0" w:color="58595B"/>
            </w:tcBorders>
            <w:vAlign w:val="bottom"/>
          </w:tcPr>
          <w:p w14:paraId="3BD3FA4F" w14:textId="77777777" w:rsidR="00D06CB2" w:rsidRPr="005C5E32" w:rsidRDefault="00D06CB2">
            <w:pPr>
              <w:pStyle w:val="TableboldGreen"/>
              <w:spacing w:before="40" w:after="40"/>
              <w:jc w:val="right"/>
              <w:rPr>
                <w:rFonts w:cs="Calibri"/>
                <w:szCs w:val="18"/>
              </w:rPr>
            </w:pPr>
            <w:r w:rsidRPr="005C5E32">
              <w:rPr>
                <w:rFonts w:cs="Calibri"/>
                <w:szCs w:val="18"/>
              </w:rPr>
              <w:t>Total</w:t>
            </w:r>
          </w:p>
        </w:tc>
      </w:tr>
      <w:tr w:rsidR="00D06CB2" w:rsidRPr="005C5E32" w14:paraId="7BFAC157" w14:textId="77777777">
        <w:tc>
          <w:tcPr>
            <w:tcW w:w="2977" w:type="dxa"/>
            <w:tcBorders>
              <w:top w:val="single" w:sz="2" w:space="0" w:color="58595B"/>
              <w:bottom w:val="single" w:sz="2" w:space="0" w:color="58595B"/>
            </w:tcBorders>
          </w:tcPr>
          <w:p w14:paraId="1D03F0C1" w14:textId="77777777" w:rsidR="00D06CB2" w:rsidRPr="005C5E32" w:rsidRDefault="00D06CB2">
            <w:pPr>
              <w:pStyle w:val="TableText"/>
              <w:spacing w:before="40" w:after="40"/>
            </w:pPr>
            <w:r w:rsidRPr="005C5E32">
              <w:t>Expected credit loss rate</w:t>
            </w:r>
          </w:p>
        </w:tc>
        <w:tc>
          <w:tcPr>
            <w:tcW w:w="1134" w:type="dxa"/>
            <w:tcBorders>
              <w:top w:val="single" w:sz="2" w:space="0" w:color="58595B"/>
              <w:bottom w:val="single" w:sz="2" w:space="0" w:color="58595B"/>
            </w:tcBorders>
          </w:tcPr>
          <w:p w14:paraId="3B37E193" w14:textId="77777777" w:rsidR="00D06CB2" w:rsidRPr="005C5E32" w:rsidRDefault="00D06CB2">
            <w:pPr>
              <w:pStyle w:val="TableText"/>
              <w:spacing w:before="40" w:after="40"/>
              <w:jc w:val="right"/>
            </w:pPr>
            <w:r w:rsidRPr="005C5E32">
              <w:t>0%</w:t>
            </w:r>
          </w:p>
        </w:tc>
        <w:tc>
          <w:tcPr>
            <w:tcW w:w="1134" w:type="dxa"/>
            <w:tcBorders>
              <w:top w:val="single" w:sz="2" w:space="0" w:color="58595B"/>
              <w:bottom w:val="single" w:sz="2" w:space="0" w:color="58595B"/>
            </w:tcBorders>
          </w:tcPr>
          <w:p w14:paraId="69D5867D" w14:textId="77777777" w:rsidR="00D06CB2" w:rsidRPr="005C5E32" w:rsidRDefault="00D06CB2">
            <w:pPr>
              <w:pStyle w:val="TableText"/>
              <w:spacing w:before="40" w:after="40"/>
              <w:jc w:val="right"/>
            </w:pPr>
            <w:r w:rsidRPr="005C5E32">
              <w:t>0%</w:t>
            </w:r>
          </w:p>
        </w:tc>
        <w:tc>
          <w:tcPr>
            <w:tcW w:w="1134" w:type="dxa"/>
            <w:tcBorders>
              <w:top w:val="single" w:sz="2" w:space="0" w:color="58595B"/>
              <w:bottom w:val="single" w:sz="2" w:space="0" w:color="58595B"/>
            </w:tcBorders>
          </w:tcPr>
          <w:p w14:paraId="3F954B31" w14:textId="77777777" w:rsidR="00D06CB2" w:rsidRPr="005C5E32" w:rsidRDefault="00D06CB2">
            <w:pPr>
              <w:pStyle w:val="TableText"/>
              <w:spacing w:before="40" w:after="40"/>
              <w:jc w:val="right"/>
            </w:pPr>
            <w:r w:rsidRPr="005C5E32">
              <w:t>0%</w:t>
            </w:r>
          </w:p>
        </w:tc>
        <w:tc>
          <w:tcPr>
            <w:tcW w:w="1134" w:type="dxa"/>
            <w:tcBorders>
              <w:top w:val="single" w:sz="2" w:space="0" w:color="58595B"/>
              <w:bottom w:val="single" w:sz="2" w:space="0" w:color="58595B"/>
            </w:tcBorders>
          </w:tcPr>
          <w:p w14:paraId="5D727236" w14:textId="77777777" w:rsidR="00D06CB2" w:rsidRPr="005C5E32" w:rsidRDefault="00D06CB2">
            <w:pPr>
              <w:pStyle w:val="TableText"/>
              <w:spacing w:before="40" w:after="40"/>
              <w:jc w:val="right"/>
            </w:pPr>
            <w:r w:rsidRPr="005C5E32">
              <w:t>0%</w:t>
            </w:r>
          </w:p>
        </w:tc>
        <w:tc>
          <w:tcPr>
            <w:tcW w:w="992" w:type="dxa"/>
            <w:tcBorders>
              <w:top w:val="single" w:sz="2" w:space="0" w:color="58595B"/>
              <w:bottom w:val="single" w:sz="2" w:space="0" w:color="58595B"/>
            </w:tcBorders>
          </w:tcPr>
          <w:p w14:paraId="0A94728A" w14:textId="77777777" w:rsidR="00D06CB2" w:rsidRPr="005C5E32" w:rsidRDefault="00D06CB2">
            <w:pPr>
              <w:pStyle w:val="TableText"/>
              <w:spacing w:before="40" w:after="40"/>
              <w:jc w:val="right"/>
            </w:pPr>
            <w:r w:rsidRPr="005C5E32">
              <w:t>–</w:t>
            </w:r>
          </w:p>
        </w:tc>
      </w:tr>
      <w:tr w:rsidR="00D06CB2" w:rsidRPr="005C5E32" w14:paraId="515ABDA5" w14:textId="77777777">
        <w:tc>
          <w:tcPr>
            <w:tcW w:w="2977" w:type="dxa"/>
            <w:tcBorders>
              <w:top w:val="single" w:sz="2" w:space="0" w:color="58595B"/>
              <w:bottom w:val="single" w:sz="4" w:space="0" w:color="000000" w:themeColor="text1"/>
            </w:tcBorders>
          </w:tcPr>
          <w:p w14:paraId="5DD8230F" w14:textId="77777777" w:rsidR="00D06CB2" w:rsidRPr="005C5E32" w:rsidRDefault="00D06CB2">
            <w:pPr>
              <w:pStyle w:val="TableText"/>
              <w:spacing w:before="40" w:after="40"/>
            </w:pPr>
            <w:r w:rsidRPr="005C5E32">
              <w:t>Gross carrying amount ($000)</w:t>
            </w:r>
          </w:p>
        </w:tc>
        <w:tc>
          <w:tcPr>
            <w:tcW w:w="1134" w:type="dxa"/>
            <w:tcBorders>
              <w:top w:val="single" w:sz="2" w:space="0" w:color="58595B"/>
              <w:bottom w:val="single" w:sz="4" w:space="0" w:color="000000" w:themeColor="text1"/>
            </w:tcBorders>
          </w:tcPr>
          <w:p w14:paraId="47C5EB6A" w14:textId="77777777" w:rsidR="00D06CB2" w:rsidRPr="005C5E32" w:rsidRDefault="00D06CB2">
            <w:pPr>
              <w:pStyle w:val="TableText"/>
              <w:spacing w:before="40" w:after="40"/>
              <w:jc w:val="right"/>
            </w:pPr>
            <w:r w:rsidRPr="005C5E32">
              <w:t>31,251</w:t>
            </w:r>
          </w:p>
        </w:tc>
        <w:tc>
          <w:tcPr>
            <w:tcW w:w="1134" w:type="dxa"/>
            <w:tcBorders>
              <w:top w:val="single" w:sz="2" w:space="0" w:color="58595B"/>
              <w:bottom w:val="single" w:sz="4" w:space="0" w:color="000000" w:themeColor="text1"/>
            </w:tcBorders>
          </w:tcPr>
          <w:p w14:paraId="0EE509BE" w14:textId="52DFC12C" w:rsidR="00D06CB2" w:rsidRPr="005C5E32" w:rsidRDefault="008F05C0">
            <w:pPr>
              <w:pStyle w:val="TableText"/>
              <w:spacing w:before="40" w:after="40"/>
              <w:jc w:val="right"/>
            </w:pPr>
            <w:r w:rsidRPr="005C5E32">
              <w:t>–</w:t>
            </w:r>
          </w:p>
        </w:tc>
        <w:tc>
          <w:tcPr>
            <w:tcW w:w="1134" w:type="dxa"/>
            <w:tcBorders>
              <w:top w:val="single" w:sz="2" w:space="0" w:color="58595B"/>
              <w:bottom w:val="single" w:sz="4" w:space="0" w:color="000000" w:themeColor="text1"/>
            </w:tcBorders>
          </w:tcPr>
          <w:p w14:paraId="03B37566" w14:textId="16461DF7" w:rsidR="00D06CB2" w:rsidRPr="005C5E32" w:rsidRDefault="008F05C0">
            <w:pPr>
              <w:pStyle w:val="TableText"/>
              <w:spacing w:before="40" w:after="40"/>
              <w:jc w:val="right"/>
            </w:pPr>
            <w:r w:rsidRPr="005C5E32">
              <w:t>–</w:t>
            </w:r>
          </w:p>
        </w:tc>
        <w:tc>
          <w:tcPr>
            <w:tcW w:w="1134" w:type="dxa"/>
            <w:tcBorders>
              <w:top w:val="single" w:sz="2" w:space="0" w:color="58595B"/>
              <w:bottom w:val="single" w:sz="4" w:space="0" w:color="000000" w:themeColor="text1"/>
            </w:tcBorders>
          </w:tcPr>
          <w:p w14:paraId="16AB8673" w14:textId="1F0FA842" w:rsidR="00D06CB2" w:rsidRPr="005C5E32" w:rsidRDefault="008F05C0">
            <w:pPr>
              <w:pStyle w:val="TableText"/>
              <w:spacing w:before="40" w:after="40"/>
              <w:jc w:val="right"/>
            </w:pPr>
            <w:r w:rsidRPr="005C5E32">
              <w:t>–</w:t>
            </w:r>
          </w:p>
        </w:tc>
        <w:tc>
          <w:tcPr>
            <w:tcW w:w="992" w:type="dxa"/>
            <w:tcBorders>
              <w:top w:val="single" w:sz="2" w:space="0" w:color="58595B"/>
              <w:bottom w:val="single" w:sz="4" w:space="0" w:color="000000" w:themeColor="text1"/>
            </w:tcBorders>
          </w:tcPr>
          <w:p w14:paraId="4D51ACB0" w14:textId="77777777" w:rsidR="00D06CB2" w:rsidRPr="005C5E32" w:rsidRDefault="00D06CB2">
            <w:pPr>
              <w:pStyle w:val="TableText"/>
              <w:spacing w:before="40" w:after="40"/>
              <w:jc w:val="right"/>
            </w:pPr>
            <w:r w:rsidRPr="005C5E32">
              <w:t>31,251</w:t>
            </w:r>
          </w:p>
        </w:tc>
      </w:tr>
      <w:tr w:rsidR="00D06CB2" w:rsidRPr="005C5E32" w14:paraId="13B3BCDD" w14:textId="77777777">
        <w:tc>
          <w:tcPr>
            <w:tcW w:w="2977" w:type="dxa"/>
            <w:tcBorders>
              <w:top w:val="single" w:sz="4" w:space="0" w:color="000000" w:themeColor="text1"/>
              <w:bottom w:val="single" w:sz="4" w:space="0" w:color="000000" w:themeColor="text1"/>
            </w:tcBorders>
          </w:tcPr>
          <w:p w14:paraId="212A3763" w14:textId="77777777" w:rsidR="00D06CB2" w:rsidRPr="005C5E32" w:rsidRDefault="00D06CB2">
            <w:pPr>
              <w:pStyle w:val="TableTextbold"/>
              <w:spacing w:before="40" w:after="40"/>
            </w:pPr>
            <w:r w:rsidRPr="005C5E32">
              <w:t>Lifetime expected credit loss ($000)</w:t>
            </w:r>
          </w:p>
        </w:tc>
        <w:tc>
          <w:tcPr>
            <w:tcW w:w="1134" w:type="dxa"/>
            <w:tcBorders>
              <w:top w:val="single" w:sz="4" w:space="0" w:color="000000" w:themeColor="text1"/>
              <w:bottom w:val="single" w:sz="4" w:space="0" w:color="000000" w:themeColor="text1"/>
            </w:tcBorders>
          </w:tcPr>
          <w:p w14:paraId="6B9B9FA3" w14:textId="1775D24D" w:rsidR="00D06CB2" w:rsidRPr="005C5E32" w:rsidRDefault="008F05C0">
            <w:pPr>
              <w:pStyle w:val="TableTextbold"/>
              <w:spacing w:before="40" w:after="40"/>
              <w:jc w:val="right"/>
            </w:pPr>
            <w:r w:rsidRPr="005C5E32">
              <w:t>–</w:t>
            </w:r>
          </w:p>
        </w:tc>
        <w:tc>
          <w:tcPr>
            <w:tcW w:w="1134" w:type="dxa"/>
            <w:tcBorders>
              <w:top w:val="single" w:sz="4" w:space="0" w:color="000000" w:themeColor="text1"/>
              <w:bottom w:val="single" w:sz="4" w:space="0" w:color="000000" w:themeColor="text1"/>
            </w:tcBorders>
          </w:tcPr>
          <w:p w14:paraId="4C4825C7" w14:textId="1E118640" w:rsidR="00D06CB2" w:rsidRPr="005C5E32" w:rsidRDefault="008F05C0">
            <w:pPr>
              <w:pStyle w:val="TableTextbold"/>
              <w:spacing w:before="40" w:after="40"/>
              <w:jc w:val="right"/>
            </w:pPr>
            <w:r w:rsidRPr="005C5E32">
              <w:t>–</w:t>
            </w:r>
          </w:p>
        </w:tc>
        <w:tc>
          <w:tcPr>
            <w:tcW w:w="1134" w:type="dxa"/>
            <w:tcBorders>
              <w:top w:val="single" w:sz="4" w:space="0" w:color="000000" w:themeColor="text1"/>
              <w:bottom w:val="single" w:sz="4" w:space="0" w:color="000000" w:themeColor="text1"/>
            </w:tcBorders>
          </w:tcPr>
          <w:p w14:paraId="06DE1CFC" w14:textId="21581A85" w:rsidR="00D06CB2" w:rsidRPr="005C5E32" w:rsidRDefault="008F05C0">
            <w:pPr>
              <w:pStyle w:val="TableTextbold"/>
              <w:spacing w:before="40" w:after="40"/>
              <w:jc w:val="right"/>
            </w:pPr>
            <w:r w:rsidRPr="005C5E32">
              <w:t>–</w:t>
            </w:r>
          </w:p>
        </w:tc>
        <w:tc>
          <w:tcPr>
            <w:tcW w:w="1134" w:type="dxa"/>
            <w:tcBorders>
              <w:top w:val="single" w:sz="4" w:space="0" w:color="000000" w:themeColor="text1"/>
              <w:bottom w:val="single" w:sz="4" w:space="0" w:color="000000" w:themeColor="text1"/>
            </w:tcBorders>
          </w:tcPr>
          <w:p w14:paraId="120AB349" w14:textId="1E742A55" w:rsidR="00D06CB2" w:rsidRPr="005C5E32" w:rsidRDefault="008F05C0">
            <w:pPr>
              <w:pStyle w:val="TableTextbold"/>
              <w:spacing w:before="40" w:after="40"/>
              <w:jc w:val="right"/>
            </w:pPr>
            <w:r w:rsidRPr="005C5E32">
              <w:t>–</w:t>
            </w:r>
          </w:p>
        </w:tc>
        <w:tc>
          <w:tcPr>
            <w:tcW w:w="992" w:type="dxa"/>
            <w:tcBorders>
              <w:top w:val="single" w:sz="4" w:space="0" w:color="000000" w:themeColor="text1"/>
              <w:bottom w:val="single" w:sz="4" w:space="0" w:color="000000" w:themeColor="text1"/>
            </w:tcBorders>
          </w:tcPr>
          <w:p w14:paraId="3F8CB2CA" w14:textId="3C758AA8" w:rsidR="00D06CB2" w:rsidRPr="005C5E32" w:rsidRDefault="008F05C0">
            <w:pPr>
              <w:pStyle w:val="TableTextbold"/>
              <w:spacing w:before="40" w:after="40"/>
              <w:jc w:val="right"/>
            </w:pPr>
            <w:r w:rsidRPr="005C5E32">
              <w:t>–</w:t>
            </w:r>
          </w:p>
        </w:tc>
      </w:tr>
    </w:tbl>
    <w:p w14:paraId="716116B7" w14:textId="77777777" w:rsidR="00D06CB2" w:rsidRPr="005C5E32" w:rsidRDefault="00D06CB2" w:rsidP="00A03341">
      <w:pPr>
        <w:pStyle w:val="Heading3"/>
        <w:tabs>
          <w:tab w:val="clear" w:pos="851"/>
          <w:tab w:val="left" w:pos="567"/>
        </w:tabs>
        <w:spacing w:before="480"/>
      </w:pPr>
      <w:bookmarkStart w:id="339" w:name="_Toc112144631"/>
      <w:r w:rsidRPr="005C5E32">
        <w:t>8.</w:t>
      </w:r>
      <w:r w:rsidRPr="005C5E32">
        <w:tab/>
        <w:t>Plant and equipment</w:t>
      </w:r>
      <w:bookmarkEnd w:id="339"/>
    </w:p>
    <w:p w14:paraId="34B15FAB" w14:textId="77777777" w:rsidR="00D06CB2" w:rsidRPr="005C5E32" w:rsidRDefault="00D06CB2" w:rsidP="00A03341">
      <w:pPr>
        <w:pStyle w:val="Heading4"/>
        <w:spacing w:before="200"/>
      </w:pPr>
      <w:r w:rsidRPr="005C5E32">
        <w:t>Accounting policy</w:t>
      </w:r>
    </w:p>
    <w:p w14:paraId="13B00043" w14:textId="77777777" w:rsidR="00D06CB2" w:rsidRPr="005C5E32" w:rsidRDefault="00D06CB2" w:rsidP="00A03341">
      <w:pPr>
        <w:pStyle w:val="BodyText"/>
        <w:spacing w:before="100" w:after="100"/>
      </w:pPr>
      <w:r w:rsidRPr="005C5E32">
        <w:t>Plant and equipment consists of furniture and fittings (including leasehold improvements), office equipment and computer hardware. Plant and equipment is recognised and disclosed at cost less accumulated depreciation and impairment losses.</w:t>
      </w:r>
    </w:p>
    <w:p w14:paraId="6206B559" w14:textId="77777777" w:rsidR="00D06CB2" w:rsidRPr="005C5E32" w:rsidRDefault="00D06CB2" w:rsidP="00A03341">
      <w:pPr>
        <w:pStyle w:val="Heading5"/>
        <w:spacing w:before="180"/>
      </w:pPr>
      <w:r w:rsidRPr="005C5E32">
        <w:lastRenderedPageBreak/>
        <w:t>Additions</w:t>
      </w:r>
    </w:p>
    <w:p w14:paraId="3667FB36" w14:textId="77777777" w:rsidR="00D06CB2" w:rsidRPr="005C5E32" w:rsidRDefault="00D06CB2" w:rsidP="00A03341">
      <w:pPr>
        <w:pStyle w:val="BodyText"/>
        <w:spacing w:before="100" w:after="100"/>
      </w:pPr>
      <w:r w:rsidRPr="005C5E32">
        <w:t>The cost of an item of plant and equipment is recognised as an asset only when it is probable that future economic benefits or service potential associated with the item will flow to the Ministry and the cost of the item can be measured reliably.</w:t>
      </w:r>
    </w:p>
    <w:p w14:paraId="4E1D2553" w14:textId="77777777" w:rsidR="00D06CB2" w:rsidRPr="005C5E32" w:rsidRDefault="00D06CB2" w:rsidP="00A03341">
      <w:pPr>
        <w:pStyle w:val="BodyText"/>
        <w:spacing w:before="100" w:after="100"/>
      </w:pPr>
      <w:r w:rsidRPr="005C5E32">
        <w:t>Individual assets, or a group of assets, are capitalised if their cost is greater than $1,500. The value of an individual asset that is less than $1,500 and that is part of a group of similar assets is capitalised.</w:t>
      </w:r>
    </w:p>
    <w:p w14:paraId="4F2DD1C5" w14:textId="77777777" w:rsidR="00D06CB2" w:rsidRPr="005C5E32" w:rsidRDefault="00D06CB2" w:rsidP="00A03341">
      <w:pPr>
        <w:pStyle w:val="BodyText"/>
        <w:spacing w:before="100" w:after="100"/>
      </w:pPr>
      <w:r w:rsidRPr="005C5E32">
        <w:t>Work in progress is recognised at cost less impairment and is not depreciated.</w:t>
      </w:r>
    </w:p>
    <w:p w14:paraId="2BD54CA2" w14:textId="77777777" w:rsidR="00D06CB2" w:rsidRPr="005C5E32" w:rsidRDefault="00D06CB2" w:rsidP="00A03341">
      <w:pPr>
        <w:pStyle w:val="Heading5"/>
        <w:spacing w:before="180"/>
      </w:pPr>
      <w:r w:rsidRPr="005C5E32">
        <w:t>Disposals</w:t>
      </w:r>
    </w:p>
    <w:p w14:paraId="30E9A311" w14:textId="77777777" w:rsidR="00D06CB2" w:rsidRPr="005C5E32" w:rsidRDefault="00D06CB2" w:rsidP="00C33092">
      <w:pPr>
        <w:pStyle w:val="BodyText"/>
        <w:spacing w:before="80" w:after="100"/>
      </w:pPr>
      <w:r w:rsidRPr="005C5E32">
        <w:t>Gains and losses on disposals are determined by comparing the proceeds with the carrying amount of the asset. Gains and losses arising from disposal of plant and equipment are recognised in the statement of comprehensive revenue and expense in the period in which the transaction occurs.</w:t>
      </w:r>
    </w:p>
    <w:p w14:paraId="0E219035" w14:textId="77777777" w:rsidR="00D06CB2" w:rsidRPr="005C5E32" w:rsidRDefault="00D06CB2" w:rsidP="00A03341">
      <w:pPr>
        <w:pStyle w:val="Heading5"/>
        <w:spacing w:before="180"/>
      </w:pPr>
      <w:r w:rsidRPr="005C5E32">
        <w:t>Subsequent costs</w:t>
      </w:r>
    </w:p>
    <w:p w14:paraId="38A5EA3E" w14:textId="77777777" w:rsidR="00D06CB2" w:rsidRPr="005C5E32" w:rsidRDefault="00D06CB2" w:rsidP="00C33092">
      <w:pPr>
        <w:pStyle w:val="BodyText"/>
        <w:spacing w:before="80" w:after="100"/>
      </w:pPr>
      <w:r w:rsidRPr="005C5E32">
        <w:t>Costs incurred subsequent to initial acquisition are capitalised only when it is probable that future economic benefits or service potential associated with the item will flow to the Ministry and the cost of the item can be measured reliably.</w:t>
      </w:r>
    </w:p>
    <w:p w14:paraId="50180DB6" w14:textId="77777777" w:rsidR="00D06CB2" w:rsidRPr="005C5E32" w:rsidRDefault="00D06CB2" w:rsidP="00A03341">
      <w:pPr>
        <w:pStyle w:val="BodyText"/>
        <w:spacing w:before="100" w:after="100"/>
      </w:pPr>
      <w:r w:rsidRPr="005C5E32">
        <w:t>The costs of day-to-day servicing of plant and equipment are recognised in surplus or deficit as they are incurred.</w:t>
      </w:r>
    </w:p>
    <w:p w14:paraId="45D2DA01" w14:textId="77777777" w:rsidR="00D06CB2" w:rsidRPr="005C5E32" w:rsidRDefault="00D06CB2" w:rsidP="00A03341">
      <w:pPr>
        <w:pStyle w:val="Heading5"/>
        <w:spacing w:before="180"/>
      </w:pPr>
      <w:r w:rsidRPr="005C5E32">
        <w:t>Depreciation</w:t>
      </w:r>
    </w:p>
    <w:p w14:paraId="45023EDD" w14:textId="77777777" w:rsidR="00D06CB2" w:rsidRPr="005C5E32" w:rsidRDefault="00D06CB2" w:rsidP="00C33092">
      <w:pPr>
        <w:pStyle w:val="BodyText"/>
        <w:spacing w:before="80" w:after="180"/>
      </w:pPr>
      <w:r w:rsidRPr="005C5E32">
        <w:t>Depreciation is provided on a straight-line basis on all plant and equipment, at a rate that will write off the cost of the assets over their useful lives. The depreciation charge for each period is recognised in the statement of comprehensive revenue and expense. The useful lives and associated depreciation rates of major classes of plant and equipment have been estimated as follows:</w:t>
      </w:r>
    </w:p>
    <w:tbl>
      <w:tblPr>
        <w:tblW w:w="850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238"/>
        <w:gridCol w:w="3453"/>
        <w:gridCol w:w="1814"/>
      </w:tblGrid>
      <w:tr w:rsidR="00D06CB2" w:rsidRPr="005C5E32" w14:paraId="7A007B83" w14:textId="77777777" w:rsidTr="009E72E3">
        <w:trPr>
          <w:trHeight w:val="20"/>
        </w:trPr>
        <w:tc>
          <w:tcPr>
            <w:tcW w:w="3379" w:type="dxa"/>
            <w:tcBorders>
              <w:top w:val="single" w:sz="8" w:space="0" w:color="0E7C7E"/>
              <w:bottom w:val="single" w:sz="2" w:space="0" w:color="58595B"/>
            </w:tcBorders>
            <w:tcMar>
              <w:left w:w="85" w:type="dxa"/>
              <w:right w:w="85" w:type="dxa"/>
            </w:tcMar>
            <w:vAlign w:val="bottom"/>
          </w:tcPr>
          <w:p w14:paraId="023290B6" w14:textId="77777777" w:rsidR="00D06CB2" w:rsidRPr="005C5E32" w:rsidRDefault="00D06CB2" w:rsidP="009E72E3">
            <w:pPr>
              <w:pStyle w:val="TableboldGreen"/>
            </w:pPr>
            <w:r w:rsidRPr="005C5E32">
              <w:t>Asset class</w:t>
            </w:r>
          </w:p>
        </w:tc>
        <w:tc>
          <w:tcPr>
            <w:tcW w:w="3604" w:type="dxa"/>
            <w:tcBorders>
              <w:top w:val="single" w:sz="8" w:space="0" w:color="0E7C7E"/>
              <w:bottom w:val="single" w:sz="2" w:space="0" w:color="58595B"/>
            </w:tcBorders>
            <w:tcMar>
              <w:left w:w="85" w:type="dxa"/>
              <w:right w:w="85" w:type="dxa"/>
            </w:tcMar>
            <w:vAlign w:val="bottom"/>
          </w:tcPr>
          <w:p w14:paraId="68E64339" w14:textId="77777777" w:rsidR="00D06CB2" w:rsidRPr="005C5E32" w:rsidRDefault="00D06CB2">
            <w:pPr>
              <w:pStyle w:val="TableboldGreen"/>
              <w:spacing w:before="40" w:after="40"/>
              <w:ind w:left="85"/>
              <w:jc w:val="right"/>
              <w:rPr>
                <w:color w:val="0E7C7E"/>
                <w:szCs w:val="18"/>
              </w:rPr>
            </w:pPr>
            <w:r w:rsidRPr="005C5E32">
              <w:rPr>
                <w:color w:val="0E7C7E"/>
                <w:szCs w:val="18"/>
              </w:rPr>
              <w:t xml:space="preserve">Useful life </w:t>
            </w:r>
            <w:r w:rsidRPr="005C5E32">
              <w:rPr>
                <w:color w:val="0E7C7E"/>
                <w:szCs w:val="18"/>
              </w:rPr>
              <w:br/>
              <w:t>(years)</w:t>
            </w:r>
          </w:p>
        </w:tc>
        <w:tc>
          <w:tcPr>
            <w:tcW w:w="1889" w:type="dxa"/>
            <w:tcBorders>
              <w:top w:val="single" w:sz="8" w:space="0" w:color="0E7C7E"/>
              <w:bottom w:val="single" w:sz="2" w:space="0" w:color="58595B"/>
            </w:tcBorders>
            <w:tcMar>
              <w:left w:w="85" w:type="dxa"/>
              <w:right w:w="85" w:type="dxa"/>
            </w:tcMar>
            <w:vAlign w:val="bottom"/>
          </w:tcPr>
          <w:p w14:paraId="64ADC8E2" w14:textId="77777777" w:rsidR="00D06CB2" w:rsidRPr="005C5E32" w:rsidRDefault="00D06CB2">
            <w:pPr>
              <w:pStyle w:val="TableboldGreen"/>
              <w:spacing w:before="40" w:after="40"/>
              <w:ind w:left="85"/>
              <w:jc w:val="right"/>
              <w:rPr>
                <w:color w:val="0E7C7E"/>
                <w:szCs w:val="18"/>
              </w:rPr>
            </w:pPr>
            <w:r w:rsidRPr="005C5E32">
              <w:rPr>
                <w:color w:val="0E7C7E"/>
                <w:szCs w:val="18"/>
              </w:rPr>
              <w:t xml:space="preserve">Depreciation rate </w:t>
            </w:r>
            <w:r w:rsidRPr="005C5E32">
              <w:rPr>
                <w:color w:val="0E7C7E"/>
                <w:szCs w:val="18"/>
              </w:rPr>
              <w:br/>
              <w:t>(%)</w:t>
            </w:r>
          </w:p>
        </w:tc>
      </w:tr>
      <w:tr w:rsidR="00D06CB2" w:rsidRPr="005C5E32" w14:paraId="53A1E4E5" w14:textId="77777777" w:rsidTr="009E72E3">
        <w:trPr>
          <w:trHeight w:val="20"/>
        </w:trPr>
        <w:tc>
          <w:tcPr>
            <w:tcW w:w="3379" w:type="dxa"/>
            <w:tcBorders>
              <w:top w:val="single" w:sz="2" w:space="0" w:color="58595B"/>
              <w:bottom w:val="single" w:sz="2" w:space="0" w:color="58595B"/>
            </w:tcBorders>
            <w:tcMar>
              <w:left w:w="85" w:type="dxa"/>
              <w:right w:w="85" w:type="dxa"/>
            </w:tcMar>
          </w:tcPr>
          <w:p w14:paraId="7F8F42A1" w14:textId="77777777" w:rsidR="00D06CB2" w:rsidRPr="005C5E32" w:rsidRDefault="00D06CB2">
            <w:pPr>
              <w:pStyle w:val="TableText"/>
              <w:spacing w:before="40" w:after="40"/>
            </w:pPr>
            <w:r w:rsidRPr="005C5E32">
              <w:t>Furniture and fittings</w:t>
            </w:r>
          </w:p>
        </w:tc>
        <w:tc>
          <w:tcPr>
            <w:tcW w:w="3604" w:type="dxa"/>
            <w:tcBorders>
              <w:top w:val="single" w:sz="2" w:space="0" w:color="58595B"/>
              <w:bottom w:val="single" w:sz="2" w:space="0" w:color="58595B"/>
            </w:tcBorders>
            <w:tcMar>
              <w:left w:w="85" w:type="dxa"/>
              <w:right w:w="85" w:type="dxa"/>
            </w:tcMar>
          </w:tcPr>
          <w:p w14:paraId="35FC0603" w14:textId="77777777" w:rsidR="00D06CB2" w:rsidRPr="005C5E32" w:rsidRDefault="00D06CB2">
            <w:pPr>
              <w:pStyle w:val="TableText"/>
              <w:spacing w:before="40" w:after="40"/>
              <w:jc w:val="right"/>
              <w:rPr>
                <w:rFonts w:cs="Calibri"/>
              </w:rPr>
            </w:pPr>
            <w:r w:rsidRPr="005C5E32">
              <w:rPr>
                <w:rFonts w:cs="Calibri"/>
              </w:rPr>
              <w:t>5–13</w:t>
            </w:r>
          </w:p>
        </w:tc>
        <w:tc>
          <w:tcPr>
            <w:tcW w:w="1889" w:type="dxa"/>
            <w:tcBorders>
              <w:top w:val="single" w:sz="2" w:space="0" w:color="58595B"/>
              <w:bottom w:val="single" w:sz="2" w:space="0" w:color="58595B"/>
            </w:tcBorders>
            <w:tcMar>
              <w:left w:w="85" w:type="dxa"/>
              <w:right w:w="85" w:type="dxa"/>
            </w:tcMar>
          </w:tcPr>
          <w:p w14:paraId="207F6DBE" w14:textId="77777777" w:rsidR="00D06CB2" w:rsidRPr="005C5E32" w:rsidRDefault="00D06CB2">
            <w:pPr>
              <w:pStyle w:val="TableText"/>
              <w:spacing w:before="40" w:after="40"/>
              <w:jc w:val="right"/>
            </w:pPr>
            <w:r w:rsidRPr="005C5E32">
              <w:t>7.69–20.0</w:t>
            </w:r>
          </w:p>
        </w:tc>
      </w:tr>
      <w:tr w:rsidR="00D06CB2" w:rsidRPr="005C5E32" w14:paraId="471D8BCF" w14:textId="77777777" w:rsidTr="009E72E3">
        <w:trPr>
          <w:trHeight w:val="20"/>
        </w:trPr>
        <w:tc>
          <w:tcPr>
            <w:tcW w:w="3379" w:type="dxa"/>
            <w:tcBorders>
              <w:top w:val="single" w:sz="2" w:space="0" w:color="58595B"/>
              <w:bottom w:val="single" w:sz="2" w:space="0" w:color="58595B"/>
            </w:tcBorders>
            <w:tcMar>
              <w:left w:w="85" w:type="dxa"/>
              <w:right w:w="85" w:type="dxa"/>
            </w:tcMar>
          </w:tcPr>
          <w:p w14:paraId="04D6FAFD" w14:textId="77777777" w:rsidR="00D06CB2" w:rsidRPr="005C5E32" w:rsidRDefault="00D06CB2">
            <w:pPr>
              <w:pStyle w:val="TableText"/>
              <w:spacing w:before="40" w:after="40"/>
            </w:pPr>
            <w:r w:rsidRPr="005C5E32">
              <w:t>Office equipment</w:t>
            </w:r>
          </w:p>
        </w:tc>
        <w:tc>
          <w:tcPr>
            <w:tcW w:w="3604" w:type="dxa"/>
            <w:tcBorders>
              <w:top w:val="single" w:sz="2" w:space="0" w:color="58595B"/>
              <w:bottom w:val="single" w:sz="2" w:space="0" w:color="58595B"/>
            </w:tcBorders>
            <w:tcMar>
              <w:left w:w="85" w:type="dxa"/>
              <w:right w:w="85" w:type="dxa"/>
            </w:tcMar>
          </w:tcPr>
          <w:p w14:paraId="46676E90" w14:textId="77777777" w:rsidR="00D06CB2" w:rsidRPr="005C5E32" w:rsidRDefault="00D06CB2">
            <w:pPr>
              <w:pStyle w:val="TableText"/>
              <w:spacing w:before="40" w:after="40"/>
              <w:jc w:val="right"/>
              <w:rPr>
                <w:rFonts w:cs="Calibri"/>
              </w:rPr>
            </w:pPr>
            <w:r w:rsidRPr="005C5E32">
              <w:rPr>
                <w:rFonts w:cs="Calibri"/>
              </w:rPr>
              <w:t>5</w:t>
            </w:r>
          </w:p>
        </w:tc>
        <w:tc>
          <w:tcPr>
            <w:tcW w:w="1889" w:type="dxa"/>
            <w:tcBorders>
              <w:top w:val="single" w:sz="2" w:space="0" w:color="58595B"/>
              <w:bottom w:val="single" w:sz="2" w:space="0" w:color="58595B"/>
            </w:tcBorders>
            <w:tcMar>
              <w:left w:w="85" w:type="dxa"/>
              <w:right w:w="85" w:type="dxa"/>
            </w:tcMar>
          </w:tcPr>
          <w:p w14:paraId="09095C10" w14:textId="77777777" w:rsidR="00D06CB2" w:rsidRPr="005C5E32" w:rsidRDefault="00D06CB2">
            <w:pPr>
              <w:pStyle w:val="TableText"/>
              <w:spacing w:before="40" w:after="40"/>
              <w:jc w:val="right"/>
            </w:pPr>
            <w:r w:rsidRPr="005C5E32">
              <w:t>20.0</w:t>
            </w:r>
          </w:p>
        </w:tc>
      </w:tr>
      <w:tr w:rsidR="00D06CB2" w:rsidRPr="005C5E32" w14:paraId="0EF81738" w14:textId="77777777" w:rsidTr="009E72E3">
        <w:trPr>
          <w:trHeight w:val="20"/>
        </w:trPr>
        <w:tc>
          <w:tcPr>
            <w:tcW w:w="3379" w:type="dxa"/>
            <w:tcBorders>
              <w:top w:val="single" w:sz="2" w:space="0" w:color="58595B"/>
              <w:bottom w:val="single" w:sz="2" w:space="0" w:color="58595B"/>
            </w:tcBorders>
            <w:tcMar>
              <w:left w:w="85" w:type="dxa"/>
              <w:right w:w="85" w:type="dxa"/>
            </w:tcMar>
          </w:tcPr>
          <w:p w14:paraId="53894E4D" w14:textId="77777777" w:rsidR="00D06CB2" w:rsidRPr="005C5E32" w:rsidRDefault="00D06CB2">
            <w:pPr>
              <w:pStyle w:val="TableText"/>
              <w:spacing w:before="40" w:after="40"/>
            </w:pPr>
            <w:r w:rsidRPr="005C5E32">
              <w:t>Computer hardware</w:t>
            </w:r>
          </w:p>
        </w:tc>
        <w:tc>
          <w:tcPr>
            <w:tcW w:w="3604" w:type="dxa"/>
            <w:tcBorders>
              <w:top w:val="single" w:sz="2" w:space="0" w:color="58595B"/>
              <w:bottom w:val="single" w:sz="2" w:space="0" w:color="58595B"/>
            </w:tcBorders>
            <w:tcMar>
              <w:left w:w="85" w:type="dxa"/>
              <w:right w:w="85" w:type="dxa"/>
            </w:tcMar>
          </w:tcPr>
          <w:p w14:paraId="558DD276" w14:textId="77777777" w:rsidR="00D06CB2" w:rsidRPr="005C5E32" w:rsidRDefault="00D06CB2">
            <w:pPr>
              <w:pStyle w:val="TableText"/>
              <w:spacing w:before="40" w:after="40"/>
              <w:jc w:val="right"/>
              <w:rPr>
                <w:rFonts w:cs="Calibri"/>
              </w:rPr>
            </w:pPr>
            <w:r w:rsidRPr="005C5E32">
              <w:rPr>
                <w:rFonts w:cs="Calibri"/>
              </w:rPr>
              <w:t>3–4</w:t>
            </w:r>
          </w:p>
        </w:tc>
        <w:tc>
          <w:tcPr>
            <w:tcW w:w="1889" w:type="dxa"/>
            <w:tcBorders>
              <w:top w:val="single" w:sz="2" w:space="0" w:color="58595B"/>
              <w:bottom w:val="single" w:sz="2" w:space="0" w:color="58595B"/>
            </w:tcBorders>
            <w:tcMar>
              <w:left w:w="85" w:type="dxa"/>
              <w:right w:w="85" w:type="dxa"/>
            </w:tcMar>
          </w:tcPr>
          <w:p w14:paraId="3CCFE7B0" w14:textId="77777777" w:rsidR="00D06CB2" w:rsidRPr="005C5E32" w:rsidRDefault="00D06CB2">
            <w:pPr>
              <w:pStyle w:val="TableText"/>
              <w:spacing w:before="40" w:after="40"/>
              <w:jc w:val="right"/>
            </w:pPr>
            <w:r w:rsidRPr="005C5E32">
              <w:t>25.0–33.33</w:t>
            </w:r>
          </w:p>
        </w:tc>
      </w:tr>
    </w:tbl>
    <w:p w14:paraId="5E9F6F5F" w14:textId="77777777" w:rsidR="00D06CB2" w:rsidRPr="005C5E32" w:rsidRDefault="00D06CB2" w:rsidP="00BA0D4D">
      <w:pPr>
        <w:pStyle w:val="BodyText"/>
        <w:spacing w:before="240" w:after="100"/>
      </w:pPr>
      <w:r w:rsidRPr="005C5E32">
        <w:t>Leasehold improvements (included in furniture and fittings) are capitalised and depreciated over the unexpired period of the lease or the estimated remaining useful lives of the improvements, whichever is shorter. Items classified as furniture and fittings but not deemed to be part of leasehold improvements are depreciated over their useful lives.</w:t>
      </w:r>
    </w:p>
    <w:p w14:paraId="258079E9" w14:textId="77777777" w:rsidR="00D06CB2" w:rsidRPr="005C5E32" w:rsidRDefault="00D06CB2" w:rsidP="00A03341">
      <w:pPr>
        <w:pStyle w:val="Heading5"/>
        <w:spacing w:before="120"/>
      </w:pPr>
      <w:r w:rsidRPr="005C5E32">
        <w:t>Impairment</w:t>
      </w:r>
    </w:p>
    <w:p w14:paraId="4CD1B6C9" w14:textId="77777777" w:rsidR="00D06CB2" w:rsidRPr="005C5E32" w:rsidRDefault="00D06CB2" w:rsidP="00BA0D4D">
      <w:pPr>
        <w:pStyle w:val="BodyText"/>
        <w:spacing w:before="80" w:after="100"/>
      </w:pPr>
      <w:r w:rsidRPr="005C5E32">
        <w:t>Plant and equipment that have a finite useful life are reviewed for impairment whenever events or changes in circumstances indicate that the carrying amount may not be recoverable. An impairment loss is recognised in the statement of comprehensive revenue and expense for the amount by which the asset’s carrying amount exceeds its recoverable amount. The recoverable amount is the higher of an asset’s fair value less costs to sell and its value in use.</w:t>
      </w:r>
    </w:p>
    <w:p w14:paraId="245E2060" w14:textId="77777777" w:rsidR="00D06CB2" w:rsidRPr="005C5E32" w:rsidRDefault="00D06CB2" w:rsidP="00BA0D4D">
      <w:pPr>
        <w:pStyle w:val="BodyText"/>
        <w:spacing w:before="100" w:after="100"/>
      </w:pPr>
      <w:r w:rsidRPr="005C5E32">
        <w:lastRenderedPageBreak/>
        <w:t>Value in use is depreciated replacement cost for an asset where the future economic benefits or service potential of the asset are not primarily dependent on the asset’s ability to generate net cash inflows and where the Ministry would, if deprived of the asset, replace its remaining future economic benefits or service potential.</w:t>
      </w:r>
    </w:p>
    <w:p w14:paraId="4A0CD72B" w14:textId="77777777" w:rsidR="00D06CB2" w:rsidRPr="005C5E32" w:rsidRDefault="00D06CB2" w:rsidP="00BA0D4D">
      <w:pPr>
        <w:pStyle w:val="BodyText"/>
        <w:spacing w:before="100"/>
      </w:pPr>
      <w:r w:rsidRPr="005C5E32">
        <w:t>If an asset’s carrying amount exceeds its recoverable service amount, the asset is regarded as impaired and the carrying amount is written down to its recoverable amount.</w:t>
      </w:r>
    </w:p>
    <w:p w14:paraId="69A773B8" w14:textId="77777777" w:rsidR="00D06CB2" w:rsidRPr="005C5E32" w:rsidRDefault="00D06CB2" w:rsidP="00A03341">
      <w:pPr>
        <w:pStyle w:val="Heading5"/>
        <w:spacing w:after="240"/>
      </w:pPr>
      <w:r w:rsidRPr="005C5E32">
        <w:t>Breakdown of plant and equipment</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3969"/>
        <w:gridCol w:w="1418"/>
        <w:gridCol w:w="1134"/>
        <w:gridCol w:w="1028"/>
        <w:gridCol w:w="956"/>
      </w:tblGrid>
      <w:tr w:rsidR="00D06CB2" w:rsidRPr="005C5E32" w14:paraId="5D12C52E" w14:textId="77777777" w:rsidTr="00817014">
        <w:trPr>
          <w:trHeight w:val="20"/>
        </w:trPr>
        <w:tc>
          <w:tcPr>
            <w:tcW w:w="3969" w:type="dxa"/>
            <w:tcBorders>
              <w:top w:val="single" w:sz="8" w:space="0" w:color="0E7C7E"/>
              <w:bottom w:val="single" w:sz="2" w:space="0" w:color="58595B"/>
            </w:tcBorders>
            <w:vAlign w:val="bottom"/>
          </w:tcPr>
          <w:p w14:paraId="580F57A6" w14:textId="77777777" w:rsidR="00D06CB2" w:rsidRPr="005C5E32" w:rsidRDefault="00D06CB2">
            <w:pPr>
              <w:pStyle w:val="TableboldGreen"/>
              <w:spacing w:before="40" w:after="40" w:line="230" w:lineRule="atLeast"/>
            </w:pPr>
          </w:p>
        </w:tc>
        <w:tc>
          <w:tcPr>
            <w:tcW w:w="1418" w:type="dxa"/>
            <w:tcBorders>
              <w:top w:val="single" w:sz="8" w:space="0" w:color="0E7C7E"/>
              <w:bottom w:val="single" w:sz="2" w:space="0" w:color="58595B"/>
            </w:tcBorders>
            <w:vAlign w:val="bottom"/>
          </w:tcPr>
          <w:p w14:paraId="5FA2542B" w14:textId="77777777" w:rsidR="00D06CB2" w:rsidRPr="005C5E32" w:rsidRDefault="00D06CB2">
            <w:pPr>
              <w:pStyle w:val="TableboldGreen"/>
              <w:spacing w:before="40" w:after="40" w:line="230" w:lineRule="atLeast"/>
              <w:jc w:val="right"/>
            </w:pPr>
            <w:r w:rsidRPr="005C5E32">
              <w:t xml:space="preserve">Furniture and </w:t>
            </w:r>
            <w:r w:rsidRPr="005C5E32">
              <w:br/>
              <w:t>fittings</w:t>
            </w:r>
            <w:r w:rsidRPr="005C5E32">
              <w:br/>
              <w:t>$000</w:t>
            </w:r>
          </w:p>
        </w:tc>
        <w:tc>
          <w:tcPr>
            <w:tcW w:w="1134" w:type="dxa"/>
            <w:tcBorders>
              <w:top w:val="single" w:sz="8" w:space="0" w:color="0E7C7E"/>
              <w:bottom w:val="single" w:sz="2" w:space="0" w:color="58595B"/>
            </w:tcBorders>
            <w:vAlign w:val="bottom"/>
          </w:tcPr>
          <w:p w14:paraId="7183DFCB" w14:textId="77777777" w:rsidR="00D06CB2" w:rsidRPr="005C5E32" w:rsidRDefault="00D06CB2">
            <w:pPr>
              <w:pStyle w:val="TableboldGreen"/>
              <w:spacing w:before="40" w:after="40" w:line="230" w:lineRule="atLeast"/>
              <w:jc w:val="right"/>
            </w:pPr>
            <w:r w:rsidRPr="005C5E32">
              <w:t>Office equipment</w:t>
            </w:r>
            <w:r w:rsidRPr="005C5E32">
              <w:br/>
              <w:t>$000</w:t>
            </w:r>
          </w:p>
        </w:tc>
        <w:tc>
          <w:tcPr>
            <w:tcW w:w="1028" w:type="dxa"/>
            <w:tcBorders>
              <w:top w:val="single" w:sz="8" w:space="0" w:color="0E7C7E"/>
              <w:bottom w:val="single" w:sz="2" w:space="0" w:color="58595B"/>
            </w:tcBorders>
            <w:vAlign w:val="bottom"/>
          </w:tcPr>
          <w:p w14:paraId="6B2D5758" w14:textId="77777777" w:rsidR="00D06CB2" w:rsidRPr="005C5E32" w:rsidRDefault="00D06CB2">
            <w:pPr>
              <w:pStyle w:val="TableboldGreen"/>
              <w:spacing w:before="40" w:after="40" w:line="230" w:lineRule="atLeast"/>
              <w:jc w:val="right"/>
            </w:pPr>
            <w:r w:rsidRPr="005C5E32">
              <w:t>Computer hardware</w:t>
            </w:r>
            <w:r w:rsidRPr="005C5E32">
              <w:br/>
              <w:t>$000</w:t>
            </w:r>
          </w:p>
        </w:tc>
        <w:tc>
          <w:tcPr>
            <w:tcW w:w="956" w:type="dxa"/>
            <w:tcBorders>
              <w:top w:val="single" w:sz="8" w:space="0" w:color="0E7C7E"/>
              <w:bottom w:val="single" w:sz="2" w:space="0" w:color="58595B"/>
            </w:tcBorders>
            <w:vAlign w:val="bottom"/>
          </w:tcPr>
          <w:p w14:paraId="457CBAB0" w14:textId="77777777" w:rsidR="00D06CB2" w:rsidRPr="005C5E32" w:rsidRDefault="00D06CB2">
            <w:pPr>
              <w:pStyle w:val="TableboldGreen"/>
              <w:spacing w:before="40" w:after="40" w:line="230" w:lineRule="atLeast"/>
              <w:jc w:val="right"/>
            </w:pPr>
            <w:r w:rsidRPr="005C5E32">
              <w:t>Total</w:t>
            </w:r>
            <w:r w:rsidRPr="005C5E32">
              <w:br/>
              <w:t>$000</w:t>
            </w:r>
          </w:p>
        </w:tc>
      </w:tr>
      <w:tr w:rsidR="00D06CB2" w:rsidRPr="005C5E32" w14:paraId="2B7E70F6" w14:textId="77777777" w:rsidTr="00817014">
        <w:trPr>
          <w:trHeight w:val="20"/>
        </w:trPr>
        <w:tc>
          <w:tcPr>
            <w:tcW w:w="3969" w:type="dxa"/>
            <w:tcBorders>
              <w:top w:val="single" w:sz="2" w:space="0" w:color="58595B"/>
            </w:tcBorders>
          </w:tcPr>
          <w:p w14:paraId="34236E59" w14:textId="77777777" w:rsidR="00D06CB2" w:rsidRPr="005C5E32" w:rsidRDefault="00D06CB2">
            <w:pPr>
              <w:pStyle w:val="TableboldGreen"/>
              <w:spacing w:before="40" w:after="0" w:line="230" w:lineRule="atLeast"/>
            </w:pPr>
            <w:r w:rsidRPr="005C5E32">
              <w:t>Cost</w:t>
            </w:r>
          </w:p>
        </w:tc>
        <w:tc>
          <w:tcPr>
            <w:tcW w:w="1418" w:type="dxa"/>
            <w:tcBorders>
              <w:top w:val="single" w:sz="2" w:space="0" w:color="58595B"/>
            </w:tcBorders>
          </w:tcPr>
          <w:p w14:paraId="4E4D10BE" w14:textId="77777777" w:rsidR="00D06CB2" w:rsidRPr="005C5E32" w:rsidRDefault="00D06CB2">
            <w:pPr>
              <w:pStyle w:val="TableText"/>
              <w:spacing w:before="40" w:after="0" w:line="230" w:lineRule="atLeast"/>
              <w:jc w:val="right"/>
            </w:pPr>
          </w:p>
        </w:tc>
        <w:tc>
          <w:tcPr>
            <w:tcW w:w="1134" w:type="dxa"/>
            <w:tcBorders>
              <w:top w:val="single" w:sz="2" w:space="0" w:color="58595B"/>
            </w:tcBorders>
          </w:tcPr>
          <w:p w14:paraId="7D881CA4" w14:textId="77777777" w:rsidR="00D06CB2" w:rsidRPr="005C5E32" w:rsidRDefault="00D06CB2">
            <w:pPr>
              <w:pStyle w:val="TableText"/>
              <w:spacing w:before="40" w:after="0" w:line="230" w:lineRule="atLeast"/>
              <w:jc w:val="right"/>
            </w:pPr>
          </w:p>
        </w:tc>
        <w:tc>
          <w:tcPr>
            <w:tcW w:w="1028" w:type="dxa"/>
            <w:tcBorders>
              <w:top w:val="single" w:sz="2" w:space="0" w:color="58595B"/>
            </w:tcBorders>
          </w:tcPr>
          <w:p w14:paraId="69BFB4B0" w14:textId="77777777" w:rsidR="00D06CB2" w:rsidRPr="005C5E32" w:rsidRDefault="00D06CB2">
            <w:pPr>
              <w:pStyle w:val="TableText"/>
              <w:spacing w:before="40" w:after="0" w:line="230" w:lineRule="atLeast"/>
              <w:jc w:val="right"/>
            </w:pPr>
          </w:p>
        </w:tc>
        <w:tc>
          <w:tcPr>
            <w:tcW w:w="956" w:type="dxa"/>
            <w:tcBorders>
              <w:top w:val="single" w:sz="2" w:space="0" w:color="58595B"/>
            </w:tcBorders>
          </w:tcPr>
          <w:p w14:paraId="7A83C08A" w14:textId="77777777" w:rsidR="00D06CB2" w:rsidRPr="005C5E32" w:rsidRDefault="00D06CB2">
            <w:pPr>
              <w:pStyle w:val="TableText"/>
              <w:spacing w:before="40" w:after="0" w:line="230" w:lineRule="atLeast"/>
              <w:jc w:val="right"/>
            </w:pPr>
          </w:p>
        </w:tc>
      </w:tr>
      <w:tr w:rsidR="00D06CB2" w:rsidRPr="005C5E32" w14:paraId="642279F0" w14:textId="77777777" w:rsidTr="00817014">
        <w:trPr>
          <w:trHeight w:val="20"/>
        </w:trPr>
        <w:tc>
          <w:tcPr>
            <w:tcW w:w="3969" w:type="dxa"/>
            <w:tcBorders>
              <w:bottom w:val="single" w:sz="2" w:space="0" w:color="58595B"/>
            </w:tcBorders>
          </w:tcPr>
          <w:p w14:paraId="2CC0468A" w14:textId="77777777" w:rsidR="00D06CB2" w:rsidRPr="005C5E32" w:rsidRDefault="00D06CB2">
            <w:pPr>
              <w:pStyle w:val="TableText"/>
              <w:spacing w:before="40" w:after="40" w:line="230" w:lineRule="atLeast"/>
            </w:pPr>
            <w:r w:rsidRPr="005C5E32">
              <w:t>Balance as at 1 July 2024</w:t>
            </w:r>
          </w:p>
        </w:tc>
        <w:tc>
          <w:tcPr>
            <w:tcW w:w="1418" w:type="dxa"/>
            <w:tcBorders>
              <w:bottom w:val="single" w:sz="2" w:space="0" w:color="58595B"/>
            </w:tcBorders>
          </w:tcPr>
          <w:p w14:paraId="675EE64F" w14:textId="77777777" w:rsidR="00D06CB2" w:rsidRPr="005C5E32" w:rsidRDefault="00D06CB2">
            <w:pPr>
              <w:pStyle w:val="TableText"/>
              <w:spacing w:before="40" w:after="40" w:line="230" w:lineRule="atLeast"/>
              <w:jc w:val="right"/>
            </w:pPr>
            <w:r w:rsidRPr="005C5E32">
              <w:t>467</w:t>
            </w:r>
          </w:p>
        </w:tc>
        <w:tc>
          <w:tcPr>
            <w:tcW w:w="1134" w:type="dxa"/>
            <w:tcBorders>
              <w:bottom w:val="single" w:sz="2" w:space="0" w:color="58595B"/>
            </w:tcBorders>
          </w:tcPr>
          <w:p w14:paraId="3EB65E29" w14:textId="77777777" w:rsidR="00D06CB2" w:rsidRPr="005C5E32" w:rsidRDefault="00D06CB2">
            <w:pPr>
              <w:pStyle w:val="TableText"/>
              <w:spacing w:before="40" w:after="40" w:line="230" w:lineRule="atLeast"/>
              <w:jc w:val="right"/>
            </w:pPr>
            <w:r w:rsidRPr="005C5E32">
              <w:t>48</w:t>
            </w:r>
          </w:p>
        </w:tc>
        <w:tc>
          <w:tcPr>
            <w:tcW w:w="1028" w:type="dxa"/>
            <w:tcBorders>
              <w:bottom w:val="single" w:sz="2" w:space="0" w:color="58595B"/>
            </w:tcBorders>
          </w:tcPr>
          <w:p w14:paraId="75470F3A" w14:textId="77777777" w:rsidR="00D06CB2" w:rsidRPr="005C5E32" w:rsidRDefault="00D06CB2">
            <w:pPr>
              <w:pStyle w:val="TableText"/>
              <w:spacing w:before="40" w:after="40" w:line="230" w:lineRule="atLeast"/>
              <w:jc w:val="right"/>
            </w:pPr>
            <w:r w:rsidRPr="005C5E32">
              <w:t>3,974</w:t>
            </w:r>
          </w:p>
        </w:tc>
        <w:tc>
          <w:tcPr>
            <w:tcW w:w="956" w:type="dxa"/>
            <w:tcBorders>
              <w:bottom w:val="single" w:sz="2" w:space="0" w:color="58595B"/>
            </w:tcBorders>
          </w:tcPr>
          <w:p w14:paraId="42201716" w14:textId="77777777" w:rsidR="00D06CB2" w:rsidRPr="005C5E32" w:rsidRDefault="00D06CB2">
            <w:pPr>
              <w:pStyle w:val="TableText"/>
              <w:spacing w:before="40" w:after="40" w:line="230" w:lineRule="atLeast"/>
              <w:jc w:val="right"/>
            </w:pPr>
            <w:r w:rsidRPr="005C5E32">
              <w:t>4,489</w:t>
            </w:r>
          </w:p>
        </w:tc>
      </w:tr>
      <w:tr w:rsidR="00D06CB2" w:rsidRPr="005C5E32" w14:paraId="6B129ED6" w14:textId="77777777" w:rsidTr="00817014">
        <w:trPr>
          <w:trHeight w:val="20"/>
        </w:trPr>
        <w:tc>
          <w:tcPr>
            <w:tcW w:w="3969" w:type="dxa"/>
            <w:tcBorders>
              <w:top w:val="single" w:sz="2" w:space="0" w:color="58595B"/>
              <w:bottom w:val="single" w:sz="2" w:space="0" w:color="58595B"/>
            </w:tcBorders>
          </w:tcPr>
          <w:p w14:paraId="19ACC8F4" w14:textId="77777777" w:rsidR="00D06CB2" w:rsidRPr="005C5E32" w:rsidRDefault="00D06CB2">
            <w:pPr>
              <w:pStyle w:val="TableText"/>
              <w:spacing w:before="40" w:after="40" w:line="230" w:lineRule="atLeast"/>
            </w:pPr>
            <w:r w:rsidRPr="005C5E32">
              <w:t>Additions</w:t>
            </w:r>
          </w:p>
        </w:tc>
        <w:tc>
          <w:tcPr>
            <w:tcW w:w="1418" w:type="dxa"/>
            <w:tcBorders>
              <w:top w:val="single" w:sz="2" w:space="0" w:color="58595B"/>
              <w:bottom w:val="single" w:sz="2" w:space="0" w:color="58595B"/>
            </w:tcBorders>
          </w:tcPr>
          <w:p w14:paraId="14A5E72D" w14:textId="77777777" w:rsidR="00D06CB2" w:rsidRPr="005C5E32" w:rsidRDefault="00D06CB2">
            <w:pPr>
              <w:pStyle w:val="TableText"/>
              <w:spacing w:before="40" w:after="40" w:line="230" w:lineRule="atLeast"/>
              <w:jc w:val="right"/>
            </w:pPr>
            <w:r w:rsidRPr="005C5E32">
              <w:t>–</w:t>
            </w:r>
          </w:p>
        </w:tc>
        <w:tc>
          <w:tcPr>
            <w:tcW w:w="1134" w:type="dxa"/>
            <w:tcBorders>
              <w:top w:val="single" w:sz="2" w:space="0" w:color="58595B"/>
              <w:bottom w:val="single" w:sz="2" w:space="0" w:color="58595B"/>
            </w:tcBorders>
          </w:tcPr>
          <w:p w14:paraId="3BA2551B" w14:textId="77777777" w:rsidR="00D06CB2" w:rsidRPr="005C5E32" w:rsidRDefault="00D06CB2">
            <w:pPr>
              <w:pStyle w:val="TableText"/>
              <w:spacing w:before="40" w:after="40" w:line="230" w:lineRule="atLeast"/>
              <w:jc w:val="right"/>
            </w:pPr>
            <w:r w:rsidRPr="005C5E32">
              <w:t>–</w:t>
            </w:r>
          </w:p>
        </w:tc>
        <w:tc>
          <w:tcPr>
            <w:tcW w:w="1028" w:type="dxa"/>
            <w:tcBorders>
              <w:top w:val="single" w:sz="2" w:space="0" w:color="58595B"/>
              <w:bottom w:val="single" w:sz="2" w:space="0" w:color="58595B"/>
            </w:tcBorders>
          </w:tcPr>
          <w:p w14:paraId="5DA7C9A5" w14:textId="77777777" w:rsidR="00D06CB2" w:rsidRPr="005C5E32" w:rsidRDefault="00D06CB2">
            <w:pPr>
              <w:pStyle w:val="TableText"/>
              <w:spacing w:before="40" w:after="40" w:line="230" w:lineRule="atLeast"/>
              <w:jc w:val="right"/>
            </w:pPr>
            <w:r w:rsidRPr="005C5E32">
              <w:t>256</w:t>
            </w:r>
          </w:p>
        </w:tc>
        <w:tc>
          <w:tcPr>
            <w:tcW w:w="956" w:type="dxa"/>
            <w:tcBorders>
              <w:top w:val="single" w:sz="2" w:space="0" w:color="58595B"/>
              <w:bottom w:val="single" w:sz="2" w:space="0" w:color="58595B"/>
            </w:tcBorders>
          </w:tcPr>
          <w:p w14:paraId="08EF9ACF" w14:textId="77777777" w:rsidR="00D06CB2" w:rsidRPr="005C5E32" w:rsidRDefault="00D06CB2">
            <w:pPr>
              <w:pStyle w:val="TableText"/>
              <w:spacing w:before="40" w:after="40" w:line="230" w:lineRule="atLeast"/>
              <w:jc w:val="right"/>
            </w:pPr>
            <w:r w:rsidRPr="005C5E32">
              <w:t>256</w:t>
            </w:r>
          </w:p>
        </w:tc>
      </w:tr>
      <w:tr w:rsidR="00D06CB2" w:rsidRPr="005C5E32" w14:paraId="5C64AABC" w14:textId="77777777" w:rsidTr="00817014">
        <w:trPr>
          <w:trHeight w:val="20"/>
        </w:trPr>
        <w:tc>
          <w:tcPr>
            <w:tcW w:w="3969" w:type="dxa"/>
            <w:tcBorders>
              <w:top w:val="single" w:sz="4" w:space="0" w:color="000000" w:themeColor="text1"/>
              <w:bottom w:val="single" w:sz="4" w:space="0" w:color="000000" w:themeColor="text1"/>
            </w:tcBorders>
          </w:tcPr>
          <w:p w14:paraId="446454F4" w14:textId="77777777" w:rsidR="00D06CB2" w:rsidRPr="005C5E32" w:rsidRDefault="00D06CB2">
            <w:pPr>
              <w:pStyle w:val="TableTextbold"/>
              <w:spacing w:before="40" w:after="40" w:line="230" w:lineRule="atLeast"/>
            </w:pPr>
            <w:r w:rsidRPr="005C5E32">
              <w:t>Balance as at 30 June 2025</w:t>
            </w:r>
          </w:p>
        </w:tc>
        <w:tc>
          <w:tcPr>
            <w:tcW w:w="1418" w:type="dxa"/>
            <w:tcBorders>
              <w:top w:val="single" w:sz="4" w:space="0" w:color="000000" w:themeColor="text1"/>
              <w:bottom w:val="single" w:sz="4" w:space="0" w:color="000000" w:themeColor="text1"/>
            </w:tcBorders>
          </w:tcPr>
          <w:p w14:paraId="581BECFB" w14:textId="77777777" w:rsidR="00D06CB2" w:rsidRPr="005C5E32" w:rsidRDefault="00D06CB2">
            <w:pPr>
              <w:pStyle w:val="TableTextbold"/>
              <w:spacing w:before="40" w:after="40" w:line="230" w:lineRule="atLeast"/>
              <w:jc w:val="right"/>
            </w:pPr>
            <w:r w:rsidRPr="005C5E32">
              <w:t>467</w:t>
            </w:r>
          </w:p>
        </w:tc>
        <w:tc>
          <w:tcPr>
            <w:tcW w:w="1134" w:type="dxa"/>
            <w:tcBorders>
              <w:top w:val="single" w:sz="4" w:space="0" w:color="000000" w:themeColor="text1"/>
              <w:bottom w:val="single" w:sz="4" w:space="0" w:color="000000" w:themeColor="text1"/>
            </w:tcBorders>
          </w:tcPr>
          <w:p w14:paraId="425F38F1" w14:textId="77777777" w:rsidR="00D06CB2" w:rsidRPr="005C5E32" w:rsidRDefault="00D06CB2">
            <w:pPr>
              <w:pStyle w:val="TableTextbold"/>
              <w:spacing w:before="40" w:after="40" w:line="230" w:lineRule="atLeast"/>
              <w:jc w:val="right"/>
            </w:pPr>
            <w:r w:rsidRPr="005C5E32">
              <w:t>48</w:t>
            </w:r>
          </w:p>
        </w:tc>
        <w:tc>
          <w:tcPr>
            <w:tcW w:w="1028" w:type="dxa"/>
            <w:tcBorders>
              <w:top w:val="single" w:sz="4" w:space="0" w:color="000000" w:themeColor="text1"/>
              <w:bottom w:val="single" w:sz="4" w:space="0" w:color="000000" w:themeColor="text1"/>
            </w:tcBorders>
          </w:tcPr>
          <w:p w14:paraId="5A1854A2" w14:textId="77777777" w:rsidR="00D06CB2" w:rsidRPr="005C5E32" w:rsidRDefault="00D06CB2">
            <w:pPr>
              <w:pStyle w:val="TableTextbold"/>
              <w:spacing w:before="40" w:after="40" w:line="230" w:lineRule="atLeast"/>
              <w:jc w:val="right"/>
            </w:pPr>
            <w:r w:rsidRPr="005C5E32">
              <w:t>4,230</w:t>
            </w:r>
          </w:p>
        </w:tc>
        <w:tc>
          <w:tcPr>
            <w:tcW w:w="956" w:type="dxa"/>
            <w:tcBorders>
              <w:top w:val="single" w:sz="4" w:space="0" w:color="000000" w:themeColor="text1"/>
              <w:bottom w:val="single" w:sz="4" w:space="0" w:color="000000" w:themeColor="text1"/>
            </w:tcBorders>
          </w:tcPr>
          <w:p w14:paraId="7273B7F2" w14:textId="77777777" w:rsidR="00D06CB2" w:rsidRPr="005C5E32" w:rsidRDefault="00D06CB2">
            <w:pPr>
              <w:pStyle w:val="TableTextbold"/>
              <w:spacing w:before="40" w:after="40" w:line="230" w:lineRule="atLeast"/>
              <w:jc w:val="right"/>
            </w:pPr>
            <w:r w:rsidRPr="005C5E32">
              <w:t>4,745</w:t>
            </w:r>
          </w:p>
        </w:tc>
      </w:tr>
      <w:tr w:rsidR="00D06CB2" w:rsidRPr="005C5E32" w14:paraId="41E22B12" w14:textId="77777777" w:rsidTr="00817014">
        <w:trPr>
          <w:trHeight w:val="20"/>
        </w:trPr>
        <w:tc>
          <w:tcPr>
            <w:tcW w:w="3969" w:type="dxa"/>
            <w:tcBorders>
              <w:top w:val="single" w:sz="4" w:space="0" w:color="000000" w:themeColor="text1"/>
              <w:bottom w:val="single" w:sz="2" w:space="0" w:color="58595B"/>
            </w:tcBorders>
          </w:tcPr>
          <w:p w14:paraId="1CF6D6D3" w14:textId="77777777" w:rsidR="00D06CB2" w:rsidRPr="005C5E32" w:rsidRDefault="00D06CB2">
            <w:pPr>
              <w:pStyle w:val="TableText"/>
              <w:spacing w:before="40" w:after="40" w:line="230" w:lineRule="atLeast"/>
            </w:pPr>
            <w:r w:rsidRPr="005C5E32">
              <w:t>Balance as at 1 July 2025</w:t>
            </w:r>
          </w:p>
        </w:tc>
        <w:tc>
          <w:tcPr>
            <w:tcW w:w="1418" w:type="dxa"/>
            <w:tcBorders>
              <w:top w:val="single" w:sz="4" w:space="0" w:color="000000" w:themeColor="text1"/>
              <w:bottom w:val="single" w:sz="2" w:space="0" w:color="58595B"/>
            </w:tcBorders>
          </w:tcPr>
          <w:p w14:paraId="449C1F0A" w14:textId="77777777" w:rsidR="00D06CB2" w:rsidRPr="005C5E32" w:rsidRDefault="00D06CB2">
            <w:pPr>
              <w:pStyle w:val="TableText"/>
              <w:spacing w:before="40" w:after="40" w:line="230" w:lineRule="atLeast"/>
              <w:jc w:val="right"/>
            </w:pPr>
            <w:r w:rsidRPr="005C5E32">
              <w:t>467</w:t>
            </w:r>
          </w:p>
        </w:tc>
        <w:tc>
          <w:tcPr>
            <w:tcW w:w="1134" w:type="dxa"/>
            <w:tcBorders>
              <w:top w:val="single" w:sz="4" w:space="0" w:color="000000" w:themeColor="text1"/>
              <w:bottom w:val="single" w:sz="2" w:space="0" w:color="58595B"/>
            </w:tcBorders>
          </w:tcPr>
          <w:p w14:paraId="345F99ED" w14:textId="77777777" w:rsidR="00D06CB2" w:rsidRPr="005C5E32" w:rsidRDefault="00D06CB2">
            <w:pPr>
              <w:pStyle w:val="TableText"/>
              <w:spacing w:before="40" w:after="40" w:line="230" w:lineRule="atLeast"/>
              <w:jc w:val="right"/>
            </w:pPr>
            <w:r w:rsidRPr="005C5E32">
              <w:t>48</w:t>
            </w:r>
          </w:p>
        </w:tc>
        <w:tc>
          <w:tcPr>
            <w:tcW w:w="1028" w:type="dxa"/>
            <w:tcBorders>
              <w:top w:val="single" w:sz="4" w:space="0" w:color="000000" w:themeColor="text1"/>
              <w:bottom w:val="single" w:sz="2" w:space="0" w:color="58595B"/>
            </w:tcBorders>
          </w:tcPr>
          <w:p w14:paraId="52A0E406" w14:textId="77777777" w:rsidR="00D06CB2" w:rsidRPr="005C5E32" w:rsidRDefault="00D06CB2">
            <w:pPr>
              <w:pStyle w:val="TableText"/>
              <w:spacing w:before="40" w:after="40" w:line="230" w:lineRule="atLeast"/>
              <w:jc w:val="right"/>
            </w:pPr>
            <w:r w:rsidRPr="005C5E32">
              <w:t>4,230</w:t>
            </w:r>
          </w:p>
        </w:tc>
        <w:tc>
          <w:tcPr>
            <w:tcW w:w="956" w:type="dxa"/>
            <w:tcBorders>
              <w:top w:val="single" w:sz="4" w:space="0" w:color="000000" w:themeColor="text1"/>
              <w:bottom w:val="single" w:sz="2" w:space="0" w:color="58595B"/>
            </w:tcBorders>
          </w:tcPr>
          <w:p w14:paraId="0158AC99" w14:textId="77777777" w:rsidR="00D06CB2" w:rsidRPr="005C5E32" w:rsidRDefault="00D06CB2">
            <w:pPr>
              <w:pStyle w:val="TableText"/>
              <w:spacing w:before="40" w:after="40" w:line="230" w:lineRule="atLeast"/>
              <w:jc w:val="right"/>
            </w:pPr>
            <w:r w:rsidRPr="005C5E32">
              <w:t>4,745</w:t>
            </w:r>
          </w:p>
        </w:tc>
      </w:tr>
      <w:tr w:rsidR="00D06CB2" w:rsidRPr="005C5E32" w14:paraId="3D98230D" w14:textId="77777777" w:rsidTr="00817014">
        <w:trPr>
          <w:trHeight w:val="20"/>
        </w:trPr>
        <w:tc>
          <w:tcPr>
            <w:tcW w:w="3969" w:type="dxa"/>
            <w:tcBorders>
              <w:top w:val="single" w:sz="2" w:space="0" w:color="58595B"/>
              <w:bottom w:val="single" w:sz="2" w:space="0" w:color="58595B"/>
            </w:tcBorders>
          </w:tcPr>
          <w:p w14:paraId="1C9B21F1" w14:textId="77777777" w:rsidR="00D06CB2" w:rsidRPr="005C5E32" w:rsidRDefault="00D06CB2">
            <w:pPr>
              <w:pStyle w:val="TableText"/>
              <w:spacing w:before="40" w:after="40" w:line="230" w:lineRule="atLeast"/>
            </w:pPr>
            <w:r w:rsidRPr="005C5E32">
              <w:t>Additions</w:t>
            </w:r>
          </w:p>
        </w:tc>
        <w:tc>
          <w:tcPr>
            <w:tcW w:w="1418" w:type="dxa"/>
            <w:tcBorders>
              <w:top w:val="single" w:sz="2" w:space="0" w:color="58595B"/>
              <w:bottom w:val="single" w:sz="2" w:space="0" w:color="58595B"/>
            </w:tcBorders>
          </w:tcPr>
          <w:p w14:paraId="0671D5AC" w14:textId="77777777" w:rsidR="00D06CB2" w:rsidRPr="005C5E32" w:rsidRDefault="00D06CB2">
            <w:pPr>
              <w:pStyle w:val="TableText"/>
              <w:spacing w:before="40" w:after="40" w:line="230" w:lineRule="atLeast"/>
              <w:jc w:val="right"/>
            </w:pPr>
            <w:r w:rsidRPr="005C5E32">
              <w:t>–</w:t>
            </w:r>
          </w:p>
        </w:tc>
        <w:tc>
          <w:tcPr>
            <w:tcW w:w="1134" w:type="dxa"/>
            <w:tcBorders>
              <w:top w:val="single" w:sz="2" w:space="0" w:color="58595B"/>
              <w:bottom w:val="single" w:sz="2" w:space="0" w:color="58595B"/>
            </w:tcBorders>
          </w:tcPr>
          <w:p w14:paraId="581EE706" w14:textId="77777777" w:rsidR="00D06CB2" w:rsidRPr="005C5E32" w:rsidRDefault="00D06CB2">
            <w:pPr>
              <w:pStyle w:val="TableText"/>
              <w:spacing w:before="40" w:after="40" w:line="230" w:lineRule="atLeast"/>
              <w:jc w:val="right"/>
            </w:pPr>
            <w:r w:rsidRPr="005C5E32">
              <w:t>–</w:t>
            </w:r>
          </w:p>
        </w:tc>
        <w:tc>
          <w:tcPr>
            <w:tcW w:w="1028" w:type="dxa"/>
            <w:tcBorders>
              <w:top w:val="single" w:sz="2" w:space="0" w:color="58595B"/>
              <w:bottom w:val="single" w:sz="2" w:space="0" w:color="58595B"/>
            </w:tcBorders>
          </w:tcPr>
          <w:p w14:paraId="3491AC38" w14:textId="77777777" w:rsidR="00D06CB2" w:rsidRPr="005C5E32" w:rsidRDefault="00D06CB2">
            <w:pPr>
              <w:pStyle w:val="TableText"/>
              <w:spacing w:before="40" w:after="40" w:line="230" w:lineRule="atLeast"/>
              <w:jc w:val="right"/>
            </w:pPr>
            <w:r w:rsidRPr="005C5E32">
              <w:t>740</w:t>
            </w:r>
          </w:p>
        </w:tc>
        <w:tc>
          <w:tcPr>
            <w:tcW w:w="956" w:type="dxa"/>
            <w:tcBorders>
              <w:top w:val="single" w:sz="2" w:space="0" w:color="58595B"/>
              <w:bottom w:val="single" w:sz="2" w:space="0" w:color="58595B"/>
            </w:tcBorders>
          </w:tcPr>
          <w:p w14:paraId="5388AE6B" w14:textId="77777777" w:rsidR="00D06CB2" w:rsidRPr="005C5E32" w:rsidRDefault="00D06CB2">
            <w:pPr>
              <w:pStyle w:val="TableText"/>
              <w:spacing w:before="40" w:after="40" w:line="230" w:lineRule="atLeast"/>
              <w:jc w:val="right"/>
            </w:pPr>
            <w:r w:rsidRPr="005C5E32">
              <w:t>740</w:t>
            </w:r>
          </w:p>
        </w:tc>
      </w:tr>
      <w:tr w:rsidR="00D06CB2" w:rsidRPr="005C5E32" w14:paraId="580BBB1D" w14:textId="77777777" w:rsidTr="00817014">
        <w:trPr>
          <w:trHeight w:val="20"/>
        </w:trPr>
        <w:tc>
          <w:tcPr>
            <w:tcW w:w="3969" w:type="dxa"/>
            <w:tcBorders>
              <w:top w:val="single" w:sz="2" w:space="0" w:color="58595B"/>
              <w:bottom w:val="single" w:sz="2" w:space="0" w:color="58595B"/>
            </w:tcBorders>
          </w:tcPr>
          <w:p w14:paraId="10857DF2" w14:textId="77777777" w:rsidR="00D06CB2" w:rsidRPr="005C5E32" w:rsidRDefault="00D06CB2">
            <w:pPr>
              <w:pStyle w:val="TableText"/>
              <w:spacing w:before="40" w:after="40" w:line="230" w:lineRule="atLeast"/>
            </w:pPr>
            <w:r w:rsidRPr="005C5E32">
              <w:t>Disposals</w:t>
            </w:r>
          </w:p>
        </w:tc>
        <w:tc>
          <w:tcPr>
            <w:tcW w:w="1418" w:type="dxa"/>
            <w:tcBorders>
              <w:top w:val="single" w:sz="2" w:space="0" w:color="58595B"/>
              <w:bottom w:val="single" w:sz="2" w:space="0" w:color="58595B"/>
            </w:tcBorders>
          </w:tcPr>
          <w:p w14:paraId="6C3D66AE" w14:textId="77777777" w:rsidR="00D06CB2" w:rsidRPr="005C5E32" w:rsidRDefault="00D06CB2">
            <w:pPr>
              <w:pStyle w:val="TableText"/>
              <w:spacing w:before="40" w:after="40" w:line="230" w:lineRule="atLeast"/>
              <w:jc w:val="right"/>
            </w:pPr>
            <w:r w:rsidRPr="005C5E32">
              <w:t>–</w:t>
            </w:r>
          </w:p>
        </w:tc>
        <w:tc>
          <w:tcPr>
            <w:tcW w:w="1134" w:type="dxa"/>
            <w:tcBorders>
              <w:top w:val="single" w:sz="2" w:space="0" w:color="58595B"/>
              <w:bottom w:val="single" w:sz="2" w:space="0" w:color="58595B"/>
            </w:tcBorders>
          </w:tcPr>
          <w:p w14:paraId="0A992324" w14:textId="77777777" w:rsidR="00D06CB2" w:rsidRPr="005C5E32" w:rsidRDefault="00D06CB2">
            <w:pPr>
              <w:pStyle w:val="TableText"/>
              <w:spacing w:before="40" w:after="40" w:line="230" w:lineRule="atLeast"/>
              <w:jc w:val="right"/>
            </w:pPr>
            <w:r w:rsidRPr="005C5E32">
              <w:t>–</w:t>
            </w:r>
          </w:p>
        </w:tc>
        <w:tc>
          <w:tcPr>
            <w:tcW w:w="1028" w:type="dxa"/>
            <w:tcBorders>
              <w:top w:val="single" w:sz="2" w:space="0" w:color="58595B"/>
              <w:bottom w:val="single" w:sz="2" w:space="0" w:color="58595B"/>
            </w:tcBorders>
          </w:tcPr>
          <w:p w14:paraId="2FE5CE5B" w14:textId="77777777" w:rsidR="00D06CB2" w:rsidRPr="005C5E32" w:rsidRDefault="00D06CB2">
            <w:pPr>
              <w:pStyle w:val="TableText"/>
              <w:spacing w:before="40" w:after="40" w:line="230" w:lineRule="atLeast"/>
              <w:jc w:val="right"/>
            </w:pPr>
            <w:r w:rsidRPr="005C5E32">
              <w:t>(365)</w:t>
            </w:r>
          </w:p>
        </w:tc>
        <w:tc>
          <w:tcPr>
            <w:tcW w:w="956" w:type="dxa"/>
            <w:tcBorders>
              <w:top w:val="single" w:sz="2" w:space="0" w:color="58595B"/>
              <w:bottom w:val="single" w:sz="2" w:space="0" w:color="58595B"/>
            </w:tcBorders>
          </w:tcPr>
          <w:p w14:paraId="1E2A4E54" w14:textId="77777777" w:rsidR="00D06CB2" w:rsidRPr="005C5E32" w:rsidRDefault="00D06CB2">
            <w:pPr>
              <w:pStyle w:val="TableText"/>
              <w:spacing w:before="40" w:after="40" w:line="230" w:lineRule="atLeast"/>
              <w:jc w:val="right"/>
            </w:pPr>
            <w:r w:rsidRPr="005C5E32">
              <w:t>(365)</w:t>
            </w:r>
          </w:p>
        </w:tc>
      </w:tr>
      <w:tr w:rsidR="00D06CB2" w:rsidRPr="005C5E32" w14:paraId="4941BFF7" w14:textId="77777777" w:rsidTr="00817014">
        <w:trPr>
          <w:trHeight w:val="20"/>
        </w:trPr>
        <w:tc>
          <w:tcPr>
            <w:tcW w:w="3969" w:type="dxa"/>
            <w:tcBorders>
              <w:top w:val="single" w:sz="4" w:space="0" w:color="000000" w:themeColor="text1"/>
              <w:bottom w:val="single" w:sz="2" w:space="0" w:color="000000" w:themeColor="text1"/>
            </w:tcBorders>
          </w:tcPr>
          <w:p w14:paraId="55163621" w14:textId="77777777" w:rsidR="00D06CB2" w:rsidRPr="005C5E32" w:rsidRDefault="00D06CB2">
            <w:pPr>
              <w:pStyle w:val="TableTextbold"/>
              <w:spacing w:before="40" w:after="40" w:line="230" w:lineRule="atLeast"/>
            </w:pPr>
            <w:r w:rsidRPr="005C5E32">
              <w:t xml:space="preserve">Balance as at 30 June </w:t>
            </w:r>
            <w:r w:rsidRPr="005C5E32">
              <w:rPr>
                <w:bCs/>
              </w:rPr>
              <w:t>2026</w:t>
            </w:r>
          </w:p>
        </w:tc>
        <w:tc>
          <w:tcPr>
            <w:tcW w:w="1418" w:type="dxa"/>
            <w:tcBorders>
              <w:top w:val="single" w:sz="4" w:space="0" w:color="000000" w:themeColor="text1"/>
              <w:bottom w:val="single" w:sz="2" w:space="0" w:color="000000" w:themeColor="text1"/>
            </w:tcBorders>
          </w:tcPr>
          <w:p w14:paraId="50276DB9" w14:textId="77777777" w:rsidR="00D06CB2" w:rsidRPr="005C5E32" w:rsidRDefault="00D06CB2">
            <w:pPr>
              <w:pStyle w:val="TableTextbold"/>
              <w:spacing w:before="40" w:after="40" w:line="230" w:lineRule="atLeast"/>
              <w:jc w:val="right"/>
            </w:pPr>
            <w:r w:rsidRPr="005C5E32">
              <w:t>467</w:t>
            </w:r>
          </w:p>
        </w:tc>
        <w:tc>
          <w:tcPr>
            <w:tcW w:w="1134" w:type="dxa"/>
            <w:tcBorders>
              <w:top w:val="single" w:sz="4" w:space="0" w:color="000000" w:themeColor="text1"/>
              <w:bottom w:val="single" w:sz="2" w:space="0" w:color="000000" w:themeColor="text1"/>
            </w:tcBorders>
          </w:tcPr>
          <w:p w14:paraId="13A934F7" w14:textId="77777777" w:rsidR="00D06CB2" w:rsidRPr="005C5E32" w:rsidRDefault="00D06CB2">
            <w:pPr>
              <w:pStyle w:val="TableTextbold"/>
              <w:spacing w:before="40" w:after="40" w:line="230" w:lineRule="atLeast"/>
              <w:jc w:val="right"/>
            </w:pPr>
            <w:r w:rsidRPr="005C5E32">
              <w:t>48</w:t>
            </w:r>
          </w:p>
        </w:tc>
        <w:tc>
          <w:tcPr>
            <w:tcW w:w="1028" w:type="dxa"/>
            <w:tcBorders>
              <w:top w:val="single" w:sz="4" w:space="0" w:color="000000" w:themeColor="text1"/>
              <w:bottom w:val="single" w:sz="2" w:space="0" w:color="000000" w:themeColor="text1"/>
            </w:tcBorders>
          </w:tcPr>
          <w:p w14:paraId="5D61AAA4" w14:textId="77777777" w:rsidR="00D06CB2" w:rsidRPr="005C5E32" w:rsidRDefault="00D06CB2">
            <w:pPr>
              <w:pStyle w:val="TableTextbold"/>
              <w:spacing w:before="40" w:after="40" w:line="230" w:lineRule="atLeast"/>
              <w:jc w:val="right"/>
            </w:pPr>
            <w:r w:rsidRPr="005C5E32">
              <w:t>4,605</w:t>
            </w:r>
          </w:p>
        </w:tc>
        <w:tc>
          <w:tcPr>
            <w:tcW w:w="956" w:type="dxa"/>
            <w:tcBorders>
              <w:top w:val="single" w:sz="4" w:space="0" w:color="000000" w:themeColor="text1"/>
              <w:bottom w:val="single" w:sz="2" w:space="0" w:color="000000" w:themeColor="text1"/>
            </w:tcBorders>
          </w:tcPr>
          <w:p w14:paraId="06DC374A" w14:textId="77777777" w:rsidR="00D06CB2" w:rsidRPr="005C5E32" w:rsidRDefault="00D06CB2">
            <w:pPr>
              <w:pStyle w:val="TableTextbold"/>
              <w:spacing w:before="40" w:after="40" w:line="230" w:lineRule="atLeast"/>
              <w:jc w:val="right"/>
            </w:pPr>
            <w:r w:rsidRPr="005C5E32">
              <w:t>5,120</w:t>
            </w:r>
          </w:p>
        </w:tc>
      </w:tr>
      <w:tr w:rsidR="00D06CB2" w:rsidRPr="005C5E32" w14:paraId="7103A5FA" w14:textId="77777777">
        <w:trPr>
          <w:trHeight w:val="20"/>
        </w:trPr>
        <w:tc>
          <w:tcPr>
            <w:tcW w:w="8505" w:type="dxa"/>
            <w:gridSpan w:val="5"/>
            <w:tcBorders>
              <w:top w:val="single" w:sz="2" w:space="0" w:color="000000" w:themeColor="text1"/>
            </w:tcBorders>
          </w:tcPr>
          <w:p w14:paraId="7A6E3567" w14:textId="77777777" w:rsidR="00D06CB2" w:rsidRPr="005C5E32" w:rsidRDefault="00D06CB2" w:rsidP="00325E94">
            <w:pPr>
              <w:pStyle w:val="TableboldGreen"/>
              <w:spacing w:before="40" w:after="0" w:line="230" w:lineRule="atLeast"/>
            </w:pPr>
            <w:r w:rsidRPr="005C5E32">
              <w:t>Accumulated depreciation and impairment losses</w:t>
            </w:r>
          </w:p>
        </w:tc>
      </w:tr>
      <w:tr w:rsidR="00D06CB2" w:rsidRPr="005C5E32" w14:paraId="3842747D" w14:textId="77777777" w:rsidTr="00817014">
        <w:trPr>
          <w:trHeight w:val="20"/>
        </w:trPr>
        <w:tc>
          <w:tcPr>
            <w:tcW w:w="3969" w:type="dxa"/>
            <w:tcBorders>
              <w:bottom w:val="single" w:sz="2" w:space="0" w:color="58595B"/>
            </w:tcBorders>
          </w:tcPr>
          <w:p w14:paraId="340367E0" w14:textId="77777777" w:rsidR="00D06CB2" w:rsidRPr="005C5E32" w:rsidRDefault="00D06CB2">
            <w:pPr>
              <w:pStyle w:val="TableText"/>
              <w:spacing w:before="40" w:after="40" w:line="230" w:lineRule="atLeast"/>
            </w:pPr>
            <w:r w:rsidRPr="005C5E32">
              <w:t>Balance as at 1 July 2024</w:t>
            </w:r>
          </w:p>
        </w:tc>
        <w:tc>
          <w:tcPr>
            <w:tcW w:w="1418" w:type="dxa"/>
            <w:tcBorders>
              <w:bottom w:val="single" w:sz="2" w:space="0" w:color="58595B"/>
            </w:tcBorders>
          </w:tcPr>
          <w:p w14:paraId="01B4C030" w14:textId="77777777" w:rsidR="00D06CB2" w:rsidRPr="005C5E32" w:rsidRDefault="00D06CB2">
            <w:pPr>
              <w:pStyle w:val="TableText"/>
              <w:spacing w:before="40" w:after="40" w:line="230" w:lineRule="atLeast"/>
              <w:jc w:val="right"/>
            </w:pPr>
            <w:r w:rsidRPr="005C5E32">
              <w:t>397</w:t>
            </w:r>
          </w:p>
        </w:tc>
        <w:tc>
          <w:tcPr>
            <w:tcW w:w="1134" w:type="dxa"/>
            <w:tcBorders>
              <w:bottom w:val="single" w:sz="2" w:space="0" w:color="58595B"/>
            </w:tcBorders>
          </w:tcPr>
          <w:p w14:paraId="0E3DB3AD" w14:textId="77777777" w:rsidR="00D06CB2" w:rsidRPr="005C5E32" w:rsidRDefault="00D06CB2">
            <w:pPr>
              <w:pStyle w:val="TableText"/>
              <w:spacing w:before="40" w:after="40" w:line="230" w:lineRule="atLeast"/>
              <w:jc w:val="right"/>
            </w:pPr>
            <w:r w:rsidRPr="005C5E32">
              <w:t>47</w:t>
            </w:r>
          </w:p>
        </w:tc>
        <w:tc>
          <w:tcPr>
            <w:tcW w:w="1028" w:type="dxa"/>
            <w:tcBorders>
              <w:bottom w:val="single" w:sz="2" w:space="0" w:color="58595B"/>
            </w:tcBorders>
          </w:tcPr>
          <w:p w14:paraId="7022BD34" w14:textId="77777777" w:rsidR="00D06CB2" w:rsidRPr="005C5E32" w:rsidRDefault="00D06CB2">
            <w:pPr>
              <w:pStyle w:val="TableText"/>
              <w:spacing w:before="40" w:after="40" w:line="230" w:lineRule="atLeast"/>
              <w:jc w:val="right"/>
            </w:pPr>
            <w:r w:rsidRPr="005C5E32">
              <w:t>3,501</w:t>
            </w:r>
          </w:p>
        </w:tc>
        <w:tc>
          <w:tcPr>
            <w:tcW w:w="956" w:type="dxa"/>
            <w:tcBorders>
              <w:bottom w:val="single" w:sz="2" w:space="0" w:color="58595B"/>
            </w:tcBorders>
          </w:tcPr>
          <w:p w14:paraId="7FC15E0F" w14:textId="77777777" w:rsidR="00D06CB2" w:rsidRPr="005C5E32" w:rsidRDefault="00D06CB2">
            <w:pPr>
              <w:pStyle w:val="TableText"/>
              <w:spacing w:before="40" w:after="40" w:line="230" w:lineRule="atLeast"/>
              <w:jc w:val="right"/>
            </w:pPr>
            <w:r w:rsidRPr="005C5E32">
              <w:t>3,945</w:t>
            </w:r>
          </w:p>
        </w:tc>
      </w:tr>
      <w:tr w:rsidR="00D06CB2" w:rsidRPr="005C5E32" w14:paraId="6962F0EE" w14:textId="77777777" w:rsidTr="00817014">
        <w:trPr>
          <w:trHeight w:val="20"/>
        </w:trPr>
        <w:tc>
          <w:tcPr>
            <w:tcW w:w="3969" w:type="dxa"/>
            <w:tcBorders>
              <w:top w:val="single" w:sz="2" w:space="0" w:color="58595B"/>
              <w:bottom w:val="single" w:sz="2" w:space="0" w:color="58595B"/>
            </w:tcBorders>
          </w:tcPr>
          <w:p w14:paraId="687BAFCE" w14:textId="77777777" w:rsidR="00D06CB2" w:rsidRPr="005C5E32" w:rsidRDefault="00D06CB2">
            <w:pPr>
              <w:pStyle w:val="TableText"/>
              <w:spacing w:before="40" w:after="40" w:line="230" w:lineRule="atLeast"/>
            </w:pPr>
            <w:r w:rsidRPr="005C5E32">
              <w:t>Depreciation expense</w:t>
            </w:r>
          </w:p>
        </w:tc>
        <w:tc>
          <w:tcPr>
            <w:tcW w:w="1418" w:type="dxa"/>
            <w:tcBorders>
              <w:top w:val="single" w:sz="2" w:space="0" w:color="58595B"/>
              <w:bottom w:val="single" w:sz="2" w:space="0" w:color="58595B"/>
            </w:tcBorders>
          </w:tcPr>
          <w:p w14:paraId="6C146E37" w14:textId="77777777" w:rsidR="00D06CB2" w:rsidRPr="005C5E32" w:rsidRDefault="00D06CB2">
            <w:pPr>
              <w:pStyle w:val="TableText"/>
              <w:spacing w:before="40" w:after="40" w:line="230" w:lineRule="atLeast"/>
              <w:jc w:val="right"/>
            </w:pPr>
            <w:r w:rsidRPr="005C5E32">
              <w:t>28</w:t>
            </w:r>
          </w:p>
        </w:tc>
        <w:tc>
          <w:tcPr>
            <w:tcW w:w="1134" w:type="dxa"/>
            <w:tcBorders>
              <w:top w:val="single" w:sz="2" w:space="0" w:color="58595B"/>
              <w:bottom w:val="single" w:sz="2" w:space="0" w:color="58595B"/>
            </w:tcBorders>
          </w:tcPr>
          <w:p w14:paraId="66D521E6" w14:textId="77777777" w:rsidR="00D06CB2" w:rsidRPr="005C5E32" w:rsidRDefault="00D06CB2">
            <w:pPr>
              <w:pStyle w:val="TableText"/>
              <w:spacing w:before="40" w:after="40" w:line="230" w:lineRule="atLeast"/>
              <w:jc w:val="right"/>
            </w:pPr>
            <w:r w:rsidRPr="005C5E32">
              <w:t>1</w:t>
            </w:r>
          </w:p>
        </w:tc>
        <w:tc>
          <w:tcPr>
            <w:tcW w:w="1028" w:type="dxa"/>
            <w:tcBorders>
              <w:top w:val="single" w:sz="2" w:space="0" w:color="58595B"/>
              <w:bottom w:val="single" w:sz="2" w:space="0" w:color="58595B"/>
            </w:tcBorders>
          </w:tcPr>
          <w:p w14:paraId="19826061" w14:textId="77777777" w:rsidR="00D06CB2" w:rsidRPr="005C5E32" w:rsidRDefault="00D06CB2">
            <w:pPr>
              <w:pStyle w:val="TableText"/>
              <w:spacing w:before="40" w:after="40" w:line="230" w:lineRule="atLeast"/>
              <w:jc w:val="right"/>
            </w:pPr>
            <w:r w:rsidRPr="005C5E32">
              <w:t>405</w:t>
            </w:r>
          </w:p>
        </w:tc>
        <w:tc>
          <w:tcPr>
            <w:tcW w:w="956" w:type="dxa"/>
            <w:tcBorders>
              <w:top w:val="single" w:sz="2" w:space="0" w:color="58595B"/>
              <w:bottom w:val="single" w:sz="2" w:space="0" w:color="58595B"/>
            </w:tcBorders>
          </w:tcPr>
          <w:p w14:paraId="39B82B53" w14:textId="77777777" w:rsidR="00D06CB2" w:rsidRPr="005C5E32" w:rsidRDefault="00D06CB2">
            <w:pPr>
              <w:pStyle w:val="TableText"/>
              <w:spacing w:before="40" w:after="40" w:line="230" w:lineRule="atLeast"/>
              <w:jc w:val="right"/>
            </w:pPr>
            <w:r w:rsidRPr="005C5E32">
              <w:t>434</w:t>
            </w:r>
          </w:p>
        </w:tc>
      </w:tr>
      <w:tr w:rsidR="00D06CB2" w:rsidRPr="005C5E32" w14:paraId="3E5A994B" w14:textId="77777777" w:rsidTr="00817014">
        <w:trPr>
          <w:trHeight w:val="20"/>
        </w:trPr>
        <w:tc>
          <w:tcPr>
            <w:tcW w:w="3969" w:type="dxa"/>
            <w:tcBorders>
              <w:top w:val="single" w:sz="4" w:space="0" w:color="000000" w:themeColor="text1"/>
              <w:bottom w:val="single" w:sz="4" w:space="0" w:color="000000" w:themeColor="text1"/>
            </w:tcBorders>
          </w:tcPr>
          <w:p w14:paraId="13C1DC3D" w14:textId="77777777" w:rsidR="00D06CB2" w:rsidRPr="005C5E32" w:rsidRDefault="00D06CB2">
            <w:pPr>
              <w:pStyle w:val="TableTextbold"/>
              <w:spacing w:before="40" w:after="40" w:line="230" w:lineRule="atLeast"/>
            </w:pPr>
            <w:r w:rsidRPr="005C5E32">
              <w:t xml:space="preserve">Balance as at 30 June </w:t>
            </w:r>
            <w:r w:rsidRPr="005C5E32">
              <w:rPr>
                <w:bCs/>
              </w:rPr>
              <w:t>2025</w:t>
            </w:r>
          </w:p>
        </w:tc>
        <w:tc>
          <w:tcPr>
            <w:tcW w:w="1418" w:type="dxa"/>
            <w:tcBorders>
              <w:top w:val="single" w:sz="4" w:space="0" w:color="000000" w:themeColor="text1"/>
              <w:bottom w:val="single" w:sz="4" w:space="0" w:color="000000" w:themeColor="text1"/>
            </w:tcBorders>
          </w:tcPr>
          <w:p w14:paraId="0F2ADAB8" w14:textId="77777777" w:rsidR="00D06CB2" w:rsidRPr="005C5E32" w:rsidRDefault="00D06CB2">
            <w:pPr>
              <w:pStyle w:val="TableTextbold"/>
              <w:spacing w:before="40" w:after="40" w:line="230" w:lineRule="atLeast"/>
              <w:jc w:val="right"/>
            </w:pPr>
            <w:r w:rsidRPr="005C5E32">
              <w:t>425</w:t>
            </w:r>
          </w:p>
        </w:tc>
        <w:tc>
          <w:tcPr>
            <w:tcW w:w="1134" w:type="dxa"/>
            <w:tcBorders>
              <w:top w:val="single" w:sz="4" w:space="0" w:color="000000" w:themeColor="text1"/>
              <w:bottom w:val="single" w:sz="4" w:space="0" w:color="000000" w:themeColor="text1"/>
            </w:tcBorders>
          </w:tcPr>
          <w:p w14:paraId="7A156E0D" w14:textId="77777777" w:rsidR="00D06CB2" w:rsidRPr="005C5E32" w:rsidRDefault="00D06CB2">
            <w:pPr>
              <w:pStyle w:val="TableTextbold"/>
              <w:spacing w:before="40" w:after="40" w:line="230" w:lineRule="atLeast"/>
              <w:jc w:val="right"/>
            </w:pPr>
            <w:r w:rsidRPr="005C5E32">
              <w:t>48</w:t>
            </w:r>
          </w:p>
        </w:tc>
        <w:tc>
          <w:tcPr>
            <w:tcW w:w="1028" w:type="dxa"/>
            <w:tcBorders>
              <w:top w:val="single" w:sz="4" w:space="0" w:color="000000" w:themeColor="text1"/>
              <w:bottom w:val="single" w:sz="4" w:space="0" w:color="000000" w:themeColor="text1"/>
            </w:tcBorders>
          </w:tcPr>
          <w:p w14:paraId="232BE52E" w14:textId="77777777" w:rsidR="00D06CB2" w:rsidRPr="005C5E32" w:rsidRDefault="00D06CB2">
            <w:pPr>
              <w:pStyle w:val="TableTextbold"/>
              <w:spacing w:before="40" w:after="40" w:line="230" w:lineRule="atLeast"/>
              <w:jc w:val="right"/>
            </w:pPr>
            <w:r w:rsidRPr="005C5E32">
              <w:t>3,906</w:t>
            </w:r>
          </w:p>
        </w:tc>
        <w:tc>
          <w:tcPr>
            <w:tcW w:w="956" w:type="dxa"/>
            <w:tcBorders>
              <w:top w:val="single" w:sz="4" w:space="0" w:color="000000" w:themeColor="text1"/>
              <w:bottom w:val="single" w:sz="4" w:space="0" w:color="000000" w:themeColor="text1"/>
            </w:tcBorders>
          </w:tcPr>
          <w:p w14:paraId="6603E44F" w14:textId="77777777" w:rsidR="00D06CB2" w:rsidRPr="005C5E32" w:rsidRDefault="00D06CB2">
            <w:pPr>
              <w:pStyle w:val="TableTextbold"/>
              <w:spacing w:before="40" w:after="40" w:line="230" w:lineRule="atLeast"/>
              <w:jc w:val="right"/>
            </w:pPr>
            <w:r w:rsidRPr="005C5E32">
              <w:t>4,379</w:t>
            </w:r>
          </w:p>
        </w:tc>
      </w:tr>
      <w:tr w:rsidR="00D06CB2" w:rsidRPr="005C5E32" w14:paraId="4F800482" w14:textId="77777777" w:rsidTr="00817014">
        <w:trPr>
          <w:trHeight w:val="20"/>
        </w:trPr>
        <w:tc>
          <w:tcPr>
            <w:tcW w:w="3969" w:type="dxa"/>
            <w:tcBorders>
              <w:top w:val="single" w:sz="4" w:space="0" w:color="000000" w:themeColor="text1"/>
              <w:bottom w:val="single" w:sz="2" w:space="0" w:color="58595B"/>
            </w:tcBorders>
          </w:tcPr>
          <w:p w14:paraId="34B7AFFB" w14:textId="77777777" w:rsidR="00D06CB2" w:rsidRPr="005C5E32" w:rsidRDefault="00D06CB2">
            <w:pPr>
              <w:pStyle w:val="TableText"/>
              <w:spacing w:before="40" w:after="40" w:line="230" w:lineRule="atLeast"/>
            </w:pPr>
            <w:r w:rsidRPr="005C5E32">
              <w:t>Balance as at 1 July 2025</w:t>
            </w:r>
          </w:p>
        </w:tc>
        <w:tc>
          <w:tcPr>
            <w:tcW w:w="1418" w:type="dxa"/>
            <w:tcBorders>
              <w:top w:val="single" w:sz="4" w:space="0" w:color="000000" w:themeColor="text1"/>
              <w:bottom w:val="single" w:sz="2" w:space="0" w:color="58595B"/>
            </w:tcBorders>
          </w:tcPr>
          <w:p w14:paraId="05E712F1" w14:textId="77777777" w:rsidR="00D06CB2" w:rsidRPr="005C5E32" w:rsidRDefault="00D06CB2">
            <w:pPr>
              <w:pStyle w:val="TableText"/>
              <w:spacing w:before="40" w:after="40" w:line="230" w:lineRule="atLeast"/>
              <w:jc w:val="right"/>
            </w:pPr>
            <w:r w:rsidRPr="005C5E32">
              <w:t>425</w:t>
            </w:r>
          </w:p>
        </w:tc>
        <w:tc>
          <w:tcPr>
            <w:tcW w:w="1134" w:type="dxa"/>
            <w:tcBorders>
              <w:top w:val="single" w:sz="4" w:space="0" w:color="000000" w:themeColor="text1"/>
              <w:bottom w:val="single" w:sz="2" w:space="0" w:color="58595B"/>
            </w:tcBorders>
          </w:tcPr>
          <w:p w14:paraId="0CCE6A77" w14:textId="77777777" w:rsidR="00D06CB2" w:rsidRPr="005C5E32" w:rsidRDefault="00D06CB2">
            <w:pPr>
              <w:pStyle w:val="TableText"/>
              <w:spacing w:before="40" w:after="40" w:line="230" w:lineRule="atLeast"/>
              <w:jc w:val="right"/>
            </w:pPr>
            <w:r w:rsidRPr="005C5E32">
              <w:t>48</w:t>
            </w:r>
          </w:p>
        </w:tc>
        <w:tc>
          <w:tcPr>
            <w:tcW w:w="1028" w:type="dxa"/>
            <w:tcBorders>
              <w:top w:val="single" w:sz="4" w:space="0" w:color="000000" w:themeColor="text1"/>
              <w:bottom w:val="single" w:sz="2" w:space="0" w:color="58595B"/>
            </w:tcBorders>
          </w:tcPr>
          <w:p w14:paraId="65D71292" w14:textId="77777777" w:rsidR="00D06CB2" w:rsidRPr="005C5E32" w:rsidRDefault="00D06CB2">
            <w:pPr>
              <w:pStyle w:val="TableText"/>
              <w:spacing w:before="40" w:after="40" w:line="230" w:lineRule="atLeast"/>
              <w:jc w:val="right"/>
            </w:pPr>
            <w:r w:rsidRPr="005C5E32">
              <w:t>3,906</w:t>
            </w:r>
          </w:p>
        </w:tc>
        <w:tc>
          <w:tcPr>
            <w:tcW w:w="956" w:type="dxa"/>
            <w:tcBorders>
              <w:top w:val="single" w:sz="4" w:space="0" w:color="000000" w:themeColor="text1"/>
              <w:bottom w:val="single" w:sz="2" w:space="0" w:color="58595B"/>
            </w:tcBorders>
          </w:tcPr>
          <w:p w14:paraId="06F065DA" w14:textId="77777777" w:rsidR="00D06CB2" w:rsidRPr="005C5E32" w:rsidRDefault="00D06CB2">
            <w:pPr>
              <w:pStyle w:val="TableText"/>
              <w:spacing w:before="40" w:after="40" w:line="230" w:lineRule="atLeast"/>
              <w:jc w:val="right"/>
            </w:pPr>
            <w:r w:rsidRPr="005C5E32">
              <w:t>4,379</w:t>
            </w:r>
          </w:p>
        </w:tc>
      </w:tr>
      <w:tr w:rsidR="00D06CB2" w:rsidRPr="005C5E32" w14:paraId="0D5E38C6" w14:textId="77777777" w:rsidTr="00817014">
        <w:trPr>
          <w:trHeight w:val="20"/>
        </w:trPr>
        <w:tc>
          <w:tcPr>
            <w:tcW w:w="3969" w:type="dxa"/>
            <w:tcBorders>
              <w:top w:val="single" w:sz="2" w:space="0" w:color="58595B"/>
              <w:bottom w:val="single" w:sz="2" w:space="0" w:color="58595B"/>
            </w:tcBorders>
          </w:tcPr>
          <w:p w14:paraId="7D39BE6C" w14:textId="77777777" w:rsidR="00D06CB2" w:rsidRPr="005C5E32" w:rsidRDefault="00D06CB2">
            <w:pPr>
              <w:pStyle w:val="TableText"/>
              <w:spacing w:before="40" w:after="40" w:line="230" w:lineRule="atLeast"/>
            </w:pPr>
            <w:r w:rsidRPr="005C5E32">
              <w:t>Depreciation expense</w:t>
            </w:r>
          </w:p>
        </w:tc>
        <w:tc>
          <w:tcPr>
            <w:tcW w:w="1418" w:type="dxa"/>
            <w:tcBorders>
              <w:top w:val="single" w:sz="2" w:space="0" w:color="58595B"/>
              <w:bottom w:val="single" w:sz="2" w:space="0" w:color="58595B"/>
            </w:tcBorders>
          </w:tcPr>
          <w:p w14:paraId="2B4B3537" w14:textId="77777777" w:rsidR="00D06CB2" w:rsidRPr="005C5E32" w:rsidRDefault="00D06CB2">
            <w:pPr>
              <w:pStyle w:val="TableText"/>
              <w:spacing w:before="40" w:after="40" w:line="230" w:lineRule="atLeast"/>
              <w:jc w:val="right"/>
            </w:pPr>
            <w:r w:rsidRPr="005C5E32">
              <w:t>24</w:t>
            </w:r>
          </w:p>
        </w:tc>
        <w:tc>
          <w:tcPr>
            <w:tcW w:w="1134" w:type="dxa"/>
            <w:tcBorders>
              <w:top w:val="single" w:sz="2" w:space="0" w:color="58595B"/>
              <w:bottom w:val="single" w:sz="2" w:space="0" w:color="58595B"/>
            </w:tcBorders>
          </w:tcPr>
          <w:p w14:paraId="7F453BBE" w14:textId="77777777" w:rsidR="00D06CB2" w:rsidRPr="005C5E32" w:rsidRDefault="00D06CB2">
            <w:pPr>
              <w:pStyle w:val="TableText"/>
              <w:spacing w:before="40" w:after="40" w:line="230" w:lineRule="atLeast"/>
              <w:jc w:val="right"/>
            </w:pPr>
            <w:r w:rsidRPr="005C5E32">
              <w:t>–</w:t>
            </w:r>
          </w:p>
        </w:tc>
        <w:tc>
          <w:tcPr>
            <w:tcW w:w="1028" w:type="dxa"/>
            <w:tcBorders>
              <w:top w:val="single" w:sz="2" w:space="0" w:color="58595B"/>
              <w:bottom w:val="single" w:sz="2" w:space="0" w:color="58595B"/>
            </w:tcBorders>
          </w:tcPr>
          <w:p w14:paraId="1E11F424" w14:textId="7F3FE3FA" w:rsidR="00D06CB2" w:rsidRPr="005C5E32" w:rsidRDefault="00850F7D">
            <w:pPr>
              <w:pStyle w:val="TableText"/>
              <w:spacing w:before="40" w:after="40" w:line="230" w:lineRule="atLeast"/>
              <w:jc w:val="right"/>
            </w:pPr>
            <w:r w:rsidRPr="005C5E32">
              <w:t>324</w:t>
            </w:r>
          </w:p>
        </w:tc>
        <w:tc>
          <w:tcPr>
            <w:tcW w:w="956" w:type="dxa"/>
            <w:tcBorders>
              <w:top w:val="single" w:sz="2" w:space="0" w:color="58595B"/>
              <w:bottom w:val="single" w:sz="2" w:space="0" w:color="58595B"/>
            </w:tcBorders>
          </w:tcPr>
          <w:p w14:paraId="31CFD655" w14:textId="608E9A16" w:rsidR="00D06CB2" w:rsidRPr="005C5E32" w:rsidRDefault="00850F7D">
            <w:pPr>
              <w:pStyle w:val="TableText"/>
              <w:spacing w:before="40" w:after="40" w:line="230" w:lineRule="atLeast"/>
              <w:jc w:val="right"/>
            </w:pPr>
            <w:r w:rsidRPr="005C5E32">
              <w:t>348</w:t>
            </w:r>
          </w:p>
        </w:tc>
      </w:tr>
      <w:tr w:rsidR="00D06CB2" w:rsidRPr="005C5E32" w14:paraId="6D409457" w14:textId="77777777" w:rsidTr="00817014">
        <w:trPr>
          <w:trHeight w:val="20"/>
        </w:trPr>
        <w:tc>
          <w:tcPr>
            <w:tcW w:w="3969" w:type="dxa"/>
            <w:tcBorders>
              <w:top w:val="single" w:sz="2" w:space="0" w:color="58595B"/>
              <w:bottom w:val="single" w:sz="2" w:space="0" w:color="58595B"/>
            </w:tcBorders>
          </w:tcPr>
          <w:p w14:paraId="72B4B8C0" w14:textId="77777777" w:rsidR="00D06CB2" w:rsidRPr="005C5E32" w:rsidRDefault="00D06CB2">
            <w:pPr>
              <w:pStyle w:val="TableText"/>
              <w:spacing w:before="40" w:after="40" w:line="230" w:lineRule="atLeast"/>
            </w:pPr>
            <w:r w:rsidRPr="005C5E32">
              <w:t>Eliminate on disposal</w:t>
            </w:r>
          </w:p>
        </w:tc>
        <w:tc>
          <w:tcPr>
            <w:tcW w:w="1418" w:type="dxa"/>
            <w:tcBorders>
              <w:top w:val="single" w:sz="2" w:space="0" w:color="58595B"/>
              <w:bottom w:val="single" w:sz="2" w:space="0" w:color="58595B"/>
            </w:tcBorders>
          </w:tcPr>
          <w:p w14:paraId="1A20A021" w14:textId="77777777" w:rsidR="00D06CB2" w:rsidRPr="005C5E32" w:rsidRDefault="00D06CB2">
            <w:pPr>
              <w:pStyle w:val="TableText"/>
              <w:spacing w:before="40" w:after="40" w:line="230" w:lineRule="atLeast"/>
              <w:jc w:val="right"/>
            </w:pPr>
            <w:r w:rsidRPr="005C5E32">
              <w:t>–</w:t>
            </w:r>
          </w:p>
        </w:tc>
        <w:tc>
          <w:tcPr>
            <w:tcW w:w="1134" w:type="dxa"/>
            <w:tcBorders>
              <w:top w:val="single" w:sz="2" w:space="0" w:color="58595B"/>
              <w:bottom w:val="single" w:sz="2" w:space="0" w:color="58595B"/>
            </w:tcBorders>
          </w:tcPr>
          <w:p w14:paraId="70ABC78F" w14:textId="77777777" w:rsidR="00D06CB2" w:rsidRPr="005C5E32" w:rsidRDefault="00D06CB2">
            <w:pPr>
              <w:pStyle w:val="TableText"/>
              <w:spacing w:before="40" w:after="40" w:line="230" w:lineRule="atLeast"/>
              <w:jc w:val="right"/>
            </w:pPr>
            <w:r w:rsidRPr="005C5E32">
              <w:t>–</w:t>
            </w:r>
          </w:p>
        </w:tc>
        <w:tc>
          <w:tcPr>
            <w:tcW w:w="1028" w:type="dxa"/>
            <w:tcBorders>
              <w:top w:val="single" w:sz="2" w:space="0" w:color="58595B"/>
              <w:bottom w:val="single" w:sz="2" w:space="0" w:color="58595B"/>
            </w:tcBorders>
          </w:tcPr>
          <w:p w14:paraId="0913B449" w14:textId="77777777" w:rsidR="00D06CB2" w:rsidRPr="005C5E32" w:rsidRDefault="00D06CB2">
            <w:pPr>
              <w:pStyle w:val="TableText"/>
              <w:spacing w:before="40" w:after="40" w:line="230" w:lineRule="atLeast"/>
              <w:jc w:val="right"/>
            </w:pPr>
            <w:r w:rsidRPr="005C5E32">
              <w:t>(365)</w:t>
            </w:r>
          </w:p>
        </w:tc>
        <w:tc>
          <w:tcPr>
            <w:tcW w:w="956" w:type="dxa"/>
            <w:tcBorders>
              <w:top w:val="single" w:sz="2" w:space="0" w:color="58595B"/>
              <w:bottom w:val="single" w:sz="2" w:space="0" w:color="58595B"/>
            </w:tcBorders>
          </w:tcPr>
          <w:p w14:paraId="53F80765" w14:textId="77777777" w:rsidR="00D06CB2" w:rsidRPr="005C5E32" w:rsidRDefault="00D06CB2">
            <w:pPr>
              <w:pStyle w:val="TableText"/>
              <w:spacing w:before="40" w:after="40" w:line="230" w:lineRule="atLeast"/>
              <w:jc w:val="right"/>
            </w:pPr>
            <w:r w:rsidRPr="005C5E32">
              <w:t>(365)</w:t>
            </w:r>
          </w:p>
        </w:tc>
      </w:tr>
      <w:tr w:rsidR="00D06CB2" w:rsidRPr="005C5E32" w14:paraId="4C63F64F" w14:textId="77777777" w:rsidTr="00817014">
        <w:trPr>
          <w:trHeight w:val="20"/>
        </w:trPr>
        <w:tc>
          <w:tcPr>
            <w:tcW w:w="3969" w:type="dxa"/>
            <w:tcBorders>
              <w:top w:val="single" w:sz="4" w:space="0" w:color="000000" w:themeColor="text1"/>
              <w:bottom w:val="single" w:sz="4" w:space="0" w:color="000000" w:themeColor="text1"/>
            </w:tcBorders>
          </w:tcPr>
          <w:p w14:paraId="6187C7F6" w14:textId="77777777" w:rsidR="00D06CB2" w:rsidRPr="005C5E32" w:rsidRDefault="00D06CB2">
            <w:pPr>
              <w:pStyle w:val="TableTextbold"/>
              <w:spacing w:before="40" w:after="40" w:line="230" w:lineRule="atLeast"/>
            </w:pPr>
            <w:r w:rsidRPr="005C5E32">
              <w:t xml:space="preserve">Balance as at 30 June </w:t>
            </w:r>
            <w:r w:rsidRPr="005C5E32">
              <w:rPr>
                <w:bCs/>
              </w:rPr>
              <w:t>2026</w:t>
            </w:r>
          </w:p>
        </w:tc>
        <w:tc>
          <w:tcPr>
            <w:tcW w:w="1418" w:type="dxa"/>
            <w:tcBorders>
              <w:top w:val="single" w:sz="4" w:space="0" w:color="000000" w:themeColor="text1"/>
              <w:bottom w:val="single" w:sz="4" w:space="0" w:color="000000" w:themeColor="text1"/>
            </w:tcBorders>
          </w:tcPr>
          <w:p w14:paraId="310F1A09" w14:textId="77777777" w:rsidR="00D06CB2" w:rsidRPr="005C5E32" w:rsidRDefault="00D06CB2">
            <w:pPr>
              <w:pStyle w:val="TableTextbold"/>
              <w:spacing w:before="40" w:after="40" w:line="230" w:lineRule="atLeast"/>
              <w:jc w:val="right"/>
            </w:pPr>
            <w:r w:rsidRPr="005C5E32">
              <w:t>449</w:t>
            </w:r>
          </w:p>
        </w:tc>
        <w:tc>
          <w:tcPr>
            <w:tcW w:w="1134" w:type="dxa"/>
            <w:tcBorders>
              <w:top w:val="single" w:sz="4" w:space="0" w:color="000000" w:themeColor="text1"/>
              <w:bottom w:val="single" w:sz="4" w:space="0" w:color="000000" w:themeColor="text1"/>
            </w:tcBorders>
          </w:tcPr>
          <w:p w14:paraId="2B6693CD" w14:textId="77777777" w:rsidR="00D06CB2" w:rsidRPr="005C5E32" w:rsidRDefault="00D06CB2">
            <w:pPr>
              <w:pStyle w:val="TableTextbold"/>
              <w:spacing w:before="40" w:after="40" w:line="230" w:lineRule="atLeast"/>
              <w:jc w:val="right"/>
            </w:pPr>
            <w:r w:rsidRPr="005C5E32">
              <w:t>48</w:t>
            </w:r>
          </w:p>
        </w:tc>
        <w:tc>
          <w:tcPr>
            <w:tcW w:w="1028" w:type="dxa"/>
            <w:tcBorders>
              <w:top w:val="single" w:sz="4" w:space="0" w:color="000000" w:themeColor="text1"/>
              <w:bottom w:val="single" w:sz="4" w:space="0" w:color="000000" w:themeColor="text1"/>
            </w:tcBorders>
          </w:tcPr>
          <w:p w14:paraId="1940F2B8" w14:textId="77777777" w:rsidR="00D06CB2" w:rsidRPr="005C5E32" w:rsidRDefault="00D06CB2">
            <w:pPr>
              <w:pStyle w:val="TableTextbold"/>
              <w:spacing w:before="40" w:after="40" w:line="230" w:lineRule="atLeast"/>
              <w:jc w:val="right"/>
            </w:pPr>
            <w:r w:rsidRPr="005C5E32">
              <w:t>3,865</w:t>
            </w:r>
          </w:p>
        </w:tc>
        <w:tc>
          <w:tcPr>
            <w:tcW w:w="956" w:type="dxa"/>
            <w:tcBorders>
              <w:top w:val="single" w:sz="4" w:space="0" w:color="000000" w:themeColor="text1"/>
              <w:bottom w:val="single" w:sz="4" w:space="0" w:color="000000" w:themeColor="text1"/>
            </w:tcBorders>
          </w:tcPr>
          <w:p w14:paraId="6BAC4F1D" w14:textId="77777777" w:rsidR="00D06CB2" w:rsidRPr="005C5E32" w:rsidRDefault="00D06CB2">
            <w:pPr>
              <w:pStyle w:val="TableTextbold"/>
              <w:spacing w:before="40" w:after="40" w:line="230" w:lineRule="atLeast"/>
              <w:jc w:val="right"/>
            </w:pPr>
            <w:r w:rsidRPr="005C5E32">
              <w:t>4,362</w:t>
            </w:r>
          </w:p>
        </w:tc>
      </w:tr>
      <w:tr w:rsidR="00D06CB2" w:rsidRPr="005C5E32" w14:paraId="55D0BE53" w14:textId="77777777" w:rsidTr="00817014">
        <w:trPr>
          <w:trHeight w:val="20"/>
        </w:trPr>
        <w:tc>
          <w:tcPr>
            <w:tcW w:w="3969" w:type="dxa"/>
            <w:tcBorders>
              <w:top w:val="single" w:sz="4" w:space="0" w:color="000000" w:themeColor="text1"/>
            </w:tcBorders>
          </w:tcPr>
          <w:p w14:paraId="31ED0865" w14:textId="77777777" w:rsidR="00D06CB2" w:rsidRPr="005C5E32" w:rsidRDefault="00D06CB2">
            <w:pPr>
              <w:pStyle w:val="TableboldGreen"/>
              <w:spacing w:before="40" w:after="0" w:line="230" w:lineRule="atLeast"/>
            </w:pPr>
            <w:r w:rsidRPr="005C5E32">
              <w:t>Carrying amounts</w:t>
            </w:r>
          </w:p>
        </w:tc>
        <w:tc>
          <w:tcPr>
            <w:tcW w:w="1418" w:type="dxa"/>
            <w:tcBorders>
              <w:top w:val="single" w:sz="4" w:space="0" w:color="000000" w:themeColor="text1"/>
            </w:tcBorders>
          </w:tcPr>
          <w:p w14:paraId="6D67E068" w14:textId="77777777" w:rsidR="00D06CB2" w:rsidRPr="005C5E32" w:rsidRDefault="00D06CB2">
            <w:pPr>
              <w:pStyle w:val="TableText"/>
              <w:spacing w:before="40" w:after="0" w:line="230" w:lineRule="atLeast"/>
              <w:jc w:val="right"/>
            </w:pPr>
          </w:p>
        </w:tc>
        <w:tc>
          <w:tcPr>
            <w:tcW w:w="1134" w:type="dxa"/>
            <w:tcBorders>
              <w:top w:val="single" w:sz="4" w:space="0" w:color="000000" w:themeColor="text1"/>
            </w:tcBorders>
          </w:tcPr>
          <w:p w14:paraId="4518EE31" w14:textId="77777777" w:rsidR="00D06CB2" w:rsidRPr="005C5E32" w:rsidRDefault="00D06CB2">
            <w:pPr>
              <w:pStyle w:val="TableText"/>
              <w:spacing w:before="40" w:after="0" w:line="230" w:lineRule="atLeast"/>
              <w:jc w:val="right"/>
            </w:pPr>
          </w:p>
        </w:tc>
        <w:tc>
          <w:tcPr>
            <w:tcW w:w="1028" w:type="dxa"/>
            <w:tcBorders>
              <w:top w:val="single" w:sz="4" w:space="0" w:color="000000" w:themeColor="text1"/>
            </w:tcBorders>
          </w:tcPr>
          <w:p w14:paraId="6876A3BE" w14:textId="77777777" w:rsidR="00D06CB2" w:rsidRPr="005C5E32" w:rsidRDefault="00D06CB2">
            <w:pPr>
              <w:pStyle w:val="TableText"/>
              <w:spacing w:before="40" w:after="0" w:line="230" w:lineRule="atLeast"/>
              <w:jc w:val="right"/>
            </w:pPr>
          </w:p>
        </w:tc>
        <w:tc>
          <w:tcPr>
            <w:tcW w:w="956" w:type="dxa"/>
            <w:tcBorders>
              <w:top w:val="single" w:sz="4" w:space="0" w:color="000000" w:themeColor="text1"/>
            </w:tcBorders>
          </w:tcPr>
          <w:p w14:paraId="2A7496FA" w14:textId="77777777" w:rsidR="00D06CB2" w:rsidRPr="005C5E32" w:rsidRDefault="00D06CB2">
            <w:pPr>
              <w:pStyle w:val="TableText"/>
              <w:spacing w:before="40" w:after="0" w:line="230" w:lineRule="atLeast"/>
              <w:jc w:val="right"/>
            </w:pPr>
          </w:p>
        </w:tc>
      </w:tr>
      <w:tr w:rsidR="00D06CB2" w:rsidRPr="005C5E32" w14:paraId="4BCEB8DC" w14:textId="77777777" w:rsidTr="00817014">
        <w:trPr>
          <w:trHeight w:val="20"/>
        </w:trPr>
        <w:tc>
          <w:tcPr>
            <w:tcW w:w="3969" w:type="dxa"/>
            <w:tcBorders>
              <w:bottom w:val="single" w:sz="2" w:space="0" w:color="58595B"/>
            </w:tcBorders>
          </w:tcPr>
          <w:p w14:paraId="44225742" w14:textId="77777777" w:rsidR="00D06CB2" w:rsidRPr="005C5E32" w:rsidRDefault="00D06CB2">
            <w:pPr>
              <w:pStyle w:val="TableText"/>
              <w:spacing w:before="40" w:after="40" w:line="230" w:lineRule="atLeast"/>
            </w:pPr>
            <w:r w:rsidRPr="005C5E32">
              <w:t>As at 1 July 2024</w:t>
            </w:r>
          </w:p>
        </w:tc>
        <w:tc>
          <w:tcPr>
            <w:tcW w:w="1418" w:type="dxa"/>
            <w:tcBorders>
              <w:bottom w:val="single" w:sz="2" w:space="0" w:color="58595B"/>
            </w:tcBorders>
          </w:tcPr>
          <w:p w14:paraId="747A6866" w14:textId="77777777" w:rsidR="00D06CB2" w:rsidRPr="005C5E32" w:rsidRDefault="00D06CB2">
            <w:pPr>
              <w:pStyle w:val="TableText"/>
              <w:spacing w:before="40" w:after="40" w:line="230" w:lineRule="atLeast"/>
              <w:jc w:val="right"/>
            </w:pPr>
            <w:r w:rsidRPr="005C5E32">
              <w:t>70</w:t>
            </w:r>
          </w:p>
        </w:tc>
        <w:tc>
          <w:tcPr>
            <w:tcW w:w="1134" w:type="dxa"/>
            <w:tcBorders>
              <w:bottom w:val="single" w:sz="2" w:space="0" w:color="58595B"/>
            </w:tcBorders>
          </w:tcPr>
          <w:p w14:paraId="170400B3" w14:textId="77777777" w:rsidR="00D06CB2" w:rsidRPr="005C5E32" w:rsidRDefault="00D06CB2">
            <w:pPr>
              <w:pStyle w:val="TableText"/>
              <w:spacing w:before="40" w:after="40" w:line="230" w:lineRule="atLeast"/>
              <w:jc w:val="right"/>
            </w:pPr>
            <w:r w:rsidRPr="005C5E32">
              <w:t>1</w:t>
            </w:r>
          </w:p>
        </w:tc>
        <w:tc>
          <w:tcPr>
            <w:tcW w:w="1028" w:type="dxa"/>
            <w:tcBorders>
              <w:bottom w:val="single" w:sz="2" w:space="0" w:color="58595B"/>
            </w:tcBorders>
          </w:tcPr>
          <w:p w14:paraId="0F9B9F62" w14:textId="77777777" w:rsidR="00D06CB2" w:rsidRPr="005C5E32" w:rsidRDefault="00D06CB2">
            <w:pPr>
              <w:pStyle w:val="TableText"/>
              <w:spacing w:before="40" w:after="40" w:line="230" w:lineRule="atLeast"/>
              <w:jc w:val="right"/>
            </w:pPr>
            <w:r w:rsidRPr="005C5E32">
              <w:t>473</w:t>
            </w:r>
          </w:p>
        </w:tc>
        <w:tc>
          <w:tcPr>
            <w:tcW w:w="956" w:type="dxa"/>
            <w:tcBorders>
              <w:bottom w:val="single" w:sz="2" w:space="0" w:color="58595B"/>
            </w:tcBorders>
          </w:tcPr>
          <w:p w14:paraId="603E2999" w14:textId="77777777" w:rsidR="00D06CB2" w:rsidRPr="005C5E32" w:rsidRDefault="00D06CB2">
            <w:pPr>
              <w:pStyle w:val="TableText"/>
              <w:spacing w:before="40" w:after="40" w:line="230" w:lineRule="atLeast"/>
              <w:jc w:val="right"/>
            </w:pPr>
            <w:r w:rsidRPr="005C5E32">
              <w:t>544</w:t>
            </w:r>
          </w:p>
        </w:tc>
      </w:tr>
      <w:tr w:rsidR="00D06CB2" w:rsidRPr="005C5E32" w14:paraId="72AA386E" w14:textId="77777777" w:rsidTr="00817014">
        <w:trPr>
          <w:trHeight w:val="20"/>
        </w:trPr>
        <w:tc>
          <w:tcPr>
            <w:tcW w:w="3969" w:type="dxa"/>
            <w:tcBorders>
              <w:top w:val="single" w:sz="2" w:space="0" w:color="58595B"/>
              <w:bottom w:val="single" w:sz="2" w:space="0" w:color="58595B"/>
            </w:tcBorders>
          </w:tcPr>
          <w:p w14:paraId="5496A770" w14:textId="77777777" w:rsidR="00D06CB2" w:rsidRPr="005C5E32" w:rsidRDefault="00D06CB2">
            <w:pPr>
              <w:pStyle w:val="TableText"/>
              <w:spacing w:before="40" w:after="40" w:line="230" w:lineRule="atLeast"/>
            </w:pPr>
            <w:r w:rsidRPr="005C5E32">
              <w:t>As at 30 June/1 July 2025</w:t>
            </w:r>
          </w:p>
        </w:tc>
        <w:tc>
          <w:tcPr>
            <w:tcW w:w="1418" w:type="dxa"/>
            <w:tcBorders>
              <w:top w:val="single" w:sz="2" w:space="0" w:color="58595B"/>
              <w:bottom w:val="single" w:sz="2" w:space="0" w:color="58595B"/>
            </w:tcBorders>
          </w:tcPr>
          <w:p w14:paraId="32A25386" w14:textId="77777777" w:rsidR="00D06CB2" w:rsidRPr="005C5E32" w:rsidRDefault="00D06CB2">
            <w:pPr>
              <w:pStyle w:val="TableText"/>
              <w:spacing w:before="40" w:after="40" w:line="230" w:lineRule="atLeast"/>
              <w:jc w:val="right"/>
            </w:pPr>
            <w:r w:rsidRPr="005C5E32">
              <w:t>42</w:t>
            </w:r>
          </w:p>
        </w:tc>
        <w:tc>
          <w:tcPr>
            <w:tcW w:w="1134" w:type="dxa"/>
            <w:tcBorders>
              <w:top w:val="single" w:sz="2" w:space="0" w:color="58595B"/>
              <w:bottom w:val="single" w:sz="2" w:space="0" w:color="58595B"/>
            </w:tcBorders>
          </w:tcPr>
          <w:p w14:paraId="186AFB5F" w14:textId="77777777" w:rsidR="00D06CB2" w:rsidRPr="005C5E32" w:rsidRDefault="00D06CB2">
            <w:pPr>
              <w:pStyle w:val="TableText"/>
              <w:spacing w:before="40" w:after="40" w:line="230" w:lineRule="atLeast"/>
              <w:jc w:val="right"/>
            </w:pPr>
            <w:r w:rsidRPr="005C5E32">
              <w:t>–</w:t>
            </w:r>
          </w:p>
        </w:tc>
        <w:tc>
          <w:tcPr>
            <w:tcW w:w="1028" w:type="dxa"/>
            <w:tcBorders>
              <w:top w:val="single" w:sz="2" w:space="0" w:color="58595B"/>
              <w:bottom w:val="single" w:sz="2" w:space="0" w:color="58595B"/>
            </w:tcBorders>
          </w:tcPr>
          <w:p w14:paraId="5B3A2E1F" w14:textId="77777777" w:rsidR="00D06CB2" w:rsidRPr="005C5E32" w:rsidRDefault="00D06CB2">
            <w:pPr>
              <w:pStyle w:val="TableText"/>
              <w:spacing w:before="40" w:after="40" w:line="230" w:lineRule="atLeast"/>
              <w:jc w:val="right"/>
            </w:pPr>
            <w:r w:rsidRPr="005C5E32">
              <w:t>324</w:t>
            </w:r>
          </w:p>
        </w:tc>
        <w:tc>
          <w:tcPr>
            <w:tcW w:w="956" w:type="dxa"/>
            <w:tcBorders>
              <w:top w:val="single" w:sz="2" w:space="0" w:color="58595B"/>
              <w:bottom w:val="single" w:sz="2" w:space="0" w:color="58595B"/>
            </w:tcBorders>
          </w:tcPr>
          <w:p w14:paraId="62084775" w14:textId="77777777" w:rsidR="00D06CB2" w:rsidRPr="005C5E32" w:rsidRDefault="00D06CB2">
            <w:pPr>
              <w:pStyle w:val="TableText"/>
              <w:spacing w:before="40" w:after="40" w:line="230" w:lineRule="atLeast"/>
              <w:jc w:val="right"/>
            </w:pPr>
            <w:r w:rsidRPr="005C5E32">
              <w:t>366</w:t>
            </w:r>
          </w:p>
        </w:tc>
      </w:tr>
      <w:tr w:rsidR="00D06CB2" w:rsidRPr="005C5E32" w14:paraId="07449B63" w14:textId="77777777" w:rsidTr="00817014">
        <w:trPr>
          <w:trHeight w:val="20"/>
        </w:trPr>
        <w:tc>
          <w:tcPr>
            <w:tcW w:w="3969" w:type="dxa"/>
            <w:tcBorders>
              <w:top w:val="single" w:sz="2" w:space="0" w:color="58595B"/>
              <w:bottom w:val="single" w:sz="2" w:space="0" w:color="58595B"/>
            </w:tcBorders>
          </w:tcPr>
          <w:p w14:paraId="0743C781" w14:textId="77777777" w:rsidR="00D06CB2" w:rsidRPr="00064AD6" w:rsidRDefault="00D06CB2">
            <w:pPr>
              <w:pStyle w:val="TableText"/>
              <w:spacing w:before="40" w:after="40" w:line="230" w:lineRule="atLeast"/>
              <w:rPr>
                <w:b/>
              </w:rPr>
            </w:pPr>
            <w:r w:rsidRPr="00064AD6">
              <w:rPr>
                <w:b/>
              </w:rPr>
              <w:t>As at 30 June 2026</w:t>
            </w:r>
          </w:p>
        </w:tc>
        <w:tc>
          <w:tcPr>
            <w:tcW w:w="1418" w:type="dxa"/>
            <w:tcBorders>
              <w:top w:val="single" w:sz="2" w:space="0" w:color="58595B"/>
              <w:bottom w:val="single" w:sz="2" w:space="0" w:color="58595B"/>
            </w:tcBorders>
          </w:tcPr>
          <w:p w14:paraId="4E4956EF" w14:textId="77777777" w:rsidR="00D06CB2" w:rsidRPr="00064AD6" w:rsidRDefault="00D06CB2">
            <w:pPr>
              <w:pStyle w:val="TableText"/>
              <w:spacing w:before="40" w:after="40" w:line="230" w:lineRule="atLeast"/>
              <w:jc w:val="right"/>
              <w:rPr>
                <w:b/>
              </w:rPr>
            </w:pPr>
            <w:r w:rsidRPr="00064AD6">
              <w:rPr>
                <w:b/>
              </w:rPr>
              <w:t>18</w:t>
            </w:r>
          </w:p>
        </w:tc>
        <w:tc>
          <w:tcPr>
            <w:tcW w:w="1134" w:type="dxa"/>
            <w:tcBorders>
              <w:top w:val="single" w:sz="2" w:space="0" w:color="58595B"/>
              <w:bottom w:val="single" w:sz="2" w:space="0" w:color="58595B"/>
            </w:tcBorders>
          </w:tcPr>
          <w:p w14:paraId="6E98FC11" w14:textId="77777777" w:rsidR="00D06CB2" w:rsidRPr="00064AD6" w:rsidRDefault="00D06CB2">
            <w:pPr>
              <w:pStyle w:val="TableText"/>
              <w:spacing w:before="40" w:after="40" w:line="230" w:lineRule="atLeast"/>
              <w:jc w:val="right"/>
              <w:rPr>
                <w:b/>
              </w:rPr>
            </w:pPr>
            <w:r w:rsidRPr="00064AD6">
              <w:rPr>
                <w:b/>
              </w:rPr>
              <w:t>–</w:t>
            </w:r>
          </w:p>
        </w:tc>
        <w:tc>
          <w:tcPr>
            <w:tcW w:w="1028" w:type="dxa"/>
            <w:tcBorders>
              <w:top w:val="single" w:sz="2" w:space="0" w:color="58595B"/>
              <w:bottom w:val="single" w:sz="2" w:space="0" w:color="58595B"/>
            </w:tcBorders>
          </w:tcPr>
          <w:p w14:paraId="7E0B11EE" w14:textId="77777777" w:rsidR="00D06CB2" w:rsidRPr="00064AD6" w:rsidRDefault="00D06CB2">
            <w:pPr>
              <w:pStyle w:val="TableText"/>
              <w:spacing w:before="40" w:after="40" w:line="230" w:lineRule="atLeast"/>
              <w:jc w:val="right"/>
              <w:rPr>
                <w:b/>
              </w:rPr>
            </w:pPr>
            <w:r w:rsidRPr="00064AD6">
              <w:rPr>
                <w:b/>
              </w:rPr>
              <w:t>740</w:t>
            </w:r>
          </w:p>
        </w:tc>
        <w:tc>
          <w:tcPr>
            <w:tcW w:w="956" w:type="dxa"/>
            <w:tcBorders>
              <w:top w:val="single" w:sz="2" w:space="0" w:color="58595B"/>
              <w:bottom w:val="single" w:sz="2" w:space="0" w:color="58595B"/>
            </w:tcBorders>
          </w:tcPr>
          <w:p w14:paraId="09BBDE1C" w14:textId="77777777" w:rsidR="00D06CB2" w:rsidRPr="00064AD6" w:rsidRDefault="00D06CB2">
            <w:pPr>
              <w:pStyle w:val="TableText"/>
              <w:spacing w:before="40" w:after="40" w:line="230" w:lineRule="atLeast"/>
              <w:jc w:val="right"/>
              <w:rPr>
                <w:b/>
              </w:rPr>
            </w:pPr>
            <w:r w:rsidRPr="00064AD6">
              <w:rPr>
                <w:b/>
              </w:rPr>
              <w:t>758</w:t>
            </w:r>
          </w:p>
        </w:tc>
      </w:tr>
    </w:tbl>
    <w:p w14:paraId="6E09D5D1" w14:textId="77777777" w:rsidR="00D06CB2" w:rsidRPr="005C5E32" w:rsidRDefault="00D06CB2" w:rsidP="00A03341">
      <w:pPr>
        <w:pStyle w:val="Heading5"/>
        <w:spacing w:before="440"/>
      </w:pPr>
      <w:r w:rsidRPr="005C5E32">
        <w:t>Restrictions</w:t>
      </w:r>
    </w:p>
    <w:p w14:paraId="0A5C9D41" w14:textId="77777777" w:rsidR="00D06CB2" w:rsidRPr="005C5E32" w:rsidRDefault="00D06CB2" w:rsidP="00A03341">
      <w:pPr>
        <w:pStyle w:val="BodyText"/>
      </w:pPr>
      <w:r w:rsidRPr="005C5E32">
        <w:t>There are no restrictions over the title of the Ministry’s plant and equipment, nor is any plant or equipment pledged as security for liabilities.</w:t>
      </w:r>
    </w:p>
    <w:p w14:paraId="1E097080" w14:textId="77777777" w:rsidR="00D06CB2" w:rsidRPr="005C5E32" w:rsidRDefault="00D06CB2" w:rsidP="00A03341">
      <w:pPr>
        <w:pStyle w:val="Heading3"/>
        <w:tabs>
          <w:tab w:val="clear" w:pos="851"/>
          <w:tab w:val="left" w:pos="567"/>
        </w:tabs>
      </w:pPr>
      <w:bookmarkStart w:id="340" w:name="_Toc112144632"/>
      <w:r w:rsidRPr="005C5E32">
        <w:t>9.</w:t>
      </w:r>
      <w:r w:rsidRPr="005C5E32">
        <w:tab/>
        <w:t>Intangible assets</w:t>
      </w:r>
      <w:bookmarkEnd w:id="340"/>
    </w:p>
    <w:p w14:paraId="6B2DA694" w14:textId="77777777" w:rsidR="00D06CB2" w:rsidRPr="005C5E32" w:rsidRDefault="00D06CB2" w:rsidP="00A03341">
      <w:pPr>
        <w:pStyle w:val="Heading4"/>
        <w:spacing w:before="240"/>
      </w:pPr>
      <w:r w:rsidRPr="005C5E32">
        <w:t>Accounting policy</w:t>
      </w:r>
    </w:p>
    <w:p w14:paraId="515C71ED" w14:textId="77777777" w:rsidR="00D06CB2" w:rsidRPr="005C5E32" w:rsidRDefault="00D06CB2" w:rsidP="00A03341">
      <w:pPr>
        <w:pStyle w:val="Heading5"/>
      </w:pPr>
      <w:r w:rsidRPr="005C5E32">
        <w:t>Software acquisition and development</w:t>
      </w:r>
    </w:p>
    <w:p w14:paraId="628B7C2B" w14:textId="77777777" w:rsidR="00D06CB2" w:rsidRPr="005C5E32" w:rsidRDefault="00D06CB2" w:rsidP="00821939">
      <w:pPr>
        <w:pStyle w:val="BodyText"/>
        <w:spacing w:before="80"/>
      </w:pPr>
      <w:r w:rsidRPr="005C5E32">
        <w:t>Acquired computer software licences are capitalised on the basis of the costs incurred to acquire and bring to use the specific software.</w:t>
      </w:r>
    </w:p>
    <w:p w14:paraId="1C276D1E" w14:textId="77777777" w:rsidR="00D06CB2" w:rsidRPr="005C5E32" w:rsidRDefault="00D06CB2" w:rsidP="00A03341">
      <w:pPr>
        <w:pStyle w:val="BodyText"/>
      </w:pPr>
      <w:r w:rsidRPr="005C5E32">
        <w:lastRenderedPageBreak/>
        <w:t>Costs that are directly associated with the development of software for internal use by the Ministry are recognised as an intangible asset.</w:t>
      </w:r>
    </w:p>
    <w:p w14:paraId="2F91D62A" w14:textId="77777777" w:rsidR="00D06CB2" w:rsidRPr="005C5E32" w:rsidRDefault="00D06CB2" w:rsidP="00A03341">
      <w:pPr>
        <w:pStyle w:val="BodyText"/>
      </w:pPr>
      <w:r w:rsidRPr="005C5E32">
        <w:t>Costs associated with staff training and the maintenance of computer software are recognised as an expense when incurred. Costs of software updates or upgrades are only capitalised when they increase the usefulness or value of the software.</w:t>
      </w:r>
    </w:p>
    <w:p w14:paraId="08D1E0ED" w14:textId="77777777" w:rsidR="00D06CB2" w:rsidRPr="005C5E32" w:rsidRDefault="00D06CB2" w:rsidP="00A03341">
      <w:pPr>
        <w:pStyle w:val="BodyText"/>
      </w:pPr>
      <w:r w:rsidRPr="005C5E32">
        <w:t>Costs associated with development and maintenance of the Ministry’s website are recognised as an expense when incurred.</w:t>
      </w:r>
    </w:p>
    <w:p w14:paraId="76AEAB80" w14:textId="77777777" w:rsidR="00D06CB2" w:rsidRPr="005C5E32" w:rsidRDefault="00D06CB2" w:rsidP="00A03341">
      <w:pPr>
        <w:pStyle w:val="Heading5"/>
        <w:spacing w:before="120"/>
      </w:pPr>
      <w:r w:rsidRPr="005C5E32">
        <w:t>Amortisation</w:t>
      </w:r>
    </w:p>
    <w:p w14:paraId="25F651AD" w14:textId="77777777" w:rsidR="00D06CB2" w:rsidRPr="005C5E32" w:rsidRDefault="00D06CB2" w:rsidP="00821939">
      <w:pPr>
        <w:pStyle w:val="BodyText"/>
        <w:spacing w:before="80"/>
      </w:pPr>
      <w:r w:rsidRPr="005C5E32">
        <w:t>The carrying value of an intangible asset with a finite life is amortised on a straight-line basis over its useful life. Amortisation begins when the asset is available for use and ceases at the date the asset is derecognised. The amortisation charge for each period is recognised in the statement of comprehensive revenue and expense.</w:t>
      </w:r>
    </w:p>
    <w:p w14:paraId="75A81D35" w14:textId="7C83D7E7" w:rsidR="00D06CB2" w:rsidRPr="005C5E32" w:rsidRDefault="00D06CB2" w:rsidP="00A03341">
      <w:pPr>
        <w:pStyle w:val="BodyText"/>
      </w:pPr>
      <w:r w:rsidRPr="005C5E32">
        <w:t>The useful lives and associated amortisation rates of intangible assets have been estimated as</w:t>
      </w:r>
      <w:r w:rsidR="00821939" w:rsidRPr="005C5E32">
        <w:t> </w:t>
      </w:r>
      <w:r w:rsidRPr="005C5E32">
        <w:t>follows: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3591"/>
        <w:gridCol w:w="3093"/>
        <w:gridCol w:w="1821"/>
      </w:tblGrid>
      <w:tr w:rsidR="00D06CB2" w:rsidRPr="005C5E32" w14:paraId="4182C278" w14:textId="77777777">
        <w:trPr>
          <w:trHeight w:val="20"/>
        </w:trPr>
        <w:tc>
          <w:tcPr>
            <w:tcW w:w="3897" w:type="dxa"/>
            <w:tcBorders>
              <w:top w:val="single" w:sz="8" w:space="0" w:color="0E7C7E"/>
              <w:bottom w:val="single" w:sz="2" w:space="0" w:color="58595B"/>
            </w:tcBorders>
            <w:vAlign w:val="bottom"/>
          </w:tcPr>
          <w:p w14:paraId="4D755F68" w14:textId="77777777" w:rsidR="00D06CB2" w:rsidRPr="005C5E32" w:rsidRDefault="00D06CB2">
            <w:pPr>
              <w:pStyle w:val="TableboldGreen"/>
              <w:spacing w:before="40" w:after="40"/>
            </w:pPr>
            <w:r w:rsidRPr="005C5E32">
              <w:t>Asset class</w:t>
            </w:r>
          </w:p>
        </w:tc>
        <w:tc>
          <w:tcPr>
            <w:tcW w:w="3355" w:type="dxa"/>
            <w:tcBorders>
              <w:top w:val="single" w:sz="8" w:space="0" w:color="0E7C7E"/>
              <w:bottom w:val="single" w:sz="2" w:space="0" w:color="58595B"/>
            </w:tcBorders>
            <w:vAlign w:val="bottom"/>
          </w:tcPr>
          <w:p w14:paraId="2AD9FB04" w14:textId="77777777" w:rsidR="00D06CB2" w:rsidRPr="005C5E32" w:rsidRDefault="00D06CB2">
            <w:pPr>
              <w:pStyle w:val="TableboldGreen"/>
              <w:spacing w:before="40" w:after="40"/>
              <w:jc w:val="right"/>
            </w:pPr>
            <w:r w:rsidRPr="005C5E32">
              <w:t>Useful life</w:t>
            </w:r>
            <w:r w:rsidRPr="005C5E32">
              <w:br/>
              <w:t>(years)</w:t>
            </w:r>
          </w:p>
        </w:tc>
        <w:tc>
          <w:tcPr>
            <w:tcW w:w="1968" w:type="dxa"/>
            <w:tcBorders>
              <w:top w:val="single" w:sz="8" w:space="0" w:color="0E7C7E"/>
              <w:bottom w:val="single" w:sz="2" w:space="0" w:color="58595B"/>
            </w:tcBorders>
            <w:vAlign w:val="bottom"/>
          </w:tcPr>
          <w:p w14:paraId="077F80F4" w14:textId="77777777" w:rsidR="00D06CB2" w:rsidRPr="005C5E32" w:rsidRDefault="00D06CB2">
            <w:pPr>
              <w:pStyle w:val="TableboldGreen"/>
              <w:spacing w:before="40" w:after="40"/>
              <w:jc w:val="right"/>
            </w:pPr>
            <w:r w:rsidRPr="005C5E32">
              <w:t>Amortisation rate</w:t>
            </w:r>
            <w:r w:rsidRPr="005C5E32">
              <w:br/>
              <w:t>(%)</w:t>
            </w:r>
          </w:p>
        </w:tc>
      </w:tr>
      <w:tr w:rsidR="00D06CB2" w:rsidRPr="005C5E32" w14:paraId="09EBFB13" w14:textId="77777777">
        <w:trPr>
          <w:trHeight w:val="20"/>
        </w:trPr>
        <w:tc>
          <w:tcPr>
            <w:tcW w:w="3897" w:type="dxa"/>
            <w:tcBorders>
              <w:top w:val="single" w:sz="2" w:space="0" w:color="58595B"/>
              <w:bottom w:val="single" w:sz="2" w:space="0" w:color="58595B"/>
            </w:tcBorders>
          </w:tcPr>
          <w:p w14:paraId="506B476A" w14:textId="77777777" w:rsidR="00D06CB2" w:rsidRPr="005C5E32" w:rsidRDefault="00D06CB2">
            <w:pPr>
              <w:pStyle w:val="TableText"/>
              <w:spacing w:before="40" w:after="40"/>
            </w:pPr>
            <w:r w:rsidRPr="005C5E32">
              <w:t>Acquired computer software</w:t>
            </w:r>
          </w:p>
        </w:tc>
        <w:tc>
          <w:tcPr>
            <w:tcW w:w="3355" w:type="dxa"/>
            <w:tcBorders>
              <w:top w:val="single" w:sz="2" w:space="0" w:color="58595B"/>
              <w:bottom w:val="single" w:sz="2" w:space="0" w:color="58595B"/>
            </w:tcBorders>
          </w:tcPr>
          <w:p w14:paraId="3E9F94D6" w14:textId="77777777" w:rsidR="00D06CB2" w:rsidRPr="005C5E32" w:rsidRDefault="00D06CB2">
            <w:pPr>
              <w:pStyle w:val="TableText"/>
              <w:spacing w:before="40" w:after="40"/>
              <w:jc w:val="right"/>
            </w:pPr>
            <w:r w:rsidRPr="005C5E32">
              <w:t>3–6</w:t>
            </w:r>
          </w:p>
        </w:tc>
        <w:tc>
          <w:tcPr>
            <w:tcW w:w="1968" w:type="dxa"/>
            <w:tcBorders>
              <w:top w:val="single" w:sz="2" w:space="0" w:color="58595B"/>
              <w:bottom w:val="single" w:sz="2" w:space="0" w:color="58595B"/>
            </w:tcBorders>
          </w:tcPr>
          <w:p w14:paraId="0B1D9BBB" w14:textId="77777777" w:rsidR="00D06CB2" w:rsidRPr="005C5E32" w:rsidRDefault="00D06CB2">
            <w:pPr>
              <w:pStyle w:val="TableText"/>
              <w:spacing w:before="40" w:after="40"/>
              <w:jc w:val="right"/>
            </w:pPr>
            <w:r w:rsidRPr="005C5E32">
              <w:t>16.67–33.33</w:t>
            </w:r>
          </w:p>
        </w:tc>
      </w:tr>
      <w:tr w:rsidR="00D06CB2" w:rsidRPr="005C5E32" w14:paraId="2F33ABBE" w14:textId="77777777">
        <w:trPr>
          <w:trHeight w:val="20"/>
        </w:trPr>
        <w:tc>
          <w:tcPr>
            <w:tcW w:w="3897" w:type="dxa"/>
            <w:tcBorders>
              <w:top w:val="single" w:sz="2" w:space="0" w:color="58595B"/>
              <w:bottom w:val="single" w:sz="2" w:space="0" w:color="58595B"/>
            </w:tcBorders>
          </w:tcPr>
          <w:p w14:paraId="3D0BCCD6" w14:textId="77777777" w:rsidR="00D06CB2" w:rsidRPr="005C5E32" w:rsidRDefault="00D06CB2">
            <w:pPr>
              <w:pStyle w:val="TableText"/>
              <w:spacing w:before="40" w:after="40"/>
            </w:pPr>
            <w:r w:rsidRPr="005C5E32">
              <w:t>Developed computer software</w:t>
            </w:r>
          </w:p>
        </w:tc>
        <w:tc>
          <w:tcPr>
            <w:tcW w:w="3355" w:type="dxa"/>
            <w:tcBorders>
              <w:top w:val="single" w:sz="2" w:space="0" w:color="58595B"/>
              <w:bottom w:val="single" w:sz="2" w:space="0" w:color="58595B"/>
            </w:tcBorders>
          </w:tcPr>
          <w:p w14:paraId="08BE0BC8" w14:textId="77777777" w:rsidR="00D06CB2" w:rsidRPr="005C5E32" w:rsidRDefault="00D06CB2">
            <w:pPr>
              <w:pStyle w:val="TableText"/>
              <w:spacing w:before="40" w:after="40"/>
              <w:jc w:val="right"/>
            </w:pPr>
            <w:r w:rsidRPr="005C5E32">
              <w:t>3</w:t>
            </w:r>
          </w:p>
        </w:tc>
        <w:tc>
          <w:tcPr>
            <w:tcW w:w="1968" w:type="dxa"/>
            <w:tcBorders>
              <w:top w:val="single" w:sz="2" w:space="0" w:color="58595B"/>
              <w:bottom w:val="single" w:sz="2" w:space="0" w:color="58595B"/>
            </w:tcBorders>
          </w:tcPr>
          <w:p w14:paraId="7DD6A98E" w14:textId="77777777" w:rsidR="00D06CB2" w:rsidRPr="005C5E32" w:rsidRDefault="00D06CB2">
            <w:pPr>
              <w:pStyle w:val="TableText"/>
              <w:spacing w:before="40" w:after="40"/>
              <w:jc w:val="right"/>
            </w:pPr>
            <w:r w:rsidRPr="005C5E32">
              <w:t>33.33</w:t>
            </w:r>
          </w:p>
        </w:tc>
      </w:tr>
    </w:tbl>
    <w:p w14:paraId="6C5054F0" w14:textId="77777777" w:rsidR="00D06CB2" w:rsidRPr="005C5E32" w:rsidRDefault="00D06CB2" w:rsidP="00A03341">
      <w:pPr>
        <w:pStyle w:val="Heading5"/>
        <w:spacing w:before="360"/>
      </w:pPr>
      <w:r w:rsidRPr="005C5E32">
        <w:t>Impairment</w:t>
      </w:r>
    </w:p>
    <w:p w14:paraId="60D76EE0" w14:textId="77777777" w:rsidR="00D06CB2" w:rsidRPr="005C5E32" w:rsidRDefault="00D06CB2" w:rsidP="00731785">
      <w:pPr>
        <w:pStyle w:val="BodyText"/>
        <w:spacing w:before="80"/>
      </w:pPr>
      <w:r w:rsidRPr="005C5E32">
        <w:t>Intangible assets that have a finite useful life are reviewed for impairment whenever events or changes in circumstances indicate that the carrying amount may not be recoverable. An impairment loss is recognised in the statement of comprehensive revenue and expense for the amount by which the asset’s carrying amount exceeds its recoverable amount. The recoverable amount is the higher of an asset’s fair value less costs to sell and its value in use.</w:t>
      </w:r>
    </w:p>
    <w:p w14:paraId="43C57299" w14:textId="77777777" w:rsidR="00D06CB2" w:rsidRPr="005C5E32" w:rsidRDefault="00D06CB2" w:rsidP="00A03341">
      <w:pPr>
        <w:pStyle w:val="BodyText"/>
      </w:pPr>
      <w:r w:rsidRPr="005C5E32">
        <w:t>Value in use is depreciated replacement cost for an asset where the future economic benefits or service potential of the asset are not primarily dependent on the asset’s ability to generate net cash inflows and where the Ministry would, if deprived of the asset, replace its remaining future economic benefits or service potential.</w:t>
      </w:r>
    </w:p>
    <w:p w14:paraId="08CA2EA7" w14:textId="77777777" w:rsidR="00D06CB2" w:rsidRPr="005C5E32" w:rsidRDefault="00D06CB2" w:rsidP="00A03341">
      <w:pPr>
        <w:pStyle w:val="BodyText"/>
      </w:pPr>
      <w:r w:rsidRPr="005C5E32">
        <w:t>An intangible asset that is not yet available for use at the balance date is tested for impairment annually.</w:t>
      </w:r>
    </w:p>
    <w:p w14:paraId="4F6C72B1" w14:textId="77777777" w:rsidR="00D06CB2" w:rsidRPr="005C5E32" w:rsidRDefault="00D06CB2" w:rsidP="00A03341">
      <w:pPr>
        <w:pStyle w:val="Heading4"/>
      </w:pPr>
      <w:r w:rsidRPr="005C5E32">
        <w:t>Critical accounting estimates and assumptions</w:t>
      </w:r>
    </w:p>
    <w:p w14:paraId="0E78C8B8" w14:textId="77777777" w:rsidR="00D06CB2" w:rsidRPr="005C5E32" w:rsidRDefault="00D06CB2" w:rsidP="00A03341">
      <w:pPr>
        <w:pStyle w:val="Heading5"/>
      </w:pPr>
      <w:r w:rsidRPr="005C5E32">
        <w:t>Useful lives of software</w:t>
      </w:r>
    </w:p>
    <w:p w14:paraId="4AB8FB35" w14:textId="77777777" w:rsidR="00D06CB2" w:rsidRPr="005C5E32" w:rsidRDefault="00D06CB2" w:rsidP="00731785">
      <w:pPr>
        <w:pStyle w:val="BodyText"/>
        <w:spacing w:before="80"/>
      </w:pPr>
      <w:r w:rsidRPr="005C5E32">
        <w:t>The useful life of software is determined at the time the software is acquired and brought into use and is reviewed at each reporting date for appropriateness. For computer software licences, the useful life represents management’s view of the expected period over which the Ministry will receive benefits from the software, but not exceeding the licence term. For internally generated software developed by the Ministry, the useful life is based on historical experience with similar systems as well as anticipation of future events that may impact the useful life, such as changes in technology.</w:t>
      </w:r>
    </w:p>
    <w:p w14:paraId="3589FB38" w14:textId="77777777" w:rsidR="00D06CB2" w:rsidRPr="005C5E32" w:rsidRDefault="00D06CB2" w:rsidP="00A03341">
      <w:pPr>
        <w:pStyle w:val="Heading5"/>
      </w:pPr>
      <w:r w:rsidRPr="005C5E32">
        <w:lastRenderedPageBreak/>
        <w:t>Breakdown of intangible assets and further information</w:t>
      </w:r>
    </w:p>
    <w:p w14:paraId="09775A74" w14:textId="77777777" w:rsidR="00D06CB2" w:rsidRPr="005C5E32" w:rsidRDefault="00D06CB2" w:rsidP="00731785">
      <w:pPr>
        <w:pStyle w:val="BodyText"/>
        <w:keepNext/>
        <w:spacing w:after="240"/>
      </w:pPr>
      <w:r w:rsidRPr="005C5E32">
        <w:t>Movements in the carrying value for each class of intangible asset are as follows: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2834"/>
        <w:gridCol w:w="1086"/>
        <w:gridCol w:w="1086"/>
        <w:gridCol w:w="1231"/>
        <w:gridCol w:w="1363"/>
        <w:gridCol w:w="905"/>
      </w:tblGrid>
      <w:tr w:rsidR="00D06CB2" w:rsidRPr="005C5E32" w14:paraId="4C9EC47C" w14:textId="77777777" w:rsidTr="00D210C6">
        <w:trPr>
          <w:trHeight w:val="20"/>
        </w:trPr>
        <w:tc>
          <w:tcPr>
            <w:tcW w:w="2834" w:type="dxa"/>
            <w:tcBorders>
              <w:top w:val="single" w:sz="8" w:space="0" w:color="0E7C7E"/>
              <w:bottom w:val="single" w:sz="2" w:space="0" w:color="58595B"/>
            </w:tcBorders>
            <w:vAlign w:val="bottom"/>
          </w:tcPr>
          <w:p w14:paraId="42D5D614" w14:textId="77777777" w:rsidR="00D06CB2" w:rsidRPr="005C5E32" w:rsidRDefault="00D06CB2" w:rsidP="00731785">
            <w:pPr>
              <w:pStyle w:val="TableboldGreen"/>
              <w:keepNext/>
              <w:spacing w:before="40" w:after="40" w:line="230" w:lineRule="atLeast"/>
              <w:rPr>
                <w:rFonts w:cs="Calibri"/>
                <w:szCs w:val="18"/>
              </w:rPr>
            </w:pPr>
          </w:p>
        </w:tc>
        <w:tc>
          <w:tcPr>
            <w:tcW w:w="1086" w:type="dxa"/>
            <w:tcBorders>
              <w:top w:val="single" w:sz="8" w:space="0" w:color="0E7C7E"/>
              <w:bottom w:val="single" w:sz="2" w:space="0" w:color="58595B"/>
            </w:tcBorders>
            <w:vAlign w:val="bottom"/>
          </w:tcPr>
          <w:p w14:paraId="2082911D" w14:textId="77777777" w:rsidR="00D06CB2" w:rsidRPr="005C5E32" w:rsidRDefault="00D06CB2" w:rsidP="00731785">
            <w:pPr>
              <w:pStyle w:val="TableboldGreen"/>
              <w:keepNext/>
              <w:spacing w:before="40" w:after="40" w:line="230" w:lineRule="atLeast"/>
              <w:jc w:val="right"/>
              <w:rPr>
                <w:rFonts w:cs="Calibri"/>
                <w:szCs w:val="18"/>
              </w:rPr>
            </w:pPr>
            <w:r w:rsidRPr="005C5E32">
              <w:rPr>
                <w:rFonts w:cs="Calibri"/>
                <w:szCs w:val="18"/>
              </w:rPr>
              <w:t>Acquired software</w:t>
            </w:r>
            <w:r w:rsidRPr="005C5E32">
              <w:rPr>
                <w:rFonts w:cs="Calibri"/>
                <w:szCs w:val="18"/>
              </w:rPr>
              <w:br/>
              <w:t>$000</w:t>
            </w:r>
          </w:p>
        </w:tc>
        <w:tc>
          <w:tcPr>
            <w:tcW w:w="1086" w:type="dxa"/>
            <w:tcBorders>
              <w:top w:val="single" w:sz="8" w:space="0" w:color="0E7C7E"/>
              <w:bottom w:val="single" w:sz="2" w:space="0" w:color="58595B"/>
            </w:tcBorders>
            <w:vAlign w:val="bottom"/>
          </w:tcPr>
          <w:p w14:paraId="4C05C2D3" w14:textId="77777777" w:rsidR="00D06CB2" w:rsidRPr="005C5E32" w:rsidRDefault="00D06CB2" w:rsidP="00731785">
            <w:pPr>
              <w:pStyle w:val="TableboldGreen"/>
              <w:keepNext/>
              <w:spacing w:before="40" w:after="40" w:line="230" w:lineRule="atLeast"/>
              <w:jc w:val="right"/>
              <w:rPr>
                <w:rFonts w:cs="Calibri"/>
                <w:szCs w:val="18"/>
              </w:rPr>
            </w:pPr>
            <w:r w:rsidRPr="005C5E32">
              <w:rPr>
                <w:rFonts w:cs="Calibri"/>
                <w:szCs w:val="18"/>
              </w:rPr>
              <w:t>Acquired software licences</w:t>
            </w:r>
            <w:r w:rsidRPr="005C5E32">
              <w:rPr>
                <w:rFonts w:cs="Calibri"/>
                <w:szCs w:val="18"/>
              </w:rPr>
              <w:br/>
              <w:t>$000</w:t>
            </w:r>
          </w:p>
        </w:tc>
        <w:tc>
          <w:tcPr>
            <w:tcW w:w="1231" w:type="dxa"/>
            <w:tcBorders>
              <w:top w:val="single" w:sz="8" w:space="0" w:color="0E7C7E"/>
              <w:bottom w:val="single" w:sz="2" w:space="0" w:color="58595B"/>
            </w:tcBorders>
            <w:vAlign w:val="bottom"/>
          </w:tcPr>
          <w:p w14:paraId="141008D3" w14:textId="77777777" w:rsidR="00D06CB2" w:rsidRPr="005C5E32" w:rsidRDefault="00D06CB2" w:rsidP="00731785">
            <w:pPr>
              <w:pStyle w:val="TableboldGreen"/>
              <w:keepNext/>
              <w:spacing w:before="40" w:after="40" w:line="230" w:lineRule="atLeast"/>
              <w:jc w:val="right"/>
              <w:rPr>
                <w:rFonts w:cs="Calibri"/>
                <w:szCs w:val="18"/>
              </w:rPr>
            </w:pPr>
            <w:r w:rsidRPr="005C5E32">
              <w:rPr>
                <w:rFonts w:cs="Calibri"/>
                <w:szCs w:val="18"/>
              </w:rPr>
              <w:t>Internally generated software (others)</w:t>
            </w:r>
            <w:r w:rsidRPr="005C5E32">
              <w:rPr>
                <w:rFonts w:cs="Calibri"/>
                <w:szCs w:val="18"/>
              </w:rPr>
              <w:br/>
              <w:t>$000</w:t>
            </w:r>
          </w:p>
        </w:tc>
        <w:tc>
          <w:tcPr>
            <w:tcW w:w="1363" w:type="dxa"/>
            <w:tcBorders>
              <w:top w:val="single" w:sz="8" w:space="0" w:color="0E7C7E"/>
              <w:bottom w:val="single" w:sz="2" w:space="0" w:color="58595B"/>
            </w:tcBorders>
            <w:vAlign w:val="bottom"/>
          </w:tcPr>
          <w:p w14:paraId="462F36E8" w14:textId="77777777" w:rsidR="00D06CB2" w:rsidRPr="005C5E32" w:rsidRDefault="00D06CB2" w:rsidP="00731785">
            <w:pPr>
              <w:pStyle w:val="TableboldGreen"/>
              <w:keepNext/>
              <w:spacing w:before="40" w:after="40" w:line="230" w:lineRule="atLeast"/>
              <w:jc w:val="right"/>
              <w:rPr>
                <w:rFonts w:cs="Calibri"/>
                <w:szCs w:val="18"/>
              </w:rPr>
            </w:pPr>
            <w:r w:rsidRPr="005C5E32">
              <w:rPr>
                <w:rFonts w:cs="Calibri"/>
                <w:szCs w:val="18"/>
              </w:rPr>
              <w:t xml:space="preserve">Internally generated software </w:t>
            </w:r>
            <w:r w:rsidRPr="005C5E32">
              <w:rPr>
                <w:rFonts w:cs="Calibri"/>
                <w:szCs w:val="18"/>
              </w:rPr>
              <w:br/>
              <w:t>(LUCAS)</w:t>
            </w:r>
            <w:r w:rsidRPr="005C5E32">
              <w:rPr>
                <w:rFonts w:cs="Calibri"/>
                <w:szCs w:val="18"/>
              </w:rPr>
              <w:br/>
              <w:t>$000</w:t>
            </w:r>
          </w:p>
        </w:tc>
        <w:tc>
          <w:tcPr>
            <w:tcW w:w="905" w:type="dxa"/>
            <w:tcBorders>
              <w:top w:val="single" w:sz="8" w:space="0" w:color="0E7C7E"/>
              <w:bottom w:val="single" w:sz="2" w:space="0" w:color="58595B"/>
            </w:tcBorders>
            <w:vAlign w:val="bottom"/>
          </w:tcPr>
          <w:p w14:paraId="1C5A3B39" w14:textId="77777777" w:rsidR="00D06CB2" w:rsidRPr="005C5E32" w:rsidRDefault="00D06CB2" w:rsidP="00731785">
            <w:pPr>
              <w:pStyle w:val="TableboldGreen"/>
              <w:keepNext/>
              <w:spacing w:before="40" w:after="40" w:line="230" w:lineRule="atLeast"/>
              <w:jc w:val="right"/>
              <w:rPr>
                <w:rFonts w:cs="Calibri"/>
                <w:szCs w:val="18"/>
              </w:rPr>
            </w:pPr>
            <w:r w:rsidRPr="005C5E32">
              <w:rPr>
                <w:rFonts w:cs="Calibri"/>
                <w:szCs w:val="18"/>
              </w:rPr>
              <w:t>Total</w:t>
            </w:r>
            <w:r w:rsidRPr="005C5E32">
              <w:rPr>
                <w:rFonts w:cs="Calibri"/>
                <w:szCs w:val="18"/>
              </w:rPr>
              <w:br/>
              <w:t>$000</w:t>
            </w:r>
          </w:p>
        </w:tc>
      </w:tr>
      <w:tr w:rsidR="00D06CB2" w:rsidRPr="005C5E32" w14:paraId="5D7524AB" w14:textId="77777777" w:rsidTr="00D210C6">
        <w:trPr>
          <w:trHeight w:val="20"/>
        </w:trPr>
        <w:tc>
          <w:tcPr>
            <w:tcW w:w="2834" w:type="dxa"/>
            <w:tcBorders>
              <w:top w:val="single" w:sz="2" w:space="0" w:color="58595B"/>
            </w:tcBorders>
          </w:tcPr>
          <w:p w14:paraId="01E4AD88" w14:textId="77777777" w:rsidR="00D06CB2" w:rsidRPr="005C5E32" w:rsidRDefault="00D06CB2" w:rsidP="00731785">
            <w:pPr>
              <w:pStyle w:val="TableboldGreen"/>
              <w:keepNext/>
              <w:spacing w:before="40" w:after="0"/>
              <w:rPr>
                <w:rFonts w:cs="Calibri"/>
                <w:szCs w:val="18"/>
              </w:rPr>
            </w:pPr>
            <w:r w:rsidRPr="005C5E32">
              <w:rPr>
                <w:rFonts w:cs="Calibri"/>
                <w:szCs w:val="18"/>
              </w:rPr>
              <w:t>Cost</w:t>
            </w:r>
          </w:p>
        </w:tc>
        <w:tc>
          <w:tcPr>
            <w:tcW w:w="1086" w:type="dxa"/>
            <w:tcBorders>
              <w:top w:val="single" w:sz="2" w:space="0" w:color="58595B"/>
            </w:tcBorders>
          </w:tcPr>
          <w:p w14:paraId="3CE1DDC6" w14:textId="77777777" w:rsidR="00D06CB2" w:rsidRPr="005C5E32" w:rsidRDefault="00D06CB2" w:rsidP="00731785">
            <w:pPr>
              <w:pStyle w:val="TableText"/>
              <w:keepNext/>
              <w:spacing w:before="40" w:after="0"/>
              <w:jc w:val="right"/>
              <w:rPr>
                <w:rFonts w:cs="Calibri"/>
                <w:szCs w:val="18"/>
              </w:rPr>
            </w:pPr>
          </w:p>
        </w:tc>
        <w:tc>
          <w:tcPr>
            <w:tcW w:w="1086" w:type="dxa"/>
            <w:tcBorders>
              <w:top w:val="single" w:sz="2" w:space="0" w:color="58595B"/>
            </w:tcBorders>
          </w:tcPr>
          <w:p w14:paraId="4005C495" w14:textId="77777777" w:rsidR="00D06CB2" w:rsidRPr="005C5E32" w:rsidRDefault="00D06CB2" w:rsidP="00731785">
            <w:pPr>
              <w:pStyle w:val="TableText"/>
              <w:keepNext/>
              <w:spacing w:before="40" w:after="0"/>
              <w:jc w:val="right"/>
              <w:rPr>
                <w:rFonts w:cs="Calibri"/>
                <w:szCs w:val="18"/>
              </w:rPr>
            </w:pPr>
          </w:p>
        </w:tc>
        <w:tc>
          <w:tcPr>
            <w:tcW w:w="1231" w:type="dxa"/>
            <w:tcBorders>
              <w:top w:val="single" w:sz="2" w:space="0" w:color="58595B"/>
            </w:tcBorders>
          </w:tcPr>
          <w:p w14:paraId="385355D5" w14:textId="77777777" w:rsidR="00D06CB2" w:rsidRPr="005C5E32" w:rsidRDefault="00D06CB2" w:rsidP="00731785">
            <w:pPr>
              <w:pStyle w:val="TableText"/>
              <w:keepNext/>
              <w:spacing w:before="40" w:after="0"/>
              <w:jc w:val="right"/>
              <w:rPr>
                <w:rFonts w:cs="Calibri"/>
                <w:szCs w:val="18"/>
              </w:rPr>
            </w:pPr>
          </w:p>
        </w:tc>
        <w:tc>
          <w:tcPr>
            <w:tcW w:w="1363" w:type="dxa"/>
            <w:tcBorders>
              <w:top w:val="single" w:sz="2" w:space="0" w:color="58595B"/>
            </w:tcBorders>
          </w:tcPr>
          <w:p w14:paraId="70108DB7" w14:textId="77777777" w:rsidR="00D06CB2" w:rsidRPr="005C5E32" w:rsidRDefault="00D06CB2" w:rsidP="00731785">
            <w:pPr>
              <w:pStyle w:val="TableText"/>
              <w:keepNext/>
              <w:spacing w:before="40" w:after="0"/>
              <w:jc w:val="right"/>
              <w:rPr>
                <w:rFonts w:cs="Calibri"/>
                <w:szCs w:val="18"/>
              </w:rPr>
            </w:pPr>
          </w:p>
        </w:tc>
        <w:tc>
          <w:tcPr>
            <w:tcW w:w="905" w:type="dxa"/>
            <w:tcBorders>
              <w:top w:val="single" w:sz="2" w:space="0" w:color="58595B"/>
            </w:tcBorders>
          </w:tcPr>
          <w:p w14:paraId="46198E4E" w14:textId="77777777" w:rsidR="00D06CB2" w:rsidRPr="005C5E32" w:rsidRDefault="00D06CB2" w:rsidP="00731785">
            <w:pPr>
              <w:pStyle w:val="TableText"/>
              <w:keepNext/>
              <w:spacing w:before="40" w:after="0"/>
              <w:jc w:val="right"/>
              <w:rPr>
                <w:rFonts w:cs="Calibri"/>
                <w:szCs w:val="18"/>
              </w:rPr>
            </w:pPr>
          </w:p>
        </w:tc>
      </w:tr>
      <w:tr w:rsidR="00D06CB2" w:rsidRPr="005C5E32" w14:paraId="1349F2BA" w14:textId="77777777" w:rsidTr="00D210C6">
        <w:trPr>
          <w:trHeight w:val="20"/>
        </w:trPr>
        <w:tc>
          <w:tcPr>
            <w:tcW w:w="2834" w:type="dxa"/>
            <w:tcBorders>
              <w:bottom w:val="single" w:sz="2" w:space="0" w:color="58595B"/>
            </w:tcBorders>
          </w:tcPr>
          <w:p w14:paraId="720CA842" w14:textId="77777777" w:rsidR="00D06CB2" w:rsidRPr="005C5E32" w:rsidRDefault="00D06CB2" w:rsidP="00731785">
            <w:pPr>
              <w:pStyle w:val="TableText"/>
              <w:keepNext/>
              <w:spacing w:before="40" w:after="40"/>
              <w:rPr>
                <w:rFonts w:cs="Calibri"/>
                <w:szCs w:val="18"/>
              </w:rPr>
            </w:pPr>
            <w:r w:rsidRPr="005C5E32">
              <w:rPr>
                <w:rFonts w:cs="Calibri"/>
                <w:szCs w:val="18"/>
              </w:rPr>
              <w:t>Balance as at 1 July 2024</w:t>
            </w:r>
          </w:p>
        </w:tc>
        <w:tc>
          <w:tcPr>
            <w:tcW w:w="1086" w:type="dxa"/>
            <w:tcBorders>
              <w:bottom w:val="single" w:sz="2" w:space="0" w:color="58595B"/>
            </w:tcBorders>
          </w:tcPr>
          <w:p w14:paraId="6A9FDAA5" w14:textId="4A2F3A68" w:rsidR="00D06CB2" w:rsidRPr="005C5E32" w:rsidRDefault="00D06CB2" w:rsidP="00731785">
            <w:pPr>
              <w:pStyle w:val="TableText"/>
              <w:keepNext/>
              <w:spacing w:before="40" w:after="40"/>
              <w:jc w:val="right"/>
              <w:rPr>
                <w:rFonts w:cs="Calibri"/>
                <w:szCs w:val="18"/>
              </w:rPr>
            </w:pPr>
            <w:r w:rsidRPr="005C5E32">
              <w:rPr>
                <w:rFonts w:cs="Calibri"/>
                <w:szCs w:val="18"/>
              </w:rPr>
              <w:t>3,325</w:t>
            </w:r>
          </w:p>
        </w:tc>
        <w:tc>
          <w:tcPr>
            <w:tcW w:w="1086" w:type="dxa"/>
            <w:tcBorders>
              <w:bottom w:val="single" w:sz="2" w:space="0" w:color="58595B"/>
            </w:tcBorders>
          </w:tcPr>
          <w:p w14:paraId="1193D0B9" w14:textId="77777777" w:rsidR="00D06CB2" w:rsidRPr="005C5E32" w:rsidRDefault="00D06CB2" w:rsidP="00731785">
            <w:pPr>
              <w:pStyle w:val="TableText"/>
              <w:keepNext/>
              <w:spacing w:before="40" w:after="40"/>
              <w:jc w:val="right"/>
              <w:rPr>
                <w:rFonts w:cs="Calibri"/>
                <w:szCs w:val="18"/>
              </w:rPr>
            </w:pPr>
            <w:r w:rsidRPr="005C5E32">
              <w:rPr>
                <w:rFonts w:cs="Calibri"/>
                <w:szCs w:val="18"/>
              </w:rPr>
              <w:t>25</w:t>
            </w:r>
          </w:p>
        </w:tc>
        <w:tc>
          <w:tcPr>
            <w:tcW w:w="1231" w:type="dxa"/>
            <w:tcBorders>
              <w:bottom w:val="single" w:sz="2" w:space="0" w:color="58595B"/>
            </w:tcBorders>
          </w:tcPr>
          <w:p w14:paraId="6EBB0872" w14:textId="77777777" w:rsidR="00D06CB2" w:rsidRPr="005C5E32" w:rsidRDefault="00D06CB2" w:rsidP="00731785">
            <w:pPr>
              <w:pStyle w:val="TableText"/>
              <w:keepNext/>
              <w:spacing w:before="40" w:after="40"/>
              <w:jc w:val="right"/>
              <w:rPr>
                <w:rFonts w:cs="Calibri"/>
                <w:szCs w:val="18"/>
              </w:rPr>
            </w:pPr>
            <w:r w:rsidRPr="005C5E32">
              <w:rPr>
                <w:rFonts w:cs="Calibri"/>
                <w:szCs w:val="18"/>
              </w:rPr>
              <w:t>1,429</w:t>
            </w:r>
          </w:p>
        </w:tc>
        <w:tc>
          <w:tcPr>
            <w:tcW w:w="1363" w:type="dxa"/>
            <w:tcBorders>
              <w:bottom w:val="single" w:sz="2" w:space="0" w:color="58595B"/>
            </w:tcBorders>
          </w:tcPr>
          <w:p w14:paraId="183FE2F2" w14:textId="77777777" w:rsidR="00D06CB2" w:rsidRPr="005C5E32" w:rsidRDefault="00D06CB2" w:rsidP="00731785">
            <w:pPr>
              <w:pStyle w:val="TableText"/>
              <w:keepNext/>
              <w:spacing w:before="40" w:after="40"/>
              <w:jc w:val="right"/>
              <w:rPr>
                <w:rFonts w:cs="Calibri"/>
                <w:szCs w:val="18"/>
              </w:rPr>
            </w:pPr>
            <w:r w:rsidRPr="005C5E32">
              <w:rPr>
                <w:rFonts w:cs="Calibri"/>
                <w:szCs w:val="18"/>
              </w:rPr>
              <w:t>1,843</w:t>
            </w:r>
          </w:p>
        </w:tc>
        <w:tc>
          <w:tcPr>
            <w:tcW w:w="905" w:type="dxa"/>
            <w:tcBorders>
              <w:bottom w:val="single" w:sz="2" w:space="0" w:color="58595B"/>
            </w:tcBorders>
          </w:tcPr>
          <w:p w14:paraId="65F2162F" w14:textId="77777777" w:rsidR="00D06CB2" w:rsidRPr="005C5E32" w:rsidRDefault="00D06CB2" w:rsidP="00731785">
            <w:pPr>
              <w:pStyle w:val="TableText"/>
              <w:keepNext/>
              <w:spacing w:before="40" w:after="40"/>
              <w:jc w:val="right"/>
              <w:rPr>
                <w:rFonts w:cs="Calibri"/>
                <w:szCs w:val="18"/>
              </w:rPr>
            </w:pPr>
            <w:r w:rsidRPr="005C5E32">
              <w:rPr>
                <w:rFonts w:cs="Calibri"/>
                <w:szCs w:val="18"/>
              </w:rPr>
              <w:t>6,622</w:t>
            </w:r>
          </w:p>
        </w:tc>
      </w:tr>
      <w:tr w:rsidR="00D06CB2" w:rsidRPr="005C5E32" w14:paraId="08F18761" w14:textId="77777777" w:rsidTr="00D210C6">
        <w:trPr>
          <w:trHeight w:val="20"/>
        </w:trPr>
        <w:tc>
          <w:tcPr>
            <w:tcW w:w="2834" w:type="dxa"/>
            <w:tcBorders>
              <w:top w:val="single" w:sz="2" w:space="0" w:color="58595B"/>
              <w:bottom w:val="single" w:sz="2" w:space="0" w:color="58595B"/>
            </w:tcBorders>
          </w:tcPr>
          <w:p w14:paraId="16F18165" w14:textId="77777777" w:rsidR="00D06CB2" w:rsidRPr="005C5E32" w:rsidRDefault="00D06CB2">
            <w:pPr>
              <w:pStyle w:val="TableText"/>
              <w:spacing w:before="40" w:after="40"/>
              <w:rPr>
                <w:rFonts w:cs="Calibri"/>
                <w:szCs w:val="18"/>
              </w:rPr>
            </w:pPr>
            <w:r w:rsidRPr="005C5E32">
              <w:rPr>
                <w:rFonts w:cs="Calibri"/>
                <w:szCs w:val="18"/>
              </w:rPr>
              <w:t>Add: Closing work in progress</w:t>
            </w:r>
          </w:p>
        </w:tc>
        <w:tc>
          <w:tcPr>
            <w:tcW w:w="1086" w:type="dxa"/>
            <w:tcBorders>
              <w:top w:val="single" w:sz="2" w:space="0" w:color="58595B"/>
              <w:bottom w:val="single" w:sz="2" w:space="0" w:color="58595B"/>
            </w:tcBorders>
          </w:tcPr>
          <w:p w14:paraId="49FDBF88" w14:textId="77777777" w:rsidR="00D06CB2" w:rsidRPr="005C5E32" w:rsidRDefault="00D06CB2">
            <w:pPr>
              <w:pStyle w:val="TableText"/>
              <w:spacing w:before="40" w:after="40"/>
              <w:jc w:val="right"/>
              <w:rPr>
                <w:rFonts w:cs="Calibri"/>
                <w:szCs w:val="18"/>
              </w:rPr>
            </w:pPr>
            <w:r w:rsidRPr="005C5E32">
              <w:rPr>
                <w:rFonts w:cs="Calibri"/>
                <w:szCs w:val="18"/>
              </w:rPr>
              <w:t>(8)</w:t>
            </w:r>
          </w:p>
        </w:tc>
        <w:tc>
          <w:tcPr>
            <w:tcW w:w="1086" w:type="dxa"/>
            <w:tcBorders>
              <w:top w:val="single" w:sz="2" w:space="0" w:color="58595B"/>
              <w:bottom w:val="single" w:sz="2" w:space="0" w:color="58595B"/>
            </w:tcBorders>
          </w:tcPr>
          <w:p w14:paraId="26A994F5"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231" w:type="dxa"/>
            <w:tcBorders>
              <w:top w:val="single" w:sz="2" w:space="0" w:color="58595B"/>
              <w:bottom w:val="single" w:sz="2" w:space="0" w:color="58595B"/>
            </w:tcBorders>
          </w:tcPr>
          <w:p w14:paraId="52C43898"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363" w:type="dxa"/>
            <w:tcBorders>
              <w:top w:val="single" w:sz="2" w:space="0" w:color="58595B"/>
              <w:bottom w:val="single" w:sz="2" w:space="0" w:color="58595B"/>
            </w:tcBorders>
          </w:tcPr>
          <w:p w14:paraId="4CBC04E5"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905" w:type="dxa"/>
            <w:tcBorders>
              <w:top w:val="single" w:sz="2" w:space="0" w:color="58595B"/>
              <w:bottom w:val="single" w:sz="2" w:space="0" w:color="58595B"/>
            </w:tcBorders>
          </w:tcPr>
          <w:p w14:paraId="6414B1B0" w14:textId="77777777" w:rsidR="00D06CB2" w:rsidRPr="005C5E32" w:rsidRDefault="00D06CB2">
            <w:pPr>
              <w:pStyle w:val="TableText"/>
              <w:spacing w:before="40" w:after="40"/>
              <w:jc w:val="right"/>
              <w:rPr>
                <w:rFonts w:cs="Calibri"/>
                <w:szCs w:val="18"/>
              </w:rPr>
            </w:pPr>
            <w:r w:rsidRPr="005C5E32">
              <w:rPr>
                <w:rFonts w:cs="Calibri"/>
                <w:szCs w:val="18"/>
              </w:rPr>
              <w:t>(8)</w:t>
            </w:r>
          </w:p>
        </w:tc>
      </w:tr>
      <w:tr w:rsidR="00D06CB2" w:rsidRPr="005C5E32" w14:paraId="39550C1E" w14:textId="77777777" w:rsidTr="00D210C6">
        <w:trPr>
          <w:trHeight w:val="20"/>
        </w:trPr>
        <w:tc>
          <w:tcPr>
            <w:tcW w:w="2834" w:type="dxa"/>
            <w:tcBorders>
              <w:top w:val="single" w:sz="2" w:space="0" w:color="58595B"/>
              <w:bottom w:val="single" w:sz="4" w:space="0" w:color="000000" w:themeColor="text1"/>
            </w:tcBorders>
          </w:tcPr>
          <w:p w14:paraId="34E350EE" w14:textId="77777777" w:rsidR="00D06CB2" w:rsidRPr="005C5E32" w:rsidRDefault="00D06CB2">
            <w:pPr>
              <w:pStyle w:val="TableText"/>
              <w:spacing w:before="40" w:after="40"/>
              <w:rPr>
                <w:rFonts w:cs="Calibri"/>
                <w:szCs w:val="18"/>
              </w:rPr>
            </w:pPr>
            <w:r w:rsidRPr="005C5E32">
              <w:rPr>
                <w:rFonts w:cs="Calibri"/>
                <w:szCs w:val="18"/>
              </w:rPr>
              <w:t>Less: Opening work in progress</w:t>
            </w:r>
          </w:p>
        </w:tc>
        <w:tc>
          <w:tcPr>
            <w:tcW w:w="1086" w:type="dxa"/>
            <w:tcBorders>
              <w:top w:val="single" w:sz="2" w:space="0" w:color="58595B"/>
              <w:bottom w:val="single" w:sz="4" w:space="0" w:color="000000" w:themeColor="text1"/>
            </w:tcBorders>
          </w:tcPr>
          <w:p w14:paraId="0FA49940" w14:textId="77777777" w:rsidR="00D06CB2" w:rsidRPr="005C5E32" w:rsidRDefault="00D06CB2">
            <w:pPr>
              <w:pStyle w:val="TableText"/>
              <w:spacing w:before="40" w:after="40"/>
              <w:jc w:val="right"/>
              <w:rPr>
                <w:rFonts w:cs="Calibri"/>
                <w:szCs w:val="18"/>
              </w:rPr>
            </w:pPr>
            <w:r w:rsidRPr="005C5E32">
              <w:rPr>
                <w:rFonts w:cs="Calibri"/>
                <w:szCs w:val="18"/>
              </w:rPr>
              <w:t>(20</w:t>
            </w:r>
            <w:r w:rsidRPr="005C5E32" w:rsidDel="005276EA">
              <w:rPr>
                <w:rFonts w:cs="Calibri"/>
                <w:szCs w:val="18"/>
              </w:rPr>
              <w:t>)</w:t>
            </w:r>
          </w:p>
        </w:tc>
        <w:tc>
          <w:tcPr>
            <w:tcW w:w="1086" w:type="dxa"/>
            <w:tcBorders>
              <w:top w:val="single" w:sz="2" w:space="0" w:color="58595B"/>
              <w:bottom w:val="single" w:sz="4" w:space="0" w:color="000000" w:themeColor="text1"/>
            </w:tcBorders>
          </w:tcPr>
          <w:p w14:paraId="3897D71C"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231" w:type="dxa"/>
            <w:tcBorders>
              <w:top w:val="single" w:sz="2" w:space="0" w:color="58595B"/>
              <w:bottom w:val="single" w:sz="4" w:space="0" w:color="000000" w:themeColor="text1"/>
            </w:tcBorders>
          </w:tcPr>
          <w:p w14:paraId="3424231E"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363" w:type="dxa"/>
            <w:tcBorders>
              <w:top w:val="single" w:sz="2" w:space="0" w:color="58595B"/>
              <w:bottom w:val="single" w:sz="4" w:space="0" w:color="000000" w:themeColor="text1"/>
            </w:tcBorders>
          </w:tcPr>
          <w:p w14:paraId="6963F67C"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905" w:type="dxa"/>
            <w:tcBorders>
              <w:top w:val="single" w:sz="2" w:space="0" w:color="58595B"/>
              <w:bottom w:val="single" w:sz="4" w:space="0" w:color="000000" w:themeColor="text1"/>
            </w:tcBorders>
          </w:tcPr>
          <w:p w14:paraId="3AF3E2EA" w14:textId="77777777" w:rsidR="00D06CB2" w:rsidRPr="005C5E32" w:rsidRDefault="00D06CB2">
            <w:pPr>
              <w:pStyle w:val="TableText"/>
              <w:spacing w:before="40" w:after="40"/>
              <w:jc w:val="right"/>
              <w:rPr>
                <w:rFonts w:cs="Calibri"/>
                <w:szCs w:val="18"/>
              </w:rPr>
            </w:pPr>
            <w:r w:rsidRPr="005C5E32">
              <w:rPr>
                <w:rFonts w:cs="Calibri"/>
                <w:szCs w:val="18"/>
              </w:rPr>
              <w:t>(20</w:t>
            </w:r>
            <w:r w:rsidRPr="005C5E32" w:rsidDel="004837AF">
              <w:rPr>
                <w:rFonts w:cs="Calibri"/>
                <w:szCs w:val="18"/>
              </w:rPr>
              <w:t>)</w:t>
            </w:r>
          </w:p>
        </w:tc>
      </w:tr>
      <w:tr w:rsidR="00D06CB2" w:rsidRPr="005C5E32" w14:paraId="68D90FBF" w14:textId="77777777" w:rsidTr="00D210C6">
        <w:trPr>
          <w:trHeight w:val="20"/>
        </w:trPr>
        <w:tc>
          <w:tcPr>
            <w:tcW w:w="2834" w:type="dxa"/>
            <w:tcBorders>
              <w:top w:val="single" w:sz="4" w:space="0" w:color="000000" w:themeColor="text1"/>
              <w:bottom w:val="single" w:sz="4" w:space="0" w:color="000000" w:themeColor="text1"/>
            </w:tcBorders>
          </w:tcPr>
          <w:p w14:paraId="0EBE9DF6" w14:textId="77777777" w:rsidR="00D06CB2" w:rsidRPr="005C5E32" w:rsidRDefault="00D06CB2">
            <w:pPr>
              <w:pStyle w:val="TableText"/>
              <w:spacing w:before="40" w:after="40"/>
              <w:rPr>
                <w:rFonts w:cs="Calibri"/>
                <w:b/>
                <w:szCs w:val="18"/>
              </w:rPr>
            </w:pPr>
            <w:r w:rsidRPr="005C5E32">
              <w:rPr>
                <w:rFonts w:cs="Calibri"/>
                <w:b/>
                <w:szCs w:val="18"/>
              </w:rPr>
              <w:t xml:space="preserve">Balance as at 30 June </w:t>
            </w:r>
            <w:r w:rsidRPr="005C5E32">
              <w:rPr>
                <w:rFonts w:cs="Calibri"/>
                <w:b/>
                <w:bCs/>
                <w:szCs w:val="18"/>
              </w:rPr>
              <w:t>2025</w:t>
            </w:r>
          </w:p>
        </w:tc>
        <w:tc>
          <w:tcPr>
            <w:tcW w:w="1086" w:type="dxa"/>
            <w:tcBorders>
              <w:top w:val="single" w:sz="4" w:space="0" w:color="000000" w:themeColor="text1"/>
              <w:bottom w:val="single" w:sz="4" w:space="0" w:color="000000" w:themeColor="text1"/>
            </w:tcBorders>
          </w:tcPr>
          <w:p w14:paraId="41BEAFA6" w14:textId="10E08572" w:rsidR="00D06CB2" w:rsidRPr="005C5E32" w:rsidRDefault="00D06CB2">
            <w:pPr>
              <w:pStyle w:val="TableText"/>
              <w:spacing w:before="40" w:after="40"/>
              <w:jc w:val="right"/>
              <w:rPr>
                <w:rFonts w:cs="Calibri"/>
                <w:b/>
                <w:szCs w:val="18"/>
              </w:rPr>
            </w:pPr>
            <w:r w:rsidRPr="005C5E32">
              <w:rPr>
                <w:rFonts w:cs="Calibri"/>
                <w:b/>
                <w:szCs w:val="18"/>
              </w:rPr>
              <w:t>3,</w:t>
            </w:r>
            <w:r w:rsidRPr="005C5E32">
              <w:rPr>
                <w:rFonts w:cs="Calibri"/>
                <w:b/>
                <w:bCs/>
                <w:szCs w:val="18"/>
              </w:rPr>
              <w:t>297</w:t>
            </w:r>
          </w:p>
        </w:tc>
        <w:tc>
          <w:tcPr>
            <w:tcW w:w="1086" w:type="dxa"/>
            <w:tcBorders>
              <w:top w:val="single" w:sz="4" w:space="0" w:color="000000" w:themeColor="text1"/>
              <w:bottom w:val="single" w:sz="4" w:space="0" w:color="000000" w:themeColor="text1"/>
            </w:tcBorders>
          </w:tcPr>
          <w:p w14:paraId="4B653F82" w14:textId="77777777" w:rsidR="00D06CB2" w:rsidRPr="005C5E32" w:rsidRDefault="00D06CB2">
            <w:pPr>
              <w:pStyle w:val="TableText"/>
              <w:spacing w:before="40" w:after="40"/>
              <w:jc w:val="right"/>
              <w:rPr>
                <w:rFonts w:cs="Calibri"/>
                <w:b/>
                <w:szCs w:val="18"/>
              </w:rPr>
            </w:pPr>
            <w:r w:rsidRPr="005C5E32">
              <w:rPr>
                <w:rFonts w:cs="Calibri"/>
                <w:b/>
                <w:szCs w:val="18"/>
              </w:rPr>
              <w:t>25</w:t>
            </w:r>
          </w:p>
        </w:tc>
        <w:tc>
          <w:tcPr>
            <w:tcW w:w="1231" w:type="dxa"/>
            <w:tcBorders>
              <w:top w:val="single" w:sz="4" w:space="0" w:color="000000" w:themeColor="text1"/>
              <w:bottom w:val="single" w:sz="4" w:space="0" w:color="000000" w:themeColor="text1"/>
            </w:tcBorders>
          </w:tcPr>
          <w:p w14:paraId="06422DA8" w14:textId="77777777" w:rsidR="00D06CB2" w:rsidRPr="005C5E32" w:rsidRDefault="00D06CB2">
            <w:pPr>
              <w:pStyle w:val="TableText"/>
              <w:spacing w:before="40" w:after="40"/>
              <w:jc w:val="right"/>
              <w:rPr>
                <w:rFonts w:cs="Calibri"/>
                <w:b/>
                <w:szCs w:val="18"/>
              </w:rPr>
            </w:pPr>
            <w:r w:rsidRPr="005C5E32">
              <w:rPr>
                <w:rFonts w:cs="Calibri"/>
                <w:b/>
                <w:szCs w:val="18"/>
              </w:rPr>
              <w:t>1,429</w:t>
            </w:r>
          </w:p>
        </w:tc>
        <w:tc>
          <w:tcPr>
            <w:tcW w:w="1363" w:type="dxa"/>
            <w:tcBorders>
              <w:top w:val="single" w:sz="4" w:space="0" w:color="000000" w:themeColor="text1"/>
              <w:bottom w:val="single" w:sz="4" w:space="0" w:color="000000" w:themeColor="text1"/>
            </w:tcBorders>
          </w:tcPr>
          <w:p w14:paraId="33DE27D3" w14:textId="77777777" w:rsidR="00D06CB2" w:rsidRPr="005C5E32" w:rsidRDefault="00D06CB2">
            <w:pPr>
              <w:pStyle w:val="TableText"/>
              <w:spacing w:before="40" w:after="40"/>
              <w:jc w:val="right"/>
              <w:rPr>
                <w:rFonts w:cs="Calibri"/>
                <w:b/>
                <w:szCs w:val="18"/>
              </w:rPr>
            </w:pPr>
            <w:r w:rsidRPr="005C5E32">
              <w:rPr>
                <w:rFonts w:cs="Calibri"/>
                <w:b/>
                <w:szCs w:val="18"/>
              </w:rPr>
              <w:t>1,843</w:t>
            </w:r>
          </w:p>
        </w:tc>
        <w:tc>
          <w:tcPr>
            <w:tcW w:w="905" w:type="dxa"/>
            <w:tcBorders>
              <w:top w:val="single" w:sz="4" w:space="0" w:color="000000" w:themeColor="text1"/>
              <w:bottom w:val="single" w:sz="4" w:space="0" w:color="000000" w:themeColor="text1"/>
            </w:tcBorders>
          </w:tcPr>
          <w:p w14:paraId="6CAAA06B" w14:textId="77777777" w:rsidR="00D06CB2" w:rsidRPr="005C5E32" w:rsidRDefault="00D06CB2">
            <w:pPr>
              <w:pStyle w:val="TableText"/>
              <w:spacing w:before="40" w:after="40"/>
              <w:jc w:val="right"/>
              <w:rPr>
                <w:rFonts w:cs="Calibri"/>
                <w:b/>
                <w:szCs w:val="18"/>
              </w:rPr>
            </w:pPr>
            <w:r w:rsidRPr="005C5E32">
              <w:rPr>
                <w:rFonts w:cs="Calibri"/>
                <w:b/>
                <w:szCs w:val="18"/>
              </w:rPr>
              <w:t>6,594</w:t>
            </w:r>
          </w:p>
        </w:tc>
      </w:tr>
      <w:tr w:rsidR="00D06CB2" w:rsidRPr="005C5E32" w14:paraId="6C4FD91C" w14:textId="77777777" w:rsidTr="00D210C6">
        <w:trPr>
          <w:trHeight w:val="20"/>
        </w:trPr>
        <w:tc>
          <w:tcPr>
            <w:tcW w:w="2834" w:type="dxa"/>
            <w:tcBorders>
              <w:top w:val="single" w:sz="4" w:space="0" w:color="000000" w:themeColor="text1"/>
              <w:bottom w:val="single" w:sz="2" w:space="0" w:color="58595B"/>
            </w:tcBorders>
          </w:tcPr>
          <w:p w14:paraId="6A3DFB5C" w14:textId="77777777" w:rsidR="00D06CB2" w:rsidRPr="005C5E32" w:rsidRDefault="00D06CB2">
            <w:pPr>
              <w:pStyle w:val="TableText"/>
              <w:spacing w:before="40" w:after="40"/>
              <w:rPr>
                <w:rFonts w:cs="Calibri"/>
                <w:szCs w:val="18"/>
              </w:rPr>
            </w:pPr>
            <w:r w:rsidRPr="005C5E32">
              <w:rPr>
                <w:rFonts w:cs="Calibri"/>
                <w:szCs w:val="18"/>
              </w:rPr>
              <w:t>Balance as at 1 July 2025</w:t>
            </w:r>
          </w:p>
        </w:tc>
        <w:tc>
          <w:tcPr>
            <w:tcW w:w="1086" w:type="dxa"/>
            <w:tcBorders>
              <w:top w:val="single" w:sz="4" w:space="0" w:color="000000" w:themeColor="text1"/>
              <w:bottom w:val="single" w:sz="2" w:space="0" w:color="58595B"/>
            </w:tcBorders>
          </w:tcPr>
          <w:p w14:paraId="66E0E49E" w14:textId="106C1BD7" w:rsidR="00D06CB2" w:rsidRPr="005C5E32" w:rsidRDefault="00D06CB2">
            <w:pPr>
              <w:pStyle w:val="TableText"/>
              <w:spacing w:before="40" w:after="40"/>
              <w:jc w:val="right"/>
              <w:rPr>
                <w:rFonts w:cs="Calibri"/>
                <w:szCs w:val="18"/>
              </w:rPr>
            </w:pPr>
            <w:r w:rsidRPr="005C5E32">
              <w:rPr>
                <w:rFonts w:cs="Calibri"/>
                <w:szCs w:val="18"/>
              </w:rPr>
              <w:t>3,297</w:t>
            </w:r>
          </w:p>
        </w:tc>
        <w:tc>
          <w:tcPr>
            <w:tcW w:w="1086" w:type="dxa"/>
            <w:tcBorders>
              <w:top w:val="single" w:sz="4" w:space="0" w:color="000000" w:themeColor="text1"/>
              <w:bottom w:val="single" w:sz="2" w:space="0" w:color="58595B"/>
            </w:tcBorders>
          </w:tcPr>
          <w:p w14:paraId="5CAF6653" w14:textId="77777777" w:rsidR="00D06CB2" w:rsidRPr="005C5E32" w:rsidRDefault="00D06CB2">
            <w:pPr>
              <w:pStyle w:val="TableText"/>
              <w:spacing w:before="40" w:after="40"/>
              <w:jc w:val="right"/>
              <w:rPr>
                <w:rFonts w:cs="Calibri"/>
                <w:szCs w:val="18"/>
              </w:rPr>
            </w:pPr>
            <w:r w:rsidRPr="005C5E32">
              <w:rPr>
                <w:rFonts w:cs="Calibri"/>
                <w:szCs w:val="18"/>
              </w:rPr>
              <w:t>25</w:t>
            </w:r>
          </w:p>
        </w:tc>
        <w:tc>
          <w:tcPr>
            <w:tcW w:w="1231" w:type="dxa"/>
            <w:tcBorders>
              <w:top w:val="single" w:sz="4" w:space="0" w:color="000000" w:themeColor="text1"/>
              <w:bottom w:val="single" w:sz="2" w:space="0" w:color="58595B"/>
            </w:tcBorders>
          </w:tcPr>
          <w:p w14:paraId="4FF571B1" w14:textId="77777777" w:rsidR="00D06CB2" w:rsidRPr="005C5E32" w:rsidRDefault="00D06CB2">
            <w:pPr>
              <w:pStyle w:val="TableText"/>
              <w:spacing w:before="40" w:after="40"/>
              <w:jc w:val="right"/>
              <w:rPr>
                <w:rFonts w:cs="Calibri"/>
                <w:szCs w:val="18"/>
              </w:rPr>
            </w:pPr>
            <w:r w:rsidRPr="005C5E32">
              <w:rPr>
                <w:rFonts w:cs="Calibri"/>
                <w:szCs w:val="18"/>
              </w:rPr>
              <w:t>1,429</w:t>
            </w:r>
          </w:p>
        </w:tc>
        <w:tc>
          <w:tcPr>
            <w:tcW w:w="1363" w:type="dxa"/>
            <w:tcBorders>
              <w:top w:val="single" w:sz="4" w:space="0" w:color="000000" w:themeColor="text1"/>
              <w:bottom w:val="single" w:sz="2" w:space="0" w:color="58595B"/>
            </w:tcBorders>
          </w:tcPr>
          <w:p w14:paraId="16177097" w14:textId="77777777" w:rsidR="00D06CB2" w:rsidRPr="005C5E32" w:rsidRDefault="00D06CB2">
            <w:pPr>
              <w:pStyle w:val="TableText"/>
              <w:spacing w:before="40" w:after="40"/>
              <w:jc w:val="right"/>
              <w:rPr>
                <w:rFonts w:cs="Calibri"/>
                <w:szCs w:val="18"/>
              </w:rPr>
            </w:pPr>
            <w:r w:rsidRPr="005C5E32">
              <w:rPr>
                <w:rFonts w:cs="Calibri"/>
                <w:szCs w:val="18"/>
              </w:rPr>
              <w:t>1,843</w:t>
            </w:r>
          </w:p>
        </w:tc>
        <w:tc>
          <w:tcPr>
            <w:tcW w:w="905" w:type="dxa"/>
            <w:tcBorders>
              <w:top w:val="single" w:sz="4" w:space="0" w:color="000000" w:themeColor="text1"/>
              <w:bottom w:val="single" w:sz="2" w:space="0" w:color="58595B"/>
            </w:tcBorders>
          </w:tcPr>
          <w:p w14:paraId="1C4709CE" w14:textId="77777777" w:rsidR="00D06CB2" w:rsidRPr="005C5E32" w:rsidRDefault="00D06CB2">
            <w:pPr>
              <w:pStyle w:val="TableText"/>
              <w:spacing w:before="40" w:after="40"/>
              <w:jc w:val="right"/>
              <w:rPr>
                <w:rFonts w:cs="Calibri"/>
                <w:szCs w:val="18"/>
              </w:rPr>
            </w:pPr>
            <w:r w:rsidRPr="005C5E32">
              <w:rPr>
                <w:rFonts w:cs="Calibri"/>
                <w:szCs w:val="18"/>
              </w:rPr>
              <w:t>6,594</w:t>
            </w:r>
          </w:p>
        </w:tc>
      </w:tr>
      <w:tr w:rsidR="00D06CB2" w:rsidRPr="005C5E32" w14:paraId="723342EF" w14:textId="77777777" w:rsidTr="00D210C6">
        <w:trPr>
          <w:trHeight w:val="20"/>
        </w:trPr>
        <w:tc>
          <w:tcPr>
            <w:tcW w:w="2834" w:type="dxa"/>
            <w:tcBorders>
              <w:top w:val="single" w:sz="2" w:space="0" w:color="58595B"/>
              <w:bottom w:val="single" w:sz="2" w:space="0" w:color="58595B"/>
            </w:tcBorders>
          </w:tcPr>
          <w:p w14:paraId="4E48E6A1" w14:textId="77777777" w:rsidR="00D06CB2" w:rsidRPr="005C5E32" w:rsidRDefault="00D06CB2">
            <w:pPr>
              <w:pStyle w:val="TableText"/>
              <w:spacing w:before="40" w:after="40"/>
              <w:rPr>
                <w:rFonts w:cs="Calibri"/>
                <w:szCs w:val="18"/>
              </w:rPr>
            </w:pPr>
            <w:r w:rsidRPr="005C5E32">
              <w:rPr>
                <w:rFonts w:cs="Calibri"/>
                <w:szCs w:val="18"/>
              </w:rPr>
              <w:t>Add: Closing work in progress</w:t>
            </w:r>
          </w:p>
        </w:tc>
        <w:tc>
          <w:tcPr>
            <w:tcW w:w="1086" w:type="dxa"/>
            <w:tcBorders>
              <w:top w:val="single" w:sz="2" w:space="0" w:color="58595B"/>
              <w:bottom w:val="single" w:sz="2" w:space="0" w:color="58595B"/>
            </w:tcBorders>
          </w:tcPr>
          <w:p w14:paraId="5DC49836" w14:textId="77777777" w:rsidR="00D06CB2" w:rsidRPr="005C5E32" w:rsidRDefault="00D06CB2">
            <w:pPr>
              <w:pStyle w:val="TableText"/>
              <w:spacing w:before="40" w:after="40"/>
              <w:jc w:val="right"/>
              <w:rPr>
                <w:rFonts w:cs="Calibri"/>
                <w:szCs w:val="18"/>
              </w:rPr>
            </w:pPr>
            <w:r w:rsidRPr="005C5E32">
              <w:rPr>
                <w:rFonts w:cs="Calibri"/>
                <w:szCs w:val="18"/>
              </w:rPr>
              <w:t>–</w:t>
            </w:r>
            <w:r w:rsidRPr="005C5E32">
              <w:rPr>
                <w:rFonts w:cs="Calibri"/>
                <w:color w:val="000000" w:themeColor="text1"/>
                <w:szCs w:val="18"/>
              </w:rPr>
              <w:t xml:space="preserve"> </w:t>
            </w:r>
          </w:p>
        </w:tc>
        <w:tc>
          <w:tcPr>
            <w:tcW w:w="1086" w:type="dxa"/>
            <w:tcBorders>
              <w:top w:val="single" w:sz="2" w:space="0" w:color="58595B"/>
              <w:bottom w:val="single" w:sz="2" w:space="0" w:color="58595B"/>
            </w:tcBorders>
          </w:tcPr>
          <w:p w14:paraId="5A1034C5"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231" w:type="dxa"/>
            <w:tcBorders>
              <w:top w:val="single" w:sz="2" w:space="0" w:color="58595B"/>
              <w:bottom w:val="single" w:sz="2" w:space="0" w:color="58595B"/>
            </w:tcBorders>
          </w:tcPr>
          <w:p w14:paraId="3AC54BA6"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363" w:type="dxa"/>
            <w:tcBorders>
              <w:top w:val="single" w:sz="2" w:space="0" w:color="58595B"/>
              <w:bottom w:val="single" w:sz="2" w:space="0" w:color="58595B"/>
            </w:tcBorders>
          </w:tcPr>
          <w:p w14:paraId="3DF3F03A"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905" w:type="dxa"/>
            <w:tcBorders>
              <w:top w:val="single" w:sz="2" w:space="0" w:color="58595B"/>
              <w:bottom w:val="single" w:sz="2" w:space="0" w:color="58595B"/>
            </w:tcBorders>
          </w:tcPr>
          <w:p w14:paraId="5253C181" w14:textId="77777777" w:rsidR="00D06CB2" w:rsidRPr="005C5E32" w:rsidRDefault="00D06CB2">
            <w:pPr>
              <w:pStyle w:val="TableText"/>
              <w:spacing w:before="40" w:after="40"/>
              <w:jc w:val="right"/>
              <w:rPr>
                <w:rFonts w:cs="Calibri"/>
                <w:szCs w:val="18"/>
              </w:rPr>
            </w:pPr>
            <w:r w:rsidRPr="005C5E32">
              <w:rPr>
                <w:rFonts w:cs="Calibri"/>
                <w:szCs w:val="18"/>
              </w:rPr>
              <w:t>–</w:t>
            </w:r>
          </w:p>
        </w:tc>
      </w:tr>
      <w:tr w:rsidR="00D06CB2" w:rsidRPr="005C5E32" w14:paraId="230493F8" w14:textId="77777777" w:rsidTr="00D210C6">
        <w:trPr>
          <w:trHeight w:val="20"/>
        </w:trPr>
        <w:tc>
          <w:tcPr>
            <w:tcW w:w="2834" w:type="dxa"/>
            <w:tcBorders>
              <w:top w:val="single" w:sz="2" w:space="0" w:color="58595B"/>
              <w:bottom w:val="single" w:sz="4" w:space="0" w:color="000000" w:themeColor="text1"/>
            </w:tcBorders>
          </w:tcPr>
          <w:p w14:paraId="339BB932" w14:textId="77777777" w:rsidR="00D06CB2" w:rsidRPr="005C5E32" w:rsidRDefault="00D06CB2">
            <w:pPr>
              <w:pStyle w:val="TableText"/>
              <w:spacing w:before="40" w:after="40"/>
              <w:rPr>
                <w:rFonts w:cs="Calibri"/>
                <w:szCs w:val="18"/>
              </w:rPr>
            </w:pPr>
            <w:r w:rsidRPr="005C5E32">
              <w:rPr>
                <w:rFonts w:cs="Calibri"/>
                <w:szCs w:val="18"/>
              </w:rPr>
              <w:t>Less: Opening work in progress</w:t>
            </w:r>
          </w:p>
        </w:tc>
        <w:tc>
          <w:tcPr>
            <w:tcW w:w="1086" w:type="dxa"/>
            <w:tcBorders>
              <w:top w:val="single" w:sz="2" w:space="0" w:color="58595B"/>
              <w:bottom w:val="single" w:sz="4" w:space="0" w:color="000000" w:themeColor="text1"/>
            </w:tcBorders>
          </w:tcPr>
          <w:p w14:paraId="781C7C11" w14:textId="77777777" w:rsidR="00D06CB2" w:rsidRPr="00301CBE" w:rsidRDefault="00D06CB2">
            <w:pPr>
              <w:pStyle w:val="TableText"/>
              <w:spacing w:before="40" w:after="40"/>
              <w:jc w:val="right"/>
              <w:rPr>
                <w:rFonts w:cs="Calibri"/>
                <w:szCs w:val="18"/>
              </w:rPr>
            </w:pPr>
            <w:r w:rsidRPr="0003016A">
              <w:rPr>
                <w:rFonts w:cs="Calibri"/>
                <w:szCs w:val="18"/>
              </w:rPr>
              <w:t>8</w:t>
            </w:r>
          </w:p>
        </w:tc>
        <w:tc>
          <w:tcPr>
            <w:tcW w:w="1086" w:type="dxa"/>
            <w:tcBorders>
              <w:top w:val="single" w:sz="2" w:space="0" w:color="58595B"/>
              <w:bottom w:val="single" w:sz="4" w:space="0" w:color="000000" w:themeColor="text1"/>
            </w:tcBorders>
          </w:tcPr>
          <w:p w14:paraId="77D08E42" w14:textId="77777777" w:rsidR="00D06CB2" w:rsidRPr="0003016A" w:rsidRDefault="00D06CB2">
            <w:pPr>
              <w:pStyle w:val="TableText"/>
              <w:spacing w:before="40" w:after="40"/>
              <w:jc w:val="right"/>
              <w:rPr>
                <w:rFonts w:cs="Calibri"/>
                <w:szCs w:val="18"/>
              </w:rPr>
            </w:pPr>
            <w:r w:rsidRPr="0003016A">
              <w:rPr>
                <w:rFonts w:cs="Calibri"/>
                <w:szCs w:val="18"/>
              </w:rPr>
              <w:t>–</w:t>
            </w:r>
          </w:p>
        </w:tc>
        <w:tc>
          <w:tcPr>
            <w:tcW w:w="1231" w:type="dxa"/>
            <w:tcBorders>
              <w:top w:val="single" w:sz="2" w:space="0" w:color="58595B"/>
              <w:bottom w:val="single" w:sz="4" w:space="0" w:color="000000" w:themeColor="text1"/>
            </w:tcBorders>
          </w:tcPr>
          <w:p w14:paraId="16EE845F"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363" w:type="dxa"/>
            <w:tcBorders>
              <w:top w:val="single" w:sz="2" w:space="0" w:color="58595B"/>
              <w:bottom w:val="single" w:sz="4" w:space="0" w:color="000000" w:themeColor="text1"/>
            </w:tcBorders>
          </w:tcPr>
          <w:p w14:paraId="5758F6DE"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905" w:type="dxa"/>
            <w:tcBorders>
              <w:top w:val="single" w:sz="2" w:space="0" w:color="58595B"/>
              <w:bottom w:val="single" w:sz="4" w:space="0" w:color="000000" w:themeColor="text1"/>
            </w:tcBorders>
          </w:tcPr>
          <w:p w14:paraId="0B0391FF" w14:textId="77777777" w:rsidR="00D06CB2" w:rsidRPr="005C5E32" w:rsidRDefault="00D06CB2">
            <w:pPr>
              <w:pStyle w:val="TableText"/>
              <w:spacing w:before="40" w:after="40"/>
              <w:jc w:val="right"/>
              <w:rPr>
                <w:rFonts w:cs="Calibri"/>
                <w:szCs w:val="18"/>
              </w:rPr>
            </w:pPr>
            <w:r w:rsidRPr="005C5E32">
              <w:rPr>
                <w:rFonts w:cs="Calibri"/>
                <w:szCs w:val="18"/>
              </w:rPr>
              <w:t xml:space="preserve"> 8 </w:t>
            </w:r>
          </w:p>
        </w:tc>
      </w:tr>
      <w:tr w:rsidR="00D06CB2" w:rsidRPr="005C5E32" w14:paraId="6CF70F5B" w14:textId="77777777" w:rsidTr="00D210C6">
        <w:trPr>
          <w:trHeight w:val="20"/>
        </w:trPr>
        <w:tc>
          <w:tcPr>
            <w:tcW w:w="2834" w:type="dxa"/>
            <w:tcBorders>
              <w:top w:val="single" w:sz="4" w:space="0" w:color="000000" w:themeColor="text1"/>
              <w:bottom w:val="single" w:sz="4" w:space="0" w:color="000000" w:themeColor="text1"/>
            </w:tcBorders>
          </w:tcPr>
          <w:p w14:paraId="01AD4AA5" w14:textId="77777777" w:rsidR="00D06CB2" w:rsidRPr="00064AD6" w:rsidRDefault="00D06CB2">
            <w:pPr>
              <w:pStyle w:val="TableText"/>
              <w:spacing w:before="40" w:after="40"/>
              <w:rPr>
                <w:rFonts w:cs="Calibri"/>
                <w:b/>
                <w:szCs w:val="18"/>
              </w:rPr>
            </w:pPr>
            <w:r w:rsidRPr="00064AD6">
              <w:rPr>
                <w:rFonts w:cs="Calibri"/>
                <w:b/>
                <w:szCs w:val="18"/>
              </w:rPr>
              <w:t>Balance as at 30 June 2026</w:t>
            </w:r>
          </w:p>
        </w:tc>
        <w:tc>
          <w:tcPr>
            <w:tcW w:w="1086" w:type="dxa"/>
            <w:tcBorders>
              <w:top w:val="single" w:sz="4" w:space="0" w:color="000000" w:themeColor="text1"/>
              <w:bottom w:val="single" w:sz="4" w:space="0" w:color="000000" w:themeColor="text1"/>
            </w:tcBorders>
          </w:tcPr>
          <w:p w14:paraId="70153C3C" w14:textId="1E74CE24" w:rsidR="00D06CB2" w:rsidRPr="00064AD6" w:rsidRDefault="00D06CB2">
            <w:pPr>
              <w:pStyle w:val="TableText"/>
              <w:spacing w:before="40" w:after="40"/>
              <w:jc w:val="right"/>
              <w:rPr>
                <w:rFonts w:cs="Calibri"/>
                <w:b/>
                <w:szCs w:val="18"/>
              </w:rPr>
            </w:pPr>
            <w:r w:rsidRPr="00064AD6">
              <w:rPr>
                <w:rFonts w:cs="Calibri"/>
                <w:b/>
                <w:szCs w:val="18"/>
              </w:rPr>
              <w:t>3,305</w:t>
            </w:r>
          </w:p>
        </w:tc>
        <w:tc>
          <w:tcPr>
            <w:tcW w:w="1086" w:type="dxa"/>
            <w:tcBorders>
              <w:top w:val="single" w:sz="4" w:space="0" w:color="000000" w:themeColor="text1"/>
              <w:bottom w:val="single" w:sz="4" w:space="0" w:color="000000" w:themeColor="text1"/>
            </w:tcBorders>
          </w:tcPr>
          <w:p w14:paraId="79B4AEA6" w14:textId="77777777" w:rsidR="00D06CB2" w:rsidRPr="00064AD6" w:rsidRDefault="00D06CB2">
            <w:pPr>
              <w:pStyle w:val="TableText"/>
              <w:spacing w:before="40" w:after="40"/>
              <w:jc w:val="right"/>
              <w:rPr>
                <w:rFonts w:cs="Calibri"/>
                <w:b/>
                <w:szCs w:val="18"/>
              </w:rPr>
            </w:pPr>
            <w:r w:rsidRPr="00064AD6">
              <w:rPr>
                <w:rFonts w:cs="Calibri"/>
                <w:b/>
                <w:szCs w:val="18"/>
              </w:rPr>
              <w:t>25</w:t>
            </w:r>
          </w:p>
        </w:tc>
        <w:tc>
          <w:tcPr>
            <w:tcW w:w="1231" w:type="dxa"/>
            <w:tcBorders>
              <w:top w:val="single" w:sz="4" w:space="0" w:color="000000" w:themeColor="text1"/>
              <w:bottom w:val="single" w:sz="4" w:space="0" w:color="000000" w:themeColor="text1"/>
            </w:tcBorders>
          </w:tcPr>
          <w:p w14:paraId="239D19F5" w14:textId="77777777" w:rsidR="00D06CB2" w:rsidRPr="00064AD6" w:rsidRDefault="00D06CB2">
            <w:pPr>
              <w:pStyle w:val="TableText"/>
              <w:spacing w:before="40" w:after="40"/>
              <w:jc w:val="right"/>
              <w:rPr>
                <w:rFonts w:cs="Calibri"/>
                <w:b/>
                <w:szCs w:val="18"/>
              </w:rPr>
            </w:pPr>
            <w:r w:rsidRPr="00064AD6">
              <w:rPr>
                <w:rFonts w:cs="Calibri"/>
                <w:b/>
                <w:szCs w:val="18"/>
              </w:rPr>
              <w:t>1,429</w:t>
            </w:r>
          </w:p>
        </w:tc>
        <w:tc>
          <w:tcPr>
            <w:tcW w:w="1363" w:type="dxa"/>
            <w:tcBorders>
              <w:top w:val="single" w:sz="4" w:space="0" w:color="000000" w:themeColor="text1"/>
              <w:bottom w:val="single" w:sz="4" w:space="0" w:color="000000" w:themeColor="text1"/>
            </w:tcBorders>
          </w:tcPr>
          <w:p w14:paraId="5CF98506" w14:textId="77777777" w:rsidR="00D06CB2" w:rsidRPr="00064AD6" w:rsidRDefault="00D06CB2">
            <w:pPr>
              <w:pStyle w:val="TableText"/>
              <w:spacing w:before="40" w:after="40"/>
              <w:jc w:val="right"/>
              <w:rPr>
                <w:rFonts w:cs="Calibri"/>
                <w:b/>
                <w:szCs w:val="18"/>
              </w:rPr>
            </w:pPr>
            <w:r w:rsidRPr="00064AD6">
              <w:rPr>
                <w:rFonts w:cs="Calibri"/>
                <w:b/>
                <w:szCs w:val="18"/>
              </w:rPr>
              <w:t>1,843</w:t>
            </w:r>
          </w:p>
        </w:tc>
        <w:tc>
          <w:tcPr>
            <w:tcW w:w="905" w:type="dxa"/>
            <w:tcBorders>
              <w:top w:val="single" w:sz="4" w:space="0" w:color="000000" w:themeColor="text1"/>
              <w:bottom w:val="single" w:sz="4" w:space="0" w:color="000000" w:themeColor="text1"/>
            </w:tcBorders>
          </w:tcPr>
          <w:p w14:paraId="6B7119C8" w14:textId="77777777" w:rsidR="00D06CB2" w:rsidRPr="00064AD6" w:rsidRDefault="00D06CB2">
            <w:pPr>
              <w:pStyle w:val="TableText"/>
              <w:spacing w:before="40" w:after="40"/>
              <w:jc w:val="right"/>
              <w:rPr>
                <w:rFonts w:cs="Calibri"/>
                <w:b/>
                <w:szCs w:val="18"/>
              </w:rPr>
            </w:pPr>
            <w:r w:rsidRPr="00064AD6">
              <w:rPr>
                <w:rFonts w:cs="Calibri"/>
                <w:b/>
                <w:szCs w:val="18"/>
              </w:rPr>
              <w:t>6,602</w:t>
            </w:r>
          </w:p>
        </w:tc>
      </w:tr>
      <w:tr w:rsidR="00D06CB2" w:rsidRPr="005C5E32" w14:paraId="522FB9FA" w14:textId="77777777" w:rsidTr="00D210C6">
        <w:trPr>
          <w:trHeight w:val="20"/>
        </w:trPr>
        <w:tc>
          <w:tcPr>
            <w:tcW w:w="2834" w:type="dxa"/>
            <w:tcBorders>
              <w:top w:val="single" w:sz="4" w:space="0" w:color="000000" w:themeColor="text1"/>
            </w:tcBorders>
          </w:tcPr>
          <w:p w14:paraId="5D150015" w14:textId="77777777" w:rsidR="00D06CB2" w:rsidRPr="005C5E32" w:rsidRDefault="00D06CB2" w:rsidP="00E61E3A">
            <w:pPr>
              <w:pStyle w:val="TableboldGreen"/>
              <w:keepNext/>
              <w:spacing w:before="40" w:after="0"/>
              <w:rPr>
                <w:rFonts w:cs="Calibri"/>
                <w:szCs w:val="18"/>
              </w:rPr>
            </w:pPr>
            <w:r w:rsidRPr="005C5E32">
              <w:rPr>
                <w:rFonts w:cs="Calibri"/>
                <w:szCs w:val="18"/>
              </w:rPr>
              <w:t>Accumulated amortisation and impairment losses</w:t>
            </w:r>
          </w:p>
        </w:tc>
        <w:tc>
          <w:tcPr>
            <w:tcW w:w="1086" w:type="dxa"/>
            <w:tcBorders>
              <w:top w:val="single" w:sz="4" w:space="0" w:color="000000" w:themeColor="text1"/>
            </w:tcBorders>
          </w:tcPr>
          <w:p w14:paraId="09B1005F" w14:textId="77777777" w:rsidR="00D06CB2" w:rsidRPr="005C5E32" w:rsidRDefault="00D06CB2">
            <w:pPr>
              <w:pStyle w:val="TableText"/>
              <w:spacing w:before="40" w:after="40"/>
              <w:jc w:val="right"/>
              <w:rPr>
                <w:rFonts w:cs="Calibri"/>
                <w:szCs w:val="18"/>
              </w:rPr>
            </w:pPr>
          </w:p>
        </w:tc>
        <w:tc>
          <w:tcPr>
            <w:tcW w:w="1086" w:type="dxa"/>
            <w:tcBorders>
              <w:top w:val="single" w:sz="4" w:space="0" w:color="000000" w:themeColor="text1"/>
            </w:tcBorders>
          </w:tcPr>
          <w:p w14:paraId="6667EEB6" w14:textId="77777777" w:rsidR="00D06CB2" w:rsidRPr="005C5E32" w:rsidRDefault="00D06CB2">
            <w:pPr>
              <w:pStyle w:val="TableText"/>
              <w:spacing w:before="40" w:after="40"/>
              <w:jc w:val="right"/>
              <w:rPr>
                <w:rFonts w:cs="Calibri"/>
                <w:szCs w:val="18"/>
              </w:rPr>
            </w:pPr>
          </w:p>
        </w:tc>
        <w:tc>
          <w:tcPr>
            <w:tcW w:w="1231" w:type="dxa"/>
            <w:tcBorders>
              <w:top w:val="single" w:sz="4" w:space="0" w:color="000000" w:themeColor="text1"/>
            </w:tcBorders>
          </w:tcPr>
          <w:p w14:paraId="3C3DB0C8" w14:textId="77777777" w:rsidR="00D06CB2" w:rsidRPr="005C5E32" w:rsidRDefault="00D06CB2">
            <w:pPr>
              <w:pStyle w:val="TableText"/>
              <w:spacing w:before="40" w:after="40"/>
              <w:jc w:val="right"/>
              <w:rPr>
                <w:rFonts w:cs="Calibri"/>
                <w:szCs w:val="18"/>
              </w:rPr>
            </w:pPr>
          </w:p>
        </w:tc>
        <w:tc>
          <w:tcPr>
            <w:tcW w:w="1363" w:type="dxa"/>
            <w:tcBorders>
              <w:top w:val="single" w:sz="4" w:space="0" w:color="000000" w:themeColor="text1"/>
            </w:tcBorders>
          </w:tcPr>
          <w:p w14:paraId="25B3BB61" w14:textId="77777777" w:rsidR="00D06CB2" w:rsidRPr="005C5E32" w:rsidRDefault="00D06CB2">
            <w:pPr>
              <w:pStyle w:val="TableText"/>
              <w:spacing w:before="40" w:after="40"/>
              <w:jc w:val="right"/>
              <w:rPr>
                <w:rFonts w:cs="Calibri"/>
                <w:szCs w:val="18"/>
              </w:rPr>
            </w:pPr>
          </w:p>
        </w:tc>
        <w:tc>
          <w:tcPr>
            <w:tcW w:w="905" w:type="dxa"/>
            <w:tcBorders>
              <w:top w:val="single" w:sz="4" w:space="0" w:color="000000" w:themeColor="text1"/>
            </w:tcBorders>
          </w:tcPr>
          <w:p w14:paraId="7B284017" w14:textId="77777777" w:rsidR="00D06CB2" w:rsidRPr="005C5E32" w:rsidRDefault="00D06CB2">
            <w:pPr>
              <w:pStyle w:val="TableText"/>
              <w:spacing w:before="40" w:after="40"/>
              <w:jc w:val="right"/>
              <w:rPr>
                <w:rFonts w:cs="Calibri"/>
                <w:szCs w:val="18"/>
              </w:rPr>
            </w:pPr>
          </w:p>
        </w:tc>
      </w:tr>
      <w:tr w:rsidR="00D06CB2" w:rsidRPr="005C5E32" w14:paraId="7BAD6AD5" w14:textId="77777777" w:rsidTr="00D210C6">
        <w:trPr>
          <w:trHeight w:val="20"/>
        </w:trPr>
        <w:tc>
          <w:tcPr>
            <w:tcW w:w="2834" w:type="dxa"/>
            <w:tcBorders>
              <w:bottom w:val="single" w:sz="2" w:space="0" w:color="58595B"/>
            </w:tcBorders>
          </w:tcPr>
          <w:p w14:paraId="0BFE7CF9" w14:textId="77777777" w:rsidR="00D06CB2" w:rsidRPr="005C5E32" w:rsidRDefault="00D06CB2">
            <w:pPr>
              <w:pStyle w:val="TableTextbold"/>
              <w:spacing w:before="40" w:after="40"/>
              <w:rPr>
                <w:rFonts w:cs="Calibri"/>
                <w:szCs w:val="18"/>
              </w:rPr>
            </w:pPr>
            <w:r w:rsidRPr="005C5E32">
              <w:rPr>
                <w:rFonts w:cs="Calibri"/>
                <w:szCs w:val="18"/>
              </w:rPr>
              <w:t>Balance as at 1 July 2024</w:t>
            </w:r>
          </w:p>
        </w:tc>
        <w:tc>
          <w:tcPr>
            <w:tcW w:w="1086" w:type="dxa"/>
            <w:tcBorders>
              <w:bottom w:val="single" w:sz="2" w:space="0" w:color="58595B"/>
            </w:tcBorders>
          </w:tcPr>
          <w:p w14:paraId="3D0D0512" w14:textId="77777777" w:rsidR="00D06CB2" w:rsidRPr="005C5E32" w:rsidRDefault="00D06CB2">
            <w:pPr>
              <w:pStyle w:val="TableTextbold"/>
              <w:spacing w:before="40" w:after="40"/>
              <w:jc w:val="right"/>
              <w:rPr>
                <w:rFonts w:cs="Calibri"/>
                <w:szCs w:val="18"/>
              </w:rPr>
            </w:pPr>
            <w:r w:rsidRPr="005C5E32">
              <w:rPr>
                <w:rFonts w:cs="Calibri"/>
                <w:szCs w:val="18"/>
              </w:rPr>
              <w:t>3,183</w:t>
            </w:r>
          </w:p>
        </w:tc>
        <w:tc>
          <w:tcPr>
            <w:tcW w:w="1086" w:type="dxa"/>
            <w:tcBorders>
              <w:bottom w:val="single" w:sz="2" w:space="0" w:color="58595B"/>
            </w:tcBorders>
          </w:tcPr>
          <w:p w14:paraId="37884840" w14:textId="77777777" w:rsidR="00D06CB2" w:rsidRPr="005C5E32" w:rsidRDefault="00D06CB2">
            <w:pPr>
              <w:pStyle w:val="TableTextbold"/>
              <w:spacing w:before="40" w:after="40"/>
              <w:jc w:val="right"/>
              <w:rPr>
                <w:rFonts w:cs="Calibri"/>
                <w:szCs w:val="18"/>
              </w:rPr>
            </w:pPr>
            <w:r w:rsidRPr="005C5E32" w:rsidDel="004837AF">
              <w:rPr>
                <w:rFonts w:cs="Calibri"/>
                <w:szCs w:val="18"/>
              </w:rPr>
              <w:t>25</w:t>
            </w:r>
          </w:p>
        </w:tc>
        <w:tc>
          <w:tcPr>
            <w:tcW w:w="1231" w:type="dxa"/>
            <w:tcBorders>
              <w:bottom w:val="single" w:sz="2" w:space="0" w:color="58595B"/>
            </w:tcBorders>
          </w:tcPr>
          <w:p w14:paraId="02488862" w14:textId="77777777" w:rsidR="00D06CB2" w:rsidRPr="005C5E32" w:rsidRDefault="00D06CB2">
            <w:pPr>
              <w:pStyle w:val="TableTextbold"/>
              <w:spacing w:before="40" w:after="40"/>
              <w:jc w:val="right"/>
              <w:rPr>
                <w:rFonts w:cs="Calibri"/>
                <w:szCs w:val="18"/>
              </w:rPr>
            </w:pPr>
            <w:r w:rsidRPr="005C5E32">
              <w:rPr>
                <w:rFonts w:cs="Calibri"/>
                <w:szCs w:val="18"/>
              </w:rPr>
              <w:t>1,429</w:t>
            </w:r>
          </w:p>
        </w:tc>
        <w:tc>
          <w:tcPr>
            <w:tcW w:w="1363" w:type="dxa"/>
            <w:tcBorders>
              <w:bottom w:val="single" w:sz="2" w:space="0" w:color="58595B"/>
            </w:tcBorders>
          </w:tcPr>
          <w:p w14:paraId="33A4D5DE" w14:textId="77777777" w:rsidR="00D06CB2" w:rsidRPr="005C5E32" w:rsidRDefault="00D06CB2">
            <w:pPr>
              <w:pStyle w:val="TableTextbold"/>
              <w:spacing w:before="40" w:after="40"/>
              <w:jc w:val="right"/>
              <w:rPr>
                <w:rFonts w:cs="Calibri"/>
                <w:szCs w:val="18"/>
              </w:rPr>
            </w:pPr>
            <w:r w:rsidRPr="005C5E32" w:rsidDel="00817ED1">
              <w:rPr>
                <w:rFonts w:cs="Calibri"/>
                <w:szCs w:val="18"/>
              </w:rPr>
              <w:t>1,843</w:t>
            </w:r>
          </w:p>
        </w:tc>
        <w:tc>
          <w:tcPr>
            <w:tcW w:w="905" w:type="dxa"/>
            <w:tcBorders>
              <w:bottom w:val="single" w:sz="2" w:space="0" w:color="58595B"/>
            </w:tcBorders>
          </w:tcPr>
          <w:p w14:paraId="55AD7D51" w14:textId="77777777" w:rsidR="00D06CB2" w:rsidRPr="005C5E32" w:rsidRDefault="00D06CB2">
            <w:pPr>
              <w:pStyle w:val="TableTextbold"/>
              <w:spacing w:before="40" w:after="40"/>
              <w:jc w:val="right"/>
              <w:rPr>
                <w:rFonts w:cs="Calibri"/>
                <w:szCs w:val="18"/>
              </w:rPr>
            </w:pPr>
            <w:r w:rsidRPr="005C5E32">
              <w:rPr>
                <w:rFonts w:cs="Calibri"/>
                <w:szCs w:val="18"/>
              </w:rPr>
              <w:t>6,480</w:t>
            </w:r>
          </w:p>
        </w:tc>
      </w:tr>
      <w:tr w:rsidR="00D06CB2" w:rsidRPr="005C5E32" w14:paraId="21216E18" w14:textId="77777777" w:rsidTr="00D210C6">
        <w:trPr>
          <w:trHeight w:val="20"/>
        </w:trPr>
        <w:tc>
          <w:tcPr>
            <w:tcW w:w="2834" w:type="dxa"/>
            <w:tcBorders>
              <w:top w:val="single" w:sz="2" w:space="0" w:color="58595B"/>
              <w:bottom w:val="single" w:sz="4" w:space="0" w:color="000000" w:themeColor="text1"/>
            </w:tcBorders>
          </w:tcPr>
          <w:p w14:paraId="46E8687C" w14:textId="77777777" w:rsidR="00D06CB2" w:rsidRPr="005C5E32" w:rsidRDefault="00D06CB2">
            <w:pPr>
              <w:pStyle w:val="TableText"/>
              <w:spacing w:before="40" w:after="40"/>
              <w:rPr>
                <w:rFonts w:cs="Calibri"/>
                <w:szCs w:val="18"/>
              </w:rPr>
            </w:pPr>
            <w:r w:rsidRPr="005C5E32">
              <w:rPr>
                <w:rFonts w:cs="Calibri"/>
                <w:szCs w:val="18"/>
              </w:rPr>
              <w:t>Amortisation expense</w:t>
            </w:r>
          </w:p>
        </w:tc>
        <w:tc>
          <w:tcPr>
            <w:tcW w:w="1086" w:type="dxa"/>
            <w:tcBorders>
              <w:top w:val="single" w:sz="2" w:space="0" w:color="58595B"/>
              <w:bottom w:val="single" w:sz="4" w:space="0" w:color="000000" w:themeColor="text1"/>
            </w:tcBorders>
          </w:tcPr>
          <w:p w14:paraId="5CFD47AB" w14:textId="77777777" w:rsidR="00D06CB2" w:rsidRPr="005C5E32" w:rsidRDefault="00D06CB2">
            <w:pPr>
              <w:pStyle w:val="TableText"/>
              <w:spacing w:before="40" w:after="0"/>
              <w:jc w:val="right"/>
              <w:rPr>
                <w:rFonts w:cs="Calibri"/>
                <w:szCs w:val="18"/>
              </w:rPr>
            </w:pPr>
            <w:r w:rsidRPr="005C5E32">
              <w:rPr>
                <w:rFonts w:cs="Calibri"/>
                <w:szCs w:val="18"/>
              </w:rPr>
              <w:t>102</w:t>
            </w:r>
          </w:p>
        </w:tc>
        <w:tc>
          <w:tcPr>
            <w:tcW w:w="1086" w:type="dxa"/>
            <w:tcBorders>
              <w:top w:val="single" w:sz="2" w:space="0" w:color="58595B"/>
              <w:bottom w:val="single" w:sz="4" w:space="0" w:color="000000" w:themeColor="text1"/>
            </w:tcBorders>
          </w:tcPr>
          <w:p w14:paraId="7BB3572A" w14:textId="77777777" w:rsidR="00D06CB2" w:rsidRPr="005C5E32" w:rsidRDefault="00D06CB2">
            <w:pPr>
              <w:pStyle w:val="TableText"/>
              <w:spacing w:before="40" w:after="0"/>
              <w:jc w:val="right"/>
              <w:rPr>
                <w:rFonts w:cs="Calibri"/>
                <w:szCs w:val="18"/>
              </w:rPr>
            </w:pPr>
            <w:r w:rsidRPr="005C5E32">
              <w:rPr>
                <w:rFonts w:cs="Calibri"/>
                <w:szCs w:val="18"/>
              </w:rPr>
              <w:t>–</w:t>
            </w:r>
          </w:p>
        </w:tc>
        <w:tc>
          <w:tcPr>
            <w:tcW w:w="1231" w:type="dxa"/>
            <w:tcBorders>
              <w:top w:val="single" w:sz="2" w:space="0" w:color="58595B"/>
              <w:bottom w:val="single" w:sz="4" w:space="0" w:color="000000" w:themeColor="text1"/>
            </w:tcBorders>
          </w:tcPr>
          <w:p w14:paraId="2A23E39D" w14:textId="77777777" w:rsidR="00D06CB2" w:rsidRPr="005C5E32" w:rsidRDefault="00D06CB2">
            <w:pPr>
              <w:pStyle w:val="TableText"/>
              <w:spacing w:before="40" w:after="0"/>
              <w:jc w:val="right"/>
              <w:rPr>
                <w:rFonts w:cs="Calibri"/>
                <w:szCs w:val="18"/>
              </w:rPr>
            </w:pPr>
            <w:r w:rsidRPr="005C5E32">
              <w:rPr>
                <w:rFonts w:cs="Calibri"/>
                <w:szCs w:val="18"/>
              </w:rPr>
              <w:t>–</w:t>
            </w:r>
          </w:p>
        </w:tc>
        <w:tc>
          <w:tcPr>
            <w:tcW w:w="1363" w:type="dxa"/>
            <w:tcBorders>
              <w:top w:val="single" w:sz="2" w:space="0" w:color="58595B"/>
              <w:bottom w:val="single" w:sz="4" w:space="0" w:color="000000" w:themeColor="text1"/>
            </w:tcBorders>
          </w:tcPr>
          <w:p w14:paraId="3DDFD387" w14:textId="77777777" w:rsidR="00D06CB2" w:rsidRPr="005C5E32" w:rsidRDefault="00D06CB2">
            <w:pPr>
              <w:pStyle w:val="TableText"/>
              <w:spacing w:before="40" w:after="0"/>
              <w:jc w:val="right"/>
              <w:rPr>
                <w:rFonts w:cs="Calibri"/>
                <w:szCs w:val="18"/>
              </w:rPr>
            </w:pPr>
            <w:r w:rsidRPr="005C5E32">
              <w:rPr>
                <w:rFonts w:cs="Calibri"/>
                <w:szCs w:val="18"/>
              </w:rPr>
              <w:t>–</w:t>
            </w:r>
          </w:p>
        </w:tc>
        <w:tc>
          <w:tcPr>
            <w:tcW w:w="905" w:type="dxa"/>
            <w:tcBorders>
              <w:top w:val="single" w:sz="2" w:space="0" w:color="58595B"/>
              <w:bottom w:val="single" w:sz="4" w:space="0" w:color="000000" w:themeColor="text1"/>
            </w:tcBorders>
          </w:tcPr>
          <w:p w14:paraId="4EC2C58C" w14:textId="77777777" w:rsidR="00D06CB2" w:rsidRPr="005C5E32" w:rsidRDefault="00D06CB2">
            <w:pPr>
              <w:pStyle w:val="TableText"/>
              <w:spacing w:before="40" w:after="0"/>
              <w:jc w:val="right"/>
              <w:rPr>
                <w:rFonts w:cs="Calibri"/>
                <w:szCs w:val="18"/>
              </w:rPr>
            </w:pPr>
            <w:r w:rsidRPr="005C5E32">
              <w:rPr>
                <w:rFonts w:cs="Calibri"/>
                <w:szCs w:val="18"/>
              </w:rPr>
              <w:t>102</w:t>
            </w:r>
          </w:p>
        </w:tc>
      </w:tr>
      <w:tr w:rsidR="00D06CB2" w:rsidRPr="005C5E32" w14:paraId="3B6B697A" w14:textId="77777777" w:rsidTr="00D210C6">
        <w:trPr>
          <w:trHeight w:val="20"/>
        </w:trPr>
        <w:tc>
          <w:tcPr>
            <w:tcW w:w="2834" w:type="dxa"/>
            <w:tcBorders>
              <w:top w:val="single" w:sz="4" w:space="0" w:color="000000" w:themeColor="text1"/>
              <w:bottom w:val="single" w:sz="4" w:space="0" w:color="000000" w:themeColor="text1"/>
            </w:tcBorders>
          </w:tcPr>
          <w:p w14:paraId="1A894738" w14:textId="77777777" w:rsidR="00D06CB2" w:rsidRPr="005C5E32" w:rsidRDefault="00D06CB2">
            <w:pPr>
              <w:pStyle w:val="TableText"/>
              <w:spacing w:before="40" w:after="40"/>
              <w:rPr>
                <w:rFonts w:cs="Calibri"/>
                <w:szCs w:val="18"/>
              </w:rPr>
            </w:pPr>
            <w:r w:rsidRPr="005C5E32">
              <w:rPr>
                <w:rFonts w:cs="Calibri"/>
                <w:szCs w:val="18"/>
              </w:rPr>
              <w:t xml:space="preserve">Balance adjustment </w:t>
            </w:r>
          </w:p>
        </w:tc>
        <w:tc>
          <w:tcPr>
            <w:tcW w:w="1086" w:type="dxa"/>
            <w:tcBorders>
              <w:top w:val="single" w:sz="4" w:space="0" w:color="000000" w:themeColor="text1"/>
              <w:bottom w:val="single" w:sz="4" w:space="0" w:color="000000" w:themeColor="text1"/>
            </w:tcBorders>
          </w:tcPr>
          <w:p w14:paraId="1F7DE12C" w14:textId="77777777" w:rsidR="00D06CB2" w:rsidRPr="005C5E32" w:rsidRDefault="00D06CB2">
            <w:pPr>
              <w:pStyle w:val="TableText"/>
              <w:spacing w:before="40" w:after="40"/>
              <w:jc w:val="right"/>
              <w:rPr>
                <w:rFonts w:cs="Calibri"/>
                <w:szCs w:val="18"/>
              </w:rPr>
            </w:pPr>
            <w:r w:rsidRPr="005C5E32">
              <w:rPr>
                <w:rFonts w:cs="Calibri"/>
                <w:szCs w:val="18"/>
              </w:rPr>
              <w:t>2</w:t>
            </w:r>
          </w:p>
        </w:tc>
        <w:tc>
          <w:tcPr>
            <w:tcW w:w="1086" w:type="dxa"/>
            <w:tcBorders>
              <w:top w:val="single" w:sz="4" w:space="0" w:color="000000" w:themeColor="text1"/>
              <w:bottom w:val="single" w:sz="4" w:space="0" w:color="000000" w:themeColor="text1"/>
            </w:tcBorders>
          </w:tcPr>
          <w:p w14:paraId="3B3426CF" w14:textId="77777777" w:rsidR="00D06CB2" w:rsidRPr="005C5E32" w:rsidRDefault="00D06CB2">
            <w:pPr>
              <w:pStyle w:val="TableText"/>
              <w:spacing w:before="40" w:after="40"/>
              <w:jc w:val="right"/>
              <w:rPr>
                <w:rFonts w:cs="Calibri"/>
                <w:szCs w:val="18"/>
              </w:rPr>
            </w:pPr>
            <w:r w:rsidRPr="005C5E32">
              <w:t>–</w:t>
            </w:r>
          </w:p>
        </w:tc>
        <w:tc>
          <w:tcPr>
            <w:tcW w:w="1231" w:type="dxa"/>
            <w:tcBorders>
              <w:top w:val="single" w:sz="4" w:space="0" w:color="000000" w:themeColor="text1"/>
              <w:bottom w:val="single" w:sz="4" w:space="0" w:color="000000" w:themeColor="text1"/>
            </w:tcBorders>
          </w:tcPr>
          <w:p w14:paraId="5AC19429" w14:textId="77777777" w:rsidR="00D06CB2" w:rsidRPr="005C5E32" w:rsidRDefault="00D06CB2">
            <w:pPr>
              <w:pStyle w:val="TableText"/>
              <w:spacing w:before="40" w:after="40"/>
              <w:jc w:val="right"/>
              <w:rPr>
                <w:rFonts w:cs="Calibri"/>
                <w:szCs w:val="18"/>
              </w:rPr>
            </w:pPr>
            <w:r w:rsidRPr="005C5E32">
              <w:t>–</w:t>
            </w:r>
          </w:p>
        </w:tc>
        <w:tc>
          <w:tcPr>
            <w:tcW w:w="1363" w:type="dxa"/>
            <w:tcBorders>
              <w:top w:val="single" w:sz="4" w:space="0" w:color="000000" w:themeColor="text1"/>
              <w:bottom w:val="single" w:sz="4" w:space="0" w:color="000000" w:themeColor="text1"/>
            </w:tcBorders>
          </w:tcPr>
          <w:p w14:paraId="4F5DD53D" w14:textId="77777777" w:rsidR="00D06CB2" w:rsidRPr="005C5E32" w:rsidRDefault="00D06CB2">
            <w:pPr>
              <w:pStyle w:val="TableText"/>
              <w:spacing w:before="40" w:after="40"/>
              <w:jc w:val="right"/>
              <w:rPr>
                <w:rFonts w:cs="Calibri"/>
                <w:szCs w:val="18"/>
              </w:rPr>
            </w:pPr>
            <w:r w:rsidRPr="005C5E32">
              <w:t>–</w:t>
            </w:r>
          </w:p>
        </w:tc>
        <w:tc>
          <w:tcPr>
            <w:tcW w:w="905" w:type="dxa"/>
            <w:tcBorders>
              <w:top w:val="single" w:sz="4" w:space="0" w:color="000000" w:themeColor="text1"/>
              <w:bottom w:val="single" w:sz="4" w:space="0" w:color="000000" w:themeColor="text1"/>
            </w:tcBorders>
          </w:tcPr>
          <w:p w14:paraId="5DCA7806" w14:textId="77777777" w:rsidR="00D06CB2" w:rsidRPr="005C5E32" w:rsidRDefault="00D06CB2">
            <w:pPr>
              <w:pStyle w:val="TableText"/>
              <w:spacing w:before="40" w:after="40"/>
              <w:jc w:val="right"/>
              <w:rPr>
                <w:rFonts w:cs="Calibri"/>
                <w:szCs w:val="18"/>
              </w:rPr>
            </w:pPr>
            <w:r w:rsidRPr="005C5E32">
              <w:rPr>
                <w:rFonts w:cs="Calibri"/>
                <w:szCs w:val="18"/>
              </w:rPr>
              <w:t>2</w:t>
            </w:r>
          </w:p>
        </w:tc>
      </w:tr>
      <w:tr w:rsidR="00D06CB2" w:rsidRPr="005C5E32" w14:paraId="7AAC53E5" w14:textId="77777777" w:rsidTr="00D210C6">
        <w:trPr>
          <w:trHeight w:val="20"/>
        </w:trPr>
        <w:tc>
          <w:tcPr>
            <w:tcW w:w="2834" w:type="dxa"/>
            <w:tcBorders>
              <w:top w:val="single" w:sz="4" w:space="0" w:color="000000" w:themeColor="text1"/>
              <w:bottom w:val="single" w:sz="4" w:space="0" w:color="000000" w:themeColor="text1"/>
            </w:tcBorders>
          </w:tcPr>
          <w:p w14:paraId="22BA4B5C" w14:textId="77777777" w:rsidR="00D06CB2" w:rsidRPr="00064AD6" w:rsidRDefault="00D06CB2">
            <w:pPr>
              <w:pStyle w:val="TableText"/>
              <w:spacing w:before="40" w:after="40"/>
              <w:rPr>
                <w:rFonts w:cs="Calibri"/>
                <w:b/>
                <w:szCs w:val="18"/>
              </w:rPr>
            </w:pPr>
            <w:r w:rsidRPr="00064AD6">
              <w:rPr>
                <w:rFonts w:cs="Calibri"/>
                <w:b/>
                <w:szCs w:val="18"/>
              </w:rPr>
              <w:t>Balance as at 30 June 2025</w:t>
            </w:r>
          </w:p>
        </w:tc>
        <w:tc>
          <w:tcPr>
            <w:tcW w:w="1086" w:type="dxa"/>
            <w:tcBorders>
              <w:top w:val="single" w:sz="4" w:space="0" w:color="000000" w:themeColor="text1"/>
              <w:bottom w:val="single" w:sz="4" w:space="0" w:color="000000" w:themeColor="text1"/>
            </w:tcBorders>
          </w:tcPr>
          <w:p w14:paraId="5FE9BA53" w14:textId="0214F60D" w:rsidR="00D06CB2" w:rsidRPr="00064AD6" w:rsidRDefault="00D06CB2">
            <w:pPr>
              <w:pStyle w:val="TableText"/>
              <w:spacing w:before="40" w:after="40"/>
              <w:jc w:val="right"/>
              <w:rPr>
                <w:rFonts w:cs="Calibri"/>
                <w:b/>
                <w:szCs w:val="18"/>
              </w:rPr>
            </w:pPr>
            <w:r w:rsidRPr="00064AD6">
              <w:rPr>
                <w:rFonts w:cs="Calibri"/>
                <w:b/>
                <w:szCs w:val="18"/>
              </w:rPr>
              <w:t>3,287</w:t>
            </w:r>
          </w:p>
        </w:tc>
        <w:tc>
          <w:tcPr>
            <w:tcW w:w="1086" w:type="dxa"/>
            <w:tcBorders>
              <w:top w:val="single" w:sz="4" w:space="0" w:color="000000" w:themeColor="text1"/>
              <w:bottom w:val="single" w:sz="4" w:space="0" w:color="000000" w:themeColor="text1"/>
            </w:tcBorders>
          </w:tcPr>
          <w:p w14:paraId="249DDAF2" w14:textId="77777777" w:rsidR="00D06CB2" w:rsidRPr="00064AD6" w:rsidRDefault="00D06CB2">
            <w:pPr>
              <w:pStyle w:val="TableText"/>
              <w:spacing w:before="40" w:after="40"/>
              <w:jc w:val="right"/>
              <w:rPr>
                <w:rFonts w:cs="Calibri"/>
                <w:b/>
                <w:szCs w:val="18"/>
              </w:rPr>
            </w:pPr>
            <w:r w:rsidRPr="00064AD6">
              <w:rPr>
                <w:rFonts w:cs="Calibri"/>
                <w:b/>
                <w:szCs w:val="18"/>
              </w:rPr>
              <w:t>25</w:t>
            </w:r>
          </w:p>
        </w:tc>
        <w:tc>
          <w:tcPr>
            <w:tcW w:w="1231" w:type="dxa"/>
            <w:tcBorders>
              <w:top w:val="single" w:sz="4" w:space="0" w:color="000000" w:themeColor="text1"/>
              <w:bottom w:val="single" w:sz="4" w:space="0" w:color="000000" w:themeColor="text1"/>
            </w:tcBorders>
          </w:tcPr>
          <w:p w14:paraId="56E532C1" w14:textId="77777777" w:rsidR="00D06CB2" w:rsidRPr="00064AD6" w:rsidRDefault="00D06CB2">
            <w:pPr>
              <w:pStyle w:val="TableText"/>
              <w:spacing w:before="40" w:after="40"/>
              <w:jc w:val="right"/>
              <w:rPr>
                <w:rFonts w:cs="Calibri"/>
                <w:b/>
                <w:szCs w:val="18"/>
              </w:rPr>
            </w:pPr>
            <w:r w:rsidRPr="00064AD6">
              <w:rPr>
                <w:rFonts w:cs="Calibri"/>
                <w:b/>
                <w:szCs w:val="18"/>
              </w:rPr>
              <w:t>1,429</w:t>
            </w:r>
          </w:p>
        </w:tc>
        <w:tc>
          <w:tcPr>
            <w:tcW w:w="1363" w:type="dxa"/>
            <w:tcBorders>
              <w:top w:val="single" w:sz="4" w:space="0" w:color="000000" w:themeColor="text1"/>
              <w:bottom w:val="single" w:sz="4" w:space="0" w:color="000000" w:themeColor="text1"/>
            </w:tcBorders>
          </w:tcPr>
          <w:p w14:paraId="31D902D6" w14:textId="77777777" w:rsidR="00D06CB2" w:rsidRPr="00064AD6" w:rsidRDefault="00D06CB2">
            <w:pPr>
              <w:pStyle w:val="TableText"/>
              <w:spacing w:before="40" w:after="40"/>
              <w:jc w:val="right"/>
              <w:rPr>
                <w:rFonts w:cs="Calibri"/>
                <w:b/>
                <w:szCs w:val="18"/>
              </w:rPr>
            </w:pPr>
            <w:r w:rsidRPr="00064AD6">
              <w:rPr>
                <w:rFonts w:cs="Calibri"/>
                <w:b/>
                <w:szCs w:val="18"/>
              </w:rPr>
              <w:t>1,843</w:t>
            </w:r>
          </w:p>
        </w:tc>
        <w:tc>
          <w:tcPr>
            <w:tcW w:w="905" w:type="dxa"/>
            <w:tcBorders>
              <w:top w:val="single" w:sz="4" w:space="0" w:color="000000" w:themeColor="text1"/>
              <w:bottom w:val="single" w:sz="4" w:space="0" w:color="000000" w:themeColor="text1"/>
            </w:tcBorders>
          </w:tcPr>
          <w:p w14:paraId="6D4E94B8" w14:textId="77777777" w:rsidR="00D06CB2" w:rsidRPr="00064AD6" w:rsidRDefault="00D06CB2">
            <w:pPr>
              <w:pStyle w:val="TableText"/>
              <w:spacing w:before="40" w:after="40"/>
              <w:jc w:val="right"/>
              <w:rPr>
                <w:rFonts w:cs="Calibri"/>
                <w:b/>
                <w:szCs w:val="18"/>
              </w:rPr>
            </w:pPr>
            <w:r w:rsidRPr="00064AD6">
              <w:rPr>
                <w:rFonts w:cs="Calibri"/>
                <w:b/>
                <w:szCs w:val="18"/>
              </w:rPr>
              <w:t>6,584</w:t>
            </w:r>
          </w:p>
        </w:tc>
      </w:tr>
      <w:tr w:rsidR="00D06CB2" w:rsidRPr="005C5E32" w14:paraId="7DD8B524" w14:textId="77777777" w:rsidTr="00D210C6">
        <w:trPr>
          <w:trHeight w:val="20"/>
        </w:trPr>
        <w:tc>
          <w:tcPr>
            <w:tcW w:w="2834" w:type="dxa"/>
            <w:tcBorders>
              <w:top w:val="single" w:sz="4" w:space="0" w:color="000000" w:themeColor="text1"/>
              <w:bottom w:val="single" w:sz="2" w:space="0" w:color="58595B"/>
            </w:tcBorders>
          </w:tcPr>
          <w:p w14:paraId="401B7E8A" w14:textId="77777777" w:rsidR="00D06CB2" w:rsidRPr="005C5E32" w:rsidRDefault="00D06CB2">
            <w:pPr>
              <w:pStyle w:val="TableText"/>
              <w:spacing w:before="40" w:after="40"/>
              <w:rPr>
                <w:rFonts w:cs="Calibri"/>
                <w:szCs w:val="18"/>
              </w:rPr>
            </w:pPr>
            <w:r w:rsidRPr="005C5E32">
              <w:rPr>
                <w:rFonts w:cs="Calibri"/>
                <w:szCs w:val="18"/>
              </w:rPr>
              <w:t>Balance as at 1 July 2025</w:t>
            </w:r>
          </w:p>
        </w:tc>
        <w:tc>
          <w:tcPr>
            <w:tcW w:w="1086" w:type="dxa"/>
            <w:tcBorders>
              <w:top w:val="single" w:sz="4" w:space="0" w:color="000000" w:themeColor="text1"/>
              <w:bottom w:val="single" w:sz="2" w:space="0" w:color="58595B"/>
            </w:tcBorders>
          </w:tcPr>
          <w:p w14:paraId="79D241D5" w14:textId="79300252" w:rsidR="00D06CB2" w:rsidRPr="005C5E32" w:rsidRDefault="00D06CB2">
            <w:pPr>
              <w:pStyle w:val="TableText"/>
              <w:spacing w:before="40" w:after="40"/>
              <w:jc w:val="right"/>
              <w:rPr>
                <w:rFonts w:cs="Calibri"/>
                <w:szCs w:val="18"/>
              </w:rPr>
            </w:pPr>
            <w:r w:rsidRPr="005C5E32">
              <w:rPr>
                <w:rFonts w:cs="Calibri"/>
                <w:szCs w:val="18"/>
              </w:rPr>
              <w:t>3,287</w:t>
            </w:r>
          </w:p>
        </w:tc>
        <w:tc>
          <w:tcPr>
            <w:tcW w:w="1086" w:type="dxa"/>
            <w:tcBorders>
              <w:top w:val="single" w:sz="4" w:space="0" w:color="000000" w:themeColor="text1"/>
              <w:bottom w:val="single" w:sz="2" w:space="0" w:color="58595B"/>
            </w:tcBorders>
          </w:tcPr>
          <w:p w14:paraId="12347015" w14:textId="77777777" w:rsidR="00D06CB2" w:rsidRPr="005C5E32" w:rsidRDefault="00D06CB2">
            <w:pPr>
              <w:pStyle w:val="TableText"/>
              <w:spacing w:before="40" w:after="40"/>
              <w:jc w:val="right"/>
              <w:rPr>
                <w:rFonts w:cs="Calibri"/>
                <w:szCs w:val="18"/>
              </w:rPr>
            </w:pPr>
            <w:r w:rsidRPr="005C5E32">
              <w:rPr>
                <w:rFonts w:cs="Calibri"/>
                <w:szCs w:val="18"/>
              </w:rPr>
              <w:t>25</w:t>
            </w:r>
          </w:p>
        </w:tc>
        <w:tc>
          <w:tcPr>
            <w:tcW w:w="1231" w:type="dxa"/>
            <w:tcBorders>
              <w:top w:val="single" w:sz="4" w:space="0" w:color="000000" w:themeColor="text1"/>
              <w:bottom w:val="single" w:sz="2" w:space="0" w:color="58595B"/>
            </w:tcBorders>
          </w:tcPr>
          <w:p w14:paraId="00BC9818" w14:textId="77777777" w:rsidR="00D06CB2" w:rsidRPr="005C5E32" w:rsidRDefault="00D06CB2">
            <w:pPr>
              <w:pStyle w:val="TableText"/>
              <w:spacing w:before="40" w:after="40"/>
              <w:jc w:val="right"/>
              <w:rPr>
                <w:rFonts w:cs="Calibri"/>
                <w:szCs w:val="18"/>
              </w:rPr>
            </w:pPr>
            <w:r w:rsidRPr="005C5E32">
              <w:rPr>
                <w:rFonts w:cs="Calibri"/>
                <w:szCs w:val="18"/>
              </w:rPr>
              <w:t>1,429</w:t>
            </w:r>
          </w:p>
        </w:tc>
        <w:tc>
          <w:tcPr>
            <w:tcW w:w="1363" w:type="dxa"/>
            <w:tcBorders>
              <w:top w:val="single" w:sz="4" w:space="0" w:color="000000" w:themeColor="text1"/>
              <w:bottom w:val="single" w:sz="2" w:space="0" w:color="58595B"/>
            </w:tcBorders>
          </w:tcPr>
          <w:p w14:paraId="5E23889D" w14:textId="77777777" w:rsidR="00D06CB2" w:rsidRPr="005C5E32" w:rsidRDefault="00D06CB2">
            <w:pPr>
              <w:pStyle w:val="TableText"/>
              <w:spacing w:before="40" w:after="40"/>
              <w:jc w:val="right"/>
              <w:rPr>
                <w:rFonts w:cs="Calibri"/>
                <w:szCs w:val="18"/>
              </w:rPr>
            </w:pPr>
            <w:r w:rsidRPr="005C5E32">
              <w:rPr>
                <w:rFonts w:cs="Calibri"/>
                <w:szCs w:val="18"/>
              </w:rPr>
              <w:t>1,843</w:t>
            </w:r>
          </w:p>
        </w:tc>
        <w:tc>
          <w:tcPr>
            <w:tcW w:w="905" w:type="dxa"/>
            <w:tcBorders>
              <w:top w:val="single" w:sz="4" w:space="0" w:color="000000" w:themeColor="text1"/>
              <w:bottom w:val="single" w:sz="2" w:space="0" w:color="58595B"/>
            </w:tcBorders>
          </w:tcPr>
          <w:p w14:paraId="143CDC36" w14:textId="77777777" w:rsidR="00D06CB2" w:rsidRPr="005C5E32" w:rsidRDefault="00D06CB2">
            <w:pPr>
              <w:pStyle w:val="TableText"/>
              <w:spacing w:before="40" w:after="40"/>
              <w:jc w:val="right"/>
              <w:rPr>
                <w:rFonts w:cs="Calibri"/>
                <w:szCs w:val="18"/>
              </w:rPr>
            </w:pPr>
            <w:r w:rsidRPr="005C5E32">
              <w:rPr>
                <w:rFonts w:cs="Calibri"/>
                <w:szCs w:val="18"/>
              </w:rPr>
              <w:t>6,584</w:t>
            </w:r>
          </w:p>
        </w:tc>
      </w:tr>
      <w:tr w:rsidR="00D06CB2" w:rsidRPr="005C5E32" w14:paraId="5840E1BE" w14:textId="77777777" w:rsidTr="00D210C6">
        <w:trPr>
          <w:trHeight w:val="20"/>
        </w:trPr>
        <w:tc>
          <w:tcPr>
            <w:tcW w:w="2834" w:type="dxa"/>
            <w:tcBorders>
              <w:top w:val="single" w:sz="2" w:space="0" w:color="58595B"/>
              <w:bottom w:val="single" w:sz="4" w:space="0" w:color="000000" w:themeColor="text1"/>
            </w:tcBorders>
          </w:tcPr>
          <w:p w14:paraId="7DAA28C0" w14:textId="77777777" w:rsidR="00D06CB2" w:rsidRPr="005C5E32" w:rsidRDefault="00D06CB2">
            <w:pPr>
              <w:pStyle w:val="TableText"/>
              <w:spacing w:before="40" w:after="40"/>
              <w:rPr>
                <w:rFonts w:cs="Calibri"/>
                <w:szCs w:val="18"/>
              </w:rPr>
            </w:pPr>
            <w:r w:rsidRPr="005C5E32">
              <w:rPr>
                <w:rFonts w:cs="Calibri"/>
                <w:szCs w:val="18"/>
              </w:rPr>
              <w:t>Amortisation expense</w:t>
            </w:r>
          </w:p>
        </w:tc>
        <w:tc>
          <w:tcPr>
            <w:tcW w:w="1086" w:type="dxa"/>
            <w:tcBorders>
              <w:top w:val="single" w:sz="2" w:space="0" w:color="58595B"/>
              <w:bottom w:val="single" w:sz="4" w:space="0" w:color="000000" w:themeColor="text1"/>
            </w:tcBorders>
          </w:tcPr>
          <w:p w14:paraId="03EA4590" w14:textId="77777777" w:rsidR="00D06CB2" w:rsidRPr="005C5E32" w:rsidRDefault="00D06CB2">
            <w:pPr>
              <w:pStyle w:val="TableText"/>
              <w:spacing w:before="40" w:after="40"/>
              <w:jc w:val="right"/>
              <w:rPr>
                <w:rFonts w:cs="Calibri"/>
                <w:color w:val="000000" w:themeColor="text1"/>
                <w:szCs w:val="18"/>
              </w:rPr>
            </w:pPr>
            <w:r w:rsidRPr="005C5E32">
              <w:rPr>
                <w:rFonts w:cs="Calibri"/>
                <w:color w:val="000000" w:themeColor="text1"/>
                <w:szCs w:val="18"/>
              </w:rPr>
              <w:t>18</w:t>
            </w:r>
          </w:p>
        </w:tc>
        <w:tc>
          <w:tcPr>
            <w:tcW w:w="1086" w:type="dxa"/>
            <w:tcBorders>
              <w:top w:val="single" w:sz="2" w:space="0" w:color="58595B"/>
              <w:bottom w:val="single" w:sz="4" w:space="0" w:color="000000" w:themeColor="text1"/>
            </w:tcBorders>
          </w:tcPr>
          <w:p w14:paraId="4D7B69DF" w14:textId="77777777" w:rsidR="00D06CB2" w:rsidRPr="005C5E32" w:rsidRDefault="00D06CB2">
            <w:pPr>
              <w:pStyle w:val="TableText"/>
              <w:spacing w:before="40" w:after="40"/>
              <w:jc w:val="right"/>
              <w:rPr>
                <w:rFonts w:cs="Calibri"/>
                <w:color w:val="000000" w:themeColor="text1"/>
                <w:szCs w:val="18"/>
              </w:rPr>
            </w:pPr>
            <w:r w:rsidRPr="005C5E32">
              <w:rPr>
                <w:rFonts w:cs="Calibri"/>
                <w:color w:val="000000" w:themeColor="text1"/>
                <w:szCs w:val="18"/>
              </w:rPr>
              <w:t>–</w:t>
            </w:r>
          </w:p>
        </w:tc>
        <w:tc>
          <w:tcPr>
            <w:tcW w:w="1231" w:type="dxa"/>
            <w:tcBorders>
              <w:top w:val="single" w:sz="2" w:space="0" w:color="58595B"/>
              <w:bottom w:val="single" w:sz="4" w:space="0" w:color="000000" w:themeColor="text1"/>
            </w:tcBorders>
          </w:tcPr>
          <w:p w14:paraId="12997192" w14:textId="77777777" w:rsidR="00D06CB2" w:rsidRPr="005C5E32" w:rsidRDefault="00D06CB2">
            <w:pPr>
              <w:pStyle w:val="TableText"/>
              <w:spacing w:before="40" w:after="40"/>
              <w:jc w:val="right"/>
              <w:rPr>
                <w:rFonts w:cs="Calibri"/>
                <w:color w:val="000000" w:themeColor="text1"/>
                <w:szCs w:val="18"/>
              </w:rPr>
            </w:pPr>
            <w:r w:rsidRPr="005C5E32">
              <w:rPr>
                <w:rFonts w:cs="Calibri"/>
                <w:color w:val="000000" w:themeColor="text1"/>
                <w:szCs w:val="18"/>
              </w:rPr>
              <w:t>–</w:t>
            </w:r>
          </w:p>
        </w:tc>
        <w:tc>
          <w:tcPr>
            <w:tcW w:w="1363" w:type="dxa"/>
            <w:tcBorders>
              <w:top w:val="single" w:sz="2" w:space="0" w:color="58595B"/>
              <w:bottom w:val="single" w:sz="4" w:space="0" w:color="000000" w:themeColor="text1"/>
            </w:tcBorders>
          </w:tcPr>
          <w:p w14:paraId="23A6B48C" w14:textId="77777777" w:rsidR="00D06CB2" w:rsidRPr="005C5E32" w:rsidRDefault="00D06CB2">
            <w:pPr>
              <w:pStyle w:val="TableText"/>
              <w:spacing w:before="40" w:after="40"/>
              <w:jc w:val="right"/>
              <w:rPr>
                <w:rFonts w:cs="Calibri"/>
                <w:color w:val="000000" w:themeColor="text1"/>
                <w:szCs w:val="18"/>
              </w:rPr>
            </w:pPr>
            <w:r w:rsidRPr="005C5E32">
              <w:rPr>
                <w:rFonts w:cs="Calibri"/>
                <w:color w:val="000000" w:themeColor="text1"/>
                <w:szCs w:val="18"/>
              </w:rPr>
              <w:t>–</w:t>
            </w:r>
          </w:p>
        </w:tc>
        <w:tc>
          <w:tcPr>
            <w:tcW w:w="905" w:type="dxa"/>
            <w:tcBorders>
              <w:top w:val="single" w:sz="2" w:space="0" w:color="58595B"/>
              <w:bottom w:val="single" w:sz="4" w:space="0" w:color="000000" w:themeColor="text1"/>
            </w:tcBorders>
          </w:tcPr>
          <w:p w14:paraId="4D6935C7" w14:textId="77777777" w:rsidR="00D06CB2" w:rsidRPr="005C5E32" w:rsidRDefault="00D06CB2">
            <w:pPr>
              <w:pStyle w:val="TableText"/>
              <w:spacing w:before="40" w:after="40"/>
              <w:jc w:val="right"/>
              <w:rPr>
                <w:rFonts w:cs="Calibri"/>
                <w:color w:val="000000" w:themeColor="text1"/>
                <w:szCs w:val="18"/>
              </w:rPr>
            </w:pPr>
            <w:r w:rsidRPr="005C5E32">
              <w:rPr>
                <w:rFonts w:cs="Calibri"/>
                <w:color w:val="000000" w:themeColor="text1"/>
                <w:szCs w:val="18"/>
              </w:rPr>
              <w:t>18</w:t>
            </w:r>
          </w:p>
        </w:tc>
      </w:tr>
      <w:tr w:rsidR="00D06CB2" w:rsidRPr="005C5E32" w14:paraId="122272E3" w14:textId="77777777">
        <w:trPr>
          <w:trHeight w:val="20"/>
        </w:trPr>
        <w:tc>
          <w:tcPr>
            <w:tcW w:w="2834" w:type="dxa"/>
            <w:tcBorders>
              <w:top w:val="single" w:sz="4" w:space="0" w:color="58595B"/>
              <w:bottom w:val="single" w:sz="4" w:space="0" w:color="58595B"/>
            </w:tcBorders>
          </w:tcPr>
          <w:p w14:paraId="4C2116AE" w14:textId="77777777" w:rsidR="00D06CB2" w:rsidRPr="000635C1" w:rsidRDefault="00D06CB2">
            <w:pPr>
              <w:pStyle w:val="TableText"/>
              <w:spacing w:before="40" w:after="40"/>
              <w:rPr>
                <w:rFonts w:cs="Calibri"/>
                <w:b/>
                <w:szCs w:val="18"/>
              </w:rPr>
            </w:pPr>
            <w:r w:rsidRPr="000635C1">
              <w:rPr>
                <w:rFonts w:cs="Calibri"/>
                <w:b/>
              </w:rPr>
              <w:t>Balance as at 30 June 2026</w:t>
            </w:r>
          </w:p>
        </w:tc>
        <w:tc>
          <w:tcPr>
            <w:tcW w:w="1086" w:type="dxa"/>
            <w:tcBorders>
              <w:top w:val="single" w:sz="4" w:space="0" w:color="58595B"/>
              <w:bottom w:val="single" w:sz="4" w:space="0" w:color="58595B"/>
            </w:tcBorders>
          </w:tcPr>
          <w:p w14:paraId="2C6FF731" w14:textId="77777777" w:rsidR="00D06CB2" w:rsidRPr="000635C1" w:rsidRDefault="00D06CB2">
            <w:pPr>
              <w:pStyle w:val="TableText"/>
              <w:spacing w:before="40" w:after="40"/>
              <w:jc w:val="right"/>
              <w:rPr>
                <w:rFonts w:cs="Calibri"/>
                <w:b/>
                <w:color w:val="000000" w:themeColor="text1"/>
                <w:szCs w:val="18"/>
              </w:rPr>
            </w:pPr>
            <w:r w:rsidRPr="000635C1">
              <w:rPr>
                <w:rFonts w:cs="Calibri"/>
                <w:b/>
                <w:color w:val="000000" w:themeColor="text1"/>
                <w:szCs w:val="18"/>
              </w:rPr>
              <w:t>3,305</w:t>
            </w:r>
          </w:p>
        </w:tc>
        <w:tc>
          <w:tcPr>
            <w:tcW w:w="1086" w:type="dxa"/>
            <w:tcBorders>
              <w:top w:val="single" w:sz="4" w:space="0" w:color="58595B"/>
              <w:bottom w:val="single" w:sz="4" w:space="0" w:color="58595B"/>
            </w:tcBorders>
          </w:tcPr>
          <w:p w14:paraId="5E6ACE71" w14:textId="77777777" w:rsidR="00D06CB2" w:rsidRPr="000635C1" w:rsidRDefault="00D06CB2">
            <w:pPr>
              <w:pStyle w:val="TableText"/>
              <w:spacing w:before="40" w:after="40"/>
              <w:jc w:val="right"/>
              <w:rPr>
                <w:rFonts w:cs="Calibri"/>
                <w:b/>
                <w:color w:val="000000" w:themeColor="text1"/>
                <w:szCs w:val="18"/>
              </w:rPr>
            </w:pPr>
            <w:r w:rsidRPr="000635C1">
              <w:rPr>
                <w:rFonts w:cs="Calibri"/>
                <w:b/>
                <w:color w:val="000000" w:themeColor="text1"/>
                <w:szCs w:val="18"/>
              </w:rPr>
              <w:t>25</w:t>
            </w:r>
          </w:p>
        </w:tc>
        <w:tc>
          <w:tcPr>
            <w:tcW w:w="1231" w:type="dxa"/>
            <w:tcBorders>
              <w:top w:val="single" w:sz="4" w:space="0" w:color="58595B"/>
              <w:bottom w:val="single" w:sz="4" w:space="0" w:color="58595B"/>
            </w:tcBorders>
          </w:tcPr>
          <w:p w14:paraId="427EB55E" w14:textId="77777777" w:rsidR="00D06CB2" w:rsidRPr="000635C1" w:rsidRDefault="00D06CB2">
            <w:pPr>
              <w:pStyle w:val="TableText"/>
              <w:spacing w:before="40" w:after="40"/>
              <w:jc w:val="right"/>
              <w:rPr>
                <w:rFonts w:cs="Calibri"/>
                <w:b/>
                <w:color w:val="000000" w:themeColor="text1"/>
                <w:szCs w:val="18"/>
              </w:rPr>
            </w:pPr>
            <w:r w:rsidRPr="000635C1">
              <w:rPr>
                <w:rFonts w:cs="Calibri"/>
                <w:b/>
                <w:color w:val="000000" w:themeColor="text1"/>
                <w:szCs w:val="18"/>
              </w:rPr>
              <w:t>1,429</w:t>
            </w:r>
          </w:p>
        </w:tc>
        <w:tc>
          <w:tcPr>
            <w:tcW w:w="1363" w:type="dxa"/>
            <w:tcBorders>
              <w:top w:val="single" w:sz="4" w:space="0" w:color="58595B"/>
              <w:bottom w:val="single" w:sz="4" w:space="0" w:color="58595B"/>
            </w:tcBorders>
          </w:tcPr>
          <w:p w14:paraId="1200BBB5" w14:textId="77777777" w:rsidR="00D06CB2" w:rsidRPr="000635C1" w:rsidRDefault="00D06CB2">
            <w:pPr>
              <w:pStyle w:val="TableText"/>
              <w:spacing w:before="40" w:after="40"/>
              <w:jc w:val="right"/>
              <w:rPr>
                <w:rFonts w:cs="Calibri"/>
                <w:b/>
                <w:color w:val="000000" w:themeColor="text1"/>
                <w:szCs w:val="18"/>
              </w:rPr>
            </w:pPr>
            <w:r w:rsidRPr="000635C1">
              <w:rPr>
                <w:rFonts w:cs="Calibri"/>
                <w:b/>
                <w:color w:val="000000" w:themeColor="text1"/>
                <w:szCs w:val="18"/>
              </w:rPr>
              <w:t>1,843</w:t>
            </w:r>
          </w:p>
        </w:tc>
        <w:tc>
          <w:tcPr>
            <w:tcW w:w="905" w:type="dxa"/>
            <w:tcBorders>
              <w:top w:val="single" w:sz="4" w:space="0" w:color="58595B"/>
              <w:bottom w:val="single" w:sz="4" w:space="0" w:color="58595B"/>
            </w:tcBorders>
          </w:tcPr>
          <w:p w14:paraId="412DB917" w14:textId="77777777" w:rsidR="00D06CB2" w:rsidRPr="000635C1" w:rsidRDefault="00D06CB2">
            <w:pPr>
              <w:pStyle w:val="TableText"/>
              <w:spacing w:before="40" w:after="40"/>
              <w:jc w:val="right"/>
              <w:rPr>
                <w:rFonts w:cs="Calibri"/>
                <w:b/>
                <w:color w:val="000000" w:themeColor="text1"/>
                <w:szCs w:val="18"/>
              </w:rPr>
            </w:pPr>
            <w:r w:rsidRPr="000635C1">
              <w:rPr>
                <w:rFonts w:cs="Calibri"/>
                <w:b/>
                <w:color w:val="000000" w:themeColor="text1"/>
                <w:szCs w:val="18"/>
              </w:rPr>
              <w:t>6,602</w:t>
            </w:r>
          </w:p>
        </w:tc>
      </w:tr>
      <w:tr w:rsidR="00D06CB2" w:rsidRPr="005C5E32" w14:paraId="16F13059" w14:textId="77777777">
        <w:trPr>
          <w:trHeight w:val="20"/>
        </w:trPr>
        <w:tc>
          <w:tcPr>
            <w:tcW w:w="2834" w:type="dxa"/>
            <w:tcBorders>
              <w:top w:val="single" w:sz="4" w:space="0" w:color="58595B"/>
            </w:tcBorders>
          </w:tcPr>
          <w:p w14:paraId="4E9E2589" w14:textId="77777777" w:rsidR="00D06CB2" w:rsidRPr="005C5E32" w:rsidRDefault="00D06CB2" w:rsidP="000635C1">
            <w:pPr>
              <w:pStyle w:val="TableboldGreen"/>
              <w:keepNext/>
              <w:spacing w:before="40" w:after="0"/>
              <w:rPr>
                <w:rFonts w:cs="Calibri"/>
                <w:szCs w:val="18"/>
              </w:rPr>
            </w:pPr>
            <w:r w:rsidRPr="005C5E32">
              <w:rPr>
                <w:rFonts w:cs="Calibri"/>
                <w:szCs w:val="18"/>
              </w:rPr>
              <w:t>Carrying amounts</w:t>
            </w:r>
          </w:p>
        </w:tc>
        <w:tc>
          <w:tcPr>
            <w:tcW w:w="1086" w:type="dxa"/>
            <w:tcBorders>
              <w:top w:val="single" w:sz="4" w:space="0" w:color="58595B"/>
            </w:tcBorders>
          </w:tcPr>
          <w:p w14:paraId="2412E604" w14:textId="77777777" w:rsidR="00D06CB2" w:rsidRPr="005C5E32" w:rsidRDefault="00D06CB2">
            <w:pPr>
              <w:pStyle w:val="TableTextbold"/>
              <w:spacing w:before="40" w:after="40"/>
              <w:jc w:val="right"/>
              <w:rPr>
                <w:rFonts w:cs="Calibri"/>
                <w:color w:val="000000" w:themeColor="text1"/>
                <w:szCs w:val="18"/>
                <w:highlight w:val="yellow"/>
              </w:rPr>
            </w:pPr>
          </w:p>
        </w:tc>
        <w:tc>
          <w:tcPr>
            <w:tcW w:w="1086" w:type="dxa"/>
            <w:tcBorders>
              <w:top w:val="single" w:sz="4" w:space="0" w:color="58595B"/>
            </w:tcBorders>
          </w:tcPr>
          <w:p w14:paraId="040EFADA" w14:textId="77777777" w:rsidR="00D06CB2" w:rsidRPr="005C5E32" w:rsidRDefault="00D06CB2">
            <w:pPr>
              <w:pStyle w:val="TableTextbold"/>
              <w:spacing w:before="40" w:after="40"/>
              <w:jc w:val="right"/>
              <w:rPr>
                <w:rFonts w:cs="Calibri"/>
                <w:color w:val="000000" w:themeColor="text1"/>
                <w:szCs w:val="18"/>
                <w:highlight w:val="yellow"/>
              </w:rPr>
            </w:pPr>
          </w:p>
        </w:tc>
        <w:tc>
          <w:tcPr>
            <w:tcW w:w="1231" w:type="dxa"/>
            <w:tcBorders>
              <w:top w:val="single" w:sz="4" w:space="0" w:color="58595B"/>
            </w:tcBorders>
          </w:tcPr>
          <w:p w14:paraId="4DBA370A" w14:textId="77777777" w:rsidR="00D06CB2" w:rsidRPr="005C5E32" w:rsidRDefault="00D06CB2">
            <w:pPr>
              <w:pStyle w:val="TableTextbold"/>
              <w:spacing w:before="40" w:after="40"/>
              <w:jc w:val="right"/>
              <w:rPr>
                <w:rFonts w:cs="Calibri"/>
                <w:color w:val="000000" w:themeColor="text1"/>
                <w:szCs w:val="18"/>
                <w:highlight w:val="yellow"/>
              </w:rPr>
            </w:pPr>
          </w:p>
        </w:tc>
        <w:tc>
          <w:tcPr>
            <w:tcW w:w="1363" w:type="dxa"/>
            <w:tcBorders>
              <w:top w:val="single" w:sz="4" w:space="0" w:color="58595B"/>
            </w:tcBorders>
          </w:tcPr>
          <w:p w14:paraId="7BDE5D29" w14:textId="77777777" w:rsidR="00D06CB2" w:rsidRPr="005C5E32" w:rsidRDefault="00D06CB2">
            <w:pPr>
              <w:pStyle w:val="TableTextbold"/>
              <w:spacing w:before="40" w:after="40"/>
              <w:jc w:val="right"/>
              <w:rPr>
                <w:rFonts w:cs="Calibri"/>
                <w:color w:val="000000" w:themeColor="text1"/>
                <w:szCs w:val="18"/>
                <w:highlight w:val="yellow"/>
              </w:rPr>
            </w:pPr>
          </w:p>
        </w:tc>
        <w:tc>
          <w:tcPr>
            <w:tcW w:w="905" w:type="dxa"/>
            <w:tcBorders>
              <w:top w:val="single" w:sz="4" w:space="0" w:color="58595B"/>
            </w:tcBorders>
          </w:tcPr>
          <w:p w14:paraId="1CA8E8A1" w14:textId="77777777" w:rsidR="00D06CB2" w:rsidRPr="005C5E32" w:rsidRDefault="00D06CB2">
            <w:pPr>
              <w:pStyle w:val="TableTextbold"/>
              <w:spacing w:before="40" w:after="40"/>
              <w:jc w:val="right"/>
              <w:rPr>
                <w:rFonts w:cs="Calibri"/>
                <w:color w:val="000000" w:themeColor="text1"/>
                <w:szCs w:val="18"/>
                <w:highlight w:val="yellow"/>
              </w:rPr>
            </w:pPr>
          </w:p>
        </w:tc>
      </w:tr>
      <w:tr w:rsidR="00D06CB2" w:rsidRPr="005C5E32" w14:paraId="6E806CC0" w14:textId="77777777">
        <w:trPr>
          <w:trHeight w:val="20"/>
        </w:trPr>
        <w:tc>
          <w:tcPr>
            <w:tcW w:w="2834" w:type="dxa"/>
            <w:tcBorders>
              <w:bottom w:val="single" w:sz="2" w:space="0" w:color="58595B"/>
            </w:tcBorders>
          </w:tcPr>
          <w:p w14:paraId="3DD8813A" w14:textId="77777777" w:rsidR="00D06CB2" w:rsidRPr="005C5E32" w:rsidRDefault="00D06CB2">
            <w:pPr>
              <w:pStyle w:val="TableText"/>
              <w:spacing w:before="40" w:after="40"/>
              <w:rPr>
                <w:rFonts w:cs="Calibri"/>
                <w:szCs w:val="18"/>
              </w:rPr>
            </w:pPr>
            <w:r w:rsidRPr="005C5E32">
              <w:rPr>
                <w:rFonts w:cs="Calibri"/>
                <w:szCs w:val="18"/>
              </w:rPr>
              <w:t>As at 1 July 2024</w:t>
            </w:r>
          </w:p>
        </w:tc>
        <w:tc>
          <w:tcPr>
            <w:tcW w:w="1086" w:type="dxa"/>
            <w:tcBorders>
              <w:bottom w:val="single" w:sz="2" w:space="0" w:color="58595B"/>
            </w:tcBorders>
          </w:tcPr>
          <w:p w14:paraId="35E25F12" w14:textId="77777777" w:rsidR="00D06CB2" w:rsidRPr="005C5E32" w:rsidRDefault="00D06CB2">
            <w:pPr>
              <w:pStyle w:val="TableText"/>
              <w:spacing w:before="40" w:after="40"/>
              <w:jc w:val="right"/>
              <w:rPr>
                <w:rFonts w:cs="Calibri"/>
                <w:szCs w:val="18"/>
              </w:rPr>
            </w:pPr>
            <w:r w:rsidRPr="005C5E32">
              <w:rPr>
                <w:rFonts w:cs="Calibri"/>
                <w:szCs w:val="18"/>
              </w:rPr>
              <w:t>142</w:t>
            </w:r>
          </w:p>
        </w:tc>
        <w:tc>
          <w:tcPr>
            <w:tcW w:w="1086" w:type="dxa"/>
            <w:tcBorders>
              <w:bottom w:val="single" w:sz="2" w:space="0" w:color="58595B"/>
            </w:tcBorders>
          </w:tcPr>
          <w:p w14:paraId="4865F694"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231" w:type="dxa"/>
            <w:tcBorders>
              <w:bottom w:val="single" w:sz="2" w:space="0" w:color="58595B"/>
            </w:tcBorders>
          </w:tcPr>
          <w:p w14:paraId="0AB158B8"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363" w:type="dxa"/>
            <w:tcBorders>
              <w:bottom w:val="single" w:sz="2" w:space="0" w:color="58595B"/>
            </w:tcBorders>
          </w:tcPr>
          <w:p w14:paraId="50A55339"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905" w:type="dxa"/>
            <w:tcBorders>
              <w:bottom w:val="single" w:sz="2" w:space="0" w:color="58595B"/>
            </w:tcBorders>
          </w:tcPr>
          <w:p w14:paraId="71769D60" w14:textId="77777777" w:rsidR="00D06CB2" w:rsidRPr="005C5E32" w:rsidRDefault="00D06CB2">
            <w:pPr>
              <w:pStyle w:val="TableText"/>
              <w:spacing w:before="40" w:after="40"/>
              <w:jc w:val="right"/>
              <w:rPr>
                <w:rFonts w:cs="Calibri"/>
                <w:szCs w:val="18"/>
              </w:rPr>
            </w:pPr>
            <w:r w:rsidRPr="005C5E32">
              <w:rPr>
                <w:rFonts w:cs="Calibri"/>
                <w:szCs w:val="18"/>
              </w:rPr>
              <w:t>142</w:t>
            </w:r>
          </w:p>
        </w:tc>
      </w:tr>
      <w:tr w:rsidR="00D06CB2" w:rsidRPr="005C5E32" w14:paraId="240CF827" w14:textId="77777777">
        <w:trPr>
          <w:trHeight w:val="20"/>
        </w:trPr>
        <w:tc>
          <w:tcPr>
            <w:tcW w:w="2834" w:type="dxa"/>
            <w:tcBorders>
              <w:top w:val="single" w:sz="2" w:space="0" w:color="58595B"/>
              <w:bottom w:val="single" w:sz="2" w:space="0" w:color="58595B"/>
            </w:tcBorders>
          </w:tcPr>
          <w:p w14:paraId="4FD8EBC6" w14:textId="77777777" w:rsidR="00D06CB2" w:rsidRPr="005C5E32" w:rsidRDefault="00D06CB2">
            <w:pPr>
              <w:pStyle w:val="TableText"/>
              <w:spacing w:before="40" w:after="40"/>
              <w:rPr>
                <w:rFonts w:cs="Calibri"/>
                <w:szCs w:val="18"/>
              </w:rPr>
            </w:pPr>
            <w:r w:rsidRPr="005C5E32">
              <w:rPr>
                <w:rFonts w:cs="Calibri"/>
                <w:szCs w:val="18"/>
              </w:rPr>
              <w:t>As at 30 June/1 July 2025</w:t>
            </w:r>
          </w:p>
        </w:tc>
        <w:tc>
          <w:tcPr>
            <w:tcW w:w="1086" w:type="dxa"/>
            <w:tcBorders>
              <w:top w:val="single" w:sz="2" w:space="0" w:color="58595B"/>
              <w:bottom w:val="single" w:sz="2" w:space="0" w:color="58595B"/>
            </w:tcBorders>
          </w:tcPr>
          <w:p w14:paraId="4FD9E5AB" w14:textId="77777777" w:rsidR="00D06CB2" w:rsidRPr="005C5E32" w:rsidRDefault="00D06CB2">
            <w:pPr>
              <w:pStyle w:val="TableText"/>
              <w:spacing w:before="40" w:after="40"/>
              <w:jc w:val="right"/>
              <w:rPr>
                <w:rFonts w:cs="Calibri"/>
                <w:szCs w:val="18"/>
              </w:rPr>
            </w:pPr>
            <w:r w:rsidRPr="005C5E32">
              <w:rPr>
                <w:rFonts w:cs="Calibri"/>
                <w:szCs w:val="18"/>
              </w:rPr>
              <w:t xml:space="preserve"> 10</w:t>
            </w:r>
          </w:p>
        </w:tc>
        <w:tc>
          <w:tcPr>
            <w:tcW w:w="1086" w:type="dxa"/>
            <w:tcBorders>
              <w:top w:val="single" w:sz="2" w:space="0" w:color="58595B"/>
              <w:bottom w:val="single" w:sz="2" w:space="0" w:color="58595B"/>
            </w:tcBorders>
          </w:tcPr>
          <w:p w14:paraId="754CA9AF"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231" w:type="dxa"/>
            <w:tcBorders>
              <w:top w:val="single" w:sz="2" w:space="0" w:color="58595B"/>
              <w:bottom w:val="single" w:sz="2" w:space="0" w:color="58595B"/>
            </w:tcBorders>
          </w:tcPr>
          <w:p w14:paraId="1916933E"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1363" w:type="dxa"/>
            <w:tcBorders>
              <w:top w:val="single" w:sz="2" w:space="0" w:color="58595B"/>
              <w:bottom w:val="single" w:sz="2" w:space="0" w:color="58595B"/>
            </w:tcBorders>
          </w:tcPr>
          <w:p w14:paraId="121B5DF6" w14:textId="77777777" w:rsidR="00D06CB2" w:rsidRPr="005C5E32" w:rsidRDefault="00D06CB2">
            <w:pPr>
              <w:pStyle w:val="TableText"/>
              <w:spacing w:before="40" w:after="40"/>
              <w:jc w:val="right"/>
              <w:rPr>
                <w:rFonts w:cs="Calibri"/>
                <w:szCs w:val="18"/>
              </w:rPr>
            </w:pPr>
            <w:r w:rsidRPr="005C5E32">
              <w:rPr>
                <w:rFonts w:cs="Calibri"/>
                <w:szCs w:val="18"/>
              </w:rPr>
              <w:t>–</w:t>
            </w:r>
          </w:p>
        </w:tc>
        <w:tc>
          <w:tcPr>
            <w:tcW w:w="905" w:type="dxa"/>
            <w:tcBorders>
              <w:top w:val="single" w:sz="2" w:space="0" w:color="58595B"/>
              <w:bottom w:val="single" w:sz="2" w:space="0" w:color="58595B"/>
            </w:tcBorders>
          </w:tcPr>
          <w:p w14:paraId="3EF04ED4" w14:textId="77777777" w:rsidR="00D06CB2" w:rsidRPr="005C5E32" w:rsidRDefault="00D06CB2">
            <w:pPr>
              <w:pStyle w:val="TableText"/>
              <w:spacing w:before="40" w:after="40"/>
              <w:jc w:val="right"/>
              <w:rPr>
                <w:rFonts w:cs="Calibri"/>
                <w:szCs w:val="18"/>
              </w:rPr>
            </w:pPr>
            <w:r w:rsidRPr="005C5E32">
              <w:rPr>
                <w:rFonts w:cs="Calibri"/>
                <w:szCs w:val="18"/>
              </w:rPr>
              <w:t>10</w:t>
            </w:r>
          </w:p>
        </w:tc>
      </w:tr>
      <w:tr w:rsidR="00D06CB2" w:rsidRPr="005C5E32" w14:paraId="35C750BB" w14:textId="77777777" w:rsidTr="00D210C6">
        <w:trPr>
          <w:trHeight w:val="20"/>
        </w:trPr>
        <w:tc>
          <w:tcPr>
            <w:tcW w:w="2834" w:type="dxa"/>
            <w:tcBorders>
              <w:top w:val="single" w:sz="2" w:space="0" w:color="58595B"/>
              <w:bottom w:val="single" w:sz="2" w:space="0" w:color="58595B"/>
            </w:tcBorders>
          </w:tcPr>
          <w:p w14:paraId="2098C18B" w14:textId="77777777" w:rsidR="00D06CB2" w:rsidRPr="00064AD6" w:rsidRDefault="00D06CB2">
            <w:pPr>
              <w:pStyle w:val="TableText"/>
              <w:spacing w:before="40" w:after="40"/>
              <w:rPr>
                <w:rFonts w:cs="Calibri"/>
                <w:b/>
                <w:szCs w:val="18"/>
              </w:rPr>
            </w:pPr>
            <w:r w:rsidRPr="00064AD6">
              <w:rPr>
                <w:rFonts w:cs="Calibri"/>
                <w:b/>
                <w:szCs w:val="18"/>
              </w:rPr>
              <w:t>As at 30 June 2026</w:t>
            </w:r>
          </w:p>
        </w:tc>
        <w:tc>
          <w:tcPr>
            <w:tcW w:w="1086" w:type="dxa"/>
            <w:tcBorders>
              <w:top w:val="single" w:sz="2" w:space="0" w:color="58595B"/>
              <w:bottom w:val="single" w:sz="2" w:space="0" w:color="58595B"/>
            </w:tcBorders>
          </w:tcPr>
          <w:p w14:paraId="1F45AF04" w14:textId="77777777" w:rsidR="00D06CB2" w:rsidRPr="00064AD6" w:rsidRDefault="00D06CB2">
            <w:pPr>
              <w:pStyle w:val="TableText"/>
              <w:spacing w:before="40" w:after="40"/>
              <w:jc w:val="right"/>
              <w:rPr>
                <w:rFonts w:cs="Calibri"/>
                <w:b/>
                <w:szCs w:val="18"/>
              </w:rPr>
            </w:pPr>
            <w:r w:rsidRPr="00064AD6">
              <w:rPr>
                <w:rFonts w:cs="Calibri"/>
                <w:b/>
                <w:szCs w:val="18"/>
              </w:rPr>
              <w:t xml:space="preserve">– </w:t>
            </w:r>
          </w:p>
        </w:tc>
        <w:tc>
          <w:tcPr>
            <w:tcW w:w="1086" w:type="dxa"/>
            <w:tcBorders>
              <w:top w:val="single" w:sz="2" w:space="0" w:color="58595B"/>
              <w:bottom w:val="single" w:sz="2" w:space="0" w:color="58595B"/>
            </w:tcBorders>
          </w:tcPr>
          <w:p w14:paraId="4F57E4CC" w14:textId="77777777" w:rsidR="00D06CB2" w:rsidRPr="00064AD6" w:rsidRDefault="00D06CB2">
            <w:pPr>
              <w:pStyle w:val="TableText"/>
              <w:spacing w:before="40" w:after="40"/>
              <w:jc w:val="right"/>
              <w:rPr>
                <w:rFonts w:cs="Calibri"/>
                <w:b/>
                <w:szCs w:val="18"/>
              </w:rPr>
            </w:pPr>
            <w:r w:rsidRPr="00064AD6">
              <w:rPr>
                <w:rFonts w:cs="Calibri"/>
                <w:b/>
                <w:szCs w:val="18"/>
              </w:rPr>
              <w:t>–</w:t>
            </w:r>
          </w:p>
        </w:tc>
        <w:tc>
          <w:tcPr>
            <w:tcW w:w="1231" w:type="dxa"/>
            <w:tcBorders>
              <w:top w:val="single" w:sz="2" w:space="0" w:color="58595B"/>
              <w:bottom w:val="single" w:sz="2" w:space="0" w:color="58595B"/>
            </w:tcBorders>
          </w:tcPr>
          <w:p w14:paraId="79F156B9" w14:textId="77777777" w:rsidR="00D06CB2" w:rsidRPr="00064AD6" w:rsidRDefault="00D06CB2">
            <w:pPr>
              <w:pStyle w:val="TableText"/>
              <w:spacing w:before="40" w:after="40"/>
              <w:jc w:val="right"/>
              <w:rPr>
                <w:rFonts w:cs="Calibri"/>
                <w:b/>
                <w:szCs w:val="18"/>
              </w:rPr>
            </w:pPr>
            <w:r w:rsidRPr="00064AD6">
              <w:rPr>
                <w:rFonts w:cs="Calibri"/>
                <w:b/>
                <w:szCs w:val="18"/>
              </w:rPr>
              <w:t>–</w:t>
            </w:r>
          </w:p>
        </w:tc>
        <w:tc>
          <w:tcPr>
            <w:tcW w:w="1363" w:type="dxa"/>
            <w:tcBorders>
              <w:top w:val="single" w:sz="2" w:space="0" w:color="58595B"/>
              <w:bottom w:val="single" w:sz="2" w:space="0" w:color="58595B"/>
            </w:tcBorders>
          </w:tcPr>
          <w:p w14:paraId="3A98F7A3" w14:textId="77777777" w:rsidR="00D06CB2" w:rsidRPr="00064AD6" w:rsidRDefault="00D06CB2">
            <w:pPr>
              <w:pStyle w:val="TableText"/>
              <w:spacing w:before="40" w:after="40"/>
              <w:jc w:val="right"/>
              <w:rPr>
                <w:rFonts w:cs="Calibri"/>
                <w:b/>
                <w:szCs w:val="18"/>
              </w:rPr>
            </w:pPr>
            <w:r w:rsidRPr="00064AD6">
              <w:rPr>
                <w:rFonts w:cs="Calibri"/>
                <w:b/>
                <w:szCs w:val="18"/>
              </w:rPr>
              <w:t>–</w:t>
            </w:r>
          </w:p>
        </w:tc>
        <w:tc>
          <w:tcPr>
            <w:tcW w:w="905" w:type="dxa"/>
            <w:tcBorders>
              <w:top w:val="single" w:sz="2" w:space="0" w:color="58595B"/>
              <w:bottom w:val="single" w:sz="2" w:space="0" w:color="58595B"/>
            </w:tcBorders>
          </w:tcPr>
          <w:p w14:paraId="1960E895" w14:textId="77777777" w:rsidR="00D06CB2" w:rsidRPr="00064AD6" w:rsidRDefault="00D06CB2">
            <w:pPr>
              <w:pStyle w:val="TableText"/>
              <w:spacing w:before="40" w:after="40"/>
              <w:jc w:val="right"/>
              <w:rPr>
                <w:rFonts w:cs="Calibri"/>
                <w:b/>
                <w:szCs w:val="18"/>
              </w:rPr>
            </w:pPr>
            <w:r w:rsidRPr="00064AD6">
              <w:rPr>
                <w:rFonts w:cs="Calibri"/>
                <w:b/>
                <w:szCs w:val="18"/>
              </w:rPr>
              <w:t>–</w:t>
            </w:r>
          </w:p>
        </w:tc>
      </w:tr>
    </w:tbl>
    <w:p w14:paraId="3A70DD0B" w14:textId="77777777" w:rsidR="00D06CB2" w:rsidRPr="005C5E32" w:rsidRDefault="00D06CB2" w:rsidP="00A03341">
      <w:pPr>
        <w:pStyle w:val="Heading4"/>
        <w:spacing w:before="360"/>
      </w:pPr>
      <w:r w:rsidRPr="005C5E32">
        <w:t>Restrictions</w:t>
      </w:r>
    </w:p>
    <w:p w14:paraId="16DCB0F0" w14:textId="77777777" w:rsidR="00D06CB2" w:rsidRPr="005C5E32" w:rsidRDefault="00D06CB2" w:rsidP="00A03341">
      <w:pPr>
        <w:pStyle w:val="BodyText"/>
        <w:spacing w:before="100" w:after="100"/>
      </w:pPr>
      <w:r w:rsidRPr="005C5E32">
        <w:rPr>
          <w:spacing w:val="-2"/>
        </w:rPr>
        <w:t>There are no restrictions over the title of the Ministry’s intangible assets, nor are any intangible</w:t>
      </w:r>
      <w:r w:rsidRPr="005C5E32">
        <w:t xml:space="preserve"> assets pledged as security for liabilities.</w:t>
      </w:r>
    </w:p>
    <w:p w14:paraId="2B7C94AC" w14:textId="77777777" w:rsidR="00D06CB2" w:rsidRPr="005C5E32" w:rsidRDefault="00D06CB2" w:rsidP="00A03341">
      <w:pPr>
        <w:pStyle w:val="Heading3"/>
        <w:tabs>
          <w:tab w:val="clear" w:pos="851"/>
          <w:tab w:val="left" w:pos="567"/>
        </w:tabs>
        <w:spacing w:before="320"/>
      </w:pPr>
      <w:bookmarkStart w:id="341" w:name="_Toc112144633"/>
      <w:r w:rsidRPr="005C5E32">
        <w:t>10.</w:t>
      </w:r>
      <w:r w:rsidRPr="005C5E32">
        <w:tab/>
        <w:t>Payables</w:t>
      </w:r>
      <w:bookmarkEnd w:id="341"/>
    </w:p>
    <w:p w14:paraId="656047C6" w14:textId="77777777" w:rsidR="00D06CB2" w:rsidRPr="005C5E32" w:rsidRDefault="00D06CB2" w:rsidP="00A03341">
      <w:pPr>
        <w:pStyle w:val="Heading4"/>
        <w:spacing w:before="180"/>
      </w:pPr>
      <w:r w:rsidRPr="005C5E32">
        <w:t>Accounting policy</w:t>
      </w:r>
    </w:p>
    <w:p w14:paraId="39AE6719" w14:textId="77777777" w:rsidR="00D06CB2" w:rsidRPr="005C5E32" w:rsidRDefault="00D06CB2" w:rsidP="00A03341">
      <w:pPr>
        <w:pStyle w:val="BodyText"/>
      </w:pPr>
      <w:r w:rsidRPr="005C5E32">
        <w:t xml:space="preserve">Payables are non-interest bearing and are normally settled within 30 days; therefore, payables are recorded at the amount payable to extinguish the liability. </w:t>
      </w:r>
    </w:p>
    <w:p w14:paraId="72B600B2" w14:textId="77777777" w:rsidR="00D06CB2" w:rsidRPr="005C5E32" w:rsidRDefault="00D06CB2" w:rsidP="00A03341">
      <w:pPr>
        <w:pStyle w:val="Heading5"/>
        <w:spacing w:after="180"/>
      </w:pPr>
      <w:r w:rsidRPr="005C5E32">
        <w:lastRenderedPageBreak/>
        <w:t>Breakdown of payables and further information</w:t>
      </w:r>
    </w:p>
    <w:tbl>
      <w:tblPr>
        <w:tblW w:w="8505" w:type="dxa"/>
        <w:tblBorders>
          <w:top w:val="nil"/>
          <w:left w:val="nil"/>
          <w:bottom w:val="nil"/>
          <w:right w:val="nil"/>
          <w:insideH w:val="nil"/>
          <w:insideV w:val="nil"/>
        </w:tblBorders>
        <w:tblLayout w:type="fixed"/>
        <w:tblCellMar>
          <w:left w:w="85" w:type="dxa"/>
          <w:right w:w="113" w:type="dxa"/>
        </w:tblCellMar>
        <w:tblLook w:val="01E0" w:firstRow="1" w:lastRow="1" w:firstColumn="1" w:lastColumn="1" w:noHBand="0" w:noVBand="0"/>
      </w:tblPr>
      <w:tblGrid>
        <w:gridCol w:w="4613"/>
        <w:gridCol w:w="2575"/>
        <w:gridCol w:w="1317"/>
      </w:tblGrid>
      <w:tr w:rsidR="00D06CB2" w:rsidRPr="005C5E32" w14:paraId="0481165D" w14:textId="77777777">
        <w:tc>
          <w:tcPr>
            <w:tcW w:w="7802" w:type="dxa"/>
            <w:gridSpan w:val="2"/>
            <w:tcBorders>
              <w:top w:val="single" w:sz="8" w:space="0" w:color="0E7C7E"/>
              <w:bottom w:val="single" w:sz="2" w:space="0" w:color="000000" w:themeColor="text1"/>
            </w:tcBorders>
            <w:vAlign w:val="bottom"/>
          </w:tcPr>
          <w:p w14:paraId="4B45ABF8" w14:textId="77777777" w:rsidR="00D06CB2" w:rsidRPr="005C5E32" w:rsidRDefault="00D06CB2" w:rsidP="001F0A21">
            <w:pPr>
              <w:pStyle w:val="TableboldGreen"/>
              <w:keepNext/>
              <w:spacing w:before="30" w:after="30" w:line="230" w:lineRule="atLeast"/>
              <w:jc w:val="right"/>
            </w:pPr>
            <w:r w:rsidRPr="005C5E32">
              <w:t>2024/25</w:t>
            </w:r>
            <w:r w:rsidRPr="005C5E32">
              <w:br/>
              <w:t>Actual</w:t>
            </w:r>
            <w:r w:rsidRPr="005C5E32">
              <w:br/>
              <w:t>$000</w:t>
            </w:r>
          </w:p>
        </w:tc>
        <w:tc>
          <w:tcPr>
            <w:tcW w:w="1417" w:type="dxa"/>
            <w:tcBorders>
              <w:top w:val="single" w:sz="8" w:space="0" w:color="0E7C7E"/>
              <w:bottom w:val="single" w:sz="2" w:space="0" w:color="000000" w:themeColor="text1"/>
            </w:tcBorders>
            <w:shd w:val="clear" w:color="auto" w:fill="E7F2F2"/>
            <w:vAlign w:val="bottom"/>
          </w:tcPr>
          <w:p w14:paraId="4AE313F2" w14:textId="77777777" w:rsidR="00D06CB2" w:rsidRPr="005C5E32" w:rsidRDefault="00D06CB2" w:rsidP="001F0A21">
            <w:pPr>
              <w:pStyle w:val="TableboldGreen"/>
              <w:keepNext/>
              <w:spacing w:before="30" w:after="30" w:line="230" w:lineRule="atLeast"/>
              <w:jc w:val="right"/>
            </w:pPr>
            <w:r w:rsidRPr="005C5E32">
              <w:t>2025/26</w:t>
            </w:r>
            <w:r w:rsidRPr="005C5E32">
              <w:br/>
              <w:t>Actual</w:t>
            </w:r>
            <w:r w:rsidRPr="005C5E32">
              <w:br/>
              <w:t>$000</w:t>
            </w:r>
          </w:p>
        </w:tc>
      </w:tr>
      <w:tr w:rsidR="00D06CB2" w:rsidRPr="005C5E32" w14:paraId="5CD88AFA" w14:textId="77777777">
        <w:tc>
          <w:tcPr>
            <w:tcW w:w="5013" w:type="dxa"/>
            <w:tcBorders>
              <w:top w:val="single" w:sz="2" w:space="0" w:color="000000" w:themeColor="text1"/>
            </w:tcBorders>
          </w:tcPr>
          <w:p w14:paraId="6743B364" w14:textId="77777777" w:rsidR="00D06CB2" w:rsidRPr="005C5E32" w:rsidRDefault="00D06CB2" w:rsidP="001F0A21">
            <w:pPr>
              <w:pStyle w:val="TableboldGreen"/>
              <w:keepNext/>
              <w:spacing w:before="30" w:after="30" w:line="230" w:lineRule="atLeast"/>
            </w:pPr>
            <w:r w:rsidRPr="005C5E32">
              <w:t>Payables under exchange transactions</w:t>
            </w:r>
          </w:p>
        </w:tc>
        <w:tc>
          <w:tcPr>
            <w:tcW w:w="2789" w:type="dxa"/>
            <w:tcBorders>
              <w:top w:val="single" w:sz="2" w:space="0" w:color="000000" w:themeColor="text1"/>
            </w:tcBorders>
          </w:tcPr>
          <w:p w14:paraId="2B45F9B7" w14:textId="77777777" w:rsidR="00D06CB2" w:rsidRPr="005C5E32" w:rsidRDefault="00D06CB2" w:rsidP="001F0A21">
            <w:pPr>
              <w:pStyle w:val="TableText"/>
              <w:keepNext/>
              <w:spacing w:before="30" w:after="30" w:line="230" w:lineRule="atLeast"/>
              <w:jc w:val="right"/>
            </w:pPr>
          </w:p>
        </w:tc>
        <w:tc>
          <w:tcPr>
            <w:tcW w:w="1417" w:type="dxa"/>
            <w:vMerge w:val="restart"/>
            <w:tcBorders>
              <w:top w:val="single" w:sz="2" w:space="0" w:color="000000" w:themeColor="text1"/>
            </w:tcBorders>
            <w:shd w:val="clear" w:color="auto" w:fill="E7F2F2"/>
            <w:vAlign w:val="bottom"/>
          </w:tcPr>
          <w:p w14:paraId="3689BB05" w14:textId="77777777" w:rsidR="00D06CB2" w:rsidRPr="005C5E32" w:rsidRDefault="00D06CB2" w:rsidP="001F0A21">
            <w:pPr>
              <w:pStyle w:val="TableText"/>
              <w:keepNext/>
              <w:spacing w:before="30" w:after="30" w:line="230" w:lineRule="atLeast"/>
              <w:jc w:val="right"/>
            </w:pPr>
            <w:r w:rsidRPr="005C5E32">
              <w:t>857</w:t>
            </w:r>
          </w:p>
        </w:tc>
      </w:tr>
      <w:tr w:rsidR="00D06CB2" w:rsidRPr="005C5E32" w14:paraId="02918C4C" w14:textId="77777777">
        <w:tc>
          <w:tcPr>
            <w:tcW w:w="5013" w:type="dxa"/>
            <w:tcBorders>
              <w:bottom w:val="single" w:sz="2" w:space="0" w:color="58595B"/>
            </w:tcBorders>
          </w:tcPr>
          <w:p w14:paraId="7A5882B1" w14:textId="77777777" w:rsidR="00D06CB2" w:rsidRPr="005C5E32" w:rsidRDefault="00D06CB2">
            <w:pPr>
              <w:pStyle w:val="TableText"/>
              <w:spacing w:before="0" w:after="30" w:line="230" w:lineRule="atLeast"/>
            </w:pPr>
            <w:r w:rsidRPr="005C5E32">
              <w:t>Creditors</w:t>
            </w:r>
          </w:p>
        </w:tc>
        <w:tc>
          <w:tcPr>
            <w:tcW w:w="2789" w:type="dxa"/>
            <w:tcBorders>
              <w:bottom w:val="single" w:sz="2" w:space="0" w:color="58595B"/>
            </w:tcBorders>
          </w:tcPr>
          <w:p w14:paraId="309AB364" w14:textId="77777777" w:rsidR="00D06CB2" w:rsidRPr="005C5E32" w:rsidRDefault="00D06CB2">
            <w:pPr>
              <w:pStyle w:val="TableText"/>
              <w:spacing w:before="0" w:after="30" w:line="230" w:lineRule="atLeast"/>
              <w:jc w:val="right"/>
              <w:rPr>
                <w:szCs w:val="18"/>
              </w:rPr>
            </w:pPr>
            <w:r w:rsidRPr="005C5E32">
              <w:rPr>
                <w:szCs w:val="18"/>
              </w:rPr>
              <w:t>5,693</w:t>
            </w:r>
          </w:p>
        </w:tc>
        <w:tc>
          <w:tcPr>
            <w:tcW w:w="1417" w:type="dxa"/>
            <w:vMerge/>
            <w:shd w:val="clear" w:color="auto" w:fill="E7F2F2"/>
          </w:tcPr>
          <w:p w14:paraId="39E0DD2B" w14:textId="77777777" w:rsidR="00D06CB2" w:rsidRPr="005C5E32" w:rsidRDefault="00D06CB2">
            <w:pPr>
              <w:pStyle w:val="TableText"/>
              <w:spacing w:before="0" w:after="30" w:line="230" w:lineRule="atLeast"/>
              <w:jc w:val="right"/>
              <w:rPr>
                <w:highlight w:val="yellow"/>
              </w:rPr>
            </w:pPr>
          </w:p>
        </w:tc>
      </w:tr>
      <w:tr w:rsidR="00D06CB2" w:rsidRPr="005C5E32" w14:paraId="56A0C242" w14:textId="77777777">
        <w:tc>
          <w:tcPr>
            <w:tcW w:w="5013" w:type="dxa"/>
            <w:tcBorders>
              <w:top w:val="single" w:sz="2" w:space="0" w:color="58595B"/>
              <w:bottom w:val="single" w:sz="4" w:space="0" w:color="000000" w:themeColor="text1"/>
            </w:tcBorders>
          </w:tcPr>
          <w:p w14:paraId="24BFF2A3" w14:textId="77777777" w:rsidR="00D06CB2" w:rsidRPr="005C5E32" w:rsidRDefault="00D06CB2">
            <w:pPr>
              <w:pStyle w:val="TableText"/>
              <w:spacing w:before="30" w:after="30" w:line="230" w:lineRule="atLeast"/>
            </w:pPr>
            <w:r w:rsidRPr="005C5E32">
              <w:t>Accrued expenses</w:t>
            </w:r>
          </w:p>
        </w:tc>
        <w:tc>
          <w:tcPr>
            <w:tcW w:w="2789" w:type="dxa"/>
            <w:tcBorders>
              <w:top w:val="single" w:sz="2" w:space="0" w:color="58595B"/>
              <w:bottom w:val="single" w:sz="4" w:space="0" w:color="000000" w:themeColor="text1"/>
            </w:tcBorders>
          </w:tcPr>
          <w:p w14:paraId="72CC2571" w14:textId="77777777" w:rsidR="00D06CB2" w:rsidRPr="005C5E32" w:rsidRDefault="00D06CB2">
            <w:pPr>
              <w:pStyle w:val="TableText"/>
              <w:spacing w:before="30" w:after="30" w:line="230" w:lineRule="atLeast"/>
              <w:jc w:val="right"/>
            </w:pPr>
            <w:r w:rsidRPr="005C5E32">
              <w:t>6,937</w:t>
            </w:r>
          </w:p>
        </w:tc>
        <w:tc>
          <w:tcPr>
            <w:tcW w:w="1417" w:type="dxa"/>
            <w:tcBorders>
              <w:top w:val="single" w:sz="2" w:space="0" w:color="58595B"/>
              <w:bottom w:val="single" w:sz="4" w:space="0" w:color="000000" w:themeColor="text1"/>
            </w:tcBorders>
            <w:shd w:val="clear" w:color="auto" w:fill="E7F2F2"/>
          </w:tcPr>
          <w:p w14:paraId="1CC542CF" w14:textId="77777777" w:rsidR="00D06CB2" w:rsidRPr="005C5E32" w:rsidRDefault="00D06CB2">
            <w:pPr>
              <w:pStyle w:val="TableText"/>
              <w:spacing w:before="30" w:after="30" w:line="230" w:lineRule="atLeast"/>
              <w:jc w:val="right"/>
            </w:pPr>
            <w:r w:rsidRPr="005C5E32">
              <w:t>9,122</w:t>
            </w:r>
          </w:p>
        </w:tc>
      </w:tr>
      <w:tr w:rsidR="00D06CB2" w:rsidRPr="005C5E32" w14:paraId="483BA58F" w14:textId="77777777">
        <w:tc>
          <w:tcPr>
            <w:tcW w:w="5013" w:type="dxa"/>
            <w:tcBorders>
              <w:top w:val="single" w:sz="4" w:space="0" w:color="000000" w:themeColor="text1"/>
              <w:bottom w:val="single" w:sz="4" w:space="0" w:color="000000" w:themeColor="text1"/>
            </w:tcBorders>
          </w:tcPr>
          <w:p w14:paraId="70494D9E" w14:textId="77777777" w:rsidR="00D06CB2" w:rsidRPr="002B44A3" w:rsidRDefault="00D06CB2">
            <w:pPr>
              <w:pStyle w:val="TableText"/>
              <w:spacing w:before="30" w:after="30" w:line="230" w:lineRule="atLeast"/>
              <w:rPr>
                <w:b/>
              </w:rPr>
            </w:pPr>
            <w:r w:rsidRPr="002B44A3">
              <w:rPr>
                <w:b/>
              </w:rPr>
              <w:t>Total payables under exchange transactions</w:t>
            </w:r>
          </w:p>
        </w:tc>
        <w:tc>
          <w:tcPr>
            <w:tcW w:w="2789" w:type="dxa"/>
            <w:tcBorders>
              <w:top w:val="single" w:sz="4" w:space="0" w:color="000000" w:themeColor="text1"/>
              <w:bottom w:val="single" w:sz="4" w:space="0" w:color="000000" w:themeColor="text1"/>
            </w:tcBorders>
          </w:tcPr>
          <w:p w14:paraId="473398F7" w14:textId="77777777" w:rsidR="00D06CB2" w:rsidRPr="002B44A3" w:rsidRDefault="00D06CB2">
            <w:pPr>
              <w:pStyle w:val="TableText"/>
              <w:spacing w:before="30" w:after="30" w:line="230" w:lineRule="atLeast"/>
              <w:jc w:val="right"/>
              <w:rPr>
                <w:b/>
              </w:rPr>
            </w:pPr>
            <w:r w:rsidRPr="002B44A3">
              <w:rPr>
                <w:b/>
              </w:rPr>
              <w:t>12,630</w:t>
            </w:r>
          </w:p>
        </w:tc>
        <w:tc>
          <w:tcPr>
            <w:tcW w:w="1417" w:type="dxa"/>
            <w:tcBorders>
              <w:top w:val="single" w:sz="4" w:space="0" w:color="000000" w:themeColor="text1"/>
              <w:bottom w:val="single" w:sz="4" w:space="0" w:color="000000" w:themeColor="text1"/>
            </w:tcBorders>
            <w:shd w:val="clear" w:color="auto" w:fill="E7F2F2"/>
          </w:tcPr>
          <w:p w14:paraId="21800B3B" w14:textId="77777777" w:rsidR="00D06CB2" w:rsidRPr="002B44A3" w:rsidRDefault="00D06CB2">
            <w:pPr>
              <w:pStyle w:val="TableText"/>
              <w:spacing w:before="30" w:after="30" w:line="230" w:lineRule="atLeast"/>
              <w:jc w:val="right"/>
              <w:rPr>
                <w:b/>
              </w:rPr>
            </w:pPr>
            <w:r w:rsidRPr="002B44A3">
              <w:rPr>
                <w:b/>
              </w:rPr>
              <w:t>9,979</w:t>
            </w:r>
          </w:p>
        </w:tc>
      </w:tr>
      <w:tr w:rsidR="00D06CB2" w:rsidRPr="005C5E32" w14:paraId="24E31415" w14:textId="77777777">
        <w:tc>
          <w:tcPr>
            <w:tcW w:w="5013" w:type="dxa"/>
            <w:tcBorders>
              <w:top w:val="single" w:sz="4" w:space="0" w:color="000000" w:themeColor="text1"/>
            </w:tcBorders>
          </w:tcPr>
          <w:p w14:paraId="334B3199" w14:textId="77777777" w:rsidR="00D06CB2" w:rsidRPr="005C5E32" w:rsidRDefault="00D06CB2">
            <w:pPr>
              <w:pStyle w:val="TableboldGreen"/>
              <w:spacing w:before="30" w:after="30" w:line="230" w:lineRule="atLeast"/>
            </w:pPr>
            <w:r w:rsidRPr="005C5E32">
              <w:t>Payables under non-exchange transactions</w:t>
            </w:r>
          </w:p>
        </w:tc>
        <w:tc>
          <w:tcPr>
            <w:tcW w:w="2789" w:type="dxa"/>
            <w:tcBorders>
              <w:top w:val="single" w:sz="4" w:space="0" w:color="000000" w:themeColor="text1"/>
            </w:tcBorders>
          </w:tcPr>
          <w:p w14:paraId="66BA7B78" w14:textId="77777777" w:rsidR="00D06CB2" w:rsidRPr="005C5E32" w:rsidRDefault="00D06CB2">
            <w:pPr>
              <w:pStyle w:val="TableText"/>
              <w:spacing w:before="30" w:after="30" w:line="230" w:lineRule="atLeast"/>
              <w:jc w:val="right"/>
            </w:pPr>
          </w:p>
        </w:tc>
        <w:tc>
          <w:tcPr>
            <w:tcW w:w="1417" w:type="dxa"/>
            <w:vMerge w:val="restart"/>
            <w:tcBorders>
              <w:top w:val="single" w:sz="4" w:space="0" w:color="000000" w:themeColor="text1"/>
            </w:tcBorders>
            <w:shd w:val="clear" w:color="auto" w:fill="E7F2F2"/>
            <w:vAlign w:val="bottom"/>
          </w:tcPr>
          <w:p w14:paraId="1B1F8FF9" w14:textId="77777777" w:rsidR="00D06CB2" w:rsidRPr="005C5E32" w:rsidRDefault="00D06CB2">
            <w:pPr>
              <w:pStyle w:val="TableText"/>
              <w:spacing w:before="30" w:after="30" w:line="230" w:lineRule="atLeast"/>
              <w:jc w:val="right"/>
            </w:pPr>
            <w:r w:rsidRPr="005C5E32">
              <w:t>528</w:t>
            </w:r>
          </w:p>
        </w:tc>
      </w:tr>
      <w:tr w:rsidR="00D06CB2" w:rsidRPr="005C5E32" w14:paraId="5EC1535B" w14:textId="77777777">
        <w:tc>
          <w:tcPr>
            <w:tcW w:w="5013" w:type="dxa"/>
            <w:tcBorders>
              <w:bottom w:val="single" w:sz="4" w:space="0" w:color="58595B"/>
            </w:tcBorders>
          </w:tcPr>
          <w:p w14:paraId="36862E30" w14:textId="77777777" w:rsidR="00D06CB2" w:rsidRPr="005C5E32" w:rsidRDefault="00D06CB2">
            <w:pPr>
              <w:pStyle w:val="TableText"/>
              <w:spacing w:before="0" w:after="30" w:line="230" w:lineRule="atLeast"/>
            </w:pPr>
            <w:r w:rsidRPr="005C5E32">
              <w:t>GST payable</w:t>
            </w:r>
          </w:p>
        </w:tc>
        <w:tc>
          <w:tcPr>
            <w:tcW w:w="2789" w:type="dxa"/>
            <w:tcBorders>
              <w:bottom w:val="single" w:sz="4" w:space="0" w:color="58595B"/>
            </w:tcBorders>
          </w:tcPr>
          <w:p w14:paraId="54A6C8FE" w14:textId="77777777" w:rsidR="00D06CB2" w:rsidRPr="005C5E32" w:rsidRDefault="00D06CB2">
            <w:pPr>
              <w:pStyle w:val="TableText"/>
              <w:spacing w:before="0" w:after="30" w:line="230" w:lineRule="atLeast"/>
              <w:jc w:val="right"/>
              <w:rPr>
                <w:szCs w:val="18"/>
              </w:rPr>
            </w:pPr>
            <w:r w:rsidRPr="005C5E32">
              <w:rPr>
                <w:szCs w:val="18"/>
              </w:rPr>
              <w:t>804</w:t>
            </w:r>
          </w:p>
        </w:tc>
        <w:tc>
          <w:tcPr>
            <w:tcW w:w="1417" w:type="dxa"/>
            <w:vMerge/>
            <w:tcBorders>
              <w:bottom w:val="single" w:sz="4" w:space="0" w:color="58595B"/>
            </w:tcBorders>
            <w:shd w:val="clear" w:color="auto" w:fill="E7F2F2"/>
          </w:tcPr>
          <w:p w14:paraId="1D79A526" w14:textId="77777777" w:rsidR="00D06CB2" w:rsidRPr="005C5E32" w:rsidRDefault="00D06CB2">
            <w:pPr>
              <w:pStyle w:val="TableText"/>
              <w:spacing w:before="0" w:after="30" w:line="230" w:lineRule="atLeast"/>
              <w:jc w:val="right"/>
              <w:rPr>
                <w:highlight w:val="yellow"/>
              </w:rPr>
            </w:pPr>
          </w:p>
        </w:tc>
      </w:tr>
      <w:tr w:rsidR="00D06CB2" w:rsidRPr="005C5E32" w14:paraId="7061E829" w14:textId="77777777">
        <w:tc>
          <w:tcPr>
            <w:tcW w:w="5013" w:type="dxa"/>
            <w:tcBorders>
              <w:top w:val="single" w:sz="4" w:space="0" w:color="58595B"/>
              <w:bottom w:val="single" w:sz="4" w:space="0" w:color="58595B"/>
            </w:tcBorders>
          </w:tcPr>
          <w:p w14:paraId="39A7BEDF" w14:textId="77777777" w:rsidR="00D06CB2" w:rsidRPr="005C5E32" w:rsidRDefault="00D06CB2">
            <w:pPr>
              <w:pStyle w:val="TableTextbold"/>
              <w:spacing w:before="30" w:after="30" w:line="230" w:lineRule="atLeast"/>
            </w:pPr>
            <w:r w:rsidRPr="005C5E32">
              <w:t>Total payables</w:t>
            </w:r>
          </w:p>
        </w:tc>
        <w:tc>
          <w:tcPr>
            <w:tcW w:w="2789" w:type="dxa"/>
            <w:tcBorders>
              <w:top w:val="single" w:sz="4" w:space="0" w:color="58595B"/>
              <w:bottom w:val="single" w:sz="4" w:space="0" w:color="58595B"/>
            </w:tcBorders>
          </w:tcPr>
          <w:p w14:paraId="735251AB" w14:textId="77777777" w:rsidR="00D06CB2" w:rsidRPr="005C5E32" w:rsidRDefault="00D06CB2">
            <w:pPr>
              <w:pStyle w:val="TableTextbold"/>
              <w:spacing w:before="30" w:after="30" w:line="230" w:lineRule="atLeast"/>
              <w:jc w:val="right"/>
            </w:pPr>
            <w:r w:rsidRPr="005C5E32">
              <w:t>13,434</w:t>
            </w:r>
          </w:p>
        </w:tc>
        <w:tc>
          <w:tcPr>
            <w:tcW w:w="1417" w:type="dxa"/>
            <w:tcBorders>
              <w:top w:val="single" w:sz="4" w:space="0" w:color="58595B"/>
              <w:bottom w:val="single" w:sz="4" w:space="0" w:color="58595B"/>
            </w:tcBorders>
            <w:shd w:val="clear" w:color="auto" w:fill="E7F2F2"/>
          </w:tcPr>
          <w:p w14:paraId="3813F319" w14:textId="77777777" w:rsidR="00D06CB2" w:rsidRPr="005C5E32" w:rsidRDefault="00D06CB2">
            <w:pPr>
              <w:pStyle w:val="TableTextbold"/>
              <w:spacing w:before="30" w:after="30" w:line="230" w:lineRule="atLeast"/>
              <w:jc w:val="right"/>
            </w:pPr>
            <w:r w:rsidRPr="005C5E32">
              <w:t>10,507</w:t>
            </w:r>
          </w:p>
        </w:tc>
      </w:tr>
    </w:tbl>
    <w:p w14:paraId="7714642D" w14:textId="77777777" w:rsidR="00D06CB2" w:rsidRPr="005C5E32" w:rsidRDefault="00D06CB2" w:rsidP="00A03341">
      <w:pPr>
        <w:pStyle w:val="Heading3"/>
        <w:tabs>
          <w:tab w:val="clear" w:pos="851"/>
          <w:tab w:val="left" w:pos="567"/>
        </w:tabs>
        <w:spacing w:before="440" w:after="240"/>
      </w:pPr>
      <w:bookmarkStart w:id="342" w:name="_Toc112144634"/>
      <w:r w:rsidRPr="005C5E32">
        <w:t>11.</w:t>
      </w:r>
      <w:r w:rsidRPr="005C5E32">
        <w:tab/>
        <w:t>Return of operating surplus</w:t>
      </w:r>
      <w:bookmarkEnd w:id="342"/>
    </w:p>
    <w:tbl>
      <w:tblPr>
        <w:tblW w:w="8505" w:type="dxa"/>
        <w:tblInd w:w="-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246"/>
        <w:gridCol w:w="2944"/>
        <w:gridCol w:w="1315"/>
      </w:tblGrid>
      <w:tr w:rsidR="00D06CB2" w:rsidRPr="005C5E32" w14:paraId="2DF37CD5" w14:textId="77777777">
        <w:trPr>
          <w:trHeight w:val="20"/>
        </w:trPr>
        <w:tc>
          <w:tcPr>
            <w:tcW w:w="7190" w:type="dxa"/>
            <w:gridSpan w:val="2"/>
            <w:tcBorders>
              <w:top w:val="single" w:sz="8" w:space="0" w:color="0E7C7E"/>
              <w:left w:val="nil"/>
              <w:bottom w:val="single" w:sz="2" w:space="0" w:color="58595B"/>
            </w:tcBorders>
            <w:vAlign w:val="bottom"/>
          </w:tcPr>
          <w:p w14:paraId="64541924" w14:textId="77777777" w:rsidR="00D06CB2" w:rsidRPr="005C5E32" w:rsidRDefault="00D06CB2">
            <w:pPr>
              <w:pStyle w:val="TableboldGreen"/>
              <w:spacing w:before="30" w:after="30" w:line="230" w:lineRule="atLeast"/>
              <w:jc w:val="right"/>
              <w:rPr>
                <w:rFonts w:cstheme="minorHAnsi"/>
              </w:rPr>
            </w:pPr>
            <w:r w:rsidRPr="005C5E32">
              <w:t>2024/25</w:t>
            </w:r>
            <w:r w:rsidRPr="005C5E32">
              <w:br/>
            </w:r>
            <w:r w:rsidRPr="005C5E32">
              <w:rPr>
                <w:rFonts w:cstheme="minorHAnsi"/>
              </w:rPr>
              <w:t>Actual</w:t>
            </w:r>
            <w:r w:rsidRPr="005C5E32">
              <w:rPr>
                <w:rFonts w:cstheme="minorHAnsi"/>
              </w:rPr>
              <w:br/>
              <w:t>$000</w:t>
            </w:r>
          </w:p>
        </w:tc>
        <w:tc>
          <w:tcPr>
            <w:tcW w:w="1315" w:type="dxa"/>
            <w:tcBorders>
              <w:top w:val="single" w:sz="8" w:space="0" w:color="0E7C7E"/>
              <w:bottom w:val="single" w:sz="2" w:space="0" w:color="58595B"/>
              <w:right w:val="nil"/>
            </w:tcBorders>
            <w:shd w:val="clear" w:color="auto" w:fill="E7F2F2"/>
            <w:vAlign w:val="bottom"/>
          </w:tcPr>
          <w:p w14:paraId="09557198" w14:textId="77777777" w:rsidR="00D06CB2" w:rsidRPr="005C5E32" w:rsidRDefault="00D06CB2">
            <w:pPr>
              <w:pStyle w:val="TableboldGreen"/>
              <w:spacing w:before="30" w:after="30" w:line="230" w:lineRule="atLeast"/>
              <w:jc w:val="right"/>
              <w:rPr>
                <w:rFonts w:cstheme="minorHAnsi"/>
              </w:rPr>
            </w:pPr>
            <w:r w:rsidRPr="005C5E32">
              <w:t>2025/26</w:t>
            </w:r>
            <w:r w:rsidRPr="005C5E32">
              <w:br/>
            </w:r>
            <w:r w:rsidRPr="005C5E32">
              <w:rPr>
                <w:rFonts w:cstheme="minorHAnsi"/>
              </w:rPr>
              <w:t>Actual</w:t>
            </w:r>
            <w:r w:rsidRPr="005C5E32">
              <w:rPr>
                <w:rFonts w:cstheme="minorHAnsi"/>
              </w:rPr>
              <w:br/>
              <w:t>$000</w:t>
            </w:r>
          </w:p>
        </w:tc>
      </w:tr>
      <w:tr w:rsidR="00D06CB2" w:rsidRPr="005C5E32" w14:paraId="5DE4B896" w14:textId="77777777">
        <w:trPr>
          <w:trHeight w:val="20"/>
        </w:trPr>
        <w:tc>
          <w:tcPr>
            <w:tcW w:w="4246" w:type="dxa"/>
            <w:tcBorders>
              <w:top w:val="single" w:sz="2" w:space="0" w:color="58595B"/>
              <w:left w:val="nil"/>
              <w:bottom w:val="single" w:sz="4" w:space="0" w:color="000000" w:themeColor="text1"/>
            </w:tcBorders>
          </w:tcPr>
          <w:p w14:paraId="7108BC16" w14:textId="77777777" w:rsidR="00D06CB2" w:rsidRPr="005C5E32" w:rsidRDefault="00D06CB2">
            <w:pPr>
              <w:pStyle w:val="TableText"/>
              <w:spacing w:before="30" w:after="30" w:line="230" w:lineRule="atLeast"/>
            </w:pPr>
            <w:r w:rsidRPr="005C5E32">
              <w:t>Net surplus</w:t>
            </w:r>
          </w:p>
        </w:tc>
        <w:tc>
          <w:tcPr>
            <w:tcW w:w="2944" w:type="dxa"/>
            <w:tcBorders>
              <w:top w:val="single" w:sz="2" w:space="0" w:color="58595B"/>
              <w:bottom w:val="single" w:sz="4" w:space="0" w:color="000000" w:themeColor="text1"/>
            </w:tcBorders>
          </w:tcPr>
          <w:p w14:paraId="7724877C" w14:textId="77777777" w:rsidR="00D06CB2" w:rsidRPr="005C5E32" w:rsidRDefault="00D06CB2">
            <w:pPr>
              <w:pStyle w:val="TableText"/>
              <w:spacing w:before="30" w:after="30" w:line="230" w:lineRule="atLeast"/>
              <w:jc w:val="right"/>
              <w:rPr>
                <w:szCs w:val="18"/>
              </w:rPr>
            </w:pPr>
            <w:r w:rsidRPr="005C5E32">
              <w:rPr>
                <w:szCs w:val="18"/>
              </w:rPr>
              <w:t>10,166</w:t>
            </w:r>
          </w:p>
        </w:tc>
        <w:tc>
          <w:tcPr>
            <w:tcW w:w="1315" w:type="dxa"/>
            <w:tcBorders>
              <w:top w:val="single" w:sz="2" w:space="0" w:color="58595B"/>
              <w:bottom w:val="single" w:sz="4" w:space="0" w:color="000000" w:themeColor="text1"/>
              <w:right w:val="nil"/>
            </w:tcBorders>
            <w:shd w:val="clear" w:color="auto" w:fill="E7F2F2"/>
          </w:tcPr>
          <w:p w14:paraId="4F6E84AD" w14:textId="77777777" w:rsidR="00D06CB2" w:rsidRPr="005C5E32" w:rsidRDefault="00D06CB2">
            <w:pPr>
              <w:pStyle w:val="TableText"/>
              <w:spacing w:before="30" w:after="30" w:line="230" w:lineRule="atLeast"/>
              <w:jc w:val="right"/>
              <w:rPr>
                <w:szCs w:val="18"/>
              </w:rPr>
            </w:pPr>
            <w:r w:rsidRPr="005C5E32">
              <w:rPr>
                <w:szCs w:val="18"/>
              </w:rPr>
              <w:t>18,309</w:t>
            </w:r>
          </w:p>
        </w:tc>
      </w:tr>
      <w:tr w:rsidR="00D06CB2" w:rsidRPr="005C5E32" w14:paraId="4395FA0E" w14:textId="77777777">
        <w:trPr>
          <w:trHeight w:val="20"/>
        </w:trPr>
        <w:tc>
          <w:tcPr>
            <w:tcW w:w="4246" w:type="dxa"/>
            <w:tcBorders>
              <w:top w:val="single" w:sz="4" w:space="0" w:color="000000" w:themeColor="text1"/>
              <w:left w:val="nil"/>
              <w:bottom w:val="single" w:sz="4" w:space="0" w:color="000000" w:themeColor="text1"/>
            </w:tcBorders>
          </w:tcPr>
          <w:p w14:paraId="2A8A473B" w14:textId="77777777" w:rsidR="00D06CB2" w:rsidRPr="00064AD6" w:rsidRDefault="00D06CB2">
            <w:pPr>
              <w:pStyle w:val="TableText"/>
              <w:spacing w:before="30" w:after="30" w:line="230" w:lineRule="atLeast"/>
              <w:rPr>
                <w:b/>
              </w:rPr>
            </w:pPr>
            <w:r w:rsidRPr="00064AD6">
              <w:rPr>
                <w:b/>
              </w:rPr>
              <w:t>Total return of operating surplus</w:t>
            </w:r>
          </w:p>
        </w:tc>
        <w:tc>
          <w:tcPr>
            <w:tcW w:w="2944" w:type="dxa"/>
            <w:tcBorders>
              <w:top w:val="single" w:sz="4" w:space="0" w:color="000000" w:themeColor="text1"/>
              <w:bottom w:val="single" w:sz="4" w:space="0" w:color="000000" w:themeColor="text1"/>
            </w:tcBorders>
          </w:tcPr>
          <w:p w14:paraId="15DB7C20" w14:textId="77777777" w:rsidR="00D06CB2" w:rsidRPr="00064AD6" w:rsidRDefault="00D06CB2">
            <w:pPr>
              <w:pStyle w:val="TableText"/>
              <w:spacing w:before="30" w:after="30" w:line="230" w:lineRule="atLeast"/>
              <w:jc w:val="right"/>
              <w:rPr>
                <w:b/>
                <w:szCs w:val="18"/>
              </w:rPr>
            </w:pPr>
            <w:r w:rsidRPr="00064AD6">
              <w:rPr>
                <w:b/>
                <w:szCs w:val="18"/>
              </w:rPr>
              <w:t>10,166</w:t>
            </w:r>
          </w:p>
        </w:tc>
        <w:tc>
          <w:tcPr>
            <w:tcW w:w="1315" w:type="dxa"/>
            <w:tcBorders>
              <w:top w:val="single" w:sz="4" w:space="0" w:color="000000" w:themeColor="text1"/>
              <w:bottom w:val="single" w:sz="4" w:space="0" w:color="000000" w:themeColor="text1"/>
              <w:right w:val="nil"/>
            </w:tcBorders>
            <w:shd w:val="clear" w:color="auto" w:fill="E7F2F2"/>
          </w:tcPr>
          <w:p w14:paraId="20359B5D" w14:textId="77777777" w:rsidR="00D06CB2" w:rsidRPr="00064AD6" w:rsidRDefault="00D06CB2">
            <w:pPr>
              <w:pStyle w:val="TableText"/>
              <w:spacing w:before="30" w:after="30" w:line="230" w:lineRule="atLeast"/>
              <w:jc w:val="right"/>
              <w:rPr>
                <w:b/>
                <w:szCs w:val="18"/>
              </w:rPr>
            </w:pPr>
            <w:r w:rsidRPr="00064AD6">
              <w:rPr>
                <w:b/>
                <w:szCs w:val="18"/>
              </w:rPr>
              <w:t>18,309</w:t>
            </w:r>
          </w:p>
        </w:tc>
      </w:tr>
    </w:tbl>
    <w:p w14:paraId="6BA6B88F" w14:textId="77777777" w:rsidR="00D06CB2" w:rsidRPr="005C5E32" w:rsidRDefault="00D06CB2" w:rsidP="00A03341">
      <w:pPr>
        <w:pStyle w:val="Heading5"/>
        <w:spacing w:before="360" w:after="180"/>
      </w:pPr>
      <w:bookmarkStart w:id="343" w:name="_Toc112144635"/>
      <w:r w:rsidRPr="005C5E32">
        <w:t xml:space="preserve">Explanation of underspend </w:t>
      </w:r>
    </w:p>
    <w:p w14:paraId="76033F1B" w14:textId="5E24EF2E" w:rsidR="00D06CB2" w:rsidRPr="005C5E32" w:rsidRDefault="00D06CB2" w:rsidP="00A03341">
      <w:pPr>
        <w:pStyle w:val="Bullet"/>
      </w:pPr>
      <w:r w:rsidRPr="005C5E32">
        <w:t xml:space="preserve">$8.4 million of underspend has been allocated to in-principle expense transfers to 2026/27 to support the </w:t>
      </w:r>
      <w:r w:rsidR="005B23D4" w:rsidRPr="005C5E32">
        <w:t>p</w:t>
      </w:r>
      <w:r w:rsidRPr="005C5E32">
        <w:t>lann</w:t>
      </w:r>
      <w:r w:rsidR="002F4528" w:rsidRPr="005C5E32">
        <w:t>ing</w:t>
      </w:r>
      <w:r w:rsidRPr="005C5E32">
        <w:t xml:space="preserve"> </w:t>
      </w:r>
      <w:r w:rsidR="005B23D4" w:rsidRPr="005C5E32">
        <w:t>s</w:t>
      </w:r>
      <w:r w:rsidRPr="005C5E32">
        <w:t xml:space="preserve">ystem </w:t>
      </w:r>
      <w:r w:rsidR="005B23D4" w:rsidRPr="005C5E32">
        <w:t>t</w:t>
      </w:r>
      <w:r w:rsidRPr="005C5E32">
        <w:t xml:space="preserve">ransformation </w:t>
      </w:r>
      <w:r w:rsidR="005B23D4" w:rsidRPr="005C5E32">
        <w:t>p</w:t>
      </w:r>
      <w:r w:rsidRPr="005C5E32">
        <w:t>rogramme.</w:t>
      </w:r>
      <w:r w:rsidR="005B7E42" w:rsidRPr="005C5E32">
        <w:t xml:space="preserve"> </w:t>
      </w:r>
    </w:p>
    <w:p w14:paraId="5A3AA10F" w14:textId="79AC55C0" w:rsidR="007F02C1" w:rsidRPr="005C5E32" w:rsidRDefault="00863F4F" w:rsidP="00A03341">
      <w:pPr>
        <w:pStyle w:val="Bullet"/>
      </w:pPr>
      <w:r w:rsidRPr="005C5E32">
        <w:t xml:space="preserve">$1.0 million of </w:t>
      </w:r>
      <w:r w:rsidR="00AF1C89" w:rsidRPr="005C5E32">
        <w:t>underspend has been allocated to in-principle ex</w:t>
      </w:r>
      <w:r w:rsidR="00135748" w:rsidRPr="005C5E32">
        <w:t xml:space="preserve">pense transfers to 2026/27 to </w:t>
      </w:r>
      <w:r w:rsidR="003B6D2B" w:rsidRPr="005C5E32">
        <w:t xml:space="preserve">support </w:t>
      </w:r>
      <w:r w:rsidR="00C71ED4" w:rsidRPr="005C5E32">
        <w:t>f</w:t>
      </w:r>
      <w:r w:rsidR="003B6D2B" w:rsidRPr="005C5E32">
        <w:t xml:space="preserve">reshwater </w:t>
      </w:r>
      <w:r w:rsidR="00C71ED4" w:rsidRPr="005C5E32">
        <w:t>f</w:t>
      </w:r>
      <w:r w:rsidR="003B6D2B" w:rsidRPr="005C5E32">
        <w:t xml:space="preserve">arm </w:t>
      </w:r>
      <w:r w:rsidR="005C64DC" w:rsidRPr="005C5E32">
        <w:t xml:space="preserve">plans. </w:t>
      </w:r>
    </w:p>
    <w:p w14:paraId="05726AB9" w14:textId="428F592E" w:rsidR="00D06CB2" w:rsidRPr="005C5E32" w:rsidRDefault="00D06CB2">
      <w:pPr>
        <w:pStyle w:val="Bullet"/>
        <w:numPr>
          <w:ilvl w:val="0"/>
          <w:numId w:val="0"/>
        </w:numPr>
      </w:pPr>
      <w:r w:rsidRPr="005C5E32">
        <w:rPr>
          <w:rFonts w:eastAsia="Segoe UI"/>
        </w:rPr>
        <w:t>The remaining underspend is attributable to factors across the Ministry, broadly driven by</w:t>
      </w:r>
      <w:r w:rsidR="00C77EB9" w:rsidRPr="005C5E32">
        <w:rPr>
          <w:rFonts w:eastAsia="Segoe UI"/>
        </w:rPr>
        <w:t> </w:t>
      </w:r>
      <w:r w:rsidRPr="005C5E32">
        <w:rPr>
          <w:rFonts w:eastAsia="Segoe UI"/>
        </w:rPr>
        <w:t>the momentum of planned expenditure, which was affected by recruitment timing and</w:t>
      </w:r>
      <w:r w:rsidR="00C77EB9" w:rsidRPr="005C5E32">
        <w:rPr>
          <w:rFonts w:eastAsia="Segoe UI"/>
        </w:rPr>
        <w:t> </w:t>
      </w:r>
      <w:r w:rsidRPr="005C5E32">
        <w:rPr>
          <w:rFonts w:eastAsia="Segoe UI"/>
        </w:rPr>
        <w:t>delays in programme delivery.</w:t>
      </w:r>
    </w:p>
    <w:p w14:paraId="1174E924" w14:textId="77777777" w:rsidR="00D06CB2" w:rsidRPr="005C5E32" w:rsidRDefault="00D06CB2" w:rsidP="00A03341">
      <w:pPr>
        <w:pStyle w:val="Heading3"/>
        <w:tabs>
          <w:tab w:val="clear" w:pos="851"/>
          <w:tab w:val="left" w:pos="567"/>
        </w:tabs>
      </w:pPr>
      <w:r w:rsidRPr="005C5E32">
        <w:t>12.</w:t>
      </w:r>
      <w:r w:rsidRPr="005C5E32">
        <w:tab/>
        <w:t>Provisions</w:t>
      </w:r>
      <w:bookmarkEnd w:id="343"/>
    </w:p>
    <w:p w14:paraId="4D20CAD1" w14:textId="77777777" w:rsidR="00D06CB2" w:rsidRPr="005C5E32" w:rsidRDefault="00D06CB2" w:rsidP="00A03341">
      <w:pPr>
        <w:pStyle w:val="Heading4"/>
        <w:spacing w:before="180"/>
      </w:pPr>
      <w:r w:rsidRPr="005C5E32">
        <w:t>Accounting policy</w:t>
      </w:r>
    </w:p>
    <w:p w14:paraId="7E118B5D" w14:textId="77777777" w:rsidR="00D06CB2" w:rsidRPr="005C5E32" w:rsidRDefault="00D06CB2" w:rsidP="00A03341">
      <w:pPr>
        <w:pStyle w:val="BodyText"/>
        <w:spacing w:after="100"/>
      </w:pPr>
      <w:r w:rsidRPr="005C5E32">
        <w:t>A provision is recognised for future expenditure of uncertain amount or timing when:</w:t>
      </w:r>
    </w:p>
    <w:p w14:paraId="021C6E04" w14:textId="77777777" w:rsidR="00D06CB2" w:rsidRPr="005C5E32" w:rsidRDefault="00D06CB2" w:rsidP="00A03341">
      <w:pPr>
        <w:pStyle w:val="Bullet"/>
        <w:spacing w:after="100"/>
      </w:pPr>
      <w:r w:rsidRPr="005C5E32">
        <w:t>there is a present obligation (either legal or constructive) as a result of a past event</w:t>
      </w:r>
    </w:p>
    <w:p w14:paraId="17B5536A" w14:textId="77777777" w:rsidR="00D06CB2" w:rsidRPr="005C5E32" w:rsidRDefault="00D06CB2" w:rsidP="00A03341">
      <w:pPr>
        <w:pStyle w:val="Bullet"/>
        <w:spacing w:after="100"/>
      </w:pPr>
      <w:r w:rsidRPr="005C5E32">
        <w:t>it is probable that an outflow of resources embodying economic benefits or service potential will be required to settle the obligation</w:t>
      </w:r>
    </w:p>
    <w:p w14:paraId="224DD9B0" w14:textId="77777777" w:rsidR="00D06CB2" w:rsidRPr="005C5E32" w:rsidRDefault="00D06CB2" w:rsidP="00A03341">
      <w:pPr>
        <w:pStyle w:val="Bullet"/>
        <w:spacing w:after="100"/>
      </w:pPr>
      <w:r w:rsidRPr="005C5E32">
        <w:t>a reliable estimate can be made of the amount of the obligation. Provisions are not recognised for net deficits from future operating activities.</w:t>
      </w:r>
    </w:p>
    <w:p w14:paraId="1FA4E6B1" w14:textId="5DD2393F" w:rsidR="00D06CB2" w:rsidRPr="005C5E32" w:rsidRDefault="00D06CB2" w:rsidP="00A03341">
      <w:pPr>
        <w:pStyle w:val="BodyText"/>
        <w:spacing w:after="100"/>
      </w:pPr>
      <w:r w:rsidRPr="005C5E32">
        <w:t>Provisions are measured at the present value of the expenditure expected to be required to</w:t>
      </w:r>
      <w:r w:rsidR="00C77EB9" w:rsidRPr="005C5E32">
        <w:t> </w:t>
      </w:r>
      <w:r w:rsidRPr="005C5E32">
        <w:t xml:space="preserve">settle the obligation. All provisions are considered current and have therefore not been discounted to reflect the time value of money. </w:t>
      </w:r>
    </w:p>
    <w:p w14:paraId="1432DF28" w14:textId="77777777" w:rsidR="00D06CB2" w:rsidRPr="005C5E32" w:rsidRDefault="00D06CB2" w:rsidP="00A03341">
      <w:pPr>
        <w:pStyle w:val="Heading5"/>
        <w:spacing w:after="180"/>
      </w:pPr>
      <w:r w:rsidRPr="005C5E32">
        <w:lastRenderedPageBreak/>
        <w:t>Breakdown of provisions and further information</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3887"/>
        <w:gridCol w:w="3302"/>
        <w:gridCol w:w="1316"/>
      </w:tblGrid>
      <w:tr w:rsidR="00D06CB2" w:rsidRPr="005C5E32" w14:paraId="694559D3" w14:textId="77777777">
        <w:trPr>
          <w:trHeight w:val="20"/>
        </w:trPr>
        <w:tc>
          <w:tcPr>
            <w:tcW w:w="7189" w:type="dxa"/>
            <w:gridSpan w:val="2"/>
            <w:tcBorders>
              <w:top w:val="single" w:sz="8" w:space="0" w:color="0E7C7E"/>
              <w:bottom w:val="single" w:sz="2" w:space="0" w:color="000000" w:themeColor="text1"/>
            </w:tcBorders>
            <w:vAlign w:val="bottom"/>
          </w:tcPr>
          <w:p w14:paraId="7EA7C69D" w14:textId="77777777" w:rsidR="00D06CB2" w:rsidRPr="005C5E32" w:rsidRDefault="00D06CB2">
            <w:pPr>
              <w:pStyle w:val="TableboldGreen"/>
              <w:spacing w:before="40" w:after="40" w:line="230" w:lineRule="atLeast"/>
              <w:jc w:val="right"/>
            </w:pPr>
            <w:r w:rsidRPr="005C5E32">
              <w:t>2024/25</w:t>
            </w:r>
            <w:r w:rsidRPr="005C5E32">
              <w:br/>
              <w:t>Actual</w:t>
            </w:r>
            <w:r w:rsidRPr="005C5E32">
              <w:br/>
              <w:t>$000</w:t>
            </w:r>
          </w:p>
        </w:tc>
        <w:tc>
          <w:tcPr>
            <w:tcW w:w="1316" w:type="dxa"/>
            <w:tcBorders>
              <w:top w:val="single" w:sz="8" w:space="0" w:color="0E7C7E"/>
              <w:bottom w:val="single" w:sz="2" w:space="0" w:color="000000" w:themeColor="text1"/>
            </w:tcBorders>
            <w:shd w:val="clear" w:color="auto" w:fill="E7F2F2"/>
            <w:vAlign w:val="bottom"/>
          </w:tcPr>
          <w:p w14:paraId="057B6103" w14:textId="77777777" w:rsidR="00D06CB2" w:rsidRPr="005C5E32" w:rsidRDefault="00D06CB2">
            <w:pPr>
              <w:pStyle w:val="TableboldGreen"/>
              <w:spacing w:before="40" w:after="40" w:line="230" w:lineRule="atLeast"/>
              <w:jc w:val="right"/>
            </w:pPr>
            <w:r w:rsidRPr="005C5E32">
              <w:t>2025/26</w:t>
            </w:r>
            <w:r w:rsidRPr="005C5E32">
              <w:br/>
              <w:t>Actual</w:t>
            </w:r>
            <w:r w:rsidRPr="005C5E32">
              <w:br/>
              <w:t>$000</w:t>
            </w:r>
          </w:p>
        </w:tc>
      </w:tr>
      <w:tr w:rsidR="00D06CB2" w:rsidRPr="005C5E32" w14:paraId="71FC911B" w14:textId="77777777">
        <w:trPr>
          <w:trHeight w:val="20"/>
        </w:trPr>
        <w:tc>
          <w:tcPr>
            <w:tcW w:w="3887" w:type="dxa"/>
            <w:tcBorders>
              <w:top w:val="single" w:sz="2" w:space="0" w:color="000000" w:themeColor="text1"/>
            </w:tcBorders>
          </w:tcPr>
          <w:p w14:paraId="2493D429" w14:textId="77777777" w:rsidR="00D06CB2" w:rsidRPr="005C5E32" w:rsidRDefault="00D06CB2">
            <w:pPr>
              <w:pStyle w:val="TableboldGreen"/>
              <w:spacing w:before="40" w:after="40" w:line="230" w:lineRule="atLeast"/>
            </w:pPr>
            <w:r w:rsidRPr="005C5E32">
              <w:t>Current portion</w:t>
            </w:r>
          </w:p>
        </w:tc>
        <w:tc>
          <w:tcPr>
            <w:tcW w:w="3302" w:type="dxa"/>
            <w:tcBorders>
              <w:top w:val="single" w:sz="2" w:space="0" w:color="000000" w:themeColor="text1"/>
            </w:tcBorders>
          </w:tcPr>
          <w:p w14:paraId="563F00EF" w14:textId="77777777" w:rsidR="00D06CB2" w:rsidRPr="005C5E32" w:rsidRDefault="00D06CB2">
            <w:pPr>
              <w:pStyle w:val="TableText"/>
              <w:spacing w:before="40" w:after="40" w:line="230" w:lineRule="atLeast"/>
              <w:jc w:val="right"/>
            </w:pPr>
          </w:p>
        </w:tc>
        <w:tc>
          <w:tcPr>
            <w:tcW w:w="1316" w:type="dxa"/>
            <w:vMerge w:val="restart"/>
            <w:tcBorders>
              <w:top w:val="single" w:sz="2" w:space="0" w:color="000000" w:themeColor="text1"/>
            </w:tcBorders>
            <w:shd w:val="clear" w:color="auto" w:fill="E7F2F2"/>
            <w:vAlign w:val="bottom"/>
          </w:tcPr>
          <w:p w14:paraId="4A13BB12" w14:textId="77777777" w:rsidR="00D06CB2" w:rsidRPr="005C5E32" w:rsidRDefault="00D06CB2">
            <w:pPr>
              <w:pStyle w:val="TableText"/>
              <w:spacing w:before="40" w:after="40" w:line="230" w:lineRule="atLeast"/>
              <w:jc w:val="right"/>
            </w:pPr>
            <w:r w:rsidRPr="005C5E32">
              <w:t>870</w:t>
            </w:r>
          </w:p>
        </w:tc>
      </w:tr>
      <w:tr w:rsidR="00D06CB2" w:rsidRPr="005C5E32" w14:paraId="7BED1465" w14:textId="77777777">
        <w:trPr>
          <w:trHeight w:val="20"/>
        </w:trPr>
        <w:tc>
          <w:tcPr>
            <w:tcW w:w="3887" w:type="dxa"/>
            <w:tcBorders>
              <w:bottom w:val="single" w:sz="4" w:space="0" w:color="58595B"/>
            </w:tcBorders>
          </w:tcPr>
          <w:p w14:paraId="0157A469" w14:textId="77777777" w:rsidR="00D06CB2" w:rsidRPr="005C5E32" w:rsidRDefault="00D06CB2">
            <w:pPr>
              <w:pStyle w:val="TableText"/>
              <w:spacing w:before="0" w:after="40" w:line="230" w:lineRule="atLeast"/>
            </w:pPr>
            <w:r w:rsidRPr="005C5E32">
              <w:t>Restructuring</w:t>
            </w:r>
          </w:p>
        </w:tc>
        <w:tc>
          <w:tcPr>
            <w:tcW w:w="3302" w:type="dxa"/>
            <w:tcBorders>
              <w:bottom w:val="single" w:sz="4" w:space="0" w:color="58595B"/>
            </w:tcBorders>
          </w:tcPr>
          <w:p w14:paraId="1A4AFD54" w14:textId="77777777" w:rsidR="00D06CB2" w:rsidRPr="005C5E32" w:rsidRDefault="00D06CB2">
            <w:pPr>
              <w:pStyle w:val="TableText"/>
              <w:spacing w:before="0" w:after="40" w:line="230" w:lineRule="atLeast"/>
              <w:jc w:val="right"/>
            </w:pPr>
            <w:r w:rsidRPr="005C5E32">
              <w:t>2,418</w:t>
            </w:r>
          </w:p>
        </w:tc>
        <w:tc>
          <w:tcPr>
            <w:tcW w:w="1316" w:type="dxa"/>
            <w:vMerge/>
            <w:tcBorders>
              <w:bottom w:val="single" w:sz="4" w:space="0" w:color="58595B"/>
            </w:tcBorders>
          </w:tcPr>
          <w:p w14:paraId="49E5474C" w14:textId="77777777" w:rsidR="00D06CB2" w:rsidRPr="005C5E32" w:rsidRDefault="00D06CB2">
            <w:pPr>
              <w:pStyle w:val="TableText"/>
              <w:spacing w:before="0" w:after="40" w:line="230" w:lineRule="atLeast"/>
              <w:jc w:val="right"/>
              <w:rPr>
                <w:highlight w:val="yellow"/>
              </w:rPr>
            </w:pPr>
          </w:p>
        </w:tc>
      </w:tr>
      <w:tr w:rsidR="00D06CB2" w:rsidRPr="005C5E32" w14:paraId="1DFAD10B" w14:textId="77777777">
        <w:trPr>
          <w:trHeight w:val="20"/>
        </w:trPr>
        <w:tc>
          <w:tcPr>
            <w:tcW w:w="3887" w:type="dxa"/>
            <w:tcBorders>
              <w:top w:val="single" w:sz="4" w:space="0" w:color="58595B"/>
              <w:bottom w:val="single" w:sz="4" w:space="0" w:color="58595B"/>
            </w:tcBorders>
          </w:tcPr>
          <w:p w14:paraId="513470DC" w14:textId="77777777" w:rsidR="00D06CB2" w:rsidRPr="005C5E32" w:rsidRDefault="00D06CB2">
            <w:pPr>
              <w:pStyle w:val="TableTextbold"/>
              <w:spacing w:before="40" w:after="40" w:line="230" w:lineRule="atLeast"/>
              <w:rPr>
                <w:b w:val="0"/>
                <w:highlight w:val="yellow"/>
              </w:rPr>
            </w:pPr>
            <w:r w:rsidRPr="005C5E32">
              <w:rPr>
                <w:b w:val="0"/>
              </w:rPr>
              <w:t>Historical Waitangi Tribunal claims</w:t>
            </w:r>
          </w:p>
        </w:tc>
        <w:tc>
          <w:tcPr>
            <w:tcW w:w="3302" w:type="dxa"/>
            <w:tcBorders>
              <w:top w:val="single" w:sz="4" w:space="0" w:color="58595B"/>
              <w:bottom w:val="single" w:sz="4" w:space="0" w:color="58595B"/>
            </w:tcBorders>
          </w:tcPr>
          <w:p w14:paraId="63DA7FA9" w14:textId="77777777" w:rsidR="00D06CB2" w:rsidRPr="005C5E32" w:rsidRDefault="00D06CB2">
            <w:pPr>
              <w:pStyle w:val="TableTextbold"/>
              <w:spacing w:before="40" w:after="40" w:line="230" w:lineRule="atLeast"/>
              <w:jc w:val="right"/>
              <w:rPr>
                <w:b w:val="0"/>
              </w:rPr>
            </w:pPr>
            <w:r w:rsidRPr="005C5E32">
              <w:rPr>
                <w:b w:val="0"/>
              </w:rPr>
              <w:t>4,229</w:t>
            </w:r>
          </w:p>
        </w:tc>
        <w:tc>
          <w:tcPr>
            <w:tcW w:w="1316" w:type="dxa"/>
            <w:tcBorders>
              <w:top w:val="single" w:sz="4" w:space="0" w:color="58595B"/>
              <w:bottom w:val="single" w:sz="4" w:space="0" w:color="58595B"/>
            </w:tcBorders>
            <w:shd w:val="clear" w:color="auto" w:fill="E7F2F2"/>
          </w:tcPr>
          <w:p w14:paraId="50606B22" w14:textId="77777777" w:rsidR="00D06CB2" w:rsidRPr="005C5E32" w:rsidRDefault="00D06CB2">
            <w:pPr>
              <w:pStyle w:val="TableTextbold"/>
              <w:spacing w:before="40" w:after="40" w:line="230" w:lineRule="atLeast"/>
              <w:jc w:val="right"/>
              <w:rPr>
                <w:b w:val="0"/>
                <w:bCs/>
              </w:rPr>
            </w:pPr>
            <w:r w:rsidRPr="005C5E32">
              <w:rPr>
                <w:b w:val="0"/>
                <w:bCs/>
              </w:rPr>
              <w:t>17</w:t>
            </w:r>
          </w:p>
        </w:tc>
      </w:tr>
      <w:tr w:rsidR="00D06CB2" w:rsidRPr="005C5E32" w14:paraId="4DA21FF7" w14:textId="77777777">
        <w:trPr>
          <w:trHeight w:val="20"/>
        </w:trPr>
        <w:tc>
          <w:tcPr>
            <w:tcW w:w="3887" w:type="dxa"/>
            <w:tcBorders>
              <w:top w:val="single" w:sz="4" w:space="0" w:color="58595B"/>
              <w:bottom w:val="single" w:sz="4" w:space="0" w:color="58595B"/>
            </w:tcBorders>
          </w:tcPr>
          <w:p w14:paraId="3A3256BB" w14:textId="77777777" w:rsidR="00D06CB2" w:rsidRPr="005C5E32" w:rsidRDefault="00D06CB2">
            <w:pPr>
              <w:pStyle w:val="TableTextbold"/>
              <w:spacing w:before="40" w:after="40" w:line="230" w:lineRule="atLeast"/>
              <w:rPr>
                <w:b w:val="0"/>
              </w:rPr>
            </w:pPr>
            <w:r w:rsidRPr="005C5E32">
              <w:rPr>
                <w:b w:val="0"/>
              </w:rPr>
              <w:t xml:space="preserve">Pou Taiao </w:t>
            </w:r>
          </w:p>
        </w:tc>
        <w:tc>
          <w:tcPr>
            <w:tcW w:w="3302" w:type="dxa"/>
            <w:tcBorders>
              <w:top w:val="single" w:sz="4" w:space="0" w:color="58595B"/>
              <w:bottom w:val="single" w:sz="4" w:space="0" w:color="58595B"/>
            </w:tcBorders>
          </w:tcPr>
          <w:p w14:paraId="38362591" w14:textId="77777777" w:rsidR="00D06CB2" w:rsidRPr="005C5E32" w:rsidRDefault="00D06CB2">
            <w:pPr>
              <w:pStyle w:val="TableTextbold"/>
              <w:spacing w:before="40" w:after="40" w:line="230" w:lineRule="atLeast"/>
              <w:jc w:val="right"/>
              <w:rPr>
                <w:b w:val="0"/>
                <w:bCs/>
              </w:rPr>
            </w:pPr>
            <w:r w:rsidRPr="005C5E32">
              <w:rPr>
                <w:b w:val="0"/>
                <w:bCs/>
              </w:rPr>
              <w:t>250</w:t>
            </w:r>
          </w:p>
        </w:tc>
        <w:tc>
          <w:tcPr>
            <w:tcW w:w="1316" w:type="dxa"/>
            <w:tcBorders>
              <w:top w:val="single" w:sz="4" w:space="0" w:color="58595B"/>
              <w:bottom w:val="single" w:sz="4" w:space="0" w:color="58595B"/>
            </w:tcBorders>
            <w:shd w:val="clear" w:color="auto" w:fill="E7F2F2"/>
          </w:tcPr>
          <w:p w14:paraId="104BF928" w14:textId="77777777" w:rsidR="00D06CB2" w:rsidRPr="005C5E32" w:rsidRDefault="00D06CB2">
            <w:pPr>
              <w:pStyle w:val="TableTextbold"/>
              <w:spacing w:before="40" w:after="40" w:line="230" w:lineRule="atLeast"/>
              <w:jc w:val="right"/>
              <w:rPr>
                <w:b w:val="0"/>
                <w:bCs/>
              </w:rPr>
            </w:pPr>
            <w:r w:rsidRPr="005C5E32">
              <w:t>–</w:t>
            </w:r>
          </w:p>
        </w:tc>
      </w:tr>
      <w:tr w:rsidR="00D06CB2" w:rsidRPr="005C5E32" w14:paraId="6198E0A5" w14:textId="77777777">
        <w:trPr>
          <w:trHeight w:val="20"/>
        </w:trPr>
        <w:tc>
          <w:tcPr>
            <w:tcW w:w="3887" w:type="dxa"/>
            <w:tcBorders>
              <w:top w:val="single" w:sz="4" w:space="0" w:color="58595B"/>
              <w:bottom w:val="single" w:sz="4" w:space="0" w:color="58595B"/>
            </w:tcBorders>
          </w:tcPr>
          <w:p w14:paraId="5FB1158E" w14:textId="77777777" w:rsidR="00D06CB2" w:rsidRPr="005C5E32" w:rsidRDefault="00D06CB2">
            <w:pPr>
              <w:pStyle w:val="TableTextbold"/>
              <w:spacing w:before="40" w:after="40" w:line="230" w:lineRule="atLeast"/>
              <w:rPr>
                <w:b w:val="0"/>
              </w:rPr>
            </w:pPr>
            <w:r w:rsidRPr="005C5E32">
              <w:rPr>
                <w:b w:val="0"/>
              </w:rPr>
              <w:t>Public Service Association</w:t>
            </w:r>
            <w:r w:rsidRPr="005C5E32" w:rsidDel="00A627A6">
              <w:rPr>
                <w:b w:val="0"/>
              </w:rPr>
              <w:t xml:space="preserve"> </w:t>
            </w:r>
            <w:r w:rsidRPr="005C5E32">
              <w:rPr>
                <w:b w:val="0"/>
              </w:rPr>
              <w:t>(PSA) bargaining</w:t>
            </w:r>
          </w:p>
        </w:tc>
        <w:tc>
          <w:tcPr>
            <w:tcW w:w="3302" w:type="dxa"/>
            <w:tcBorders>
              <w:top w:val="single" w:sz="4" w:space="0" w:color="58595B"/>
              <w:bottom w:val="single" w:sz="4" w:space="0" w:color="58595B"/>
            </w:tcBorders>
          </w:tcPr>
          <w:p w14:paraId="2794C5B9" w14:textId="77777777" w:rsidR="00D06CB2" w:rsidRPr="005C5E32" w:rsidRDefault="00D06CB2">
            <w:pPr>
              <w:pStyle w:val="TableTextbold"/>
              <w:spacing w:before="40" w:after="40" w:line="230" w:lineRule="atLeast"/>
              <w:jc w:val="right"/>
              <w:rPr>
                <w:b w:val="0"/>
                <w:bCs/>
              </w:rPr>
            </w:pPr>
            <w:r w:rsidRPr="005C5E32">
              <w:rPr>
                <w:b w:val="0"/>
                <w:bCs/>
              </w:rPr>
              <w:t>172</w:t>
            </w:r>
          </w:p>
        </w:tc>
        <w:tc>
          <w:tcPr>
            <w:tcW w:w="1316" w:type="dxa"/>
            <w:tcBorders>
              <w:top w:val="single" w:sz="4" w:space="0" w:color="58595B"/>
              <w:bottom w:val="single" w:sz="4" w:space="0" w:color="58595B"/>
            </w:tcBorders>
            <w:shd w:val="clear" w:color="auto" w:fill="E7F2F2"/>
          </w:tcPr>
          <w:p w14:paraId="11721B95" w14:textId="77777777" w:rsidR="00D06CB2" w:rsidRPr="005C5E32" w:rsidRDefault="00D06CB2">
            <w:pPr>
              <w:pStyle w:val="TableTextbold"/>
              <w:spacing w:before="40" w:after="40" w:line="230" w:lineRule="atLeast"/>
              <w:jc w:val="right"/>
              <w:rPr>
                <w:b w:val="0"/>
                <w:bCs/>
              </w:rPr>
            </w:pPr>
            <w:r w:rsidRPr="005C5E32">
              <w:t>–</w:t>
            </w:r>
          </w:p>
        </w:tc>
      </w:tr>
      <w:tr w:rsidR="00D06CB2" w:rsidRPr="005C5E32" w14:paraId="6D849BAF" w14:textId="77777777">
        <w:trPr>
          <w:trHeight w:val="20"/>
        </w:trPr>
        <w:tc>
          <w:tcPr>
            <w:tcW w:w="3887" w:type="dxa"/>
            <w:tcBorders>
              <w:top w:val="single" w:sz="4" w:space="0" w:color="58595B"/>
              <w:bottom w:val="single" w:sz="4" w:space="0" w:color="58595B"/>
            </w:tcBorders>
          </w:tcPr>
          <w:p w14:paraId="40EEF8A7" w14:textId="77777777" w:rsidR="00D06CB2" w:rsidRPr="005C5E32" w:rsidRDefault="00D06CB2">
            <w:pPr>
              <w:pStyle w:val="TableTextbold"/>
              <w:spacing w:before="40" w:after="40" w:line="230" w:lineRule="atLeast"/>
              <w:rPr>
                <w:b w:val="0"/>
              </w:rPr>
            </w:pPr>
            <w:r w:rsidRPr="005C5E32">
              <w:rPr>
                <w:b w:val="0"/>
              </w:rPr>
              <w:t xml:space="preserve">MCERT merger </w:t>
            </w:r>
          </w:p>
        </w:tc>
        <w:tc>
          <w:tcPr>
            <w:tcW w:w="3302" w:type="dxa"/>
            <w:tcBorders>
              <w:top w:val="single" w:sz="4" w:space="0" w:color="58595B"/>
              <w:bottom w:val="single" w:sz="4" w:space="0" w:color="58595B"/>
            </w:tcBorders>
          </w:tcPr>
          <w:p w14:paraId="2AC5E8EC" w14:textId="77777777" w:rsidR="00D06CB2" w:rsidRPr="005C5E32" w:rsidRDefault="00D06CB2">
            <w:pPr>
              <w:pStyle w:val="TableTextbold"/>
              <w:spacing w:before="40" w:after="40" w:line="230" w:lineRule="atLeast"/>
              <w:jc w:val="right"/>
              <w:rPr>
                <w:b w:val="0"/>
                <w:bCs/>
              </w:rPr>
            </w:pPr>
            <w:r w:rsidRPr="005C5E32">
              <w:t>–</w:t>
            </w:r>
          </w:p>
        </w:tc>
        <w:tc>
          <w:tcPr>
            <w:tcW w:w="1316" w:type="dxa"/>
            <w:tcBorders>
              <w:top w:val="single" w:sz="4" w:space="0" w:color="58595B"/>
              <w:bottom w:val="single" w:sz="4" w:space="0" w:color="58595B"/>
            </w:tcBorders>
            <w:shd w:val="clear" w:color="auto" w:fill="E7F2F2"/>
          </w:tcPr>
          <w:p w14:paraId="05857FCD" w14:textId="77777777" w:rsidR="00D06CB2" w:rsidRPr="005C5E32" w:rsidRDefault="00D06CB2">
            <w:pPr>
              <w:pStyle w:val="TableTextbold"/>
              <w:spacing w:before="40" w:after="40" w:line="230" w:lineRule="atLeast"/>
              <w:jc w:val="right"/>
            </w:pPr>
            <w:r w:rsidRPr="005C5E32">
              <w:rPr>
                <w:b w:val="0"/>
              </w:rPr>
              <w:t>1</w:t>
            </w:r>
            <w:r w:rsidRPr="005C5E32">
              <w:rPr>
                <w:b w:val="0"/>
                <w:bCs/>
              </w:rPr>
              <w:t>00</w:t>
            </w:r>
          </w:p>
        </w:tc>
      </w:tr>
      <w:tr w:rsidR="00D06CB2" w:rsidRPr="005C5E32" w14:paraId="65BFCCD0" w14:textId="77777777">
        <w:trPr>
          <w:trHeight w:val="20"/>
        </w:trPr>
        <w:tc>
          <w:tcPr>
            <w:tcW w:w="3887" w:type="dxa"/>
            <w:tcBorders>
              <w:top w:val="single" w:sz="4" w:space="0" w:color="58595B"/>
              <w:bottom w:val="single" w:sz="4" w:space="0" w:color="58595B"/>
            </w:tcBorders>
          </w:tcPr>
          <w:p w14:paraId="13557BF8" w14:textId="77777777" w:rsidR="00D06CB2" w:rsidRPr="005C5E32" w:rsidRDefault="00D06CB2">
            <w:pPr>
              <w:pStyle w:val="TableTextbold"/>
              <w:spacing w:before="40" w:after="40" w:line="230" w:lineRule="atLeast"/>
            </w:pPr>
            <w:r w:rsidRPr="005C5E32">
              <w:t>Total current portion</w:t>
            </w:r>
          </w:p>
        </w:tc>
        <w:tc>
          <w:tcPr>
            <w:tcW w:w="3302" w:type="dxa"/>
            <w:tcBorders>
              <w:top w:val="single" w:sz="4" w:space="0" w:color="58595B"/>
              <w:bottom w:val="single" w:sz="4" w:space="0" w:color="58595B"/>
            </w:tcBorders>
          </w:tcPr>
          <w:p w14:paraId="51818214" w14:textId="168BD868" w:rsidR="00D06CB2" w:rsidRPr="000635C1" w:rsidRDefault="00D06CB2">
            <w:pPr>
              <w:pStyle w:val="TableText"/>
              <w:spacing w:before="40" w:after="40" w:line="230" w:lineRule="atLeast"/>
              <w:jc w:val="right"/>
              <w:rPr>
                <w:b/>
              </w:rPr>
            </w:pPr>
            <w:r w:rsidRPr="000635C1">
              <w:rPr>
                <w:b/>
              </w:rPr>
              <w:t>7,0</w:t>
            </w:r>
            <w:r w:rsidR="001E22EE" w:rsidRPr="000635C1">
              <w:rPr>
                <w:b/>
              </w:rPr>
              <w:t>69</w:t>
            </w:r>
          </w:p>
        </w:tc>
        <w:tc>
          <w:tcPr>
            <w:tcW w:w="1316" w:type="dxa"/>
            <w:tcBorders>
              <w:top w:val="single" w:sz="4" w:space="0" w:color="58595B"/>
              <w:bottom w:val="single" w:sz="4" w:space="0" w:color="58595B"/>
            </w:tcBorders>
            <w:shd w:val="clear" w:color="auto" w:fill="E7F2F2"/>
          </w:tcPr>
          <w:p w14:paraId="706820D0" w14:textId="77777777" w:rsidR="00D06CB2" w:rsidRPr="000635C1" w:rsidRDefault="00D06CB2">
            <w:pPr>
              <w:pStyle w:val="TableText"/>
              <w:spacing w:before="40" w:after="40" w:line="230" w:lineRule="atLeast"/>
              <w:jc w:val="right"/>
              <w:rPr>
                <w:b/>
                <w:highlight w:val="yellow"/>
              </w:rPr>
            </w:pPr>
            <w:r w:rsidRPr="000635C1">
              <w:rPr>
                <w:b/>
              </w:rPr>
              <w:t>987</w:t>
            </w:r>
          </w:p>
        </w:tc>
      </w:tr>
      <w:tr w:rsidR="00D06CB2" w:rsidRPr="005C5E32" w14:paraId="777D9D14" w14:textId="77777777">
        <w:trPr>
          <w:trHeight w:val="20"/>
        </w:trPr>
        <w:tc>
          <w:tcPr>
            <w:tcW w:w="3887" w:type="dxa"/>
            <w:tcBorders>
              <w:top w:val="single" w:sz="4" w:space="0" w:color="58595B"/>
            </w:tcBorders>
          </w:tcPr>
          <w:p w14:paraId="0A212E25" w14:textId="77777777" w:rsidR="00D06CB2" w:rsidRPr="005C5E32" w:rsidRDefault="00D06CB2">
            <w:pPr>
              <w:pStyle w:val="TableboldGreen"/>
              <w:spacing w:before="40" w:after="0" w:line="230" w:lineRule="atLeast"/>
            </w:pPr>
            <w:r w:rsidRPr="005C5E32">
              <w:t>Non-current portion</w:t>
            </w:r>
          </w:p>
        </w:tc>
        <w:tc>
          <w:tcPr>
            <w:tcW w:w="3302" w:type="dxa"/>
            <w:tcBorders>
              <w:top w:val="single" w:sz="4" w:space="0" w:color="58595B"/>
            </w:tcBorders>
          </w:tcPr>
          <w:p w14:paraId="35F3E81B" w14:textId="77777777" w:rsidR="00D06CB2" w:rsidRPr="005C5E32" w:rsidRDefault="00D06CB2">
            <w:pPr>
              <w:pStyle w:val="TableText"/>
              <w:spacing w:before="40" w:after="0" w:line="230" w:lineRule="atLeast"/>
              <w:jc w:val="right"/>
            </w:pPr>
          </w:p>
        </w:tc>
        <w:tc>
          <w:tcPr>
            <w:tcW w:w="1316" w:type="dxa"/>
            <w:vMerge w:val="restart"/>
            <w:tcBorders>
              <w:top w:val="single" w:sz="4" w:space="0" w:color="58595B"/>
            </w:tcBorders>
            <w:shd w:val="clear" w:color="auto" w:fill="E7F2F2"/>
            <w:vAlign w:val="bottom"/>
          </w:tcPr>
          <w:p w14:paraId="691C2328" w14:textId="77777777" w:rsidR="00D06CB2" w:rsidRPr="005C5E32" w:rsidRDefault="00D06CB2">
            <w:pPr>
              <w:pStyle w:val="TableText"/>
              <w:spacing w:before="40" w:after="40" w:line="230" w:lineRule="atLeast"/>
              <w:jc w:val="right"/>
              <w:rPr>
                <w:highlight w:val="yellow"/>
              </w:rPr>
            </w:pPr>
            <w:r w:rsidRPr="005C5E32">
              <w:t>–</w:t>
            </w:r>
          </w:p>
        </w:tc>
      </w:tr>
      <w:tr w:rsidR="00D06CB2" w:rsidRPr="005C5E32" w14:paraId="6125F2AC" w14:textId="77777777">
        <w:trPr>
          <w:trHeight w:val="20"/>
        </w:trPr>
        <w:tc>
          <w:tcPr>
            <w:tcW w:w="3887" w:type="dxa"/>
            <w:tcBorders>
              <w:bottom w:val="single" w:sz="4" w:space="0" w:color="58595B"/>
            </w:tcBorders>
          </w:tcPr>
          <w:p w14:paraId="29000985" w14:textId="77777777" w:rsidR="00D06CB2" w:rsidRPr="005C5E32" w:rsidRDefault="00D06CB2">
            <w:pPr>
              <w:pStyle w:val="TableText"/>
              <w:spacing w:before="0" w:after="40" w:line="230" w:lineRule="atLeast"/>
            </w:pPr>
            <w:r w:rsidRPr="005C5E32">
              <w:t>None</w:t>
            </w:r>
          </w:p>
        </w:tc>
        <w:tc>
          <w:tcPr>
            <w:tcW w:w="3302" w:type="dxa"/>
            <w:tcBorders>
              <w:bottom w:val="single" w:sz="4" w:space="0" w:color="58595B"/>
            </w:tcBorders>
          </w:tcPr>
          <w:p w14:paraId="0179F389" w14:textId="77777777" w:rsidR="00D06CB2" w:rsidRPr="005C5E32" w:rsidRDefault="00D06CB2">
            <w:pPr>
              <w:pStyle w:val="TableText"/>
              <w:spacing w:before="0" w:after="40" w:line="230" w:lineRule="atLeast"/>
              <w:jc w:val="right"/>
              <w:rPr>
                <w:rFonts w:cstheme="minorHAnsi"/>
              </w:rPr>
            </w:pPr>
            <w:r w:rsidRPr="005C5E32">
              <w:rPr>
                <w:rFonts w:cstheme="minorHAnsi"/>
              </w:rPr>
              <w:t>–</w:t>
            </w:r>
          </w:p>
        </w:tc>
        <w:tc>
          <w:tcPr>
            <w:tcW w:w="1316" w:type="dxa"/>
            <w:vMerge/>
            <w:tcBorders>
              <w:bottom w:val="single" w:sz="4" w:space="0" w:color="58595B"/>
            </w:tcBorders>
          </w:tcPr>
          <w:p w14:paraId="3E80756F" w14:textId="77777777" w:rsidR="00D06CB2" w:rsidRPr="005C5E32" w:rsidRDefault="00D06CB2">
            <w:pPr>
              <w:pStyle w:val="TableText"/>
              <w:spacing w:before="0" w:after="40" w:line="230" w:lineRule="atLeast"/>
              <w:jc w:val="right"/>
              <w:rPr>
                <w:rFonts w:cstheme="minorHAnsi"/>
                <w:highlight w:val="yellow"/>
              </w:rPr>
            </w:pPr>
          </w:p>
        </w:tc>
      </w:tr>
      <w:tr w:rsidR="00D06CB2" w:rsidRPr="005C5E32" w14:paraId="3C1A0B5A" w14:textId="77777777">
        <w:trPr>
          <w:trHeight w:val="20"/>
        </w:trPr>
        <w:tc>
          <w:tcPr>
            <w:tcW w:w="3887" w:type="dxa"/>
            <w:tcBorders>
              <w:top w:val="single" w:sz="4" w:space="0" w:color="58595B"/>
              <w:bottom w:val="single" w:sz="4" w:space="0" w:color="58595B"/>
            </w:tcBorders>
          </w:tcPr>
          <w:p w14:paraId="07DBA381" w14:textId="77777777" w:rsidR="00D06CB2" w:rsidRPr="005C5E32" w:rsidRDefault="00D06CB2">
            <w:pPr>
              <w:pStyle w:val="TableTextbold"/>
              <w:spacing w:before="40" w:after="40" w:line="230" w:lineRule="atLeast"/>
            </w:pPr>
            <w:r w:rsidRPr="005C5E32">
              <w:t>Total provisions</w:t>
            </w:r>
          </w:p>
        </w:tc>
        <w:tc>
          <w:tcPr>
            <w:tcW w:w="3302" w:type="dxa"/>
            <w:tcBorders>
              <w:top w:val="single" w:sz="4" w:space="0" w:color="58595B"/>
              <w:bottom w:val="single" w:sz="4" w:space="0" w:color="58595B"/>
            </w:tcBorders>
          </w:tcPr>
          <w:p w14:paraId="101C3860" w14:textId="77777777" w:rsidR="00D06CB2" w:rsidRPr="000635C1" w:rsidRDefault="00D06CB2">
            <w:pPr>
              <w:pStyle w:val="TableText"/>
              <w:spacing w:before="40" w:after="40" w:line="230" w:lineRule="atLeast"/>
              <w:jc w:val="right"/>
              <w:rPr>
                <w:b/>
              </w:rPr>
            </w:pPr>
            <w:r w:rsidRPr="000635C1">
              <w:rPr>
                <w:b/>
              </w:rPr>
              <w:t>7,069</w:t>
            </w:r>
          </w:p>
        </w:tc>
        <w:tc>
          <w:tcPr>
            <w:tcW w:w="1316" w:type="dxa"/>
            <w:tcBorders>
              <w:top w:val="single" w:sz="4" w:space="0" w:color="58595B"/>
              <w:bottom w:val="single" w:sz="4" w:space="0" w:color="58595B"/>
            </w:tcBorders>
            <w:shd w:val="clear" w:color="auto" w:fill="E7F2F2"/>
          </w:tcPr>
          <w:p w14:paraId="25AB6A4E" w14:textId="77777777" w:rsidR="00D06CB2" w:rsidRPr="000635C1" w:rsidRDefault="00D06CB2">
            <w:pPr>
              <w:pStyle w:val="TableText"/>
              <w:spacing w:before="40" w:after="40" w:line="230" w:lineRule="atLeast"/>
              <w:jc w:val="right"/>
              <w:rPr>
                <w:b/>
              </w:rPr>
            </w:pPr>
            <w:r w:rsidRPr="000635C1">
              <w:rPr>
                <w:b/>
              </w:rPr>
              <w:t>987</w:t>
            </w:r>
          </w:p>
        </w:tc>
      </w:tr>
    </w:tbl>
    <w:p w14:paraId="0805F0D6" w14:textId="77777777" w:rsidR="00D06CB2" w:rsidRPr="005C5E32" w:rsidRDefault="00D06CB2" w:rsidP="00C77EB9">
      <w:pPr>
        <w:pStyle w:val="BodyText"/>
        <w:spacing w:before="360"/>
      </w:pPr>
      <w:r w:rsidRPr="005C5E32">
        <w:t>Movements for each class of provision are as follows:</w:t>
      </w:r>
    </w:p>
    <w:tbl>
      <w:tblPr>
        <w:tblW w:w="8505" w:type="dxa"/>
        <w:tblBorders>
          <w:top w:val="single" w:sz="4" w:space="0" w:color="0E7C7E"/>
          <w:bottom w:val="single" w:sz="4" w:space="0" w:color="0E7C7E"/>
          <w:insideH w:val="single" w:sz="4" w:space="0" w:color="0E7C7E"/>
        </w:tblBorders>
        <w:tblLayout w:type="fixed"/>
        <w:tblCellMar>
          <w:left w:w="85" w:type="dxa"/>
          <w:right w:w="57" w:type="dxa"/>
        </w:tblCellMar>
        <w:tblLook w:val="01E0" w:firstRow="1" w:lastRow="1" w:firstColumn="1" w:lastColumn="1" w:noHBand="0" w:noVBand="0"/>
      </w:tblPr>
      <w:tblGrid>
        <w:gridCol w:w="2603"/>
        <w:gridCol w:w="941"/>
        <w:gridCol w:w="1134"/>
        <w:gridCol w:w="1034"/>
        <w:gridCol w:w="1092"/>
        <w:gridCol w:w="999"/>
        <w:gridCol w:w="702"/>
      </w:tblGrid>
      <w:tr w:rsidR="00D06CB2" w:rsidRPr="005C5E32" w14:paraId="4EBEB4EF" w14:textId="77777777" w:rsidTr="001B1224">
        <w:trPr>
          <w:trHeight w:val="20"/>
        </w:trPr>
        <w:tc>
          <w:tcPr>
            <w:tcW w:w="2603" w:type="dxa"/>
            <w:tcBorders>
              <w:top w:val="single" w:sz="8" w:space="0" w:color="0E7C7E"/>
              <w:bottom w:val="single" w:sz="4" w:space="0" w:color="414042"/>
            </w:tcBorders>
            <w:vAlign w:val="bottom"/>
          </w:tcPr>
          <w:p w14:paraId="66F4F225" w14:textId="77777777" w:rsidR="00D06CB2" w:rsidRPr="005C5E32" w:rsidRDefault="00D06CB2">
            <w:pPr>
              <w:pStyle w:val="TableboldGreen"/>
              <w:spacing w:before="40" w:after="40"/>
              <w:jc w:val="right"/>
            </w:pPr>
          </w:p>
        </w:tc>
        <w:tc>
          <w:tcPr>
            <w:tcW w:w="941" w:type="dxa"/>
            <w:tcBorders>
              <w:top w:val="single" w:sz="8" w:space="0" w:color="0E7C7E"/>
              <w:bottom w:val="single" w:sz="4" w:space="0" w:color="414042"/>
            </w:tcBorders>
            <w:vAlign w:val="bottom"/>
          </w:tcPr>
          <w:p w14:paraId="5DFA5C51" w14:textId="77777777" w:rsidR="00D06CB2" w:rsidRPr="005C5E32" w:rsidRDefault="00D06CB2">
            <w:pPr>
              <w:pStyle w:val="TableboldGreen"/>
              <w:spacing w:before="40" w:after="40"/>
              <w:jc w:val="right"/>
            </w:pPr>
            <w:r w:rsidRPr="005C5E32">
              <w:t xml:space="preserve">Pou Taiao </w:t>
            </w:r>
            <w:r w:rsidRPr="005C5E32">
              <w:br/>
              <w:t>$000</w:t>
            </w:r>
          </w:p>
        </w:tc>
        <w:tc>
          <w:tcPr>
            <w:tcW w:w="1134" w:type="dxa"/>
            <w:tcBorders>
              <w:top w:val="single" w:sz="8" w:space="0" w:color="0E7C7E"/>
              <w:bottom w:val="single" w:sz="4" w:space="0" w:color="414042"/>
            </w:tcBorders>
            <w:vAlign w:val="bottom"/>
          </w:tcPr>
          <w:p w14:paraId="68B47853" w14:textId="77777777" w:rsidR="00D06CB2" w:rsidRPr="005C5E32" w:rsidRDefault="00D06CB2">
            <w:pPr>
              <w:pStyle w:val="TableboldGreen"/>
              <w:spacing w:before="40" w:after="40"/>
              <w:jc w:val="right"/>
            </w:pPr>
            <w:r w:rsidRPr="005C5E32">
              <w:t>Restructure</w:t>
            </w:r>
            <w:r w:rsidRPr="005C5E32">
              <w:br/>
              <w:t>$000</w:t>
            </w:r>
          </w:p>
        </w:tc>
        <w:tc>
          <w:tcPr>
            <w:tcW w:w="1034" w:type="dxa"/>
            <w:tcBorders>
              <w:top w:val="single" w:sz="8" w:space="0" w:color="0E7C7E"/>
              <w:bottom w:val="single" w:sz="4" w:space="0" w:color="414042"/>
            </w:tcBorders>
            <w:vAlign w:val="bottom"/>
          </w:tcPr>
          <w:p w14:paraId="6E78ED61" w14:textId="77777777" w:rsidR="00D06CB2" w:rsidRPr="005C5E32" w:rsidRDefault="00D06CB2">
            <w:pPr>
              <w:pStyle w:val="TableboldGreen"/>
              <w:spacing w:before="40" w:after="40"/>
              <w:jc w:val="right"/>
            </w:pPr>
            <w:r w:rsidRPr="005C5E32">
              <w:t>PSA bargaining</w:t>
            </w:r>
            <w:r w:rsidRPr="005C5E32">
              <w:br/>
              <w:t>$000</w:t>
            </w:r>
          </w:p>
        </w:tc>
        <w:tc>
          <w:tcPr>
            <w:tcW w:w="1092" w:type="dxa"/>
            <w:tcBorders>
              <w:top w:val="single" w:sz="8" w:space="0" w:color="0E7C7E"/>
              <w:bottom w:val="single" w:sz="4" w:space="0" w:color="414042"/>
            </w:tcBorders>
            <w:vAlign w:val="bottom"/>
          </w:tcPr>
          <w:p w14:paraId="30378B4A" w14:textId="77777777" w:rsidR="00D06CB2" w:rsidRPr="005C5E32" w:rsidRDefault="00D06CB2">
            <w:pPr>
              <w:pStyle w:val="TableboldGreen"/>
              <w:spacing w:before="40" w:after="40"/>
              <w:jc w:val="right"/>
            </w:pPr>
            <w:r w:rsidRPr="005C5E32">
              <w:t xml:space="preserve">Waitangi Tribunal </w:t>
            </w:r>
            <w:r w:rsidRPr="005C5E32">
              <w:br/>
              <w:t xml:space="preserve">$000 </w:t>
            </w:r>
          </w:p>
        </w:tc>
        <w:tc>
          <w:tcPr>
            <w:tcW w:w="999" w:type="dxa"/>
            <w:tcBorders>
              <w:top w:val="single" w:sz="8" w:space="0" w:color="0E7C7E"/>
              <w:bottom w:val="single" w:sz="4" w:space="0" w:color="414042"/>
            </w:tcBorders>
            <w:vAlign w:val="bottom"/>
          </w:tcPr>
          <w:p w14:paraId="5DE762D5" w14:textId="77777777" w:rsidR="00D06CB2" w:rsidRPr="005C5E32" w:rsidRDefault="00D06CB2">
            <w:pPr>
              <w:pStyle w:val="TableboldGreen"/>
              <w:spacing w:before="40" w:after="40"/>
              <w:jc w:val="right"/>
            </w:pPr>
            <w:r w:rsidRPr="005C5E32">
              <w:t>MCERT merger</w:t>
            </w:r>
          </w:p>
        </w:tc>
        <w:tc>
          <w:tcPr>
            <w:tcW w:w="702" w:type="dxa"/>
            <w:tcBorders>
              <w:top w:val="single" w:sz="8" w:space="0" w:color="0E7C7E"/>
              <w:bottom w:val="single" w:sz="4" w:space="0" w:color="414042"/>
            </w:tcBorders>
            <w:vAlign w:val="bottom"/>
          </w:tcPr>
          <w:p w14:paraId="10C77420" w14:textId="77777777" w:rsidR="00D06CB2" w:rsidRPr="005C5E32" w:rsidRDefault="00D06CB2">
            <w:pPr>
              <w:pStyle w:val="TableboldGreen"/>
              <w:spacing w:before="40" w:after="40"/>
              <w:jc w:val="right"/>
            </w:pPr>
            <w:r w:rsidRPr="005C5E32">
              <w:t xml:space="preserve">Total </w:t>
            </w:r>
            <w:r w:rsidRPr="005C5E32">
              <w:br/>
              <w:t>$000</w:t>
            </w:r>
          </w:p>
        </w:tc>
      </w:tr>
      <w:tr w:rsidR="00D06CB2" w:rsidRPr="005C5E32" w14:paraId="4DF4EBA9" w14:textId="77777777" w:rsidTr="00F8010E">
        <w:tc>
          <w:tcPr>
            <w:tcW w:w="2603" w:type="dxa"/>
            <w:tcBorders>
              <w:top w:val="single" w:sz="4" w:space="0" w:color="414042"/>
              <w:bottom w:val="single" w:sz="4" w:space="0" w:color="58595B"/>
            </w:tcBorders>
          </w:tcPr>
          <w:p w14:paraId="05300F57" w14:textId="77777777" w:rsidR="00D06CB2" w:rsidRPr="005C5E32" w:rsidRDefault="00D06CB2">
            <w:pPr>
              <w:pStyle w:val="TableText"/>
              <w:spacing w:before="40" w:after="40"/>
              <w:rPr>
                <w:b/>
                <w:bCs/>
              </w:rPr>
            </w:pPr>
            <w:r w:rsidRPr="005C5E32">
              <w:rPr>
                <w:b/>
                <w:bCs/>
              </w:rPr>
              <w:t>Balance as at 1 July 2024</w:t>
            </w:r>
          </w:p>
        </w:tc>
        <w:tc>
          <w:tcPr>
            <w:tcW w:w="941" w:type="dxa"/>
            <w:tcBorders>
              <w:top w:val="single" w:sz="4" w:space="0" w:color="414042"/>
              <w:bottom w:val="single" w:sz="4" w:space="0" w:color="58595B"/>
            </w:tcBorders>
          </w:tcPr>
          <w:p w14:paraId="1FC94045" w14:textId="77777777" w:rsidR="00D06CB2" w:rsidRPr="000635C1" w:rsidRDefault="00D06CB2">
            <w:pPr>
              <w:pStyle w:val="TableText"/>
              <w:spacing w:before="40" w:after="40"/>
              <w:jc w:val="right"/>
              <w:rPr>
                <w:b/>
              </w:rPr>
            </w:pPr>
            <w:r w:rsidRPr="000635C1">
              <w:rPr>
                <w:b/>
              </w:rPr>
              <w:t>–</w:t>
            </w:r>
          </w:p>
        </w:tc>
        <w:tc>
          <w:tcPr>
            <w:tcW w:w="1134" w:type="dxa"/>
            <w:tcBorders>
              <w:top w:val="single" w:sz="4" w:space="0" w:color="414042"/>
              <w:bottom w:val="single" w:sz="4" w:space="0" w:color="58595B"/>
            </w:tcBorders>
          </w:tcPr>
          <w:p w14:paraId="06B34B5F" w14:textId="77777777" w:rsidR="00D06CB2" w:rsidRPr="000635C1" w:rsidRDefault="00D06CB2">
            <w:pPr>
              <w:pStyle w:val="TableText"/>
              <w:spacing w:before="40" w:after="40"/>
              <w:jc w:val="right"/>
              <w:rPr>
                <w:b/>
              </w:rPr>
            </w:pPr>
            <w:r w:rsidRPr="000635C1">
              <w:rPr>
                <w:b/>
              </w:rPr>
              <w:t>8,099</w:t>
            </w:r>
          </w:p>
        </w:tc>
        <w:tc>
          <w:tcPr>
            <w:tcW w:w="1034" w:type="dxa"/>
            <w:tcBorders>
              <w:top w:val="single" w:sz="4" w:space="0" w:color="414042"/>
              <w:bottom w:val="single" w:sz="4" w:space="0" w:color="58595B"/>
            </w:tcBorders>
          </w:tcPr>
          <w:p w14:paraId="275F26BF" w14:textId="77777777" w:rsidR="00D06CB2" w:rsidRPr="000635C1" w:rsidRDefault="00D06CB2">
            <w:pPr>
              <w:pStyle w:val="TableText"/>
              <w:spacing w:before="40" w:after="40"/>
              <w:jc w:val="right"/>
              <w:rPr>
                <w:b/>
              </w:rPr>
            </w:pPr>
            <w:r w:rsidRPr="000635C1">
              <w:rPr>
                <w:b/>
              </w:rPr>
              <w:t>–</w:t>
            </w:r>
          </w:p>
        </w:tc>
        <w:tc>
          <w:tcPr>
            <w:tcW w:w="1092" w:type="dxa"/>
            <w:tcBorders>
              <w:top w:val="single" w:sz="4" w:space="0" w:color="414042"/>
              <w:bottom w:val="single" w:sz="4" w:space="0" w:color="58595B"/>
            </w:tcBorders>
          </w:tcPr>
          <w:p w14:paraId="085E3FD0" w14:textId="77777777" w:rsidR="00D06CB2" w:rsidRPr="000635C1" w:rsidRDefault="00D06CB2">
            <w:pPr>
              <w:pStyle w:val="TableText"/>
              <w:spacing w:before="40" w:after="40"/>
              <w:jc w:val="right"/>
              <w:rPr>
                <w:b/>
              </w:rPr>
            </w:pPr>
            <w:r w:rsidRPr="000635C1">
              <w:rPr>
                <w:b/>
              </w:rPr>
              <w:t>2,800</w:t>
            </w:r>
          </w:p>
        </w:tc>
        <w:tc>
          <w:tcPr>
            <w:tcW w:w="999" w:type="dxa"/>
            <w:tcBorders>
              <w:top w:val="single" w:sz="4" w:space="0" w:color="414042"/>
              <w:bottom w:val="single" w:sz="4" w:space="0" w:color="58595B"/>
            </w:tcBorders>
          </w:tcPr>
          <w:p w14:paraId="22C2BA8C" w14:textId="77777777" w:rsidR="00D06CB2" w:rsidRPr="000635C1" w:rsidRDefault="00D06CB2">
            <w:pPr>
              <w:pStyle w:val="TableText"/>
              <w:spacing w:before="40" w:after="40"/>
              <w:jc w:val="right"/>
              <w:rPr>
                <w:b/>
              </w:rPr>
            </w:pPr>
            <w:r w:rsidRPr="000635C1">
              <w:rPr>
                <w:b/>
              </w:rPr>
              <w:t>–</w:t>
            </w:r>
          </w:p>
        </w:tc>
        <w:tc>
          <w:tcPr>
            <w:tcW w:w="702" w:type="dxa"/>
            <w:tcBorders>
              <w:top w:val="single" w:sz="4" w:space="0" w:color="414042"/>
              <w:bottom w:val="single" w:sz="4" w:space="0" w:color="58595B"/>
            </w:tcBorders>
          </w:tcPr>
          <w:p w14:paraId="237B583D" w14:textId="77777777" w:rsidR="00D06CB2" w:rsidRPr="000635C1" w:rsidRDefault="00D06CB2">
            <w:pPr>
              <w:pStyle w:val="TableText"/>
              <w:spacing w:before="40" w:after="40"/>
              <w:jc w:val="right"/>
              <w:rPr>
                <w:b/>
              </w:rPr>
            </w:pPr>
            <w:r w:rsidRPr="000635C1">
              <w:rPr>
                <w:b/>
              </w:rPr>
              <w:t xml:space="preserve"> 10,899</w:t>
            </w:r>
          </w:p>
        </w:tc>
      </w:tr>
      <w:tr w:rsidR="00D06CB2" w:rsidRPr="005C5E32" w14:paraId="17908537" w14:textId="77777777" w:rsidTr="00C77EB9">
        <w:trPr>
          <w:trHeight w:val="20"/>
        </w:trPr>
        <w:tc>
          <w:tcPr>
            <w:tcW w:w="2603" w:type="dxa"/>
            <w:tcBorders>
              <w:top w:val="single" w:sz="4" w:space="0" w:color="58595B"/>
              <w:bottom w:val="single" w:sz="4" w:space="0" w:color="58595B"/>
            </w:tcBorders>
          </w:tcPr>
          <w:p w14:paraId="48018185" w14:textId="77777777" w:rsidR="00D06CB2" w:rsidRPr="005C5E32" w:rsidRDefault="00D06CB2">
            <w:pPr>
              <w:pStyle w:val="TableText"/>
              <w:spacing w:before="40" w:after="40"/>
            </w:pPr>
            <w:r w:rsidRPr="005C5E32">
              <w:t>Additional provisions made</w:t>
            </w:r>
          </w:p>
        </w:tc>
        <w:tc>
          <w:tcPr>
            <w:tcW w:w="941" w:type="dxa"/>
            <w:tcBorders>
              <w:top w:val="single" w:sz="4" w:space="0" w:color="58595B"/>
              <w:bottom w:val="single" w:sz="4" w:space="0" w:color="58595B"/>
            </w:tcBorders>
          </w:tcPr>
          <w:p w14:paraId="7CD29DF5" w14:textId="77777777" w:rsidR="00D06CB2" w:rsidRPr="005C5E32" w:rsidRDefault="00D06CB2">
            <w:pPr>
              <w:pStyle w:val="TableText"/>
              <w:spacing w:before="40" w:after="40"/>
              <w:jc w:val="right"/>
            </w:pPr>
            <w:r w:rsidRPr="005C5E32">
              <w:t>250</w:t>
            </w:r>
          </w:p>
        </w:tc>
        <w:tc>
          <w:tcPr>
            <w:tcW w:w="1134" w:type="dxa"/>
            <w:tcBorders>
              <w:top w:val="single" w:sz="4" w:space="0" w:color="58595B"/>
              <w:bottom w:val="single" w:sz="4" w:space="0" w:color="58595B"/>
            </w:tcBorders>
          </w:tcPr>
          <w:p w14:paraId="3702CD9F" w14:textId="77777777" w:rsidR="00D06CB2" w:rsidRPr="005C5E32" w:rsidRDefault="00D06CB2">
            <w:pPr>
              <w:pStyle w:val="TableText"/>
              <w:spacing w:before="40" w:after="40"/>
              <w:jc w:val="right"/>
            </w:pPr>
            <w:r w:rsidRPr="005C5E32">
              <w:t>2,317</w:t>
            </w:r>
          </w:p>
        </w:tc>
        <w:tc>
          <w:tcPr>
            <w:tcW w:w="1034" w:type="dxa"/>
            <w:tcBorders>
              <w:top w:val="single" w:sz="4" w:space="0" w:color="58595B"/>
              <w:bottom w:val="single" w:sz="4" w:space="0" w:color="58595B"/>
            </w:tcBorders>
          </w:tcPr>
          <w:p w14:paraId="01970BEE" w14:textId="77777777" w:rsidR="00D06CB2" w:rsidRPr="005C5E32" w:rsidRDefault="00D06CB2">
            <w:pPr>
              <w:pStyle w:val="TableText"/>
              <w:spacing w:before="40" w:after="40"/>
              <w:jc w:val="right"/>
            </w:pPr>
            <w:r w:rsidRPr="005C5E32">
              <w:t>172</w:t>
            </w:r>
          </w:p>
        </w:tc>
        <w:tc>
          <w:tcPr>
            <w:tcW w:w="1092" w:type="dxa"/>
            <w:tcBorders>
              <w:top w:val="single" w:sz="4" w:space="0" w:color="58595B"/>
              <w:bottom w:val="single" w:sz="4" w:space="0" w:color="58595B"/>
            </w:tcBorders>
          </w:tcPr>
          <w:p w14:paraId="1AB161A9" w14:textId="77777777" w:rsidR="00D06CB2" w:rsidRPr="005C5E32" w:rsidRDefault="00D06CB2">
            <w:pPr>
              <w:pStyle w:val="TableText"/>
              <w:spacing w:before="40" w:after="40"/>
              <w:jc w:val="right"/>
            </w:pPr>
            <w:r w:rsidRPr="005C5E32">
              <w:t>1,804</w:t>
            </w:r>
          </w:p>
        </w:tc>
        <w:tc>
          <w:tcPr>
            <w:tcW w:w="999" w:type="dxa"/>
            <w:tcBorders>
              <w:top w:val="single" w:sz="4" w:space="0" w:color="58595B"/>
              <w:bottom w:val="single" w:sz="4" w:space="0" w:color="58595B"/>
            </w:tcBorders>
          </w:tcPr>
          <w:p w14:paraId="21FC4CB7" w14:textId="77777777" w:rsidR="00D06CB2" w:rsidRPr="005C5E32" w:rsidRDefault="00D06CB2">
            <w:pPr>
              <w:pStyle w:val="TableText"/>
              <w:spacing w:before="40" w:after="40"/>
              <w:jc w:val="right"/>
            </w:pPr>
            <w:r w:rsidRPr="005C5E32">
              <w:t>–</w:t>
            </w:r>
          </w:p>
        </w:tc>
        <w:tc>
          <w:tcPr>
            <w:tcW w:w="702" w:type="dxa"/>
            <w:tcBorders>
              <w:top w:val="single" w:sz="4" w:space="0" w:color="58595B"/>
              <w:bottom w:val="single" w:sz="4" w:space="0" w:color="58595B"/>
            </w:tcBorders>
          </w:tcPr>
          <w:p w14:paraId="6717CFEC" w14:textId="77777777" w:rsidR="00D06CB2" w:rsidRPr="005C5E32" w:rsidRDefault="00D06CB2">
            <w:pPr>
              <w:pStyle w:val="TableText"/>
              <w:spacing w:before="40" w:after="40"/>
              <w:jc w:val="right"/>
            </w:pPr>
            <w:r w:rsidRPr="005C5E32">
              <w:t>4,543</w:t>
            </w:r>
          </w:p>
        </w:tc>
      </w:tr>
      <w:tr w:rsidR="00D06CB2" w:rsidRPr="005C5E32" w14:paraId="3BAF7534" w14:textId="77777777" w:rsidTr="00C77EB9">
        <w:trPr>
          <w:trHeight w:val="20"/>
        </w:trPr>
        <w:tc>
          <w:tcPr>
            <w:tcW w:w="2603" w:type="dxa"/>
            <w:tcBorders>
              <w:top w:val="single" w:sz="4" w:space="0" w:color="58595B"/>
              <w:bottom w:val="single" w:sz="4" w:space="0" w:color="58595B"/>
            </w:tcBorders>
          </w:tcPr>
          <w:p w14:paraId="1E533D24" w14:textId="77777777" w:rsidR="00D06CB2" w:rsidRPr="000B2FA4" w:rsidRDefault="00D06CB2">
            <w:pPr>
              <w:pStyle w:val="TableTextbold"/>
              <w:spacing w:before="40" w:after="40"/>
              <w:rPr>
                <w:b w:val="0"/>
              </w:rPr>
            </w:pPr>
            <w:r w:rsidRPr="000B2FA4">
              <w:rPr>
                <w:rFonts w:cstheme="minorHAnsi"/>
                <w:b w:val="0"/>
              </w:rPr>
              <w:t>Amounts utilised to settle provision</w:t>
            </w:r>
          </w:p>
        </w:tc>
        <w:tc>
          <w:tcPr>
            <w:tcW w:w="941" w:type="dxa"/>
            <w:tcBorders>
              <w:top w:val="single" w:sz="4" w:space="0" w:color="58595B"/>
              <w:bottom w:val="single" w:sz="4" w:space="0" w:color="58595B"/>
            </w:tcBorders>
          </w:tcPr>
          <w:p w14:paraId="7A5D3D5B" w14:textId="77777777" w:rsidR="00D06CB2" w:rsidRPr="000B2FA4" w:rsidRDefault="00D06CB2">
            <w:pPr>
              <w:pStyle w:val="TableText"/>
              <w:spacing w:before="40" w:after="40"/>
              <w:jc w:val="right"/>
            </w:pPr>
            <w:r w:rsidRPr="000B2FA4">
              <w:t>–</w:t>
            </w:r>
          </w:p>
        </w:tc>
        <w:tc>
          <w:tcPr>
            <w:tcW w:w="1134" w:type="dxa"/>
            <w:tcBorders>
              <w:top w:val="single" w:sz="4" w:space="0" w:color="58595B"/>
              <w:bottom w:val="single" w:sz="4" w:space="0" w:color="58595B"/>
            </w:tcBorders>
          </w:tcPr>
          <w:p w14:paraId="6607BD7F" w14:textId="77777777" w:rsidR="00D06CB2" w:rsidRPr="000B2FA4" w:rsidRDefault="00D06CB2">
            <w:pPr>
              <w:pStyle w:val="TableText"/>
              <w:spacing w:before="40" w:after="40"/>
              <w:jc w:val="right"/>
            </w:pPr>
            <w:r w:rsidRPr="000B2FA4">
              <w:t>7,998</w:t>
            </w:r>
          </w:p>
        </w:tc>
        <w:tc>
          <w:tcPr>
            <w:tcW w:w="1034" w:type="dxa"/>
            <w:tcBorders>
              <w:top w:val="single" w:sz="4" w:space="0" w:color="58595B"/>
              <w:bottom w:val="single" w:sz="4" w:space="0" w:color="58595B"/>
            </w:tcBorders>
          </w:tcPr>
          <w:p w14:paraId="51FDB1A3" w14:textId="77777777" w:rsidR="00D06CB2" w:rsidRPr="000B2FA4" w:rsidRDefault="00D06CB2">
            <w:pPr>
              <w:pStyle w:val="TableText"/>
              <w:spacing w:before="40" w:after="40"/>
              <w:jc w:val="right"/>
            </w:pPr>
            <w:r w:rsidRPr="000B2FA4">
              <w:t>–</w:t>
            </w:r>
          </w:p>
        </w:tc>
        <w:tc>
          <w:tcPr>
            <w:tcW w:w="1092" w:type="dxa"/>
            <w:tcBorders>
              <w:top w:val="single" w:sz="4" w:space="0" w:color="58595B"/>
              <w:bottom w:val="single" w:sz="4" w:space="0" w:color="58595B"/>
            </w:tcBorders>
          </w:tcPr>
          <w:p w14:paraId="0C94A7C3" w14:textId="77777777" w:rsidR="00D06CB2" w:rsidRPr="000B2FA4" w:rsidRDefault="00D06CB2">
            <w:pPr>
              <w:pStyle w:val="TableText"/>
              <w:spacing w:before="40" w:after="40"/>
              <w:jc w:val="right"/>
            </w:pPr>
            <w:r w:rsidRPr="000B2FA4">
              <w:t>375</w:t>
            </w:r>
          </w:p>
        </w:tc>
        <w:tc>
          <w:tcPr>
            <w:tcW w:w="999" w:type="dxa"/>
            <w:tcBorders>
              <w:top w:val="single" w:sz="4" w:space="0" w:color="58595B"/>
              <w:bottom w:val="single" w:sz="4" w:space="0" w:color="58595B"/>
            </w:tcBorders>
          </w:tcPr>
          <w:p w14:paraId="3DF4ACBF" w14:textId="77777777" w:rsidR="00D06CB2" w:rsidRPr="000B2FA4" w:rsidRDefault="00D06CB2">
            <w:pPr>
              <w:pStyle w:val="TableText"/>
              <w:spacing w:before="40" w:after="40"/>
              <w:jc w:val="right"/>
            </w:pPr>
            <w:r w:rsidRPr="000B2FA4">
              <w:t>–</w:t>
            </w:r>
          </w:p>
        </w:tc>
        <w:tc>
          <w:tcPr>
            <w:tcW w:w="702" w:type="dxa"/>
            <w:tcBorders>
              <w:top w:val="single" w:sz="4" w:space="0" w:color="58595B"/>
              <w:bottom w:val="single" w:sz="4" w:space="0" w:color="58595B"/>
            </w:tcBorders>
          </w:tcPr>
          <w:p w14:paraId="6E93EB1C" w14:textId="77777777" w:rsidR="00D06CB2" w:rsidRPr="000B2FA4" w:rsidRDefault="00D06CB2">
            <w:pPr>
              <w:pStyle w:val="TableText"/>
              <w:spacing w:before="40" w:after="40"/>
              <w:jc w:val="right"/>
            </w:pPr>
            <w:r w:rsidRPr="000B2FA4">
              <w:t>8,373</w:t>
            </w:r>
          </w:p>
        </w:tc>
      </w:tr>
      <w:tr w:rsidR="00D06CB2" w:rsidRPr="005C5E32" w14:paraId="47221A7B" w14:textId="77777777" w:rsidTr="00C77EB9">
        <w:trPr>
          <w:trHeight w:val="20"/>
        </w:trPr>
        <w:tc>
          <w:tcPr>
            <w:tcW w:w="2603" w:type="dxa"/>
            <w:tcBorders>
              <w:top w:val="single" w:sz="4" w:space="0" w:color="58595B"/>
              <w:bottom w:val="single" w:sz="4" w:space="0" w:color="58595B"/>
            </w:tcBorders>
          </w:tcPr>
          <w:p w14:paraId="5530123F" w14:textId="77777777" w:rsidR="00D06CB2" w:rsidRPr="005C5E32" w:rsidRDefault="00D06CB2">
            <w:pPr>
              <w:pStyle w:val="TableTextbold"/>
              <w:spacing w:before="40" w:after="40"/>
            </w:pPr>
            <w:r w:rsidRPr="005C5E32">
              <w:t>Balance as at 30 June 2025</w:t>
            </w:r>
          </w:p>
        </w:tc>
        <w:tc>
          <w:tcPr>
            <w:tcW w:w="941" w:type="dxa"/>
            <w:tcBorders>
              <w:top w:val="single" w:sz="4" w:space="0" w:color="58595B"/>
              <w:bottom w:val="single" w:sz="4" w:space="0" w:color="58595B"/>
            </w:tcBorders>
          </w:tcPr>
          <w:p w14:paraId="3038EA3B" w14:textId="77777777" w:rsidR="00D06CB2" w:rsidRPr="000635C1" w:rsidRDefault="00D06CB2">
            <w:pPr>
              <w:pStyle w:val="TableText"/>
              <w:spacing w:before="40" w:after="40"/>
              <w:jc w:val="right"/>
              <w:rPr>
                <w:b/>
              </w:rPr>
            </w:pPr>
            <w:r w:rsidRPr="000635C1">
              <w:rPr>
                <w:b/>
              </w:rPr>
              <w:t>250</w:t>
            </w:r>
          </w:p>
        </w:tc>
        <w:tc>
          <w:tcPr>
            <w:tcW w:w="1134" w:type="dxa"/>
            <w:tcBorders>
              <w:top w:val="single" w:sz="4" w:space="0" w:color="58595B"/>
              <w:bottom w:val="single" w:sz="4" w:space="0" w:color="58595B"/>
            </w:tcBorders>
          </w:tcPr>
          <w:p w14:paraId="127EB021" w14:textId="77777777" w:rsidR="00D06CB2" w:rsidRPr="000635C1" w:rsidRDefault="00D06CB2">
            <w:pPr>
              <w:pStyle w:val="TableText"/>
              <w:spacing w:before="40" w:after="40"/>
              <w:jc w:val="right"/>
              <w:rPr>
                <w:b/>
              </w:rPr>
            </w:pPr>
            <w:r w:rsidRPr="000635C1">
              <w:rPr>
                <w:b/>
              </w:rPr>
              <w:t>2,418</w:t>
            </w:r>
          </w:p>
        </w:tc>
        <w:tc>
          <w:tcPr>
            <w:tcW w:w="1034" w:type="dxa"/>
            <w:tcBorders>
              <w:top w:val="single" w:sz="4" w:space="0" w:color="58595B"/>
              <w:bottom w:val="single" w:sz="4" w:space="0" w:color="58595B"/>
            </w:tcBorders>
          </w:tcPr>
          <w:p w14:paraId="21379B89" w14:textId="77777777" w:rsidR="00D06CB2" w:rsidRPr="000635C1" w:rsidRDefault="00D06CB2">
            <w:pPr>
              <w:pStyle w:val="TableText"/>
              <w:spacing w:before="40" w:after="40"/>
              <w:jc w:val="right"/>
              <w:rPr>
                <w:b/>
              </w:rPr>
            </w:pPr>
            <w:r w:rsidRPr="000635C1">
              <w:rPr>
                <w:b/>
              </w:rPr>
              <w:t>172</w:t>
            </w:r>
          </w:p>
        </w:tc>
        <w:tc>
          <w:tcPr>
            <w:tcW w:w="1092" w:type="dxa"/>
            <w:tcBorders>
              <w:top w:val="single" w:sz="4" w:space="0" w:color="58595B"/>
              <w:bottom w:val="single" w:sz="4" w:space="0" w:color="58595B"/>
            </w:tcBorders>
          </w:tcPr>
          <w:p w14:paraId="6D569D6D" w14:textId="77777777" w:rsidR="00D06CB2" w:rsidRPr="000635C1" w:rsidRDefault="00D06CB2">
            <w:pPr>
              <w:pStyle w:val="TableText"/>
              <w:spacing w:before="40" w:after="40"/>
              <w:jc w:val="right"/>
              <w:rPr>
                <w:b/>
              </w:rPr>
            </w:pPr>
            <w:r w:rsidRPr="000635C1">
              <w:rPr>
                <w:b/>
              </w:rPr>
              <w:t>4,229</w:t>
            </w:r>
          </w:p>
        </w:tc>
        <w:tc>
          <w:tcPr>
            <w:tcW w:w="999" w:type="dxa"/>
            <w:tcBorders>
              <w:top w:val="single" w:sz="4" w:space="0" w:color="58595B"/>
              <w:bottom w:val="single" w:sz="4" w:space="0" w:color="58595B"/>
            </w:tcBorders>
          </w:tcPr>
          <w:p w14:paraId="2EE24374" w14:textId="77777777" w:rsidR="00D06CB2" w:rsidRPr="000635C1" w:rsidRDefault="00D06CB2">
            <w:pPr>
              <w:pStyle w:val="TableText"/>
              <w:spacing w:before="40" w:after="40"/>
              <w:jc w:val="right"/>
              <w:rPr>
                <w:b/>
              </w:rPr>
            </w:pPr>
            <w:r w:rsidRPr="000635C1">
              <w:rPr>
                <w:b/>
              </w:rPr>
              <w:t>–</w:t>
            </w:r>
          </w:p>
        </w:tc>
        <w:tc>
          <w:tcPr>
            <w:tcW w:w="702" w:type="dxa"/>
            <w:tcBorders>
              <w:top w:val="single" w:sz="4" w:space="0" w:color="58595B"/>
              <w:bottom w:val="single" w:sz="4" w:space="0" w:color="58595B"/>
            </w:tcBorders>
          </w:tcPr>
          <w:p w14:paraId="39427F80" w14:textId="77777777" w:rsidR="00D06CB2" w:rsidRPr="000635C1" w:rsidRDefault="00D06CB2">
            <w:pPr>
              <w:pStyle w:val="TableText"/>
              <w:spacing w:before="40" w:after="40"/>
              <w:jc w:val="right"/>
              <w:rPr>
                <w:b/>
              </w:rPr>
            </w:pPr>
            <w:r w:rsidRPr="000635C1">
              <w:rPr>
                <w:b/>
              </w:rPr>
              <w:t>7,069</w:t>
            </w:r>
          </w:p>
        </w:tc>
      </w:tr>
      <w:tr w:rsidR="00D06CB2" w:rsidRPr="005C5E32" w14:paraId="508402E9" w14:textId="77777777" w:rsidTr="00C77EB9">
        <w:trPr>
          <w:trHeight w:val="20"/>
        </w:trPr>
        <w:tc>
          <w:tcPr>
            <w:tcW w:w="2603" w:type="dxa"/>
            <w:tcBorders>
              <w:top w:val="single" w:sz="4" w:space="0" w:color="58595B"/>
              <w:bottom w:val="single" w:sz="4" w:space="0" w:color="58595B"/>
            </w:tcBorders>
          </w:tcPr>
          <w:p w14:paraId="025EB761" w14:textId="77777777" w:rsidR="00D06CB2" w:rsidRPr="000B2FA4" w:rsidRDefault="00D06CB2">
            <w:pPr>
              <w:pStyle w:val="TableTextbold"/>
              <w:spacing w:before="40" w:after="40"/>
              <w:rPr>
                <w:b w:val="0"/>
              </w:rPr>
            </w:pPr>
            <w:r w:rsidRPr="000B2FA4">
              <w:rPr>
                <w:b w:val="0"/>
              </w:rPr>
              <w:t>Balance as at 1 July 2025</w:t>
            </w:r>
          </w:p>
        </w:tc>
        <w:tc>
          <w:tcPr>
            <w:tcW w:w="941" w:type="dxa"/>
            <w:tcBorders>
              <w:top w:val="single" w:sz="4" w:space="0" w:color="58595B"/>
              <w:bottom w:val="single" w:sz="4" w:space="0" w:color="58595B"/>
            </w:tcBorders>
          </w:tcPr>
          <w:p w14:paraId="06ADBDC9" w14:textId="77777777" w:rsidR="00D06CB2" w:rsidRPr="000B2FA4" w:rsidRDefault="00D06CB2">
            <w:pPr>
              <w:pStyle w:val="TableText"/>
              <w:spacing w:before="40" w:after="40"/>
              <w:jc w:val="right"/>
            </w:pPr>
            <w:r w:rsidRPr="000B2FA4">
              <w:t>250</w:t>
            </w:r>
          </w:p>
        </w:tc>
        <w:tc>
          <w:tcPr>
            <w:tcW w:w="1134" w:type="dxa"/>
            <w:tcBorders>
              <w:top w:val="single" w:sz="4" w:space="0" w:color="58595B"/>
              <w:bottom w:val="single" w:sz="4" w:space="0" w:color="58595B"/>
            </w:tcBorders>
          </w:tcPr>
          <w:p w14:paraId="52568EAE" w14:textId="77777777" w:rsidR="00D06CB2" w:rsidRPr="000B2FA4" w:rsidRDefault="00D06CB2">
            <w:pPr>
              <w:pStyle w:val="TableText"/>
              <w:spacing w:before="40" w:after="40"/>
              <w:jc w:val="right"/>
            </w:pPr>
            <w:r w:rsidRPr="000B2FA4">
              <w:t>2,418</w:t>
            </w:r>
          </w:p>
        </w:tc>
        <w:tc>
          <w:tcPr>
            <w:tcW w:w="1034" w:type="dxa"/>
            <w:tcBorders>
              <w:top w:val="single" w:sz="4" w:space="0" w:color="58595B"/>
              <w:bottom w:val="single" w:sz="4" w:space="0" w:color="58595B"/>
            </w:tcBorders>
          </w:tcPr>
          <w:p w14:paraId="5DAC7EB1" w14:textId="77777777" w:rsidR="00D06CB2" w:rsidRPr="000B2FA4" w:rsidRDefault="00D06CB2">
            <w:pPr>
              <w:pStyle w:val="TableText"/>
              <w:spacing w:before="40" w:after="40"/>
              <w:jc w:val="right"/>
            </w:pPr>
            <w:r w:rsidRPr="000B2FA4">
              <w:t>172</w:t>
            </w:r>
          </w:p>
        </w:tc>
        <w:tc>
          <w:tcPr>
            <w:tcW w:w="1092" w:type="dxa"/>
            <w:tcBorders>
              <w:top w:val="single" w:sz="4" w:space="0" w:color="58595B"/>
              <w:bottom w:val="single" w:sz="4" w:space="0" w:color="58595B"/>
            </w:tcBorders>
          </w:tcPr>
          <w:p w14:paraId="3D8546E2" w14:textId="77777777" w:rsidR="00D06CB2" w:rsidRPr="000B2FA4" w:rsidRDefault="00D06CB2">
            <w:pPr>
              <w:pStyle w:val="TableText"/>
              <w:spacing w:before="40" w:after="40"/>
              <w:jc w:val="right"/>
            </w:pPr>
            <w:r w:rsidRPr="000B2FA4">
              <w:t>4,229</w:t>
            </w:r>
          </w:p>
        </w:tc>
        <w:tc>
          <w:tcPr>
            <w:tcW w:w="999" w:type="dxa"/>
            <w:tcBorders>
              <w:top w:val="single" w:sz="4" w:space="0" w:color="58595B"/>
              <w:bottom w:val="single" w:sz="4" w:space="0" w:color="58595B"/>
            </w:tcBorders>
          </w:tcPr>
          <w:p w14:paraId="3CFD2C3C" w14:textId="77777777" w:rsidR="00D06CB2" w:rsidRPr="000B2FA4" w:rsidRDefault="00D06CB2">
            <w:pPr>
              <w:pStyle w:val="TableText"/>
              <w:spacing w:before="40" w:after="40"/>
              <w:jc w:val="right"/>
            </w:pPr>
            <w:r w:rsidRPr="000B2FA4">
              <w:t>–</w:t>
            </w:r>
          </w:p>
        </w:tc>
        <w:tc>
          <w:tcPr>
            <w:tcW w:w="702" w:type="dxa"/>
            <w:tcBorders>
              <w:top w:val="single" w:sz="4" w:space="0" w:color="58595B"/>
              <w:bottom w:val="single" w:sz="4" w:space="0" w:color="58595B"/>
            </w:tcBorders>
          </w:tcPr>
          <w:p w14:paraId="5796D55C" w14:textId="77777777" w:rsidR="00D06CB2" w:rsidRPr="000B2FA4" w:rsidRDefault="00D06CB2">
            <w:pPr>
              <w:pStyle w:val="TableText"/>
              <w:spacing w:before="40" w:after="40"/>
              <w:jc w:val="right"/>
            </w:pPr>
            <w:r w:rsidRPr="000B2FA4">
              <w:t>7,069</w:t>
            </w:r>
          </w:p>
        </w:tc>
      </w:tr>
      <w:tr w:rsidR="00D06CB2" w:rsidRPr="005C5E32" w14:paraId="13B21F68" w14:textId="77777777" w:rsidTr="00C77EB9">
        <w:trPr>
          <w:trHeight w:val="20"/>
        </w:trPr>
        <w:tc>
          <w:tcPr>
            <w:tcW w:w="2603" w:type="dxa"/>
            <w:tcBorders>
              <w:top w:val="single" w:sz="4" w:space="0" w:color="58595B"/>
              <w:bottom w:val="single" w:sz="4" w:space="0" w:color="58595B"/>
            </w:tcBorders>
          </w:tcPr>
          <w:p w14:paraId="73709256" w14:textId="77777777" w:rsidR="00D06CB2" w:rsidRPr="005C5E32" w:rsidRDefault="00D06CB2">
            <w:pPr>
              <w:pStyle w:val="TableText"/>
              <w:spacing w:before="40" w:after="40"/>
            </w:pPr>
            <w:r w:rsidRPr="005C5E32">
              <w:t>Additional provisions made</w:t>
            </w:r>
          </w:p>
        </w:tc>
        <w:tc>
          <w:tcPr>
            <w:tcW w:w="941" w:type="dxa"/>
            <w:tcBorders>
              <w:top w:val="single" w:sz="4" w:space="0" w:color="58595B"/>
              <w:bottom w:val="single" w:sz="4" w:space="0" w:color="58595B"/>
            </w:tcBorders>
          </w:tcPr>
          <w:p w14:paraId="40AAEA73" w14:textId="77777777" w:rsidR="00D06CB2" w:rsidRPr="005C5E32" w:rsidRDefault="00D06CB2">
            <w:pPr>
              <w:pStyle w:val="TableText"/>
              <w:spacing w:before="40" w:after="40"/>
              <w:jc w:val="right"/>
            </w:pPr>
            <w:r w:rsidRPr="005C5E32">
              <w:t>–</w:t>
            </w:r>
          </w:p>
        </w:tc>
        <w:tc>
          <w:tcPr>
            <w:tcW w:w="1134" w:type="dxa"/>
            <w:tcBorders>
              <w:top w:val="single" w:sz="4" w:space="0" w:color="58595B"/>
              <w:bottom w:val="single" w:sz="4" w:space="0" w:color="58595B"/>
            </w:tcBorders>
          </w:tcPr>
          <w:p w14:paraId="77F10555" w14:textId="77777777" w:rsidR="00D06CB2" w:rsidRPr="005C5E32" w:rsidRDefault="00D06CB2">
            <w:pPr>
              <w:pStyle w:val="TableText"/>
              <w:spacing w:before="40" w:after="40"/>
              <w:jc w:val="right"/>
            </w:pPr>
            <w:r w:rsidRPr="005C5E32">
              <w:t>–</w:t>
            </w:r>
          </w:p>
        </w:tc>
        <w:tc>
          <w:tcPr>
            <w:tcW w:w="1034" w:type="dxa"/>
            <w:tcBorders>
              <w:top w:val="single" w:sz="4" w:space="0" w:color="58595B"/>
              <w:bottom w:val="single" w:sz="4" w:space="0" w:color="58595B"/>
            </w:tcBorders>
          </w:tcPr>
          <w:p w14:paraId="7466799F" w14:textId="77777777" w:rsidR="00D06CB2" w:rsidRPr="005C5E32" w:rsidRDefault="00D06CB2">
            <w:pPr>
              <w:pStyle w:val="TableText"/>
              <w:spacing w:before="40" w:after="40"/>
              <w:jc w:val="right"/>
            </w:pPr>
            <w:r w:rsidRPr="005C5E32">
              <w:t>–</w:t>
            </w:r>
          </w:p>
        </w:tc>
        <w:tc>
          <w:tcPr>
            <w:tcW w:w="1092" w:type="dxa"/>
            <w:tcBorders>
              <w:top w:val="single" w:sz="4" w:space="0" w:color="58595B"/>
              <w:bottom w:val="single" w:sz="4" w:space="0" w:color="58595B"/>
            </w:tcBorders>
          </w:tcPr>
          <w:p w14:paraId="1A54D0C2" w14:textId="77777777" w:rsidR="00D06CB2" w:rsidRPr="005C5E32" w:rsidRDefault="00D06CB2">
            <w:pPr>
              <w:pStyle w:val="TableText"/>
              <w:spacing w:before="40" w:after="40"/>
              <w:jc w:val="right"/>
            </w:pPr>
            <w:r w:rsidRPr="005C5E32">
              <w:t>17</w:t>
            </w:r>
          </w:p>
        </w:tc>
        <w:tc>
          <w:tcPr>
            <w:tcW w:w="999" w:type="dxa"/>
            <w:tcBorders>
              <w:top w:val="single" w:sz="4" w:space="0" w:color="58595B"/>
              <w:bottom w:val="single" w:sz="4" w:space="0" w:color="58595B"/>
            </w:tcBorders>
          </w:tcPr>
          <w:p w14:paraId="42D97007" w14:textId="77777777" w:rsidR="00D06CB2" w:rsidRPr="005C5E32" w:rsidRDefault="00D06CB2">
            <w:pPr>
              <w:pStyle w:val="TableText"/>
              <w:spacing w:before="40" w:after="40"/>
              <w:jc w:val="right"/>
            </w:pPr>
            <w:r w:rsidRPr="005C5E32">
              <w:t>100</w:t>
            </w:r>
          </w:p>
        </w:tc>
        <w:tc>
          <w:tcPr>
            <w:tcW w:w="702" w:type="dxa"/>
            <w:tcBorders>
              <w:top w:val="single" w:sz="4" w:space="0" w:color="58595B"/>
              <w:bottom w:val="single" w:sz="4" w:space="0" w:color="58595B"/>
            </w:tcBorders>
          </w:tcPr>
          <w:p w14:paraId="2AAB964F" w14:textId="77777777" w:rsidR="00D06CB2" w:rsidRPr="005C5E32" w:rsidRDefault="00D06CB2">
            <w:pPr>
              <w:pStyle w:val="TableText"/>
              <w:spacing w:before="40" w:after="40"/>
              <w:jc w:val="right"/>
            </w:pPr>
            <w:r w:rsidRPr="005C5E32">
              <w:t>117</w:t>
            </w:r>
          </w:p>
        </w:tc>
      </w:tr>
      <w:tr w:rsidR="00D06CB2" w:rsidRPr="005C5E32" w14:paraId="530E05EC" w14:textId="77777777" w:rsidTr="00C77EB9">
        <w:trPr>
          <w:trHeight w:val="20"/>
        </w:trPr>
        <w:tc>
          <w:tcPr>
            <w:tcW w:w="2603" w:type="dxa"/>
            <w:tcBorders>
              <w:top w:val="single" w:sz="4" w:space="0" w:color="58595B"/>
              <w:bottom w:val="single" w:sz="4" w:space="0" w:color="58595B"/>
            </w:tcBorders>
          </w:tcPr>
          <w:p w14:paraId="336B8FEE" w14:textId="77777777" w:rsidR="00D06CB2" w:rsidRPr="005C5E32" w:rsidRDefault="00D06CB2">
            <w:pPr>
              <w:pStyle w:val="TableText"/>
              <w:spacing w:before="40" w:after="40"/>
              <w:rPr>
                <w:rFonts w:cstheme="minorHAnsi"/>
              </w:rPr>
            </w:pPr>
            <w:r w:rsidRPr="005C5E32">
              <w:rPr>
                <w:rFonts w:cstheme="minorHAnsi"/>
              </w:rPr>
              <w:t>Amounts utilised to settle provision</w:t>
            </w:r>
          </w:p>
        </w:tc>
        <w:tc>
          <w:tcPr>
            <w:tcW w:w="941" w:type="dxa"/>
            <w:tcBorders>
              <w:top w:val="single" w:sz="4" w:space="0" w:color="58595B"/>
              <w:bottom w:val="single" w:sz="4" w:space="0" w:color="58595B"/>
            </w:tcBorders>
          </w:tcPr>
          <w:p w14:paraId="407D6B50" w14:textId="77777777" w:rsidR="00D06CB2" w:rsidRPr="005C5E32" w:rsidRDefault="00D06CB2">
            <w:pPr>
              <w:pStyle w:val="TableText"/>
              <w:spacing w:before="40" w:after="40"/>
              <w:jc w:val="right"/>
            </w:pPr>
            <w:r w:rsidRPr="005C5E32">
              <w:t>250</w:t>
            </w:r>
          </w:p>
        </w:tc>
        <w:tc>
          <w:tcPr>
            <w:tcW w:w="1134" w:type="dxa"/>
            <w:tcBorders>
              <w:top w:val="single" w:sz="4" w:space="0" w:color="58595B"/>
              <w:bottom w:val="single" w:sz="4" w:space="0" w:color="58595B"/>
            </w:tcBorders>
          </w:tcPr>
          <w:p w14:paraId="268AAB57" w14:textId="77777777" w:rsidR="00D06CB2" w:rsidRPr="005C5E32" w:rsidRDefault="00D06CB2">
            <w:pPr>
              <w:pStyle w:val="TableText"/>
              <w:spacing w:before="40" w:after="40"/>
              <w:jc w:val="right"/>
            </w:pPr>
            <w:r w:rsidRPr="005C5E32">
              <w:t>1,548</w:t>
            </w:r>
          </w:p>
        </w:tc>
        <w:tc>
          <w:tcPr>
            <w:tcW w:w="1034" w:type="dxa"/>
            <w:tcBorders>
              <w:top w:val="single" w:sz="4" w:space="0" w:color="58595B"/>
              <w:bottom w:val="single" w:sz="4" w:space="0" w:color="58595B"/>
            </w:tcBorders>
          </w:tcPr>
          <w:p w14:paraId="30DBE2D3" w14:textId="77777777" w:rsidR="00D06CB2" w:rsidRPr="005C5E32" w:rsidRDefault="00D06CB2">
            <w:pPr>
              <w:pStyle w:val="TableText"/>
              <w:spacing w:before="40" w:after="40"/>
              <w:jc w:val="right"/>
            </w:pPr>
            <w:r w:rsidRPr="005C5E32">
              <w:t>172</w:t>
            </w:r>
          </w:p>
        </w:tc>
        <w:tc>
          <w:tcPr>
            <w:tcW w:w="1092" w:type="dxa"/>
            <w:tcBorders>
              <w:top w:val="single" w:sz="4" w:space="0" w:color="58595B"/>
              <w:bottom w:val="single" w:sz="4" w:space="0" w:color="58595B"/>
            </w:tcBorders>
          </w:tcPr>
          <w:p w14:paraId="7E9997A8" w14:textId="77777777" w:rsidR="00D06CB2" w:rsidRPr="005C5E32" w:rsidRDefault="00D06CB2">
            <w:pPr>
              <w:pStyle w:val="TableText"/>
              <w:spacing w:before="40" w:after="40"/>
              <w:jc w:val="right"/>
            </w:pPr>
            <w:r w:rsidRPr="005C5E32">
              <w:t>4,229</w:t>
            </w:r>
          </w:p>
        </w:tc>
        <w:tc>
          <w:tcPr>
            <w:tcW w:w="999" w:type="dxa"/>
            <w:tcBorders>
              <w:top w:val="single" w:sz="4" w:space="0" w:color="58595B"/>
              <w:bottom w:val="single" w:sz="4" w:space="0" w:color="58595B"/>
            </w:tcBorders>
          </w:tcPr>
          <w:p w14:paraId="655C1485" w14:textId="77777777" w:rsidR="00D06CB2" w:rsidRPr="005C5E32" w:rsidRDefault="00D06CB2">
            <w:pPr>
              <w:pStyle w:val="TableText"/>
              <w:spacing w:before="40" w:after="40"/>
              <w:jc w:val="right"/>
            </w:pPr>
            <w:r w:rsidRPr="005C5E32">
              <w:t>–</w:t>
            </w:r>
          </w:p>
        </w:tc>
        <w:tc>
          <w:tcPr>
            <w:tcW w:w="702" w:type="dxa"/>
            <w:tcBorders>
              <w:top w:val="single" w:sz="4" w:space="0" w:color="58595B"/>
              <w:bottom w:val="single" w:sz="4" w:space="0" w:color="58595B"/>
            </w:tcBorders>
          </w:tcPr>
          <w:p w14:paraId="188C2256" w14:textId="77777777" w:rsidR="00D06CB2" w:rsidRPr="005C5E32" w:rsidRDefault="00D06CB2">
            <w:pPr>
              <w:pStyle w:val="TableText"/>
              <w:spacing w:before="40" w:after="40"/>
              <w:jc w:val="right"/>
            </w:pPr>
            <w:r w:rsidRPr="005C5E32">
              <w:t xml:space="preserve"> 6,199</w:t>
            </w:r>
          </w:p>
        </w:tc>
      </w:tr>
      <w:tr w:rsidR="00D06CB2" w:rsidRPr="005C5E32" w14:paraId="5A35484C" w14:textId="77777777" w:rsidTr="00C77EB9">
        <w:trPr>
          <w:trHeight w:val="20"/>
        </w:trPr>
        <w:tc>
          <w:tcPr>
            <w:tcW w:w="2603" w:type="dxa"/>
            <w:tcBorders>
              <w:top w:val="single" w:sz="4" w:space="0" w:color="58595B"/>
              <w:bottom w:val="single" w:sz="4" w:space="0" w:color="58595B"/>
            </w:tcBorders>
          </w:tcPr>
          <w:p w14:paraId="5C060FEA" w14:textId="77777777" w:rsidR="00D06CB2" w:rsidRPr="005C5E32" w:rsidRDefault="00D06CB2">
            <w:pPr>
              <w:pStyle w:val="TableTextbold"/>
              <w:spacing w:before="40" w:after="40"/>
            </w:pPr>
            <w:r w:rsidRPr="005C5E32">
              <w:t>Balance as at 30 June 2026</w:t>
            </w:r>
          </w:p>
        </w:tc>
        <w:tc>
          <w:tcPr>
            <w:tcW w:w="941" w:type="dxa"/>
            <w:tcBorders>
              <w:top w:val="single" w:sz="4" w:space="0" w:color="58595B"/>
              <w:bottom w:val="single" w:sz="4" w:space="0" w:color="58595B"/>
            </w:tcBorders>
          </w:tcPr>
          <w:p w14:paraId="6F9D7466" w14:textId="77777777" w:rsidR="00D06CB2" w:rsidRPr="000635C1" w:rsidRDefault="00D06CB2">
            <w:pPr>
              <w:pStyle w:val="TableText"/>
              <w:spacing w:before="40" w:after="40"/>
              <w:jc w:val="right"/>
              <w:rPr>
                <w:b/>
              </w:rPr>
            </w:pPr>
            <w:r w:rsidRPr="000635C1">
              <w:rPr>
                <w:b/>
              </w:rPr>
              <w:t>–</w:t>
            </w:r>
          </w:p>
        </w:tc>
        <w:tc>
          <w:tcPr>
            <w:tcW w:w="1134" w:type="dxa"/>
            <w:tcBorders>
              <w:top w:val="single" w:sz="4" w:space="0" w:color="58595B"/>
              <w:bottom w:val="single" w:sz="4" w:space="0" w:color="58595B"/>
            </w:tcBorders>
          </w:tcPr>
          <w:p w14:paraId="06875895" w14:textId="77777777" w:rsidR="00D06CB2" w:rsidRPr="000635C1" w:rsidRDefault="00D06CB2">
            <w:pPr>
              <w:pStyle w:val="TableText"/>
              <w:spacing w:before="40" w:after="40"/>
              <w:jc w:val="right"/>
              <w:rPr>
                <w:b/>
              </w:rPr>
            </w:pPr>
            <w:r w:rsidRPr="000635C1">
              <w:rPr>
                <w:b/>
              </w:rPr>
              <w:t>870</w:t>
            </w:r>
          </w:p>
        </w:tc>
        <w:tc>
          <w:tcPr>
            <w:tcW w:w="1034" w:type="dxa"/>
            <w:tcBorders>
              <w:top w:val="single" w:sz="4" w:space="0" w:color="58595B"/>
              <w:bottom w:val="single" w:sz="4" w:space="0" w:color="58595B"/>
            </w:tcBorders>
          </w:tcPr>
          <w:p w14:paraId="115DF26C" w14:textId="77777777" w:rsidR="00D06CB2" w:rsidRPr="000635C1" w:rsidRDefault="00D06CB2">
            <w:pPr>
              <w:pStyle w:val="TableText"/>
              <w:spacing w:before="40" w:after="40"/>
              <w:jc w:val="right"/>
              <w:rPr>
                <w:b/>
              </w:rPr>
            </w:pPr>
            <w:r w:rsidRPr="000635C1">
              <w:rPr>
                <w:b/>
              </w:rPr>
              <w:t>–</w:t>
            </w:r>
          </w:p>
        </w:tc>
        <w:tc>
          <w:tcPr>
            <w:tcW w:w="1092" w:type="dxa"/>
            <w:tcBorders>
              <w:top w:val="single" w:sz="4" w:space="0" w:color="58595B"/>
              <w:bottom w:val="single" w:sz="4" w:space="0" w:color="58595B"/>
            </w:tcBorders>
          </w:tcPr>
          <w:p w14:paraId="5C29C5BE" w14:textId="77777777" w:rsidR="00D06CB2" w:rsidRPr="000635C1" w:rsidRDefault="00D06CB2">
            <w:pPr>
              <w:pStyle w:val="TableText"/>
              <w:spacing w:before="40" w:after="40"/>
              <w:jc w:val="right"/>
              <w:rPr>
                <w:b/>
              </w:rPr>
            </w:pPr>
            <w:r w:rsidRPr="000635C1">
              <w:rPr>
                <w:b/>
              </w:rPr>
              <w:t>17</w:t>
            </w:r>
          </w:p>
        </w:tc>
        <w:tc>
          <w:tcPr>
            <w:tcW w:w="999" w:type="dxa"/>
            <w:tcBorders>
              <w:top w:val="single" w:sz="4" w:space="0" w:color="58595B"/>
              <w:bottom w:val="single" w:sz="4" w:space="0" w:color="58595B"/>
            </w:tcBorders>
          </w:tcPr>
          <w:p w14:paraId="4993DFD1" w14:textId="77777777" w:rsidR="00D06CB2" w:rsidRPr="000635C1" w:rsidRDefault="00D06CB2">
            <w:pPr>
              <w:pStyle w:val="TableText"/>
              <w:spacing w:before="40" w:after="40"/>
              <w:jc w:val="right"/>
              <w:rPr>
                <w:b/>
              </w:rPr>
            </w:pPr>
            <w:r w:rsidRPr="000635C1">
              <w:rPr>
                <w:b/>
              </w:rPr>
              <w:t>100</w:t>
            </w:r>
          </w:p>
        </w:tc>
        <w:tc>
          <w:tcPr>
            <w:tcW w:w="702" w:type="dxa"/>
            <w:tcBorders>
              <w:top w:val="single" w:sz="4" w:space="0" w:color="58595B"/>
              <w:bottom w:val="single" w:sz="4" w:space="0" w:color="58595B"/>
            </w:tcBorders>
          </w:tcPr>
          <w:p w14:paraId="48FE2DF1" w14:textId="77777777" w:rsidR="00D06CB2" w:rsidRPr="000635C1" w:rsidRDefault="00D06CB2">
            <w:pPr>
              <w:pStyle w:val="TableText"/>
              <w:spacing w:before="40" w:after="40"/>
              <w:jc w:val="right"/>
              <w:rPr>
                <w:b/>
              </w:rPr>
            </w:pPr>
            <w:r w:rsidRPr="000635C1">
              <w:rPr>
                <w:b/>
              </w:rPr>
              <w:t>987</w:t>
            </w:r>
          </w:p>
        </w:tc>
      </w:tr>
    </w:tbl>
    <w:p w14:paraId="49236BF8" w14:textId="77777777" w:rsidR="00D06CB2" w:rsidRPr="005C5E32" w:rsidRDefault="00D06CB2" w:rsidP="00A03341">
      <w:pPr>
        <w:pStyle w:val="Heading4"/>
        <w:spacing w:before="360"/>
      </w:pPr>
      <w:r w:rsidRPr="005C5E32">
        <w:t>Restructuring provision</w:t>
      </w:r>
    </w:p>
    <w:p w14:paraId="6EF1D332" w14:textId="4777620C" w:rsidR="00D06CB2" w:rsidRPr="005C5E32" w:rsidRDefault="00D06CB2">
      <w:pPr>
        <w:pStyle w:val="BodyText"/>
      </w:pPr>
      <w:r w:rsidRPr="005C5E32">
        <w:t xml:space="preserve">The restructuring provision arises from the reshaping of the Ministry announced in mid-2023. </w:t>
      </w:r>
      <w:r w:rsidRPr="005C5E32">
        <w:rPr>
          <w:spacing w:val="-2"/>
        </w:rPr>
        <w:t>It forms part of the Government’s priorities and relates to the cost of expected redundancies</w:t>
      </w:r>
      <w:r w:rsidRPr="005C5E32">
        <w:t>. In</w:t>
      </w:r>
      <w:r w:rsidR="00C77EB9" w:rsidRPr="005C5E32">
        <w:t> </w:t>
      </w:r>
      <w:r w:rsidRPr="005C5E32">
        <w:t xml:space="preserve">2025/26, most of the provisioned redundancies were paid out, while a small number of delayed redundancies are being carried over and are expected to be paid out in 2026/27. </w:t>
      </w:r>
    </w:p>
    <w:p w14:paraId="4E4017A7" w14:textId="77777777" w:rsidR="00D06CB2" w:rsidRPr="005C5E32" w:rsidRDefault="00D06CB2">
      <w:pPr>
        <w:pStyle w:val="BodyText"/>
      </w:pPr>
      <w:r w:rsidRPr="005C5E32">
        <w:t xml:space="preserve">Assumptions made in this calculation were the average length of service and salary mid-point. </w:t>
      </w:r>
    </w:p>
    <w:p w14:paraId="0BD8507E" w14:textId="77777777" w:rsidR="00D06CB2" w:rsidRPr="005C5E32" w:rsidRDefault="00D06CB2">
      <w:pPr>
        <w:pStyle w:val="Heading4"/>
        <w:spacing w:before="360"/>
      </w:pPr>
      <w:r w:rsidRPr="005C5E32">
        <w:t xml:space="preserve">MCERT merger </w:t>
      </w:r>
    </w:p>
    <w:p w14:paraId="049497B1" w14:textId="77777777" w:rsidR="00D06CB2" w:rsidRPr="005C5E32" w:rsidRDefault="00D06CB2">
      <w:pPr>
        <w:pStyle w:val="BodyText"/>
      </w:pPr>
      <w:r w:rsidRPr="005C5E32">
        <w:t xml:space="preserve">This provision arises from the MCERT merger that went live on 1 July 2026. The majority of Ministry for the Environment staff transferred into the new ministry. A small number of roles were disestablished and placed into fixed term positions. These roles will be eligible for redundancy at the end of the fixed term. </w:t>
      </w:r>
    </w:p>
    <w:p w14:paraId="538C1154" w14:textId="77777777" w:rsidR="00D06CB2" w:rsidRPr="005C5E32" w:rsidRDefault="00D06CB2">
      <w:pPr>
        <w:pStyle w:val="BodyText"/>
      </w:pPr>
      <w:r w:rsidRPr="005C5E32">
        <w:t>Assumptions made in this calculation were the average length of service and salary mid-point.</w:t>
      </w:r>
    </w:p>
    <w:p w14:paraId="3F81ADEA" w14:textId="77777777" w:rsidR="00D06CB2" w:rsidRPr="005C5E32" w:rsidRDefault="00D06CB2" w:rsidP="00A03341">
      <w:pPr>
        <w:pStyle w:val="Heading4"/>
        <w:spacing w:before="180"/>
      </w:pPr>
      <w:r w:rsidRPr="005C5E32">
        <w:lastRenderedPageBreak/>
        <w:t>Historical Waitangi Tribunal claims</w:t>
      </w:r>
    </w:p>
    <w:p w14:paraId="6CF9C126" w14:textId="35255A2F" w:rsidR="00D06CB2" w:rsidRPr="005C5E32" w:rsidRDefault="00D06CB2" w:rsidP="00A03341">
      <w:pPr>
        <w:pStyle w:val="BodyText"/>
      </w:pPr>
      <w:r w:rsidRPr="005C5E32">
        <w:t xml:space="preserve">This provision arises from the Ministry’s commitment to retrospectively fund claimants for stages 1 and 2 of the Kaupapa inquiry Wai 2358: National Freshwater and Geothermal Resources. During 2025/26, all the provision was </w:t>
      </w:r>
      <w:r w:rsidR="0060335E" w:rsidRPr="005C5E32">
        <w:t>released</w:t>
      </w:r>
      <w:r w:rsidRPr="005C5E32">
        <w:t xml:space="preserve">. An additional provision has been made for hearings to be held in 2026/27. </w:t>
      </w:r>
    </w:p>
    <w:p w14:paraId="4473B229" w14:textId="77777777" w:rsidR="00D06CB2" w:rsidRPr="005C5E32" w:rsidRDefault="00D06CB2" w:rsidP="00A03341">
      <w:pPr>
        <w:pStyle w:val="BodyText"/>
      </w:pPr>
      <w:r w:rsidRPr="005C5E32">
        <w:t xml:space="preserve">Assumptions made in this calculation were the number of claimants and the compensation rate for travel and accommodation. </w:t>
      </w:r>
    </w:p>
    <w:p w14:paraId="2586A357" w14:textId="77777777" w:rsidR="00D06CB2" w:rsidRPr="005C5E32" w:rsidRDefault="00D06CB2" w:rsidP="00A03341">
      <w:pPr>
        <w:pStyle w:val="Heading3"/>
        <w:tabs>
          <w:tab w:val="clear" w:pos="851"/>
          <w:tab w:val="left" w:pos="567"/>
        </w:tabs>
      </w:pPr>
      <w:bookmarkStart w:id="344" w:name="_Toc112144636"/>
      <w:r w:rsidRPr="005C5E32">
        <w:t>13.</w:t>
      </w:r>
      <w:r w:rsidRPr="005C5E32">
        <w:tab/>
        <w:t>Employee entitlements</w:t>
      </w:r>
      <w:bookmarkEnd w:id="344"/>
    </w:p>
    <w:p w14:paraId="39350F48" w14:textId="77777777" w:rsidR="00D06CB2" w:rsidRPr="005C5E32" w:rsidRDefault="00D06CB2" w:rsidP="00A03341">
      <w:pPr>
        <w:pStyle w:val="Heading4"/>
        <w:spacing w:before="180"/>
      </w:pPr>
      <w:r w:rsidRPr="005C5E32">
        <w:t>Accounting policy</w:t>
      </w:r>
    </w:p>
    <w:p w14:paraId="43980C5B" w14:textId="77777777" w:rsidR="00D06CB2" w:rsidRPr="005C5E32" w:rsidRDefault="00D06CB2" w:rsidP="00A03341">
      <w:pPr>
        <w:pStyle w:val="Heading5"/>
        <w:spacing w:before="200"/>
      </w:pPr>
      <w:r w:rsidRPr="005C5E32">
        <w:t>Short-term employee entitlements</w:t>
      </w:r>
    </w:p>
    <w:p w14:paraId="3B1ED8AC" w14:textId="77777777" w:rsidR="00D06CB2" w:rsidRPr="005C5E32" w:rsidRDefault="00D06CB2" w:rsidP="00A03341">
      <w:pPr>
        <w:pStyle w:val="BodyText"/>
        <w:spacing w:before="100" w:after="100"/>
      </w:pPr>
      <w:r w:rsidRPr="005C5E32">
        <w:t>Employee entitlements that are due to be settled within 12 months after the end of the period in which the employee renders the related service are measured based on accrued entitlements at current rates of pay.</w:t>
      </w:r>
    </w:p>
    <w:p w14:paraId="296B219E" w14:textId="77777777" w:rsidR="00D06CB2" w:rsidRPr="005C5E32" w:rsidRDefault="00D06CB2" w:rsidP="00A03341">
      <w:pPr>
        <w:pStyle w:val="BodyText"/>
        <w:spacing w:before="100" w:after="100"/>
      </w:pPr>
      <w:r w:rsidRPr="005C5E32">
        <w:t>These include salaries and wages accrued up to balance date, annual leave earned but not yet taken at balance date, and long-service leave and retirement gratuities expected to be settled within 12 months.</w:t>
      </w:r>
    </w:p>
    <w:p w14:paraId="0DF569CB" w14:textId="77777777" w:rsidR="00D06CB2" w:rsidRPr="005C5E32" w:rsidRDefault="00D06CB2" w:rsidP="00A03341">
      <w:pPr>
        <w:pStyle w:val="Heading5"/>
        <w:spacing w:before="200"/>
      </w:pPr>
      <w:r w:rsidRPr="005C5E32">
        <w:t>Long-term employee entitlements</w:t>
      </w:r>
    </w:p>
    <w:p w14:paraId="1AE8377D" w14:textId="77777777" w:rsidR="00D06CB2" w:rsidRPr="005C5E32" w:rsidRDefault="00D06CB2" w:rsidP="00A03341">
      <w:pPr>
        <w:pStyle w:val="BodyText"/>
        <w:spacing w:after="100"/>
      </w:pPr>
      <w:r w:rsidRPr="005C5E32">
        <w:t>Employee entitlements that are due to be settled beyond 12 months after the end of the reporting period in which the employee renders the related service, such as long-service leave and retirement leave, are calculated on an actuarial basis. The calculations are based on:</w:t>
      </w:r>
    </w:p>
    <w:p w14:paraId="59A5665D" w14:textId="77777777" w:rsidR="00D06CB2" w:rsidRPr="005C5E32" w:rsidRDefault="00D06CB2" w:rsidP="00A03341">
      <w:pPr>
        <w:pStyle w:val="Bullet"/>
        <w:spacing w:after="100"/>
      </w:pPr>
      <w:r w:rsidRPr="005C5E32">
        <w:t>likely future entitlements accruing to the staff member, according to their years of service, their years to entitlement, the likelihood that they will reach the point of entitlement, and contractual entitlements information</w:t>
      </w:r>
    </w:p>
    <w:p w14:paraId="3954E137" w14:textId="77777777" w:rsidR="00D06CB2" w:rsidRPr="005C5E32" w:rsidRDefault="00D06CB2" w:rsidP="00A03341">
      <w:pPr>
        <w:pStyle w:val="Bullet"/>
        <w:spacing w:after="100"/>
      </w:pPr>
      <w:r w:rsidRPr="005C5E32">
        <w:t>the present value of the estimated future cash flows.</w:t>
      </w:r>
    </w:p>
    <w:p w14:paraId="0850D63F" w14:textId="77777777" w:rsidR="00D06CB2" w:rsidRPr="005C5E32" w:rsidRDefault="00D06CB2" w:rsidP="00A03341">
      <w:pPr>
        <w:pStyle w:val="Heading5"/>
        <w:spacing w:before="200"/>
      </w:pPr>
      <w:r w:rsidRPr="005C5E32">
        <w:t>Presentation of employee entitlements</w:t>
      </w:r>
    </w:p>
    <w:p w14:paraId="2037EB82" w14:textId="77777777" w:rsidR="00D06CB2" w:rsidRPr="005C5E32" w:rsidRDefault="00D06CB2" w:rsidP="00A03341">
      <w:pPr>
        <w:pStyle w:val="BodyText"/>
        <w:spacing w:before="100" w:after="100"/>
      </w:pPr>
      <w:r w:rsidRPr="005C5E32">
        <w:t>Salaries and wages accrued, annual leave, vested long-service leave, non-vested long-service leave, and retirement gratuities expected to be settled within 12 months of balance date are classified as a current liability. All other employee entitlements are classified as a non</w:t>
      </w:r>
      <w:r w:rsidRPr="005C5E32">
        <w:noBreakHyphen/>
        <w:t>current liability.</w:t>
      </w:r>
    </w:p>
    <w:p w14:paraId="1C528BAF" w14:textId="77777777" w:rsidR="00D06CB2" w:rsidRPr="005C5E32" w:rsidRDefault="00D06CB2" w:rsidP="00A03341">
      <w:pPr>
        <w:pStyle w:val="Heading5"/>
        <w:spacing w:before="200"/>
      </w:pPr>
      <w:r w:rsidRPr="005C5E32">
        <w:t>Superannuation schemes</w:t>
      </w:r>
    </w:p>
    <w:p w14:paraId="25C5678E" w14:textId="77777777" w:rsidR="00D06CB2" w:rsidRPr="005C5E32" w:rsidRDefault="00D06CB2" w:rsidP="00A03341">
      <w:pPr>
        <w:pStyle w:val="BodyText"/>
        <w:spacing w:before="100" w:after="100"/>
      </w:pPr>
      <w:r w:rsidRPr="005C5E32">
        <w:t>Obligations for contributions to defined contribution schemes, such as the State Sector Retirement Savings Scheme, KiwiSaver and the Government Superannuation Fund, are recognised as an expense in the statement of comprehensive revenue and expense as incurred.</w:t>
      </w:r>
    </w:p>
    <w:p w14:paraId="21228828" w14:textId="77777777" w:rsidR="00D06CB2" w:rsidRPr="005C5E32" w:rsidRDefault="00D06CB2" w:rsidP="00A03341">
      <w:pPr>
        <w:pStyle w:val="Heading4"/>
      </w:pPr>
      <w:r w:rsidRPr="005C5E32">
        <w:lastRenderedPageBreak/>
        <w:t>Critical accounting estimates and assumptions</w:t>
      </w:r>
    </w:p>
    <w:p w14:paraId="44CE2AA4" w14:textId="77777777" w:rsidR="00D06CB2" w:rsidRPr="005C5E32" w:rsidRDefault="00D06CB2" w:rsidP="00A03341">
      <w:pPr>
        <w:pStyle w:val="Heading5"/>
        <w:spacing w:before="200"/>
      </w:pPr>
      <w:r w:rsidRPr="005C5E32">
        <w:t>Long-service leave and retirement gratuities</w:t>
      </w:r>
    </w:p>
    <w:p w14:paraId="3446B3B0" w14:textId="77777777" w:rsidR="00D06CB2" w:rsidRPr="005C5E32" w:rsidRDefault="00D06CB2" w:rsidP="00A03341">
      <w:pPr>
        <w:pStyle w:val="BodyText"/>
        <w:spacing w:before="100" w:after="100"/>
      </w:pPr>
      <w:r w:rsidRPr="005C5E32">
        <w:t>The measurement of</w:t>
      </w:r>
      <w:r w:rsidRPr="005C5E32" w:rsidDel="00CD6F29">
        <w:t xml:space="preserve"> </w:t>
      </w:r>
      <w:r w:rsidRPr="005C5E32">
        <w:t>long-service leave and retirement gratuities obligations depends on various factors that are determined on an actuarial basis using a number of assumptions. Two key assumptions used in calculating this liability are the discount rate and the salary inflation factor. Any changes in these assumptions will affect the carrying amount of the liability.</w:t>
      </w:r>
    </w:p>
    <w:p w14:paraId="1768462D" w14:textId="77777777" w:rsidR="00D06CB2" w:rsidRPr="005C5E32" w:rsidRDefault="00D06CB2" w:rsidP="00A03341">
      <w:pPr>
        <w:pStyle w:val="BodyText"/>
      </w:pPr>
      <w:r w:rsidRPr="005C5E32">
        <w:t>Expected future payments are discounted using discount rates derived from the yield curve of New Zealand government bonds. The discount rates used have maturities that match, as closely as possible, the estimated future cash outflows.</w:t>
      </w:r>
    </w:p>
    <w:p w14:paraId="1658DAA8" w14:textId="77777777" w:rsidR="00D06CB2" w:rsidRPr="005C5E32" w:rsidRDefault="00D06CB2" w:rsidP="00A03341">
      <w:pPr>
        <w:pStyle w:val="BodyText"/>
      </w:pPr>
      <w:r w:rsidRPr="005C5E32">
        <w:rPr>
          <w:spacing w:val="-2"/>
        </w:rPr>
        <w:t>The rates used range from 2.97 percent to 5.38 percent (2024/25: 3.14 percent to 5.58 percent)</w:t>
      </w:r>
      <w:r w:rsidRPr="005C5E32">
        <w:t xml:space="preserve"> and a long-term salary growth of 3.12 percent (2024/25: 2.89 percent) was used. The discount rates and salary inflation factor used are those advised by the Treasury.</w:t>
      </w:r>
    </w:p>
    <w:p w14:paraId="69C91C3F" w14:textId="77777777" w:rsidR="00D06CB2" w:rsidRPr="005C5E32" w:rsidRDefault="00D06CB2" w:rsidP="00A03341">
      <w:pPr>
        <w:pStyle w:val="BodyText"/>
      </w:pPr>
      <w:r w:rsidRPr="005C5E32">
        <w:t>If the discount rate were to differ by 1 percent from the Ministry’s estimates, with all other factors held constant, the carrying amount of the liability and the surplus/deficit would be an estimated $478,000 higher or lower.</w:t>
      </w:r>
    </w:p>
    <w:p w14:paraId="634D8616" w14:textId="77777777" w:rsidR="00D06CB2" w:rsidRPr="005C5E32" w:rsidRDefault="00D06CB2" w:rsidP="00A03341">
      <w:pPr>
        <w:pStyle w:val="BodyText"/>
      </w:pPr>
      <w:r w:rsidRPr="005C5E32">
        <w:t>If the salary inflation factor were to differ by 1 percent from the Ministry’s estimates, with all other factors held constant, the carrying amount of the liability and the surplus/deficit would be an estimated $442,000 higher or lower.</w:t>
      </w:r>
    </w:p>
    <w:p w14:paraId="301DD4BB" w14:textId="77777777" w:rsidR="00D06CB2" w:rsidRPr="005C5E32" w:rsidRDefault="00D06CB2" w:rsidP="00A03341">
      <w:pPr>
        <w:pStyle w:val="Heading5"/>
        <w:spacing w:after="240"/>
      </w:pPr>
      <w:r w:rsidRPr="005C5E32">
        <w:t>Breakdown of employee entitlements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577"/>
        <w:gridCol w:w="2524"/>
        <w:gridCol w:w="1404"/>
      </w:tblGrid>
      <w:tr w:rsidR="00D06CB2" w:rsidRPr="005C5E32" w14:paraId="50638931" w14:textId="77777777" w:rsidTr="00A02A59">
        <w:trPr>
          <w:trHeight w:val="20"/>
        </w:trPr>
        <w:tc>
          <w:tcPr>
            <w:tcW w:w="7804" w:type="dxa"/>
            <w:gridSpan w:val="2"/>
            <w:tcBorders>
              <w:top w:val="single" w:sz="8" w:space="0" w:color="0E7C7E"/>
              <w:bottom w:val="single" w:sz="2" w:space="0" w:color="000000" w:themeColor="text1"/>
            </w:tcBorders>
            <w:vAlign w:val="bottom"/>
          </w:tcPr>
          <w:p w14:paraId="0376E281" w14:textId="77777777" w:rsidR="00D06CB2" w:rsidRPr="005C5E32" w:rsidRDefault="00D06CB2">
            <w:pPr>
              <w:pStyle w:val="TableboldGreen"/>
              <w:spacing w:before="40" w:after="40"/>
              <w:jc w:val="right"/>
            </w:pPr>
            <w:r w:rsidRPr="005C5E32">
              <w:rPr>
                <w:rFonts w:cstheme="minorBidi"/>
                <w:bCs/>
                <w:szCs w:val="18"/>
              </w:rPr>
              <w:t>2024/25</w:t>
            </w:r>
            <w:r w:rsidRPr="005C5E32">
              <w:rPr>
                <w:rFonts w:cstheme="minorBidi"/>
                <w:bCs/>
                <w:szCs w:val="18"/>
              </w:rPr>
              <w:br/>
            </w:r>
            <w:r w:rsidRPr="005C5E32">
              <w:t>Actual</w:t>
            </w:r>
            <w:r w:rsidRPr="005C5E32">
              <w:br/>
              <w:t>$000</w:t>
            </w:r>
          </w:p>
        </w:tc>
        <w:tc>
          <w:tcPr>
            <w:tcW w:w="1531" w:type="dxa"/>
            <w:tcBorders>
              <w:top w:val="single" w:sz="8" w:space="0" w:color="0E7C7E"/>
              <w:bottom w:val="single" w:sz="2" w:space="0" w:color="000000" w:themeColor="text1"/>
            </w:tcBorders>
            <w:shd w:val="clear" w:color="auto" w:fill="E7F2F2"/>
            <w:vAlign w:val="bottom"/>
          </w:tcPr>
          <w:p w14:paraId="02DC16CE" w14:textId="77777777" w:rsidR="00D06CB2" w:rsidRPr="005C5E32" w:rsidRDefault="00D06CB2">
            <w:pPr>
              <w:pStyle w:val="TableboldGreen"/>
              <w:spacing w:before="40" w:after="40"/>
              <w:jc w:val="right"/>
            </w:pPr>
            <w:r w:rsidRPr="005C5E32">
              <w:rPr>
                <w:rFonts w:cstheme="minorBidi"/>
                <w:bCs/>
                <w:szCs w:val="18"/>
              </w:rPr>
              <w:t>2025/26</w:t>
            </w:r>
            <w:r w:rsidRPr="005C5E32">
              <w:rPr>
                <w:rFonts w:cstheme="minorBidi"/>
                <w:bCs/>
                <w:szCs w:val="18"/>
              </w:rPr>
              <w:br/>
            </w:r>
            <w:r w:rsidRPr="005C5E32">
              <w:t>Actual</w:t>
            </w:r>
            <w:r w:rsidRPr="005C5E32">
              <w:br/>
              <w:t>$000</w:t>
            </w:r>
          </w:p>
        </w:tc>
      </w:tr>
      <w:tr w:rsidR="00D06CB2" w:rsidRPr="005C5E32" w14:paraId="4B6E6064" w14:textId="77777777" w:rsidTr="00A02A59">
        <w:trPr>
          <w:trHeight w:val="20"/>
        </w:trPr>
        <w:tc>
          <w:tcPr>
            <w:tcW w:w="5036" w:type="dxa"/>
            <w:tcBorders>
              <w:top w:val="single" w:sz="2" w:space="0" w:color="000000" w:themeColor="text1"/>
            </w:tcBorders>
          </w:tcPr>
          <w:p w14:paraId="15930B07" w14:textId="77777777" w:rsidR="00D06CB2" w:rsidRPr="005C5E32" w:rsidRDefault="00D06CB2">
            <w:pPr>
              <w:pStyle w:val="Tablegreen"/>
              <w:spacing w:before="40" w:after="0"/>
              <w:rPr>
                <w:b/>
                <w:bCs w:val="0"/>
              </w:rPr>
            </w:pPr>
            <w:r w:rsidRPr="005C5E32">
              <w:rPr>
                <w:b/>
                <w:bCs w:val="0"/>
              </w:rPr>
              <w:t>Current portion</w:t>
            </w:r>
          </w:p>
        </w:tc>
        <w:tc>
          <w:tcPr>
            <w:tcW w:w="2768" w:type="dxa"/>
            <w:tcBorders>
              <w:top w:val="single" w:sz="2" w:space="0" w:color="000000" w:themeColor="text1"/>
            </w:tcBorders>
          </w:tcPr>
          <w:p w14:paraId="451AB714" w14:textId="77777777" w:rsidR="00D06CB2" w:rsidRPr="005C5E32" w:rsidRDefault="00D06CB2">
            <w:pPr>
              <w:spacing w:before="40" w:after="0"/>
              <w:rPr>
                <w:rFonts w:asciiTheme="minorHAnsi" w:hAnsiTheme="minorHAnsi" w:cstheme="minorHAnsi"/>
              </w:rPr>
            </w:pPr>
          </w:p>
        </w:tc>
        <w:tc>
          <w:tcPr>
            <w:tcW w:w="1531" w:type="dxa"/>
            <w:vMerge w:val="restart"/>
            <w:tcBorders>
              <w:top w:val="single" w:sz="2" w:space="0" w:color="000000" w:themeColor="text1"/>
            </w:tcBorders>
            <w:shd w:val="clear" w:color="auto" w:fill="E7F2F2"/>
            <w:vAlign w:val="bottom"/>
          </w:tcPr>
          <w:p w14:paraId="2CEE4233" w14:textId="77777777" w:rsidR="00D06CB2" w:rsidRPr="005C5E32" w:rsidRDefault="00D06CB2">
            <w:pPr>
              <w:pStyle w:val="TableText"/>
              <w:spacing w:before="40" w:after="40"/>
              <w:jc w:val="right"/>
            </w:pPr>
            <w:r w:rsidRPr="005C5E32">
              <w:rPr>
                <w:rFonts w:asciiTheme="minorHAnsi" w:eastAsia="Lato" w:hAnsiTheme="minorHAnsi"/>
                <w:color w:val="414042"/>
                <w:szCs w:val="18"/>
                <w:lang w:eastAsia="en-US"/>
              </w:rPr>
              <w:t>(446</w:t>
            </w:r>
            <w:r w:rsidRPr="005C5E32">
              <w:t>)</w:t>
            </w:r>
          </w:p>
        </w:tc>
      </w:tr>
      <w:tr w:rsidR="00D06CB2" w:rsidRPr="005C5E32" w14:paraId="69A52F5C" w14:textId="77777777" w:rsidTr="00A02A59">
        <w:trPr>
          <w:trHeight w:val="20"/>
        </w:trPr>
        <w:tc>
          <w:tcPr>
            <w:tcW w:w="5036" w:type="dxa"/>
            <w:tcBorders>
              <w:bottom w:val="single" w:sz="2" w:space="0" w:color="58595B"/>
            </w:tcBorders>
          </w:tcPr>
          <w:p w14:paraId="6474A934" w14:textId="77777777" w:rsidR="00D06CB2" w:rsidRPr="005C5E32" w:rsidRDefault="00D06CB2">
            <w:pPr>
              <w:pStyle w:val="TableText"/>
              <w:spacing w:before="0" w:after="40"/>
            </w:pPr>
            <w:r w:rsidRPr="005C5E32">
              <w:t>Salary accruals</w:t>
            </w:r>
          </w:p>
        </w:tc>
        <w:tc>
          <w:tcPr>
            <w:tcW w:w="2768" w:type="dxa"/>
            <w:tcBorders>
              <w:bottom w:val="single" w:sz="2" w:space="0" w:color="58595B"/>
            </w:tcBorders>
          </w:tcPr>
          <w:p w14:paraId="6A8C17AA" w14:textId="77777777" w:rsidR="00D06CB2" w:rsidRPr="005C5E32" w:rsidRDefault="00D06CB2">
            <w:pPr>
              <w:pStyle w:val="TableText"/>
              <w:spacing w:before="40" w:after="40"/>
              <w:jc w:val="right"/>
              <w:rPr>
                <w:szCs w:val="18"/>
              </w:rPr>
            </w:pPr>
            <w:r w:rsidRPr="005C5E32">
              <w:rPr>
                <w:szCs w:val="18"/>
              </w:rPr>
              <w:t>(826)</w:t>
            </w:r>
          </w:p>
        </w:tc>
        <w:tc>
          <w:tcPr>
            <w:tcW w:w="1531" w:type="dxa"/>
            <w:vMerge/>
            <w:shd w:val="clear" w:color="auto" w:fill="E7F2F2"/>
            <w:vAlign w:val="bottom"/>
          </w:tcPr>
          <w:p w14:paraId="1B74C48E" w14:textId="77777777" w:rsidR="00D06CB2" w:rsidRPr="005C5E32" w:rsidRDefault="00D06CB2">
            <w:pPr>
              <w:pStyle w:val="TableText"/>
              <w:spacing w:before="40" w:after="40"/>
              <w:jc w:val="right"/>
              <w:rPr>
                <w:highlight w:val="yellow"/>
              </w:rPr>
            </w:pPr>
          </w:p>
        </w:tc>
      </w:tr>
      <w:tr w:rsidR="00D06CB2" w:rsidRPr="005C5E32" w14:paraId="5AA293B3" w14:textId="77777777" w:rsidTr="00A02A59">
        <w:trPr>
          <w:trHeight w:val="20"/>
        </w:trPr>
        <w:tc>
          <w:tcPr>
            <w:tcW w:w="5036" w:type="dxa"/>
            <w:tcBorders>
              <w:top w:val="single" w:sz="2" w:space="0" w:color="58595B"/>
              <w:bottom w:val="single" w:sz="2" w:space="0" w:color="58595B"/>
            </w:tcBorders>
          </w:tcPr>
          <w:p w14:paraId="0116C9F9" w14:textId="77777777" w:rsidR="00D06CB2" w:rsidRPr="005C5E32" w:rsidRDefault="00D06CB2">
            <w:pPr>
              <w:pStyle w:val="TableText"/>
              <w:spacing w:before="40" w:after="40"/>
            </w:pPr>
            <w:r w:rsidRPr="005C5E32">
              <w:t>Annual leave</w:t>
            </w:r>
          </w:p>
        </w:tc>
        <w:tc>
          <w:tcPr>
            <w:tcW w:w="2768" w:type="dxa"/>
            <w:tcBorders>
              <w:top w:val="single" w:sz="2" w:space="0" w:color="58595B"/>
              <w:bottom w:val="single" w:sz="2" w:space="0" w:color="58595B"/>
            </w:tcBorders>
          </w:tcPr>
          <w:p w14:paraId="624EF7FF" w14:textId="77777777" w:rsidR="00D06CB2" w:rsidRPr="005C5E32" w:rsidRDefault="00D06CB2">
            <w:pPr>
              <w:pStyle w:val="TableText"/>
              <w:spacing w:before="40" w:after="40"/>
              <w:jc w:val="right"/>
              <w:rPr>
                <w:szCs w:val="18"/>
              </w:rPr>
            </w:pPr>
            <w:r w:rsidRPr="005C5E32">
              <w:rPr>
                <w:szCs w:val="18"/>
              </w:rPr>
              <w:t>6,700</w:t>
            </w:r>
          </w:p>
        </w:tc>
        <w:tc>
          <w:tcPr>
            <w:tcW w:w="1531" w:type="dxa"/>
            <w:tcBorders>
              <w:top w:val="single" w:sz="2" w:space="0" w:color="58595B"/>
              <w:bottom w:val="single" w:sz="2" w:space="0" w:color="58595B"/>
            </w:tcBorders>
            <w:shd w:val="clear" w:color="auto" w:fill="E7F2F2"/>
            <w:vAlign w:val="bottom"/>
          </w:tcPr>
          <w:p w14:paraId="0A8CE7BA" w14:textId="77777777" w:rsidR="00D06CB2" w:rsidRPr="005C5E32" w:rsidRDefault="00D06CB2">
            <w:pPr>
              <w:pStyle w:val="TableText"/>
              <w:spacing w:before="40" w:after="40"/>
              <w:jc w:val="right"/>
              <w:rPr>
                <w:szCs w:val="18"/>
              </w:rPr>
            </w:pPr>
            <w:r w:rsidRPr="005C5E32">
              <w:rPr>
                <w:szCs w:val="18"/>
              </w:rPr>
              <w:t>6,468</w:t>
            </w:r>
          </w:p>
        </w:tc>
      </w:tr>
      <w:tr w:rsidR="00D06CB2" w:rsidRPr="005C5E32" w14:paraId="62C72C22" w14:textId="77777777" w:rsidTr="00A02A59">
        <w:trPr>
          <w:trHeight w:val="20"/>
        </w:trPr>
        <w:tc>
          <w:tcPr>
            <w:tcW w:w="5036" w:type="dxa"/>
            <w:tcBorders>
              <w:top w:val="single" w:sz="2" w:space="0" w:color="58595B"/>
              <w:bottom w:val="single" w:sz="4" w:space="0" w:color="000000" w:themeColor="text1"/>
            </w:tcBorders>
          </w:tcPr>
          <w:p w14:paraId="2A091EA8" w14:textId="77777777" w:rsidR="00D06CB2" w:rsidRPr="005C5E32" w:rsidRDefault="00D06CB2">
            <w:pPr>
              <w:pStyle w:val="TableText"/>
              <w:spacing w:before="40" w:after="40"/>
            </w:pPr>
            <w:r w:rsidRPr="005C5E32">
              <w:t>Long-service leave and retirement gratuities</w:t>
            </w:r>
          </w:p>
        </w:tc>
        <w:tc>
          <w:tcPr>
            <w:tcW w:w="2768" w:type="dxa"/>
            <w:tcBorders>
              <w:top w:val="single" w:sz="2" w:space="0" w:color="58595B"/>
              <w:bottom w:val="single" w:sz="4" w:space="0" w:color="000000" w:themeColor="text1"/>
            </w:tcBorders>
          </w:tcPr>
          <w:p w14:paraId="3AE9EAB3" w14:textId="77777777" w:rsidR="00D06CB2" w:rsidRPr="005C5E32" w:rsidRDefault="00D06CB2">
            <w:pPr>
              <w:pStyle w:val="TableText"/>
              <w:spacing w:before="40" w:after="40"/>
              <w:jc w:val="right"/>
              <w:rPr>
                <w:szCs w:val="18"/>
              </w:rPr>
            </w:pPr>
            <w:r w:rsidRPr="005C5E32">
              <w:rPr>
                <w:szCs w:val="18"/>
              </w:rPr>
              <w:t>1,017</w:t>
            </w:r>
          </w:p>
        </w:tc>
        <w:tc>
          <w:tcPr>
            <w:tcW w:w="1531" w:type="dxa"/>
            <w:tcBorders>
              <w:top w:val="single" w:sz="2" w:space="0" w:color="58595B"/>
              <w:bottom w:val="single" w:sz="4" w:space="0" w:color="000000" w:themeColor="text1"/>
            </w:tcBorders>
            <w:shd w:val="clear" w:color="auto" w:fill="E7F2F2"/>
            <w:vAlign w:val="bottom"/>
          </w:tcPr>
          <w:p w14:paraId="3ADD9C6F" w14:textId="77777777" w:rsidR="00D06CB2" w:rsidRPr="005C5E32" w:rsidRDefault="00D06CB2">
            <w:pPr>
              <w:pStyle w:val="TableText"/>
              <w:spacing w:before="40" w:after="40"/>
              <w:jc w:val="right"/>
              <w:rPr>
                <w:szCs w:val="18"/>
              </w:rPr>
            </w:pPr>
            <w:r w:rsidRPr="005C5E32">
              <w:rPr>
                <w:szCs w:val="18"/>
              </w:rPr>
              <w:t>1,087</w:t>
            </w:r>
          </w:p>
        </w:tc>
      </w:tr>
      <w:tr w:rsidR="00D06CB2" w:rsidRPr="005C5E32" w14:paraId="4FA1958B" w14:textId="77777777" w:rsidTr="00A02A59">
        <w:trPr>
          <w:trHeight w:val="20"/>
        </w:trPr>
        <w:tc>
          <w:tcPr>
            <w:tcW w:w="5036" w:type="dxa"/>
            <w:tcBorders>
              <w:top w:val="single" w:sz="4" w:space="0" w:color="000000" w:themeColor="text1"/>
              <w:bottom w:val="single" w:sz="4" w:space="0" w:color="000000" w:themeColor="text1"/>
            </w:tcBorders>
          </w:tcPr>
          <w:p w14:paraId="0DF4FE14" w14:textId="77777777" w:rsidR="00D06CB2" w:rsidRPr="008A4D86" w:rsidRDefault="00D06CB2">
            <w:pPr>
              <w:pStyle w:val="TableText"/>
              <w:spacing w:before="40" w:after="40"/>
              <w:rPr>
                <w:b/>
                <w:bCs/>
                <w:szCs w:val="18"/>
              </w:rPr>
            </w:pPr>
            <w:r w:rsidRPr="008A4D86">
              <w:rPr>
                <w:b/>
                <w:bCs/>
                <w:szCs w:val="18"/>
              </w:rPr>
              <w:t>Total current portion</w:t>
            </w:r>
          </w:p>
        </w:tc>
        <w:tc>
          <w:tcPr>
            <w:tcW w:w="2768" w:type="dxa"/>
            <w:tcBorders>
              <w:top w:val="single" w:sz="4" w:space="0" w:color="000000" w:themeColor="text1"/>
              <w:bottom w:val="single" w:sz="4" w:space="0" w:color="000000" w:themeColor="text1"/>
            </w:tcBorders>
          </w:tcPr>
          <w:p w14:paraId="0AC4040F" w14:textId="77777777" w:rsidR="00D06CB2" w:rsidRPr="008A4D86" w:rsidRDefault="00D06CB2">
            <w:pPr>
              <w:pStyle w:val="TableText"/>
              <w:spacing w:before="40" w:after="40"/>
              <w:jc w:val="right"/>
              <w:rPr>
                <w:b/>
                <w:bCs/>
                <w:szCs w:val="18"/>
              </w:rPr>
            </w:pPr>
            <w:r w:rsidRPr="008A4D86">
              <w:rPr>
                <w:b/>
                <w:bCs/>
                <w:szCs w:val="18"/>
              </w:rPr>
              <w:t>6,891</w:t>
            </w:r>
          </w:p>
        </w:tc>
        <w:tc>
          <w:tcPr>
            <w:tcW w:w="1531" w:type="dxa"/>
            <w:tcBorders>
              <w:top w:val="single" w:sz="4" w:space="0" w:color="000000" w:themeColor="text1"/>
              <w:bottom w:val="single" w:sz="4" w:space="0" w:color="000000" w:themeColor="text1"/>
            </w:tcBorders>
            <w:shd w:val="clear" w:color="auto" w:fill="E7F2F2"/>
            <w:vAlign w:val="bottom"/>
          </w:tcPr>
          <w:p w14:paraId="1CDC6F2B" w14:textId="77777777" w:rsidR="00D06CB2" w:rsidRPr="008A4D86" w:rsidRDefault="00D06CB2">
            <w:pPr>
              <w:pStyle w:val="TableText"/>
              <w:spacing w:before="40" w:after="40"/>
              <w:jc w:val="right"/>
              <w:rPr>
                <w:b/>
                <w:bCs/>
                <w:szCs w:val="18"/>
              </w:rPr>
            </w:pPr>
            <w:r w:rsidRPr="008A4D86">
              <w:rPr>
                <w:b/>
                <w:bCs/>
                <w:szCs w:val="18"/>
              </w:rPr>
              <w:t>7,109</w:t>
            </w:r>
          </w:p>
        </w:tc>
      </w:tr>
      <w:tr w:rsidR="00D06CB2" w:rsidRPr="005C5E32" w14:paraId="2F040A33" w14:textId="77777777" w:rsidTr="00A02A59">
        <w:trPr>
          <w:trHeight w:val="20"/>
        </w:trPr>
        <w:tc>
          <w:tcPr>
            <w:tcW w:w="5036" w:type="dxa"/>
            <w:tcBorders>
              <w:top w:val="single" w:sz="4" w:space="0" w:color="000000" w:themeColor="text1"/>
            </w:tcBorders>
          </w:tcPr>
          <w:p w14:paraId="04F2D5EF" w14:textId="77777777" w:rsidR="00D06CB2" w:rsidRPr="005C5E32" w:rsidRDefault="00D06CB2">
            <w:pPr>
              <w:pStyle w:val="Tablegreen"/>
              <w:spacing w:before="40" w:after="0"/>
              <w:rPr>
                <w:b/>
                <w:bCs w:val="0"/>
              </w:rPr>
            </w:pPr>
            <w:r w:rsidRPr="005C5E32">
              <w:rPr>
                <w:b/>
                <w:bCs w:val="0"/>
              </w:rPr>
              <w:t>Non-current portion</w:t>
            </w:r>
          </w:p>
        </w:tc>
        <w:tc>
          <w:tcPr>
            <w:tcW w:w="2768" w:type="dxa"/>
            <w:tcBorders>
              <w:top w:val="single" w:sz="4" w:space="0" w:color="000000" w:themeColor="text1"/>
            </w:tcBorders>
          </w:tcPr>
          <w:p w14:paraId="7305DC88" w14:textId="77777777" w:rsidR="00D06CB2" w:rsidRPr="005C5E32" w:rsidRDefault="00D06CB2">
            <w:pPr>
              <w:spacing w:before="40" w:after="0"/>
              <w:rPr>
                <w:rFonts w:asciiTheme="minorHAnsi" w:hAnsiTheme="minorHAnsi" w:cstheme="minorHAnsi"/>
              </w:rPr>
            </w:pPr>
          </w:p>
        </w:tc>
        <w:tc>
          <w:tcPr>
            <w:tcW w:w="1531" w:type="dxa"/>
            <w:vMerge w:val="restart"/>
            <w:tcBorders>
              <w:top w:val="single" w:sz="4" w:space="0" w:color="000000" w:themeColor="text1"/>
            </w:tcBorders>
            <w:shd w:val="clear" w:color="auto" w:fill="E7F2F2"/>
            <w:vAlign w:val="bottom"/>
          </w:tcPr>
          <w:p w14:paraId="42EA3BC7" w14:textId="77777777" w:rsidR="00D06CB2" w:rsidRPr="005C5E32" w:rsidRDefault="00D06CB2">
            <w:pPr>
              <w:spacing w:before="40" w:after="40"/>
              <w:jc w:val="right"/>
              <w:rPr>
                <w:rFonts w:asciiTheme="minorHAnsi" w:hAnsiTheme="minorHAnsi"/>
                <w:color w:val="414042"/>
                <w:sz w:val="18"/>
                <w:szCs w:val="18"/>
              </w:rPr>
            </w:pPr>
            <w:r w:rsidRPr="005C5E32">
              <w:rPr>
                <w:rFonts w:asciiTheme="minorHAnsi" w:hAnsiTheme="minorHAnsi"/>
                <w:color w:val="414042"/>
                <w:sz w:val="18"/>
                <w:szCs w:val="18"/>
              </w:rPr>
              <w:t>4,432</w:t>
            </w:r>
          </w:p>
        </w:tc>
      </w:tr>
      <w:tr w:rsidR="00D06CB2" w:rsidRPr="005C5E32" w14:paraId="74DB020F" w14:textId="77777777" w:rsidTr="00A02A59">
        <w:trPr>
          <w:trHeight w:val="20"/>
        </w:trPr>
        <w:tc>
          <w:tcPr>
            <w:tcW w:w="5036" w:type="dxa"/>
            <w:tcBorders>
              <w:bottom w:val="single" w:sz="4" w:space="0" w:color="000000" w:themeColor="text1"/>
            </w:tcBorders>
          </w:tcPr>
          <w:p w14:paraId="49081640" w14:textId="77777777" w:rsidR="00D06CB2" w:rsidRPr="005C5E32" w:rsidRDefault="00D06CB2">
            <w:pPr>
              <w:pStyle w:val="TableText"/>
              <w:spacing w:before="0" w:after="40"/>
            </w:pPr>
            <w:r w:rsidRPr="005C5E32">
              <w:t>Long-service leave and retirement gratuities</w:t>
            </w:r>
          </w:p>
        </w:tc>
        <w:tc>
          <w:tcPr>
            <w:tcW w:w="2768" w:type="dxa"/>
            <w:tcBorders>
              <w:bottom w:val="single" w:sz="4" w:space="0" w:color="000000" w:themeColor="text1"/>
            </w:tcBorders>
          </w:tcPr>
          <w:p w14:paraId="564A7947" w14:textId="77777777" w:rsidR="00D06CB2" w:rsidRPr="005C5E32" w:rsidRDefault="00D06CB2">
            <w:pPr>
              <w:pStyle w:val="TableText"/>
              <w:spacing w:before="40" w:after="40"/>
              <w:jc w:val="right"/>
              <w:rPr>
                <w:szCs w:val="18"/>
              </w:rPr>
            </w:pPr>
            <w:r w:rsidRPr="005C5E32">
              <w:rPr>
                <w:szCs w:val="18"/>
              </w:rPr>
              <w:t>3,899</w:t>
            </w:r>
          </w:p>
        </w:tc>
        <w:tc>
          <w:tcPr>
            <w:tcW w:w="1531" w:type="dxa"/>
            <w:vMerge/>
            <w:shd w:val="clear" w:color="auto" w:fill="E7F2F2"/>
            <w:vAlign w:val="bottom"/>
          </w:tcPr>
          <w:p w14:paraId="021B8571" w14:textId="77777777" w:rsidR="00D06CB2" w:rsidRPr="005C5E32" w:rsidRDefault="00D06CB2">
            <w:pPr>
              <w:pStyle w:val="TableText"/>
              <w:spacing w:before="40" w:after="40"/>
              <w:jc w:val="right"/>
              <w:rPr>
                <w:highlight w:val="yellow"/>
              </w:rPr>
            </w:pPr>
          </w:p>
        </w:tc>
      </w:tr>
      <w:tr w:rsidR="00D06CB2" w:rsidRPr="005C5E32" w14:paraId="2E0B0CD3" w14:textId="77777777" w:rsidTr="00A02A59">
        <w:trPr>
          <w:trHeight w:val="20"/>
        </w:trPr>
        <w:tc>
          <w:tcPr>
            <w:tcW w:w="5036" w:type="dxa"/>
            <w:tcBorders>
              <w:top w:val="single" w:sz="4" w:space="0" w:color="000000" w:themeColor="text1"/>
              <w:bottom w:val="single" w:sz="4" w:space="0" w:color="000000" w:themeColor="text1"/>
            </w:tcBorders>
          </w:tcPr>
          <w:p w14:paraId="10EAFAA2" w14:textId="77777777" w:rsidR="00D06CB2" w:rsidRPr="005C5E32" w:rsidRDefault="00D06CB2">
            <w:pPr>
              <w:pStyle w:val="TableText"/>
              <w:spacing w:before="40" w:after="40"/>
              <w:rPr>
                <w:b/>
              </w:rPr>
            </w:pPr>
            <w:r w:rsidRPr="005C5E32">
              <w:rPr>
                <w:b/>
              </w:rPr>
              <w:t>Total employee entitlements</w:t>
            </w:r>
          </w:p>
        </w:tc>
        <w:tc>
          <w:tcPr>
            <w:tcW w:w="2768" w:type="dxa"/>
            <w:tcBorders>
              <w:top w:val="single" w:sz="4" w:space="0" w:color="000000" w:themeColor="text1"/>
              <w:bottom w:val="single" w:sz="4" w:space="0" w:color="000000" w:themeColor="text1"/>
            </w:tcBorders>
          </w:tcPr>
          <w:p w14:paraId="219DC2BD" w14:textId="77777777" w:rsidR="00D06CB2" w:rsidRPr="005C5E32" w:rsidRDefault="00D06CB2">
            <w:pPr>
              <w:pStyle w:val="TableText"/>
              <w:spacing w:before="40" w:after="40"/>
              <w:jc w:val="right"/>
              <w:rPr>
                <w:b/>
                <w:szCs w:val="18"/>
              </w:rPr>
            </w:pPr>
            <w:r w:rsidRPr="005C5E32">
              <w:rPr>
                <w:b/>
                <w:szCs w:val="18"/>
              </w:rPr>
              <w:t>10,790</w:t>
            </w:r>
          </w:p>
        </w:tc>
        <w:tc>
          <w:tcPr>
            <w:tcW w:w="1531" w:type="dxa"/>
            <w:tcBorders>
              <w:top w:val="single" w:sz="4" w:space="0" w:color="000000" w:themeColor="text1"/>
              <w:bottom w:val="single" w:sz="4" w:space="0" w:color="000000" w:themeColor="text1"/>
            </w:tcBorders>
            <w:shd w:val="clear" w:color="auto" w:fill="E7F2F2"/>
            <w:vAlign w:val="bottom"/>
          </w:tcPr>
          <w:p w14:paraId="3C4494BE" w14:textId="77777777" w:rsidR="00D06CB2" w:rsidRPr="005C5E32" w:rsidRDefault="00D06CB2">
            <w:pPr>
              <w:pStyle w:val="TableText"/>
              <w:spacing w:before="40" w:after="40"/>
              <w:jc w:val="right"/>
              <w:rPr>
                <w:b/>
                <w:szCs w:val="18"/>
              </w:rPr>
            </w:pPr>
            <w:r w:rsidRPr="005C5E32">
              <w:rPr>
                <w:b/>
                <w:szCs w:val="18"/>
              </w:rPr>
              <w:t>11,541</w:t>
            </w:r>
          </w:p>
        </w:tc>
      </w:tr>
    </w:tbl>
    <w:p w14:paraId="78F7BF49" w14:textId="77777777" w:rsidR="00D06CB2" w:rsidRPr="005C5E32" w:rsidRDefault="00D06CB2" w:rsidP="00A03341">
      <w:pPr>
        <w:pStyle w:val="Heading3"/>
        <w:tabs>
          <w:tab w:val="clear" w:pos="851"/>
          <w:tab w:val="left" w:pos="567"/>
        </w:tabs>
        <w:spacing w:before="440"/>
      </w:pPr>
      <w:bookmarkStart w:id="345" w:name="_Toc112144637"/>
      <w:r w:rsidRPr="005C5E32">
        <w:t>14.</w:t>
      </w:r>
      <w:r w:rsidRPr="005C5E32">
        <w:tab/>
        <w:t>Capital management</w:t>
      </w:r>
      <w:bookmarkEnd w:id="345"/>
    </w:p>
    <w:p w14:paraId="53723C0B" w14:textId="77777777" w:rsidR="00D06CB2" w:rsidRPr="005C5E32" w:rsidRDefault="00D06CB2" w:rsidP="00A03341">
      <w:pPr>
        <w:pStyle w:val="BodyText"/>
      </w:pPr>
      <w:r w:rsidRPr="005C5E32">
        <w:t>The Ministry’s capital is its equity, which comprises taxpayers’ funds and is represented by net assets.</w:t>
      </w:r>
    </w:p>
    <w:p w14:paraId="60765AD2" w14:textId="77777777" w:rsidR="00D06CB2" w:rsidRPr="005C5E32" w:rsidRDefault="00D06CB2" w:rsidP="00A03341">
      <w:pPr>
        <w:pStyle w:val="BodyText"/>
      </w:pPr>
      <w:r w:rsidRPr="005C5E32">
        <w:t>The Ministry manages its revenues, expenses, assets, liabilities and general financial dealings prudently. The Ministry’s equity is largely managed as a by-product of managing revenue, expenses, assets, liabilities and compliance with government budget processes, Treasury Instructions and the Public Finance Act 1989.</w:t>
      </w:r>
    </w:p>
    <w:p w14:paraId="3787088D" w14:textId="57D7BF85" w:rsidR="00D06CB2" w:rsidRPr="005C5E32" w:rsidRDefault="00D06CB2" w:rsidP="00A03341">
      <w:pPr>
        <w:pStyle w:val="BodyText"/>
      </w:pPr>
      <w:r w:rsidRPr="005C5E32">
        <w:lastRenderedPageBreak/>
        <w:t>The objective of managing the Ministry’s equity is to ensure that the Ministry effectively achieves the goals and objectives for which it has been established while remaining a going</w:t>
      </w:r>
      <w:r w:rsidR="00C77EB9" w:rsidRPr="005C5E32">
        <w:t xml:space="preserve"> </w:t>
      </w:r>
      <w:r w:rsidRPr="005C5E32">
        <w:t xml:space="preserve">concern and operating in a financially prudent manner. </w:t>
      </w:r>
    </w:p>
    <w:p w14:paraId="525FD007" w14:textId="77777777" w:rsidR="00D06CB2" w:rsidRPr="005C5E32" w:rsidRDefault="00D06CB2" w:rsidP="00A03341">
      <w:pPr>
        <w:pStyle w:val="Heading3"/>
        <w:tabs>
          <w:tab w:val="clear" w:pos="851"/>
          <w:tab w:val="left" w:pos="567"/>
        </w:tabs>
      </w:pPr>
      <w:bookmarkStart w:id="346" w:name="_Toc112144638"/>
      <w:r w:rsidRPr="005C5E32">
        <w:t>15.</w:t>
      </w:r>
      <w:r w:rsidRPr="005C5E32">
        <w:tab/>
        <w:t>Related party transactions</w:t>
      </w:r>
      <w:bookmarkEnd w:id="346"/>
    </w:p>
    <w:p w14:paraId="40BC8F55" w14:textId="77777777" w:rsidR="00D06CB2" w:rsidRPr="005C5E32" w:rsidRDefault="00D06CB2" w:rsidP="00A03341">
      <w:pPr>
        <w:pStyle w:val="BodyText"/>
      </w:pPr>
      <w:r w:rsidRPr="005C5E32">
        <w:t>The Ministry is a wholly owned entity of the Crown. The Government significantly influences the roles of the Ministry as well as being its major source of revenue.</w:t>
      </w:r>
    </w:p>
    <w:p w14:paraId="1CD39436" w14:textId="77777777" w:rsidR="00D06CB2" w:rsidRPr="005C5E32" w:rsidRDefault="00D06CB2" w:rsidP="00D210C6">
      <w:pPr>
        <w:pStyle w:val="BodyText"/>
        <w:spacing w:before="100" w:after="100"/>
      </w:pPr>
      <w:r w:rsidRPr="005C5E32">
        <w:t xml:space="preserve">Related party disclosures have not been made for transactions with related parties that are within a normal supplier </w:t>
      </w:r>
      <w:r w:rsidRPr="005C5E32" w:rsidDel="00BC7CFC">
        <w:t>or</w:t>
      </w:r>
      <w:r w:rsidRPr="005C5E32">
        <w:t xml:space="preserve"> client/recipient </w:t>
      </w:r>
      <w:r w:rsidRPr="005C5E32" w:rsidDel="00BC7CFC">
        <w:t xml:space="preserve">relationship </w:t>
      </w:r>
      <w:r w:rsidRPr="005C5E32">
        <w:t>on terms and conditions no more or less favourable than those that it is reasonable to expect the Ministry would have adopted in dealing with the party at arm’s length in the same circumstances.</w:t>
      </w:r>
    </w:p>
    <w:p w14:paraId="7BE99768" w14:textId="77777777" w:rsidR="00D06CB2" w:rsidRPr="005C5E32" w:rsidRDefault="00D06CB2" w:rsidP="00D210C6">
      <w:pPr>
        <w:pStyle w:val="BodyText"/>
        <w:spacing w:before="100" w:after="100"/>
      </w:pPr>
      <w:r w:rsidRPr="005C5E32">
        <w:t>The Ministry enters into transactions with government departments, Crown entities and state-owned enterprises on an arm’s length basis. Transactions with other government agencies are not disclosed as related party transactions when they are consistent with the normal operating arrangements between government agencies and undertaken on the normal terms and conditions for such transactions.</w:t>
      </w:r>
    </w:p>
    <w:p w14:paraId="4B626F09" w14:textId="77777777" w:rsidR="00D06CB2" w:rsidRPr="005C5E32" w:rsidRDefault="00D06CB2" w:rsidP="00A03341">
      <w:pPr>
        <w:pStyle w:val="Heading5"/>
        <w:spacing w:after="240"/>
      </w:pPr>
      <w:r w:rsidRPr="005C5E32">
        <w:t>Key management personnel compensation</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694"/>
        <w:gridCol w:w="2317"/>
        <w:gridCol w:w="1494"/>
      </w:tblGrid>
      <w:tr w:rsidR="00D06CB2" w:rsidRPr="005C5E32" w14:paraId="3F989524" w14:textId="77777777" w:rsidTr="00A02A59">
        <w:tc>
          <w:tcPr>
            <w:tcW w:w="7197" w:type="dxa"/>
            <w:gridSpan w:val="2"/>
            <w:tcBorders>
              <w:top w:val="single" w:sz="8" w:space="0" w:color="0E7C7E"/>
              <w:bottom w:val="single" w:sz="2" w:space="0" w:color="000000" w:themeColor="text1"/>
            </w:tcBorders>
            <w:vAlign w:val="bottom"/>
          </w:tcPr>
          <w:p w14:paraId="1A4A88A9" w14:textId="77777777" w:rsidR="00D06CB2" w:rsidRPr="005C5E32" w:rsidRDefault="00D06CB2">
            <w:pPr>
              <w:keepNext/>
              <w:spacing w:before="40" w:after="40"/>
              <w:ind w:right="111"/>
              <w:jc w:val="right"/>
              <w:rPr>
                <w:rFonts w:asciiTheme="minorHAnsi" w:hAnsiTheme="minorHAnsi" w:cstheme="minorHAnsi"/>
                <w:b/>
                <w:sz w:val="18"/>
              </w:rPr>
            </w:pPr>
            <w:r w:rsidRPr="005C5E32">
              <w:rPr>
                <w:rFonts w:asciiTheme="minorHAnsi" w:hAnsiTheme="minorHAnsi"/>
                <w:b/>
                <w:bCs/>
                <w:color w:val="0E7C7E"/>
                <w:sz w:val="18"/>
                <w:szCs w:val="18"/>
              </w:rPr>
              <w:t>2024/25</w:t>
            </w:r>
            <w:r w:rsidRPr="005C5E32">
              <w:rPr>
                <w:rFonts w:asciiTheme="minorHAnsi" w:hAnsiTheme="minorHAnsi"/>
                <w:b/>
                <w:bCs/>
                <w:color w:val="0E7C7E"/>
                <w:sz w:val="18"/>
                <w:szCs w:val="18"/>
              </w:rPr>
              <w:br/>
            </w:r>
            <w:r w:rsidRPr="005C5E32">
              <w:rPr>
                <w:rFonts w:asciiTheme="minorHAnsi" w:hAnsiTheme="minorHAnsi" w:cstheme="minorHAnsi"/>
                <w:b/>
                <w:color w:val="0E7C7E"/>
                <w:sz w:val="18"/>
              </w:rPr>
              <w:t>Actual</w:t>
            </w:r>
          </w:p>
        </w:tc>
        <w:tc>
          <w:tcPr>
            <w:tcW w:w="1531" w:type="dxa"/>
            <w:tcBorders>
              <w:top w:val="single" w:sz="8" w:space="0" w:color="0E7C7E"/>
              <w:bottom w:val="single" w:sz="2" w:space="0" w:color="000000" w:themeColor="text1"/>
            </w:tcBorders>
            <w:shd w:val="clear" w:color="auto" w:fill="E7F2F2"/>
            <w:vAlign w:val="bottom"/>
          </w:tcPr>
          <w:p w14:paraId="38696D73" w14:textId="77777777" w:rsidR="00D06CB2" w:rsidRPr="005C5E32" w:rsidRDefault="00D06CB2">
            <w:pPr>
              <w:spacing w:before="40" w:after="40"/>
              <w:ind w:right="111"/>
              <w:jc w:val="right"/>
              <w:rPr>
                <w:rFonts w:asciiTheme="minorHAnsi" w:hAnsiTheme="minorHAnsi"/>
                <w:b/>
                <w:color w:val="0E7B7E"/>
                <w:sz w:val="18"/>
                <w:szCs w:val="18"/>
              </w:rPr>
            </w:pPr>
            <w:r w:rsidRPr="005C5E32">
              <w:rPr>
                <w:rFonts w:asciiTheme="minorHAnsi" w:hAnsiTheme="minorHAnsi"/>
                <w:b/>
                <w:color w:val="0E7B7E"/>
                <w:sz w:val="18"/>
                <w:szCs w:val="18"/>
              </w:rPr>
              <w:t>2025/26</w:t>
            </w:r>
            <w:r w:rsidRPr="005C5E32">
              <w:rPr>
                <w:rFonts w:asciiTheme="minorHAnsi" w:hAnsiTheme="minorHAnsi"/>
                <w:b/>
                <w:color w:val="0E7B7E"/>
                <w:sz w:val="18"/>
                <w:szCs w:val="18"/>
              </w:rPr>
              <w:br/>
              <w:t>Actual</w:t>
            </w:r>
          </w:p>
        </w:tc>
      </w:tr>
      <w:tr w:rsidR="00D06CB2" w:rsidRPr="005C5E32" w14:paraId="1F5E663C" w14:textId="77777777" w:rsidTr="00A02A59">
        <w:tc>
          <w:tcPr>
            <w:tcW w:w="4820" w:type="dxa"/>
            <w:tcBorders>
              <w:top w:val="single" w:sz="2" w:space="0" w:color="000000" w:themeColor="text1"/>
            </w:tcBorders>
          </w:tcPr>
          <w:p w14:paraId="5B9E610A" w14:textId="77777777" w:rsidR="00D06CB2" w:rsidRPr="005C5E32" w:rsidRDefault="00D06CB2">
            <w:pPr>
              <w:pStyle w:val="Tablegreen"/>
              <w:spacing w:before="40" w:after="0"/>
              <w:rPr>
                <w:b/>
                <w:bCs w:val="0"/>
              </w:rPr>
            </w:pPr>
            <w:r w:rsidRPr="005C5E32">
              <w:rPr>
                <w:b/>
                <w:bCs w:val="0"/>
              </w:rPr>
              <w:t>Executive Leadership Team, including the Chief Executive</w:t>
            </w:r>
          </w:p>
        </w:tc>
        <w:tc>
          <w:tcPr>
            <w:tcW w:w="2377" w:type="dxa"/>
            <w:tcBorders>
              <w:top w:val="single" w:sz="2" w:space="0" w:color="000000" w:themeColor="text1"/>
            </w:tcBorders>
          </w:tcPr>
          <w:p w14:paraId="65FDAA1A" w14:textId="77777777" w:rsidR="00D06CB2" w:rsidRPr="005C5E32" w:rsidRDefault="00D06CB2">
            <w:pPr>
              <w:keepNext/>
              <w:spacing w:before="40" w:after="0"/>
              <w:rPr>
                <w:rFonts w:asciiTheme="minorHAnsi" w:hAnsiTheme="minorHAnsi" w:cstheme="minorHAnsi"/>
              </w:rPr>
            </w:pPr>
          </w:p>
        </w:tc>
        <w:tc>
          <w:tcPr>
            <w:tcW w:w="1531" w:type="dxa"/>
            <w:vMerge w:val="restart"/>
            <w:tcBorders>
              <w:top w:val="single" w:sz="2" w:space="0" w:color="000000" w:themeColor="text1"/>
            </w:tcBorders>
            <w:shd w:val="clear" w:color="auto" w:fill="E7F2F2"/>
            <w:vAlign w:val="bottom"/>
          </w:tcPr>
          <w:p w14:paraId="4F738FBF" w14:textId="77777777" w:rsidR="00D06CB2" w:rsidRPr="005C5E32" w:rsidRDefault="00D06CB2">
            <w:pPr>
              <w:pStyle w:val="TableText"/>
              <w:spacing w:before="0" w:after="40"/>
              <w:jc w:val="right"/>
            </w:pPr>
            <w:r w:rsidRPr="005C5E32">
              <w:t>$2,476,568</w:t>
            </w:r>
          </w:p>
        </w:tc>
      </w:tr>
      <w:tr w:rsidR="00D06CB2" w:rsidRPr="005C5E32" w14:paraId="3BF2B288" w14:textId="77777777" w:rsidTr="00A02A59">
        <w:tc>
          <w:tcPr>
            <w:tcW w:w="4820" w:type="dxa"/>
            <w:tcBorders>
              <w:bottom w:val="single" w:sz="2" w:space="0" w:color="58595B"/>
            </w:tcBorders>
          </w:tcPr>
          <w:p w14:paraId="0384C918" w14:textId="77777777" w:rsidR="00D06CB2" w:rsidRPr="005C5E32" w:rsidRDefault="00D06CB2">
            <w:pPr>
              <w:pStyle w:val="TableText"/>
              <w:spacing w:before="0" w:after="40"/>
            </w:pPr>
            <w:r w:rsidRPr="005C5E32">
              <w:t>Remuneration</w:t>
            </w:r>
          </w:p>
        </w:tc>
        <w:tc>
          <w:tcPr>
            <w:tcW w:w="2377" w:type="dxa"/>
            <w:tcBorders>
              <w:bottom w:val="single" w:sz="2" w:space="0" w:color="58595B"/>
            </w:tcBorders>
          </w:tcPr>
          <w:p w14:paraId="1823412A" w14:textId="77777777" w:rsidR="00D06CB2" w:rsidRPr="005C5E32" w:rsidRDefault="00D06CB2">
            <w:pPr>
              <w:pStyle w:val="TableText"/>
              <w:spacing w:before="0" w:after="40"/>
              <w:jc w:val="right"/>
              <w:rPr>
                <w:szCs w:val="18"/>
              </w:rPr>
            </w:pPr>
            <w:r w:rsidRPr="005C5E32">
              <w:rPr>
                <w:szCs w:val="18"/>
              </w:rPr>
              <w:t>$2,427,345</w:t>
            </w:r>
          </w:p>
        </w:tc>
        <w:tc>
          <w:tcPr>
            <w:tcW w:w="1531" w:type="dxa"/>
            <w:vMerge/>
            <w:shd w:val="clear" w:color="auto" w:fill="E7F2F2"/>
          </w:tcPr>
          <w:p w14:paraId="1B879884" w14:textId="77777777" w:rsidR="00D06CB2" w:rsidRPr="005C5E32" w:rsidRDefault="00D06CB2">
            <w:pPr>
              <w:pStyle w:val="TableText"/>
              <w:spacing w:before="0" w:after="40"/>
              <w:jc w:val="right"/>
            </w:pPr>
          </w:p>
        </w:tc>
      </w:tr>
      <w:tr w:rsidR="00D06CB2" w:rsidRPr="005C5E32" w14:paraId="5CDFF513" w14:textId="77777777" w:rsidTr="00A02A59">
        <w:tc>
          <w:tcPr>
            <w:tcW w:w="4820" w:type="dxa"/>
            <w:tcBorders>
              <w:top w:val="single" w:sz="2" w:space="0" w:color="58595B"/>
              <w:bottom w:val="single" w:sz="2" w:space="0" w:color="58595B"/>
            </w:tcBorders>
          </w:tcPr>
          <w:p w14:paraId="68B7D62F" w14:textId="77777777" w:rsidR="00D06CB2" w:rsidRPr="005C5E32" w:rsidRDefault="00D06CB2">
            <w:pPr>
              <w:pStyle w:val="TableText"/>
              <w:spacing w:before="40" w:after="40"/>
            </w:pPr>
            <w:r w:rsidRPr="005C5E32">
              <w:t>Full-time equivalent staff</w:t>
            </w:r>
          </w:p>
        </w:tc>
        <w:tc>
          <w:tcPr>
            <w:tcW w:w="2377" w:type="dxa"/>
            <w:tcBorders>
              <w:top w:val="single" w:sz="2" w:space="0" w:color="58595B"/>
              <w:bottom w:val="single" w:sz="2" w:space="0" w:color="58595B"/>
            </w:tcBorders>
          </w:tcPr>
          <w:p w14:paraId="6FA0AD8D" w14:textId="77777777" w:rsidR="00D06CB2" w:rsidRPr="005C5E32" w:rsidRDefault="00D06CB2">
            <w:pPr>
              <w:pStyle w:val="TableText"/>
              <w:spacing w:before="40" w:after="40"/>
              <w:jc w:val="right"/>
              <w:rPr>
                <w:szCs w:val="18"/>
              </w:rPr>
            </w:pPr>
            <w:r w:rsidRPr="005C5E32">
              <w:rPr>
                <w:szCs w:val="18"/>
              </w:rPr>
              <w:t>7.0</w:t>
            </w:r>
          </w:p>
        </w:tc>
        <w:tc>
          <w:tcPr>
            <w:tcW w:w="1531" w:type="dxa"/>
            <w:tcBorders>
              <w:top w:val="single" w:sz="2" w:space="0" w:color="58595B"/>
              <w:bottom w:val="single" w:sz="2" w:space="0" w:color="58595B"/>
            </w:tcBorders>
            <w:shd w:val="clear" w:color="auto" w:fill="E7F2F2"/>
          </w:tcPr>
          <w:p w14:paraId="022EEA52" w14:textId="77777777" w:rsidR="00D06CB2" w:rsidRPr="005C5E32" w:rsidRDefault="00D06CB2">
            <w:pPr>
              <w:pStyle w:val="TableText"/>
              <w:spacing w:before="40" w:after="40"/>
              <w:jc w:val="right"/>
              <w:rPr>
                <w:szCs w:val="18"/>
              </w:rPr>
            </w:pPr>
            <w:r w:rsidRPr="005C5E32">
              <w:rPr>
                <w:szCs w:val="18"/>
              </w:rPr>
              <w:t>7.0</w:t>
            </w:r>
          </w:p>
        </w:tc>
      </w:tr>
    </w:tbl>
    <w:p w14:paraId="16C9B6F8" w14:textId="17131830" w:rsidR="00D06CB2" w:rsidRPr="005C5E32" w:rsidRDefault="00D06CB2" w:rsidP="001730F4">
      <w:pPr>
        <w:pStyle w:val="BodyText"/>
        <w:spacing w:before="240"/>
      </w:pPr>
      <w:r w:rsidRPr="005C5E32">
        <w:t>The above key management personnel compensation excludes the remuneration and other benefits received by the Minister for the Environment and the Minister of Climate Change. The Ministers’ remuneration and other benefits are not received only for their role as a member of key management personnel of the Ministry. The Ministers’ remuneration and other benefits are set by the Remuneration Authority under the Parliament Act 2025 and are</w:t>
      </w:r>
      <w:r w:rsidR="00C77EB9" w:rsidRPr="005C5E32">
        <w:t> </w:t>
      </w:r>
      <w:r w:rsidRPr="005C5E32">
        <w:t xml:space="preserve">paid under Permanent Legislative Authority, </w:t>
      </w:r>
      <w:r w:rsidRPr="005C5E32" w:rsidDel="00BC7CFC">
        <w:t xml:space="preserve">and </w:t>
      </w:r>
      <w:r w:rsidRPr="005C5E32">
        <w:t xml:space="preserve">not </w:t>
      </w:r>
      <w:r w:rsidRPr="005C5E32" w:rsidDel="00BC7CFC">
        <w:t xml:space="preserve">paid </w:t>
      </w:r>
      <w:r w:rsidRPr="005C5E32">
        <w:t>by the Ministry.</w:t>
      </w:r>
    </w:p>
    <w:p w14:paraId="537D0323" w14:textId="77777777" w:rsidR="00D06CB2" w:rsidRPr="005C5E32" w:rsidRDefault="00D06CB2" w:rsidP="00D210C6">
      <w:pPr>
        <w:pStyle w:val="BodyText"/>
      </w:pPr>
      <w:r w:rsidRPr="005C5E32">
        <w:t>No other related party transactions have been incurred in the year (2024/25: None).</w:t>
      </w:r>
    </w:p>
    <w:p w14:paraId="7DEE34A5" w14:textId="77777777" w:rsidR="00D06CB2" w:rsidRPr="005C5E32" w:rsidRDefault="00D06CB2" w:rsidP="00D210C6">
      <w:pPr>
        <w:pStyle w:val="Heading3"/>
        <w:tabs>
          <w:tab w:val="clear" w:pos="851"/>
          <w:tab w:val="left" w:pos="567"/>
        </w:tabs>
        <w:spacing w:before="320"/>
      </w:pPr>
      <w:bookmarkStart w:id="347" w:name="_Toc112144639"/>
      <w:r w:rsidRPr="005C5E32">
        <w:t>16.</w:t>
      </w:r>
      <w:r w:rsidRPr="005C5E32">
        <w:tab/>
        <w:t>Events after balance date</w:t>
      </w:r>
      <w:bookmarkEnd w:id="347"/>
    </w:p>
    <w:p w14:paraId="3666A377" w14:textId="29A3771F" w:rsidR="00D06CB2" w:rsidRPr="005C5E32" w:rsidRDefault="00D06CB2" w:rsidP="00C77EB9">
      <w:pPr>
        <w:pStyle w:val="BodyText"/>
      </w:pPr>
      <w:r w:rsidRPr="005C5E32">
        <w:t>On 1 July 2026, the Ministry was disestablished pursuant to legislation establishing the Ministry for Cities, Environment, Regions &amp; Transport (MCERT). The Ministry</w:t>
      </w:r>
      <w:r w:rsidR="00C77EB9" w:rsidRPr="005C5E32">
        <w:t>’</w:t>
      </w:r>
      <w:r w:rsidRPr="005C5E32">
        <w:t xml:space="preserve">s functions, powers, responsibilities, assets, liabilities, appropriations, commitments, and contingent liabilities transferred to MCERT on that date. </w:t>
      </w:r>
    </w:p>
    <w:p w14:paraId="1A99DA15" w14:textId="32C405C1" w:rsidR="00D06CB2" w:rsidRPr="005C5E32" w:rsidRDefault="00D06CB2" w:rsidP="00C77EB9">
      <w:pPr>
        <w:pStyle w:val="BodyText"/>
      </w:pPr>
      <w:r w:rsidRPr="005C5E32">
        <w:t>As a consequence of the disestablishment, these financial statements represent the Ministry</w:t>
      </w:r>
      <w:r w:rsidR="00C77EB9" w:rsidRPr="005C5E32">
        <w:t>’</w:t>
      </w:r>
      <w:r w:rsidRPr="005C5E32">
        <w:t>s final annual report. The Ministry's activities will continue to be undertaken by MCERT from 1</w:t>
      </w:r>
      <w:r w:rsidR="00C77EB9" w:rsidRPr="005C5E32">
        <w:t> </w:t>
      </w:r>
      <w:r w:rsidRPr="005C5E32">
        <w:t>July 2026. The disestablishment does not affect the financial results or financial position reported as at 30 June 2026.</w:t>
      </w:r>
    </w:p>
    <w:p w14:paraId="1B5026E8" w14:textId="77777777" w:rsidR="00D06CB2" w:rsidRPr="005C5E32" w:rsidRDefault="00D06CB2" w:rsidP="00C77EB9">
      <w:pPr>
        <w:pStyle w:val="BodyText"/>
      </w:pPr>
      <w:r w:rsidRPr="005C5E32">
        <w:t xml:space="preserve">No other events have occurred after the reporting date that would require adjustment to, or disclosure in, these financial statements. </w:t>
      </w:r>
    </w:p>
    <w:p w14:paraId="6CF14C80" w14:textId="77777777" w:rsidR="00D06CB2" w:rsidRPr="005C5E32" w:rsidRDefault="00D06CB2" w:rsidP="00D210C6">
      <w:pPr>
        <w:pStyle w:val="Heading3"/>
        <w:tabs>
          <w:tab w:val="clear" w:pos="851"/>
          <w:tab w:val="left" w:pos="567"/>
        </w:tabs>
        <w:spacing w:before="320"/>
      </w:pPr>
      <w:bookmarkStart w:id="348" w:name="_Toc112144640"/>
      <w:r w:rsidRPr="005C5E32">
        <w:lastRenderedPageBreak/>
        <w:t>17.</w:t>
      </w:r>
      <w:r w:rsidRPr="005C5E32">
        <w:tab/>
        <w:t>Financial instruments</w:t>
      </w:r>
      <w:bookmarkEnd w:id="348"/>
      <w:r w:rsidRPr="005C5E32">
        <w:t xml:space="preserve"> </w:t>
      </w:r>
    </w:p>
    <w:p w14:paraId="0010A983" w14:textId="77777777" w:rsidR="00D06CB2" w:rsidRPr="005C5E32" w:rsidRDefault="00D06CB2" w:rsidP="00D210C6">
      <w:pPr>
        <w:pStyle w:val="Heading4"/>
        <w:spacing w:before="180"/>
      </w:pPr>
      <w:r w:rsidRPr="005C5E32">
        <w:t>Financial instrument categories</w:t>
      </w:r>
    </w:p>
    <w:p w14:paraId="1A43C65B" w14:textId="77777777" w:rsidR="00D06CB2" w:rsidRPr="005C5E32" w:rsidRDefault="00D06CB2" w:rsidP="00A03341">
      <w:pPr>
        <w:pStyle w:val="BodyText"/>
      </w:pPr>
      <w:r w:rsidRPr="005C5E32">
        <w:t>The carrying amounts of financial assets and financial liabilities in each of the categories are as follows: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792"/>
        <w:gridCol w:w="2306"/>
        <w:gridCol w:w="1407"/>
      </w:tblGrid>
      <w:tr w:rsidR="00D06CB2" w:rsidRPr="005C5E32" w14:paraId="09CF679A" w14:textId="77777777" w:rsidTr="00A02A59">
        <w:trPr>
          <w:trHeight w:val="20"/>
        </w:trPr>
        <w:tc>
          <w:tcPr>
            <w:tcW w:w="7784" w:type="dxa"/>
            <w:gridSpan w:val="2"/>
            <w:tcBorders>
              <w:top w:val="single" w:sz="8" w:space="0" w:color="0E7C7E"/>
              <w:bottom w:val="single" w:sz="2" w:space="0" w:color="000000" w:themeColor="text1"/>
            </w:tcBorders>
            <w:vAlign w:val="bottom"/>
          </w:tcPr>
          <w:p w14:paraId="351D5AA4" w14:textId="77777777" w:rsidR="00D06CB2" w:rsidRPr="005C5E32" w:rsidRDefault="00D06CB2" w:rsidP="00D210C6">
            <w:pPr>
              <w:pStyle w:val="TableboldGreen"/>
              <w:spacing w:before="40" w:after="40"/>
              <w:jc w:val="right"/>
            </w:pPr>
            <w:r w:rsidRPr="005C5E32">
              <w:rPr>
                <w:rFonts w:cstheme="minorBidi"/>
                <w:bCs/>
                <w:szCs w:val="18"/>
              </w:rPr>
              <w:t>2024/25</w:t>
            </w:r>
            <w:r w:rsidRPr="005C5E32">
              <w:rPr>
                <w:rFonts w:cstheme="minorBidi"/>
                <w:bCs/>
                <w:szCs w:val="18"/>
              </w:rPr>
              <w:br/>
            </w:r>
            <w:r w:rsidRPr="005C5E32">
              <w:t>Actual</w:t>
            </w:r>
            <w:r w:rsidRPr="005C5E32">
              <w:br/>
              <w:t>$000</w:t>
            </w:r>
          </w:p>
        </w:tc>
        <w:tc>
          <w:tcPr>
            <w:tcW w:w="1531" w:type="dxa"/>
            <w:tcBorders>
              <w:top w:val="single" w:sz="8" w:space="0" w:color="0E7C7E"/>
              <w:bottom w:val="single" w:sz="2" w:space="0" w:color="000000" w:themeColor="text1"/>
            </w:tcBorders>
            <w:shd w:val="clear" w:color="auto" w:fill="E7F2F2"/>
            <w:vAlign w:val="bottom"/>
          </w:tcPr>
          <w:p w14:paraId="422B14F2" w14:textId="77777777" w:rsidR="00D06CB2" w:rsidRPr="005C5E32" w:rsidRDefault="00D06CB2" w:rsidP="00D210C6">
            <w:pPr>
              <w:pStyle w:val="TableboldGreen"/>
              <w:spacing w:before="40" w:after="40"/>
              <w:jc w:val="right"/>
            </w:pPr>
            <w:r w:rsidRPr="005C5E32">
              <w:rPr>
                <w:rFonts w:cstheme="minorBidi"/>
                <w:szCs w:val="18"/>
              </w:rPr>
              <w:t>2025/26</w:t>
            </w:r>
            <w:r w:rsidRPr="005C5E32">
              <w:rPr>
                <w:rFonts w:cstheme="minorBidi"/>
                <w:szCs w:val="18"/>
              </w:rPr>
              <w:br/>
              <w:t>Actual</w:t>
            </w:r>
            <w:r w:rsidRPr="005C5E32">
              <w:rPr>
                <w:rFonts w:cstheme="minorBidi"/>
                <w:szCs w:val="18"/>
              </w:rPr>
              <w:br/>
              <w:t>$000</w:t>
            </w:r>
          </w:p>
        </w:tc>
      </w:tr>
      <w:tr w:rsidR="00D06CB2" w:rsidRPr="005C5E32" w14:paraId="489C42FE" w14:textId="77777777" w:rsidTr="00A02A59">
        <w:trPr>
          <w:trHeight w:val="20"/>
        </w:trPr>
        <w:tc>
          <w:tcPr>
            <w:tcW w:w="5262" w:type="dxa"/>
            <w:tcBorders>
              <w:top w:val="single" w:sz="2" w:space="0" w:color="000000" w:themeColor="text1"/>
            </w:tcBorders>
          </w:tcPr>
          <w:p w14:paraId="74C630B2" w14:textId="77777777" w:rsidR="00D06CB2" w:rsidRPr="005C5E32" w:rsidRDefault="00D06CB2" w:rsidP="004A451C">
            <w:pPr>
              <w:pStyle w:val="TableboldGreen"/>
              <w:spacing w:before="40" w:after="0"/>
            </w:pPr>
            <w:r w:rsidRPr="005C5E32">
              <w:t>Financial assets measured at amortised cost</w:t>
            </w:r>
          </w:p>
        </w:tc>
        <w:tc>
          <w:tcPr>
            <w:tcW w:w="2522" w:type="dxa"/>
            <w:tcBorders>
              <w:top w:val="single" w:sz="2" w:space="0" w:color="000000" w:themeColor="text1"/>
              <w:bottom w:val="nil"/>
            </w:tcBorders>
          </w:tcPr>
          <w:p w14:paraId="72470DE1" w14:textId="77777777" w:rsidR="00D06CB2" w:rsidRPr="005C5E32" w:rsidRDefault="00D06CB2" w:rsidP="004A451C">
            <w:pPr>
              <w:pStyle w:val="TableText"/>
              <w:spacing w:before="40" w:after="0"/>
            </w:pPr>
          </w:p>
        </w:tc>
        <w:tc>
          <w:tcPr>
            <w:tcW w:w="1531" w:type="dxa"/>
            <w:tcBorders>
              <w:top w:val="single" w:sz="2" w:space="0" w:color="000000" w:themeColor="text1"/>
              <w:bottom w:val="nil"/>
            </w:tcBorders>
            <w:shd w:val="clear" w:color="auto" w:fill="E7F2F2"/>
            <w:vAlign w:val="bottom"/>
          </w:tcPr>
          <w:p w14:paraId="2AEC5C43" w14:textId="77777777" w:rsidR="00D06CB2" w:rsidRPr="005C5E32" w:rsidRDefault="00D06CB2" w:rsidP="004A451C">
            <w:pPr>
              <w:pStyle w:val="TableText"/>
              <w:spacing w:before="40" w:after="0"/>
              <w:rPr>
                <w:color w:val="414042"/>
              </w:rPr>
            </w:pPr>
          </w:p>
        </w:tc>
      </w:tr>
      <w:tr w:rsidR="00D06CB2" w:rsidRPr="005C5E32" w14:paraId="2A603550" w14:textId="77777777" w:rsidTr="00A02A59">
        <w:trPr>
          <w:trHeight w:val="20"/>
        </w:trPr>
        <w:tc>
          <w:tcPr>
            <w:tcW w:w="5262" w:type="dxa"/>
            <w:tcBorders>
              <w:top w:val="nil"/>
              <w:bottom w:val="single" w:sz="2" w:space="0" w:color="58595B"/>
            </w:tcBorders>
          </w:tcPr>
          <w:p w14:paraId="2DC2DD25" w14:textId="77777777" w:rsidR="00D06CB2" w:rsidRPr="005C5E32" w:rsidRDefault="00D06CB2" w:rsidP="00D210C6">
            <w:pPr>
              <w:pStyle w:val="TableText"/>
              <w:spacing w:before="40" w:after="40"/>
            </w:pPr>
            <w:r w:rsidRPr="005C5E32">
              <w:t>Cash and cash equivalents</w:t>
            </w:r>
          </w:p>
        </w:tc>
        <w:tc>
          <w:tcPr>
            <w:tcW w:w="2522" w:type="dxa"/>
            <w:tcBorders>
              <w:top w:val="nil"/>
              <w:bottom w:val="single" w:sz="2" w:space="0" w:color="58595B"/>
            </w:tcBorders>
          </w:tcPr>
          <w:p w14:paraId="27AAAA3C" w14:textId="77777777" w:rsidR="00D06CB2" w:rsidRPr="005C5E32" w:rsidRDefault="00D06CB2" w:rsidP="00D210C6">
            <w:pPr>
              <w:pStyle w:val="TableText"/>
              <w:spacing w:before="40" w:after="40"/>
              <w:jc w:val="right"/>
              <w:rPr>
                <w:szCs w:val="18"/>
              </w:rPr>
            </w:pPr>
            <w:r w:rsidRPr="005C5E32">
              <w:rPr>
                <w:szCs w:val="18"/>
              </w:rPr>
              <w:t>15,708</w:t>
            </w:r>
          </w:p>
        </w:tc>
        <w:tc>
          <w:tcPr>
            <w:tcW w:w="1531" w:type="dxa"/>
            <w:tcBorders>
              <w:top w:val="nil"/>
            </w:tcBorders>
            <w:shd w:val="clear" w:color="auto" w:fill="E7F2F2"/>
          </w:tcPr>
          <w:p w14:paraId="595198CF" w14:textId="77777777" w:rsidR="00D06CB2" w:rsidRPr="005C5E32" w:rsidRDefault="00D06CB2" w:rsidP="00D210C6">
            <w:pPr>
              <w:pStyle w:val="TableText"/>
              <w:spacing w:before="40" w:after="40"/>
              <w:jc w:val="right"/>
              <w:rPr>
                <w:highlight w:val="yellow"/>
              </w:rPr>
            </w:pPr>
            <w:r w:rsidRPr="005C5E32">
              <w:t>20,176</w:t>
            </w:r>
          </w:p>
        </w:tc>
      </w:tr>
      <w:tr w:rsidR="00D06CB2" w:rsidRPr="005C5E32" w14:paraId="2E2004F0" w14:textId="77777777" w:rsidTr="00A02A59">
        <w:trPr>
          <w:trHeight w:val="20"/>
        </w:trPr>
        <w:tc>
          <w:tcPr>
            <w:tcW w:w="5262" w:type="dxa"/>
            <w:tcBorders>
              <w:top w:val="single" w:sz="2" w:space="0" w:color="58595B"/>
              <w:bottom w:val="single" w:sz="4" w:space="0" w:color="58595B"/>
            </w:tcBorders>
          </w:tcPr>
          <w:p w14:paraId="47E9F80F" w14:textId="77777777" w:rsidR="00D06CB2" w:rsidRPr="005C5E32" w:rsidRDefault="00D06CB2" w:rsidP="00D210C6">
            <w:pPr>
              <w:pStyle w:val="TableText"/>
              <w:spacing w:before="40" w:after="40"/>
            </w:pPr>
            <w:r w:rsidRPr="005C5E32">
              <w:t>Receivables</w:t>
            </w:r>
          </w:p>
        </w:tc>
        <w:tc>
          <w:tcPr>
            <w:tcW w:w="2522" w:type="dxa"/>
            <w:tcBorders>
              <w:top w:val="single" w:sz="2" w:space="0" w:color="58595B"/>
              <w:bottom w:val="single" w:sz="4" w:space="0" w:color="58595B"/>
            </w:tcBorders>
          </w:tcPr>
          <w:p w14:paraId="75DE218D" w14:textId="77777777" w:rsidR="00D06CB2" w:rsidRPr="005C5E32" w:rsidRDefault="00D06CB2" w:rsidP="00D210C6">
            <w:pPr>
              <w:pStyle w:val="TableText"/>
              <w:spacing w:before="40" w:after="40"/>
              <w:jc w:val="right"/>
              <w:rPr>
                <w:szCs w:val="18"/>
              </w:rPr>
            </w:pPr>
            <w:r w:rsidRPr="005C5E32">
              <w:rPr>
                <w:szCs w:val="18"/>
              </w:rPr>
              <w:t>31,251</w:t>
            </w:r>
          </w:p>
        </w:tc>
        <w:tc>
          <w:tcPr>
            <w:tcW w:w="1531" w:type="dxa"/>
            <w:tcBorders>
              <w:top w:val="single" w:sz="2" w:space="0" w:color="58595B"/>
              <w:bottom w:val="single" w:sz="4" w:space="0" w:color="58595B"/>
            </w:tcBorders>
            <w:shd w:val="clear" w:color="auto" w:fill="E7F2F2"/>
          </w:tcPr>
          <w:p w14:paraId="65BA10B6" w14:textId="77777777" w:rsidR="00D06CB2" w:rsidRPr="005C5E32" w:rsidRDefault="00D06CB2" w:rsidP="00D210C6">
            <w:pPr>
              <w:pStyle w:val="TableText"/>
              <w:spacing w:before="40" w:after="40"/>
              <w:jc w:val="right"/>
              <w:rPr>
                <w:szCs w:val="18"/>
              </w:rPr>
            </w:pPr>
            <w:r w:rsidRPr="005C5E32">
              <w:rPr>
                <w:szCs w:val="18"/>
              </w:rPr>
              <w:t>26,708</w:t>
            </w:r>
          </w:p>
        </w:tc>
      </w:tr>
      <w:tr w:rsidR="00D06CB2" w:rsidRPr="005C5E32" w14:paraId="52FE5809" w14:textId="77777777" w:rsidTr="00A02A59">
        <w:trPr>
          <w:trHeight w:val="20"/>
        </w:trPr>
        <w:tc>
          <w:tcPr>
            <w:tcW w:w="5262" w:type="dxa"/>
            <w:tcBorders>
              <w:top w:val="single" w:sz="4" w:space="0" w:color="58595B"/>
              <w:bottom w:val="single" w:sz="4" w:space="0" w:color="58595B"/>
            </w:tcBorders>
          </w:tcPr>
          <w:p w14:paraId="1D6A3778" w14:textId="77777777" w:rsidR="00D06CB2" w:rsidRPr="005C5E32" w:rsidRDefault="00D06CB2" w:rsidP="00D210C6">
            <w:pPr>
              <w:pStyle w:val="TableTextbold"/>
              <w:spacing w:before="40" w:after="40"/>
            </w:pPr>
            <w:r w:rsidRPr="005C5E32">
              <w:t>Total financial assets measured at amortised cost</w:t>
            </w:r>
          </w:p>
        </w:tc>
        <w:tc>
          <w:tcPr>
            <w:tcW w:w="2522" w:type="dxa"/>
            <w:tcBorders>
              <w:top w:val="single" w:sz="4" w:space="0" w:color="58595B"/>
              <w:bottom w:val="single" w:sz="4" w:space="0" w:color="58595B"/>
            </w:tcBorders>
          </w:tcPr>
          <w:p w14:paraId="0EDEA6A0" w14:textId="77777777" w:rsidR="00D06CB2" w:rsidRPr="005C5E32" w:rsidRDefault="00D06CB2" w:rsidP="00D210C6">
            <w:pPr>
              <w:pStyle w:val="TableTextbold"/>
              <w:spacing w:before="40" w:after="40"/>
              <w:jc w:val="right"/>
              <w:rPr>
                <w:szCs w:val="18"/>
              </w:rPr>
            </w:pPr>
            <w:r w:rsidRPr="005C5E32">
              <w:rPr>
                <w:szCs w:val="18"/>
              </w:rPr>
              <w:t>46,959</w:t>
            </w:r>
          </w:p>
        </w:tc>
        <w:tc>
          <w:tcPr>
            <w:tcW w:w="1531" w:type="dxa"/>
            <w:tcBorders>
              <w:top w:val="single" w:sz="4" w:space="0" w:color="58595B"/>
              <w:bottom w:val="single" w:sz="4" w:space="0" w:color="58595B"/>
            </w:tcBorders>
            <w:shd w:val="clear" w:color="auto" w:fill="E7F2F2"/>
          </w:tcPr>
          <w:p w14:paraId="0EAB0C2A" w14:textId="77777777" w:rsidR="00D06CB2" w:rsidRPr="005C5E32" w:rsidRDefault="00D06CB2" w:rsidP="00D210C6">
            <w:pPr>
              <w:pStyle w:val="TableTextbold"/>
              <w:spacing w:before="40" w:after="40"/>
              <w:jc w:val="right"/>
              <w:rPr>
                <w:szCs w:val="18"/>
              </w:rPr>
            </w:pPr>
            <w:r w:rsidRPr="005C5E32">
              <w:rPr>
                <w:szCs w:val="18"/>
              </w:rPr>
              <w:t>46,884</w:t>
            </w:r>
          </w:p>
        </w:tc>
      </w:tr>
      <w:tr w:rsidR="00D06CB2" w:rsidRPr="005C5E32" w14:paraId="1F5FD3E7" w14:textId="77777777" w:rsidTr="00A02A59">
        <w:trPr>
          <w:trHeight w:val="20"/>
        </w:trPr>
        <w:tc>
          <w:tcPr>
            <w:tcW w:w="5262" w:type="dxa"/>
            <w:tcBorders>
              <w:top w:val="single" w:sz="4" w:space="0" w:color="58595B"/>
              <w:bottom w:val="nil"/>
            </w:tcBorders>
          </w:tcPr>
          <w:p w14:paraId="028434A1" w14:textId="77777777" w:rsidR="00D06CB2" w:rsidRPr="005C5E32" w:rsidRDefault="00D06CB2" w:rsidP="004A451C">
            <w:pPr>
              <w:pStyle w:val="TableboldGreen"/>
              <w:spacing w:before="40" w:after="0"/>
            </w:pPr>
            <w:r w:rsidRPr="005C5E32">
              <w:t>Financial liabilities measured at amortised cost</w:t>
            </w:r>
          </w:p>
        </w:tc>
        <w:tc>
          <w:tcPr>
            <w:tcW w:w="2522" w:type="dxa"/>
            <w:tcBorders>
              <w:top w:val="single" w:sz="4" w:space="0" w:color="58595B"/>
              <w:bottom w:val="nil"/>
            </w:tcBorders>
          </w:tcPr>
          <w:p w14:paraId="24E3B26C" w14:textId="77777777" w:rsidR="00D06CB2" w:rsidRPr="005C5E32" w:rsidRDefault="00D06CB2" w:rsidP="004A451C">
            <w:pPr>
              <w:pStyle w:val="TableText"/>
              <w:spacing w:before="40" w:after="0"/>
            </w:pPr>
          </w:p>
        </w:tc>
        <w:tc>
          <w:tcPr>
            <w:tcW w:w="1531" w:type="dxa"/>
            <w:tcBorders>
              <w:top w:val="single" w:sz="4" w:space="0" w:color="58595B"/>
              <w:bottom w:val="nil"/>
            </w:tcBorders>
            <w:shd w:val="clear" w:color="auto" w:fill="E7F2F2"/>
            <w:vAlign w:val="bottom"/>
          </w:tcPr>
          <w:p w14:paraId="4E4099F9" w14:textId="77777777" w:rsidR="00D06CB2" w:rsidRPr="005C5E32" w:rsidRDefault="00D06CB2" w:rsidP="004A451C">
            <w:pPr>
              <w:pStyle w:val="TableText"/>
              <w:spacing w:before="40" w:after="0"/>
            </w:pPr>
          </w:p>
        </w:tc>
      </w:tr>
      <w:tr w:rsidR="00D06CB2" w:rsidRPr="005C5E32" w14:paraId="11BE6A39" w14:textId="77777777" w:rsidTr="00A02A59">
        <w:trPr>
          <w:trHeight w:val="20"/>
        </w:trPr>
        <w:tc>
          <w:tcPr>
            <w:tcW w:w="5262" w:type="dxa"/>
            <w:tcBorders>
              <w:top w:val="nil"/>
              <w:left w:val="nil"/>
              <w:bottom w:val="single" w:sz="4" w:space="0" w:color="58595B"/>
              <w:right w:val="nil"/>
            </w:tcBorders>
          </w:tcPr>
          <w:p w14:paraId="3A5114B8" w14:textId="77777777" w:rsidR="00D06CB2" w:rsidRPr="005C5E32" w:rsidRDefault="00D06CB2" w:rsidP="00D210C6">
            <w:pPr>
              <w:pStyle w:val="TableText"/>
              <w:spacing w:before="40" w:after="40"/>
            </w:pPr>
            <w:r w:rsidRPr="005C5E32">
              <w:t>Payables (excluding GST payable)</w:t>
            </w:r>
          </w:p>
        </w:tc>
        <w:tc>
          <w:tcPr>
            <w:tcW w:w="2522" w:type="dxa"/>
            <w:tcBorders>
              <w:top w:val="nil"/>
              <w:left w:val="nil"/>
              <w:bottom w:val="single" w:sz="4" w:space="0" w:color="58595B"/>
              <w:right w:val="nil"/>
            </w:tcBorders>
            <w:vAlign w:val="bottom"/>
          </w:tcPr>
          <w:p w14:paraId="53949B7A" w14:textId="77777777" w:rsidR="00D06CB2" w:rsidRPr="005C5E32" w:rsidRDefault="00D06CB2" w:rsidP="00D210C6">
            <w:pPr>
              <w:pStyle w:val="TableText"/>
              <w:spacing w:before="40" w:after="40"/>
              <w:jc w:val="right"/>
            </w:pPr>
            <w:r w:rsidRPr="005C5E32">
              <w:t>12,630</w:t>
            </w:r>
          </w:p>
        </w:tc>
        <w:tc>
          <w:tcPr>
            <w:tcW w:w="1531" w:type="dxa"/>
            <w:tcBorders>
              <w:top w:val="nil"/>
              <w:left w:val="nil"/>
              <w:bottom w:val="single" w:sz="4" w:space="0" w:color="58595B"/>
              <w:right w:val="nil"/>
            </w:tcBorders>
            <w:shd w:val="clear" w:color="auto" w:fill="E7F2F2"/>
          </w:tcPr>
          <w:p w14:paraId="071D7FD9" w14:textId="77777777" w:rsidR="00D06CB2" w:rsidRPr="005C5E32" w:rsidRDefault="00D06CB2" w:rsidP="00D210C6">
            <w:pPr>
              <w:pStyle w:val="TableText"/>
              <w:spacing w:before="40" w:after="40"/>
              <w:jc w:val="right"/>
            </w:pPr>
            <w:r w:rsidRPr="005C5E32">
              <w:t>9,979</w:t>
            </w:r>
          </w:p>
        </w:tc>
      </w:tr>
    </w:tbl>
    <w:p w14:paraId="50FDBDA2" w14:textId="77777777" w:rsidR="00D06CB2" w:rsidRPr="005C5E32" w:rsidRDefault="00D06CB2" w:rsidP="00A03341">
      <w:pPr>
        <w:pStyle w:val="Heading4"/>
        <w:spacing w:before="440"/>
      </w:pPr>
      <w:r w:rsidRPr="005C5E32">
        <w:t>Financial instrument risks</w:t>
      </w:r>
    </w:p>
    <w:p w14:paraId="3160E125" w14:textId="77777777" w:rsidR="00D06CB2" w:rsidRPr="005C5E32" w:rsidRDefault="00D06CB2" w:rsidP="00A03341">
      <w:pPr>
        <w:pStyle w:val="BodyText"/>
      </w:pPr>
      <w:r w:rsidRPr="005C5E32">
        <w:t>The Ministry’s activities expose it to a variety of financial instrument risks, including market risk, credit risk and liquidity risk. The Ministry has policies to manage the risks associated with financial instruments and seeks to minimise exposure from financial instruments. These policies do not allow any transactions that are speculative in nature to be entered into.</w:t>
      </w:r>
    </w:p>
    <w:p w14:paraId="6CAA147E" w14:textId="77777777" w:rsidR="00D06CB2" w:rsidRPr="005C5E32" w:rsidRDefault="00D06CB2" w:rsidP="00A03341">
      <w:pPr>
        <w:pStyle w:val="Heading5"/>
      </w:pPr>
      <w:r w:rsidRPr="005C5E32">
        <w:t>Market risk</w:t>
      </w:r>
    </w:p>
    <w:p w14:paraId="53E10DA0" w14:textId="77777777" w:rsidR="00D06CB2" w:rsidRPr="005C5E32" w:rsidRDefault="00D06CB2" w:rsidP="00C4148E">
      <w:pPr>
        <w:pStyle w:val="Heading6"/>
        <w:spacing w:before="180"/>
        <w:rPr>
          <w:lang w:val="en-NZ"/>
        </w:rPr>
      </w:pPr>
      <w:r w:rsidRPr="005C5E32">
        <w:rPr>
          <w:lang w:val="en-NZ"/>
        </w:rPr>
        <w:t>Currency risk</w:t>
      </w:r>
    </w:p>
    <w:p w14:paraId="7BD483AB" w14:textId="77777777" w:rsidR="00D06CB2" w:rsidRPr="005C5E32" w:rsidRDefault="00D06CB2" w:rsidP="00A03341">
      <w:pPr>
        <w:pStyle w:val="BodyText"/>
      </w:pPr>
      <w:r w:rsidRPr="005C5E32">
        <w:t>Currency risk is the risk that the fair value or future cash flows of a financial instrument will fluctuate because of changes in foreign exchange rates.</w:t>
      </w:r>
    </w:p>
    <w:p w14:paraId="22CC4171" w14:textId="77777777" w:rsidR="00D06CB2" w:rsidRPr="005C5E32" w:rsidRDefault="00D06CB2" w:rsidP="00A03341">
      <w:pPr>
        <w:pStyle w:val="BodyText"/>
        <w:spacing w:before="100" w:after="100"/>
      </w:pPr>
      <w:r w:rsidRPr="005C5E32">
        <w:t>The Ministry makes purchases of goods and services overseas that require it to enter into transactions denominated in foreign currencies and, as a result, exposure to currency risk arises. The extent of foreign currency transactions entered into is considered to be immaterial and accordingly, no sensitivity analysis has been completed.</w:t>
      </w:r>
    </w:p>
    <w:p w14:paraId="10F74B85" w14:textId="77777777" w:rsidR="00D06CB2" w:rsidRPr="005C5E32" w:rsidRDefault="00D06CB2" w:rsidP="00A03341">
      <w:pPr>
        <w:pStyle w:val="Heading6"/>
        <w:rPr>
          <w:lang w:val="en-NZ"/>
        </w:rPr>
      </w:pPr>
      <w:r w:rsidRPr="005C5E32">
        <w:rPr>
          <w:lang w:val="en-NZ"/>
        </w:rPr>
        <w:t>Fair value interest rate risk</w:t>
      </w:r>
    </w:p>
    <w:p w14:paraId="7A18DB05" w14:textId="77777777" w:rsidR="00D06CB2" w:rsidRPr="005C5E32" w:rsidRDefault="00D06CB2" w:rsidP="00A03341">
      <w:pPr>
        <w:pStyle w:val="BodyText"/>
        <w:spacing w:before="100" w:after="100"/>
      </w:pPr>
      <w:r w:rsidRPr="005C5E32">
        <w:t>Interest rate risk is the risk that the return on invested funds will fluctuate due to changes in market interest rates. The Ministry has no significant exposure to interest rate risk because it has no interest-bearing financial instruments.</w:t>
      </w:r>
    </w:p>
    <w:p w14:paraId="26974761" w14:textId="77777777" w:rsidR="00D06CB2" w:rsidRPr="005C5E32" w:rsidRDefault="00D06CB2" w:rsidP="00A03341">
      <w:pPr>
        <w:pStyle w:val="Heading5"/>
      </w:pPr>
      <w:r w:rsidRPr="005C5E32">
        <w:t>Credit risk</w:t>
      </w:r>
    </w:p>
    <w:p w14:paraId="149A11C2" w14:textId="77777777" w:rsidR="00D06CB2" w:rsidRPr="005C5E32" w:rsidRDefault="00D06CB2" w:rsidP="00A03341">
      <w:pPr>
        <w:pStyle w:val="BodyText"/>
        <w:spacing w:before="100" w:after="100"/>
      </w:pPr>
      <w:r w:rsidRPr="005C5E32">
        <w:t>Credit risk is the risk that a third party will default on its obligations to the Ministry, causing the Ministry to incur a loss. In the normal course of its business, credit risk arises from receivables and deposits with banks.</w:t>
      </w:r>
    </w:p>
    <w:p w14:paraId="75A7F7D2" w14:textId="77777777" w:rsidR="00D06CB2" w:rsidRPr="005C5E32" w:rsidRDefault="00D06CB2" w:rsidP="00A03341">
      <w:pPr>
        <w:pStyle w:val="BodyText"/>
        <w:spacing w:before="100" w:after="100"/>
      </w:pPr>
      <w:r w:rsidRPr="005C5E32">
        <w:t>The Ministry is permitted to deposit funds only with Westpac, a registered bank. Westpac bank has a high credit rating of AA– (Standard and Poor’s credit rating). For its other financial instruments, the Ministry does not have significant concentrations of credit risk.</w:t>
      </w:r>
    </w:p>
    <w:p w14:paraId="47DB23E8" w14:textId="77777777" w:rsidR="00D06CB2" w:rsidRPr="005C5E32" w:rsidRDefault="00D06CB2" w:rsidP="00A03341">
      <w:pPr>
        <w:pStyle w:val="BodyText"/>
        <w:spacing w:before="100" w:after="100"/>
      </w:pPr>
      <w:r w:rsidRPr="005C5E32">
        <w:lastRenderedPageBreak/>
        <w:t>The Ministry’s maximum credit exposure for each class of financial instrument is represented by the total carrying amount of cash and cash equivalents, and receivables. There is no collateral held as security against these financial instruments, including those instruments that are overdue or impaired.</w:t>
      </w:r>
    </w:p>
    <w:p w14:paraId="3CFD556C" w14:textId="77777777" w:rsidR="00D06CB2" w:rsidRPr="005C5E32" w:rsidRDefault="00D06CB2" w:rsidP="00A03341">
      <w:pPr>
        <w:pStyle w:val="BodyText"/>
        <w:spacing w:before="100" w:after="100"/>
      </w:pPr>
      <w:r w:rsidRPr="005C5E32">
        <w:t>Receivables (Note 7) are subject to the expected credit loss model. The notes for these items provide relevant information on impairment.</w:t>
      </w:r>
    </w:p>
    <w:p w14:paraId="5DC2D76A" w14:textId="77777777" w:rsidR="00D06CB2" w:rsidRPr="005C5E32" w:rsidRDefault="00D06CB2">
      <w:pPr>
        <w:pStyle w:val="BodyText"/>
        <w:spacing w:before="100" w:after="100"/>
      </w:pPr>
      <w:r w:rsidRPr="005C5E32">
        <w:rPr>
          <w:rFonts w:asciiTheme="minorHAnsi" w:hAnsiTheme="minorHAnsi"/>
        </w:rPr>
        <w:t>Cash and cash equivalents are subject to the expected credit loss model, no loss allowance has been recognised because the estimated loss allowance for credit losses is trivial.</w:t>
      </w:r>
    </w:p>
    <w:p w14:paraId="16CEECC7" w14:textId="77777777" w:rsidR="00D06CB2" w:rsidRPr="005C5E32" w:rsidRDefault="00D06CB2" w:rsidP="00A03341">
      <w:pPr>
        <w:pStyle w:val="Heading5"/>
      </w:pPr>
      <w:r w:rsidRPr="005C5E32">
        <w:t>Liquidity risk</w:t>
      </w:r>
    </w:p>
    <w:p w14:paraId="1B5E5E05" w14:textId="77777777" w:rsidR="00D06CB2" w:rsidRPr="005C5E32" w:rsidRDefault="00D06CB2" w:rsidP="00A03341">
      <w:pPr>
        <w:pStyle w:val="Heading6"/>
        <w:rPr>
          <w:lang w:val="en-NZ"/>
        </w:rPr>
      </w:pPr>
      <w:r w:rsidRPr="005C5E32">
        <w:rPr>
          <w:lang w:val="en-NZ"/>
        </w:rPr>
        <w:t>Management of liquidity risk</w:t>
      </w:r>
    </w:p>
    <w:p w14:paraId="0E49A37C" w14:textId="77777777" w:rsidR="00D06CB2" w:rsidRPr="005C5E32" w:rsidRDefault="00D06CB2" w:rsidP="00A03341">
      <w:pPr>
        <w:pStyle w:val="BodyText"/>
        <w:spacing w:before="100" w:after="100"/>
      </w:pPr>
      <w:r w:rsidRPr="005C5E32">
        <w:t>Liquidity risk is the risk that the Ministry will encounter difficulty raising liquid funds to meet commitments as they fall due.</w:t>
      </w:r>
    </w:p>
    <w:p w14:paraId="3A119255" w14:textId="77777777" w:rsidR="00D06CB2" w:rsidRPr="005C5E32" w:rsidRDefault="00D06CB2" w:rsidP="00A03341">
      <w:pPr>
        <w:pStyle w:val="BodyText"/>
        <w:spacing w:before="100" w:after="100"/>
      </w:pPr>
      <w:r w:rsidRPr="005C5E32">
        <w:t>As part of meeting its liquidity requirements, the Ministry closely monitors its forecast cash requirements with expected cash drawdowns from the New Zealand Debt Management Office. The Ministry maintains a target level of available cash to meet liquidity requirements.</w:t>
      </w:r>
    </w:p>
    <w:p w14:paraId="4F2788E4" w14:textId="77777777" w:rsidR="00D06CB2" w:rsidRPr="005C5E32" w:rsidRDefault="00D06CB2" w:rsidP="00A03341">
      <w:pPr>
        <w:pStyle w:val="Heading5"/>
      </w:pPr>
      <w:r w:rsidRPr="005C5E32">
        <w:t>Contractual maturity analysis of financial liabilities</w:t>
      </w:r>
    </w:p>
    <w:p w14:paraId="3ABB6DA4" w14:textId="77777777" w:rsidR="00D06CB2" w:rsidRPr="005C5E32" w:rsidRDefault="00D06CB2" w:rsidP="00A03341">
      <w:pPr>
        <w:pStyle w:val="BodyText"/>
        <w:spacing w:before="100" w:after="180"/>
      </w:pPr>
      <w:r w:rsidRPr="005C5E32">
        <w:t>The table below analyses the Ministry’s financial liabilities that will be settled based on the remaining period at the balance sheet date to the contractual maturity date. The amounts disclosed are the contractual undiscounted cash flows.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1560"/>
        <w:gridCol w:w="1417"/>
        <w:gridCol w:w="1276"/>
        <w:gridCol w:w="1134"/>
        <w:gridCol w:w="1134"/>
        <w:gridCol w:w="910"/>
        <w:gridCol w:w="1074"/>
      </w:tblGrid>
      <w:tr w:rsidR="00D06CB2" w:rsidRPr="005C5E32" w14:paraId="3AC50F57" w14:textId="77777777" w:rsidTr="005967EB">
        <w:trPr>
          <w:trHeight w:val="20"/>
        </w:trPr>
        <w:tc>
          <w:tcPr>
            <w:tcW w:w="1560" w:type="dxa"/>
            <w:tcBorders>
              <w:top w:val="single" w:sz="8" w:space="0" w:color="0E7C7E"/>
              <w:bottom w:val="single" w:sz="2" w:space="0" w:color="000000" w:themeColor="text1"/>
            </w:tcBorders>
            <w:vAlign w:val="bottom"/>
          </w:tcPr>
          <w:p w14:paraId="436A0C1D" w14:textId="77777777" w:rsidR="00D06CB2" w:rsidRPr="005C5E32" w:rsidRDefault="00D06CB2">
            <w:pPr>
              <w:pStyle w:val="TableboldGreen"/>
              <w:spacing w:before="40" w:after="40" w:line="220" w:lineRule="atLeast"/>
              <w:jc w:val="right"/>
            </w:pPr>
          </w:p>
        </w:tc>
        <w:tc>
          <w:tcPr>
            <w:tcW w:w="1417" w:type="dxa"/>
            <w:tcBorders>
              <w:top w:val="single" w:sz="8" w:space="0" w:color="0E7C7E"/>
              <w:bottom w:val="single" w:sz="2" w:space="0" w:color="58595B"/>
            </w:tcBorders>
            <w:vAlign w:val="bottom"/>
          </w:tcPr>
          <w:p w14:paraId="565F7EB7" w14:textId="77777777" w:rsidR="00D06CB2" w:rsidRPr="005C5E32" w:rsidRDefault="00D06CB2">
            <w:pPr>
              <w:pStyle w:val="TableboldGreen"/>
              <w:spacing w:before="40" w:after="40" w:line="220" w:lineRule="atLeast"/>
              <w:jc w:val="right"/>
            </w:pPr>
            <w:r w:rsidRPr="005C5E32">
              <w:t>Carrying amount</w:t>
            </w:r>
            <w:r w:rsidRPr="005C5E32">
              <w:br/>
              <w:t>$000</w:t>
            </w:r>
          </w:p>
        </w:tc>
        <w:tc>
          <w:tcPr>
            <w:tcW w:w="1276" w:type="dxa"/>
            <w:tcBorders>
              <w:top w:val="single" w:sz="8" w:space="0" w:color="0E7C7E"/>
              <w:bottom w:val="single" w:sz="2" w:space="0" w:color="58595B"/>
              <w:right w:val="single" w:sz="8" w:space="0" w:color="0E7C7E"/>
            </w:tcBorders>
            <w:vAlign w:val="bottom"/>
          </w:tcPr>
          <w:p w14:paraId="288D0594" w14:textId="77777777" w:rsidR="00D06CB2" w:rsidRPr="005C5E32" w:rsidRDefault="00D06CB2">
            <w:pPr>
              <w:pStyle w:val="TableboldGreen"/>
              <w:spacing w:before="40" w:after="40" w:line="220" w:lineRule="atLeast"/>
              <w:jc w:val="right"/>
            </w:pPr>
            <w:r w:rsidRPr="005C5E32">
              <w:t>Contractual cash flows</w:t>
            </w:r>
            <w:r w:rsidRPr="005C5E32">
              <w:br/>
              <w:t>$000</w:t>
            </w:r>
          </w:p>
        </w:tc>
        <w:tc>
          <w:tcPr>
            <w:tcW w:w="1134" w:type="dxa"/>
            <w:tcBorders>
              <w:top w:val="single" w:sz="8" w:space="0" w:color="0E7C7E"/>
              <w:left w:val="single" w:sz="8" w:space="0" w:color="0E7C7E"/>
              <w:bottom w:val="single" w:sz="2" w:space="0" w:color="58595B"/>
            </w:tcBorders>
            <w:vAlign w:val="bottom"/>
          </w:tcPr>
          <w:p w14:paraId="451BC31A" w14:textId="77777777" w:rsidR="00D06CB2" w:rsidRPr="005C5E32" w:rsidRDefault="00D06CB2">
            <w:pPr>
              <w:pStyle w:val="TableboldGreen"/>
              <w:spacing w:before="40" w:after="40" w:line="220" w:lineRule="atLeast"/>
              <w:jc w:val="right"/>
            </w:pPr>
            <w:r w:rsidRPr="005C5E32">
              <w:t xml:space="preserve">Less than </w:t>
            </w:r>
            <w:r w:rsidRPr="005C5E32">
              <w:br/>
              <w:t>6 months</w:t>
            </w:r>
            <w:r w:rsidRPr="005C5E32">
              <w:br/>
              <w:t>$000</w:t>
            </w:r>
          </w:p>
        </w:tc>
        <w:tc>
          <w:tcPr>
            <w:tcW w:w="1134" w:type="dxa"/>
            <w:tcBorders>
              <w:top w:val="single" w:sz="8" w:space="0" w:color="0E7C7E"/>
              <w:bottom w:val="single" w:sz="2" w:space="0" w:color="58595B"/>
            </w:tcBorders>
            <w:vAlign w:val="bottom"/>
          </w:tcPr>
          <w:p w14:paraId="55188919" w14:textId="336C07E8" w:rsidR="00D06CB2" w:rsidRPr="005C5E32" w:rsidRDefault="00D06CB2">
            <w:pPr>
              <w:pStyle w:val="TableboldGreen"/>
              <w:spacing w:before="40" w:after="40" w:line="220" w:lineRule="atLeast"/>
              <w:jc w:val="right"/>
            </w:pPr>
            <w:r w:rsidRPr="005C5E32">
              <w:t>6 months</w:t>
            </w:r>
            <w:r w:rsidR="00A02A59" w:rsidRPr="005C5E32">
              <w:t xml:space="preserve"> </w:t>
            </w:r>
            <w:r w:rsidRPr="005C5E32">
              <w:br/>
              <w:t>– 1 year</w:t>
            </w:r>
            <w:r w:rsidRPr="005C5E32">
              <w:br/>
              <w:t>$000</w:t>
            </w:r>
          </w:p>
        </w:tc>
        <w:tc>
          <w:tcPr>
            <w:tcW w:w="910" w:type="dxa"/>
            <w:tcBorders>
              <w:top w:val="single" w:sz="8" w:space="0" w:color="0E7C7E"/>
              <w:bottom w:val="single" w:sz="2" w:space="0" w:color="58595B"/>
            </w:tcBorders>
            <w:vAlign w:val="bottom"/>
          </w:tcPr>
          <w:p w14:paraId="295056F4" w14:textId="0371EB53" w:rsidR="00D06CB2" w:rsidRPr="005C5E32" w:rsidRDefault="00D06CB2">
            <w:pPr>
              <w:pStyle w:val="TableboldGreen"/>
              <w:spacing w:before="40" w:after="40" w:line="220" w:lineRule="atLeast"/>
              <w:jc w:val="right"/>
            </w:pPr>
            <w:r w:rsidRPr="005C5E32">
              <w:t>1–5</w:t>
            </w:r>
            <w:r w:rsidR="00A02A59" w:rsidRPr="005C5E32">
              <w:t xml:space="preserve"> </w:t>
            </w:r>
            <w:r w:rsidRPr="005C5E32">
              <w:t>years</w:t>
            </w:r>
            <w:r w:rsidRPr="005C5E32">
              <w:br/>
              <w:t>$000</w:t>
            </w:r>
          </w:p>
        </w:tc>
        <w:tc>
          <w:tcPr>
            <w:tcW w:w="1074" w:type="dxa"/>
            <w:tcBorders>
              <w:top w:val="single" w:sz="8" w:space="0" w:color="0E7C7E"/>
              <w:bottom w:val="single" w:sz="2" w:space="0" w:color="58595B"/>
            </w:tcBorders>
            <w:vAlign w:val="bottom"/>
          </w:tcPr>
          <w:p w14:paraId="0A24A470" w14:textId="77777777" w:rsidR="00D06CB2" w:rsidRPr="005C5E32" w:rsidRDefault="00D06CB2">
            <w:pPr>
              <w:pStyle w:val="TableboldGreen"/>
              <w:spacing w:before="40" w:after="40" w:line="220" w:lineRule="atLeast"/>
              <w:jc w:val="right"/>
            </w:pPr>
            <w:r w:rsidRPr="005C5E32">
              <w:t>More than</w:t>
            </w:r>
            <w:r w:rsidRPr="005C5E32">
              <w:br/>
              <w:t>5 years</w:t>
            </w:r>
            <w:r w:rsidRPr="005C5E32">
              <w:br/>
              <w:t>$000</w:t>
            </w:r>
          </w:p>
        </w:tc>
      </w:tr>
      <w:tr w:rsidR="00D06CB2" w:rsidRPr="005C5E32" w14:paraId="52397F10" w14:textId="77777777" w:rsidTr="000A19C4">
        <w:trPr>
          <w:trHeight w:val="20"/>
        </w:trPr>
        <w:tc>
          <w:tcPr>
            <w:tcW w:w="1560" w:type="dxa"/>
            <w:tcBorders>
              <w:top w:val="single" w:sz="2" w:space="0" w:color="000000" w:themeColor="text1"/>
              <w:bottom w:val="nil"/>
            </w:tcBorders>
          </w:tcPr>
          <w:p w14:paraId="34EA4E5A" w14:textId="77777777" w:rsidR="00D06CB2" w:rsidRPr="005C5E32" w:rsidRDefault="00D06CB2">
            <w:pPr>
              <w:pStyle w:val="TableboldGreen"/>
              <w:spacing w:before="40" w:after="40" w:line="230" w:lineRule="atLeast"/>
            </w:pPr>
            <w:r w:rsidRPr="005C5E32">
              <w:t>2026</w:t>
            </w:r>
          </w:p>
        </w:tc>
        <w:tc>
          <w:tcPr>
            <w:tcW w:w="1417" w:type="dxa"/>
            <w:tcBorders>
              <w:top w:val="single" w:sz="2" w:space="0" w:color="58595B"/>
              <w:bottom w:val="nil"/>
            </w:tcBorders>
          </w:tcPr>
          <w:p w14:paraId="1BCCB30E" w14:textId="77777777" w:rsidR="00D06CB2" w:rsidRPr="005C5E32" w:rsidRDefault="00D06CB2">
            <w:pPr>
              <w:pStyle w:val="TableboldGreen"/>
              <w:spacing w:before="40" w:after="40" w:line="230" w:lineRule="atLeast"/>
              <w:rPr>
                <w:rFonts w:cstheme="minorHAnsi"/>
              </w:rPr>
            </w:pPr>
          </w:p>
        </w:tc>
        <w:tc>
          <w:tcPr>
            <w:tcW w:w="1276" w:type="dxa"/>
            <w:tcBorders>
              <w:top w:val="single" w:sz="2" w:space="0" w:color="58595B"/>
              <w:bottom w:val="nil"/>
              <w:right w:val="single" w:sz="8" w:space="0" w:color="0E7C7E"/>
            </w:tcBorders>
          </w:tcPr>
          <w:p w14:paraId="16FDEA31" w14:textId="77777777" w:rsidR="00D06CB2" w:rsidRPr="005C5E32" w:rsidRDefault="00D06CB2">
            <w:pPr>
              <w:pStyle w:val="TableboldGreen"/>
              <w:spacing w:before="40" w:after="40" w:line="230" w:lineRule="atLeast"/>
              <w:rPr>
                <w:rFonts w:cstheme="minorHAnsi"/>
              </w:rPr>
            </w:pPr>
          </w:p>
        </w:tc>
        <w:tc>
          <w:tcPr>
            <w:tcW w:w="1134" w:type="dxa"/>
            <w:tcBorders>
              <w:top w:val="single" w:sz="2" w:space="0" w:color="58595B"/>
              <w:left w:val="single" w:sz="8" w:space="0" w:color="0E7C7E"/>
              <w:bottom w:val="nil"/>
            </w:tcBorders>
          </w:tcPr>
          <w:p w14:paraId="260E25EE" w14:textId="77777777" w:rsidR="00D06CB2" w:rsidRPr="005C5E32" w:rsidRDefault="00D06CB2">
            <w:pPr>
              <w:pStyle w:val="TableboldGreen"/>
              <w:spacing w:before="40" w:after="40" w:line="230" w:lineRule="atLeast"/>
              <w:rPr>
                <w:rFonts w:cstheme="minorHAnsi"/>
              </w:rPr>
            </w:pPr>
          </w:p>
        </w:tc>
        <w:tc>
          <w:tcPr>
            <w:tcW w:w="1134" w:type="dxa"/>
            <w:tcBorders>
              <w:top w:val="single" w:sz="2" w:space="0" w:color="58595B"/>
              <w:bottom w:val="nil"/>
            </w:tcBorders>
          </w:tcPr>
          <w:p w14:paraId="07D1E3EC" w14:textId="77777777" w:rsidR="00D06CB2" w:rsidRPr="005C5E32" w:rsidRDefault="00D06CB2">
            <w:pPr>
              <w:pStyle w:val="TableboldGreen"/>
              <w:spacing w:before="40" w:after="40" w:line="230" w:lineRule="atLeast"/>
              <w:rPr>
                <w:rFonts w:cstheme="minorHAnsi"/>
              </w:rPr>
            </w:pPr>
          </w:p>
        </w:tc>
        <w:tc>
          <w:tcPr>
            <w:tcW w:w="910" w:type="dxa"/>
            <w:tcBorders>
              <w:top w:val="single" w:sz="2" w:space="0" w:color="58595B"/>
              <w:bottom w:val="nil"/>
            </w:tcBorders>
          </w:tcPr>
          <w:p w14:paraId="1A217AA7" w14:textId="77777777" w:rsidR="00D06CB2" w:rsidRPr="005C5E32" w:rsidRDefault="00D06CB2">
            <w:pPr>
              <w:pStyle w:val="TableboldGreen"/>
              <w:spacing w:before="40" w:after="40" w:line="230" w:lineRule="atLeast"/>
              <w:rPr>
                <w:rFonts w:cstheme="minorHAnsi"/>
              </w:rPr>
            </w:pPr>
          </w:p>
        </w:tc>
        <w:tc>
          <w:tcPr>
            <w:tcW w:w="1074" w:type="dxa"/>
            <w:tcBorders>
              <w:top w:val="single" w:sz="2" w:space="0" w:color="58595B"/>
              <w:bottom w:val="nil"/>
            </w:tcBorders>
          </w:tcPr>
          <w:p w14:paraId="116B08B3" w14:textId="77777777" w:rsidR="00D06CB2" w:rsidRPr="005C5E32" w:rsidRDefault="00D06CB2">
            <w:pPr>
              <w:pStyle w:val="TableboldGreen"/>
              <w:spacing w:before="40" w:after="40" w:line="230" w:lineRule="atLeast"/>
              <w:rPr>
                <w:rFonts w:cstheme="minorHAnsi"/>
              </w:rPr>
            </w:pPr>
          </w:p>
        </w:tc>
      </w:tr>
      <w:tr w:rsidR="00D06CB2" w:rsidRPr="005C5E32" w14:paraId="1E53C328" w14:textId="77777777" w:rsidTr="000A19C4">
        <w:trPr>
          <w:trHeight w:val="20"/>
        </w:trPr>
        <w:tc>
          <w:tcPr>
            <w:tcW w:w="1560" w:type="dxa"/>
            <w:tcBorders>
              <w:top w:val="nil"/>
              <w:left w:val="nil"/>
              <w:bottom w:val="single" w:sz="4" w:space="0" w:color="58595B"/>
              <w:right w:val="nil"/>
            </w:tcBorders>
          </w:tcPr>
          <w:p w14:paraId="02CC5FF5" w14:textId="77777777" w:rsidR="00D06CB2" w:rsidRPr="005C5E32" w:rsidRDefault="00D06CB2">
            <w:pPr>
              <w:pStyle w:val="TableText"/>
              <w:spacing w:before="0" w:after="40" w:line="230" w:lineRule="atLeast"/>
            </w:pPr>
            <w:r w:rsidRPr="005C5E32">
              <w:t>Payables (Note 10)</w:t>
            </w:r>
          </w:p>
        </w:tc>
        <w:tc>
          <w:tcPr>
            <w:tcW w:w="1417" w:type="dxa"/>
            <w:tcBorders>
              <w:top w:val="nil"/>
              <w:left w:val="nil"/>
              <w:bottom w:val="single" w:sz="4" w:space="0" w:color="58595B"/>
              <w:right w:val="nil"/>
            </w:tcBorders>
          </w:tcPr>
          <w:p w14:paraId="7589F6FE" w14:textId="77777777" w:rsidR="00D06CB2" w:rsidRPr="005C5E32" w:rsidRDefault="00D06CB2">
            <w:pPr>
              <w:pStyle w:val="TableText"/>
              <w:spacing w:before="0" w:after="40" w:line="230" w:lineRule="atLeast"/>
              <w:jc w:val="right"/>
              <w:rPr>
                <w:szCs w:val="18"/>
              </w:rPr>
            </w:pPr>
            <w:r w:rsidRPr="005C5E32">
              <w:rPr>
                <w:szCs w:val="18"/>
              </w:rPr>
              <w:t>9,979</w:t>
            </w:r>
          </w:p>
        </w:tc>
        <w:tc>
          <w:tcPr>
            <w:tcW w:w="1276" w:type="dxa"/>
            <w:tcBorders>
              <w:top w:val="nil"/>
              <w:left w:val="nil"/>
              <w:bottom w:val="single" w:sz="4" w:space="0" w:color="58595B"/>
              <w:right w:val="single" w:sz="8" w:space="0" w:color="0E7C7E"/>
            </w:tcBorders>
          </w:tcPr>
          <w:p w14:paraId="48D568EF" w14:textId="77777777" w:rsidR="00D06CB2" w:rsidRPr="005C5E32" w:rsidRDefault="00D06CB2">
            <w:pPr>
              <w:pStyle w:val="TableText"/>
              <w:spacing w:before="0" w:after="40" w:line="230" w:lineRule="atLeast"/>
              <w:jc w:val="right"/>
              <w:rPr>
                <w:szCs w:val="18"/>
              </w:rPr>
            </w:pPr>
            <w:r w:rsidRPr="005C5E32">
              <w:rPr>
                <w:szCs w:val="18"/>
              </w:rPr>
              <w:t>9,979</w:t>
            </w:r>
          </w:p>
        </w:tc>
        <w:tc>
          <w:tcPr>
            <w:tcW w:w="1134" w:type="dxa"/>
            <w:tcBorders>
              <w:top w:val="nil"/>
              <w:left w:val="single" w:sz="8" w:space="0" w:color="0E7C7E"/>
              <w:bottom w:val="single" w:sz="4" w:space="0" w:color="58595B"/>
              <w:right w:val="nil"/>
            </w:tcBorders>
          </w:tcPr>
          <w:p w14:paraId="3E277091" w14:textId="77777777" w:rsidR="00D06CB2" w:rsidRPr="005C5E32" w:rsidRDefault="00D06CB2">
            <w:pPr>
              <w:pStyle w:val="TableText"/>
              <w:spacing w:before="0" w:after="40" w:line="230" w:lineRule="atLeast"/>
              <w:jc w:val="right"/>
              <w:rPr>
                <w:szCs w:val="18"/>
              </w:rPr>
            </w:pPr>
            <w:r w:rsidRPr="005C5E32">
              <w:rPr>
                <w:szCs w:val="18"/>
              </w:rPr>
              <w:t>9,979</w:t>
            </w:r>
          </w:p>
        </w:tc>
        <w:tc>
          <w:tcPr>
            <w:tcW w:w="1134" w:type="dxa"/>
            <w:tcBorders>
              <w:top w:val="nil"/>
              <w:left w:val="nil"/>
              <w:bottom w:val="single" w:sz="4" w:space="0" w:color="58595B"/>
              <w:right w:val="nil"/>
            </w:tcBorders>
          </w:tcPr>
          <w:p w14:paraId="0A16390E" w14:textId="77777777" w:rsidR="00D06CB2" w:rsidRPr="005C5E32" w:rsidRDefault="00D06CB2">
            <w:pPr>
              <w:pStyle w:val="TableText"/>
              <w:spacing w:before="0" w:after="40" w:line="230" w:lineRule="atLeast"/>
              <w:jc w:val="right"/>
            </w:pPr>
            <w:r w:rsidRPr="005C5E32">
              <w:t>–</w:t>
            </w:r>
          </w:p>
        </w:tc>
        <w:tc>
          <w:tcPr>
            <w:tcW w:w="910" w:type="dxa"/>
            <w:tcBorders>
              <w:top w:val="nil"/>
              <w:left w:val="nil"/>
              <w:bottom w:val="single" w:sz="4" w:space="0" w:color="58595B"/>
              <w:right w:val="nil"/>
            </w:tcBorders>
          </w:tcPr>
          <w:p w14:paraId="1197816A" w14:textId="77777777" w:rsidR="00D06CB2" w:rsidRPr="005C5E32" w:rsidRDefault="00D06CB2">
            <w:pPr>
              <w:pStyle w:val="TableText"/>
              <w:spacing w:before="0" w:after="40" w:line="230" w:lineRule="atLeast"/>
              <w:jc w:val="right"/>
            </w:pPr>
            <w:r w:rsidRPr="005C5E32">
              <w:t>–</w:t>
            </w:r>
          </w:p>
        </w:tc>
        <w:tc>
          <w:tcPr>
            <w:tcW w:w="1074" w:type="dxa"/>
            <w:tcBorders>
              <w:top w:val="nil"/>
              <w:left w:val="nil"/>
              <w:bottom w:val="single" w:sz="4" w:space="0" w:color="58595B"/>
              <w:right w:val="nil"/>
            </w:tcBorders>
          </w:tcPr>
          <w:p w14:paraId="7C4C833D" w14:textId="77777777" w:rsidR="00D06CB2" w:rsidRPr="005C5E32" w:rsidRDefault="00D06CB2">
            <w:pPr>
              <w:pStyle w:val="TableText"/>
              <w:spacing w:before="0" w:after="40" w:line="230" w:lineRule="atLeast"/>
              <w:jc w:val="right"/>
            </w:pPr>
            <w:r w:rsidRPr="005C5E32">
              <w:t>–</w:t>
            </w:r>
          </w:p>
        </w:tc>
      </w:tr>
      <w:tr w:rsidR="00D06CB2" w:rsidRPr="005C5E32" w14:paraId="3DEC19CF" w14:textId="77777777" w:rsidTr="000A19C4">
        <w:trPr>
          <w:trHeight w:val="20"/>
        </w:trPr>
        <w:tc>
          <w:tcPr>
            <w:tcW w:w="1560" w:type="dxa"/>
            <w:tcBorders>
              <w:top w:val="single" w:sz="4" w:space="0" w:color="58595B"/>
            </w:tcBorders>
          </w:tcPr>
          <w:p w14:paraId="0E72A316" w14:textId="77777777" w:rsidR="00D06CB2" w:rsidRPr="005C5E32" w:rsidRDefault="00D06CB2">
            <w:pPr>
              <w:pStyle w:val="TableboldGreen"/>
              <w:spacing w:before="40" w:after="40" w:line="230" w:lineRule="atLeast"/>
            </w:pPr>
            <w:r w:rsidRPr="005C5E32">
              <w:t>2025</w:t>
            </w:r>
          </w:p>
        </w:tc>
        <w:tc>
          <w:tcPr>
            <w:tcW w:w="1417" w:type="dxa"/>
            <w:tcBorders>
              <w:top w:val="single" w:sz="4" w:space="0" w:color="58595B"/>
            </w:tcBorders>
          </w:tcPr>
          <w:p w14:paraId="5EE73664" w14:textId="77777777" w:rsidR="00D06CB2" w:rsidRPr="005C5E32" w:rsidRDefault="00D06CB2">
            <w:pPr>
              <w:pStyle w:val="TableboldGreen"/>
              <w:spacing w:before="40" w:after="40" w:line="230" w:lineRule="atLeast"/>
              <w:jc w:val="right"/>
            </w:pPr>
          </w:p>
        </w:tc>
        <w:tc>
          <w:tcPr>
            <w:tcW w:w="1276" w:type="dxa"/>
            <w:tcBorders>
              <w:top w:val="single" w:sz="4" w:space="0" w:color="58595B"/>
              <w:right w:val="single" w:sz="8" w:space="0" w:color="0E7C7E"/>
            </w:tcBorders>
          </w:tcPr>
          <w:p w14:paraId="671E8B65" w14:textId="77777777" w:rsidR="00D06CB2" w:rsidRPr="005C5E32" w:rsidRDefault="00D06CB2">
            <w:pPr>
              <w:pStyle w:val="TableboldGreen"/>
              <w:spacing w:before="40" w:after="40" w:line="230" w:lineRule="atLeast"/>
              <w:jc w:val="right"/>
            </w:pPr>
          </w:p>
        </w:tc>
        <w:tc>
          <w:tcPr>
            <w:tcW w:w="1134" w:type="dxa"/>
            <w:tcBorders>
              <w:top w:val="single" w:sz="4" w:space="0" w:color="58595B"/>
              <w:left w:val="single" w:sz="8" w:space="0" w:color="0E7C7E"/>
            </w:tcBorders>
          </w:tcPr>
          <w:p w14:paraId="19D67F34" w14:textId="77777777" w:rsidR="00D06CB2" w:rsidRPr="005C5E32" w:rsidRDefault="00D06CB2">
            <w:pPr>
              <w:pStyle w:val="TableboldGreen"/>
              <w:spacing w:before="40" w:after="40" w:line="230" w:lineRule="atLeast"/>
              <w:jc w:val="right"/>
            </w:pPr>
          </w:p>
        </w:tc>
        <w:tc>
          <w:tcPr>
            <w:tcW w:w="1134" w:type="dxa"/>
            <w:tcBorders>
              <w:top w:val="single" w:sz="4" w:space="0" w:color="58595B"/>
            </w:tcBorders>
          </w:tcPr>
          <w:p w14:paraId="54DABBBD" w14:textId="77777777" w:rsidR="00D06CB2" w:rsidRPr="005C5E32" w:rsidRDefault="00D06CB2">
            <w:pPr>
              <w:pStyle w:val="TableboldGreen"/>
              <w:spacing w:before="40" w:after="40" w:line="230" w:lineRule="atLeast"/>
              <w:jc w:val="right"/>
            </w:pPr>
          </w:p>
        </w:tc>
        <w:tc>
          <w:tcPr>
            <w:tcW w:w="910" w:type="dxa"/>
            <w:tcBorders>
              <w:top w:val="single" w:sz="4" w:space="0" w:color="58595B"/>
            </w:tcBorders>
          </w:tcPr>
          <w:p w14:paraId="6661374C" w14:textId="77777777" w:rsidR="00D06CB2" w:rsidRPr="005C5E32" w:rsidRDefault="00D06CB2">
            <w:pPr>
              <w:pStyle w:val="TableboldGreen"/>
              <w:spacing w:before="40" w:after="40" w:line="230" w:lineRule="atLeast"/>
              <w:jc w:val="right"/>
            </w:pPr>
          </w:p>
        </w:tc>
        <w:tc>
          <w:tcPr>
            <w:tcW w:w="1074" w:type="dxa"/>
            <w:tcBorders>
              <w:top w:val="single" w:sz="4" w:space="0" w:color="58595B"/>
            </w:tcBorders>
          </w:tcPr>
          <w:p w14:paraId="3A933F31" w14:textId="77777777" w:rsidR="00D06CB2" w:rsidRPr="005C5E32" w:rsidRDefault="00D06CB2">
            <w:pPr>
              <w:pStyle w:val="TableboldGreen"/>
              <w:spacing w:before="40" w:after="40" w:line="230" w:lineRule="atLeast"/>
              <w:jc w:val="right"/>
            </w:pPr>
          </w:p>
        </w:tc>
      </w:tr>
      <w:tr w:rsidR="00D06CB2" w:rsidRPr="005C5E32" w14:paraId="2AFC0F9E" w14:textId="77777777" w:rsidTr="000A19C4">
        <w:trPr>
          <w:trHeight w:val="20"/>
        </w:trPr>
        <w:tc>
          <w:tcPr>
            <w:tcW w:w="1560" w:type="dxa"/>
            <w:tcBorders>
              <w:bottom w:val="single" w:sz="2" w:space="0" w:color="58595B"/>
            </w:tcBorders>
          </w:tcPr>
          <w:p w14:paraId="25A70054" w14:textId="77777777" w:rsidR="00D06CB2" w:rsidRPr="005C5E32" w:rsidRDefault="00D06CB2">
            <w:pPr>
              <w:pStyle w:val="TableText"/>
              <w:spacing w:before="0" w:after="40" w:line="230" w:lineRule="atLeast"/>
            </w:pPr>
            <w:r w:rsidRPr="005C5E32">
              <w:t>Payables (Note 10)</w:t>
            </w:r>
          </w:p>
        </w:tc>
        <w:tc>
          <w:tcPr>
            <w:tcW w:w="1417" w:type="dxa"/>
            <w:tcBorders>
              <w:bottom w:val="single" w:sz="2" w:space="0" w:color="58595B"/>
            </w:tcBorders>
          </w:tcPr>
          <w:p w14:paraId="12C46019" w14:textId="77777777" w:rsidR="00D06CB2" w:rsidRPr="005C5E32" w:rsidRDefault="00D06CB2">
            <w:pPr>
              <w:pStyle w:val="TableText"/>
              <w:spacing w:before="0" w:after="40" w:line="230" w:lineRule="atLeast"/>
              <w:jc w:val="right"/>
              <w:rPr>
                <w:szCs w:val="18"/>
              </w:rPr>
            </w:pPr>
            <w:r w:rsidRPr="005C5E32">
              <w:rPr>
                <w:szCs w:val="18"/>
              </w:rPr>
              <w:t>12,630</w:t>
            </w:r>
          </w:p>
        </w:tc>
        <w:tc>
          <w:tcPr>
            <w:tcW w:w="1276" w:type="dxa"/>
            <w:tcBorders>
              <w:bottom w:val="single" w:sz="2" w:space="0" w:color="58595B"/>
              <w:right w:val="single" w:sz="8" w:space="0" w:color="0E7C7E"/>
            </w:tcBorders>
          </w:tcPr>
          <w:p w14:paraId="12A760CC" w14:textId="77777777" w:rsidR="00D06CB2" w:rsidRPr="005C5E32" w:rsidRDefault="00D06CB2">
            <w:pPr>
              <w:pStyle w:val="TableText"/>
              <w:spacing w:before="0" w:after="40" w:line="230" w:lineRule="atLeast"/>
              <w:jc w:val="right"/>
              <w:rPr>
                <w:szCs w:val="18"/>
              </w:rPr>
            </w:pPr>
            <w:r w:rsidRPr="005C5E32">
              <w:rPr>
                <w:szCs w:val="18"/>
              </w:rPr>
              <w:t>12,630</w:t>
            </w:r>
          </w:p>
        </w:tc>
        <w:tc>
          <w:tcPr>
            <w:tcW w:w="1134" w:type="dxa"/>
            <w:tcBorders>
              <w:left w:val="single" w:sz="8" w:space="0" w:color="0E7C7E"/>
              <w:bottom w:val="single" w:sz="2" w:space="0" w:color="58595B"/>
            </w:tcBorders>
          </w:tcPr>
          <w:p w14:paraId="3A39310D" w14:textId="77777777" w:rsidR="00D06CB2" w:rsidRPr="005C5E32" w:rsidRDefault="00D06CB2">
            <w:pPr>
              <w:pStyle w:val="TableText"/>
              <w:spacing w:before="0" w:after="40" w:line="230" w:lineRule="atLeast"/>
              <w:jc w:val="right"/>
              <w:rPr>
                <w:szCs w:val="18"/>
              </w:rPr>
            </w:pPr>
            <w:r w:rsidRPr="005C5E32">
              <w:rPr>
                <w:szCs w:val="18"/>
              </w:rPr>
              <w:t>12,630</w:t>
            </w:r>
          </w:p>
        </w:tc>
        <w:tc>
          <w:tcPr>
            <w:tcW w:w="1134" w:type="dxa"/>
            <w:tcBorders>
              <w:bottom w:val="single" w:sz="2" w:space="0" w:color="58595B"/>
            </w:tcBorders>
          </w:tcPr>
          <w:p w14:paraId="3F1B8961" w14:textId="77777777" w:rsidR="00D06CB2" w:rsidRPr="005C5E32" w:rsidRDefault="00D06CB2">
            <w:pPr>
              <w:pStyle w:val="TableText"/>
              <w:spacing w:before="0" w:after="40" w:line="230" w:lineRule="atLeast"/>
              <w:jc w:val="right"/>
            </w:pPr>
            <w:r w:rsidRPr="005C5E32">
              <w:t>–</w:t>
            </w:r>
          </w:p>
        </w:tc>
        <w:tc>
          <w:tcPr>
            <w:tcW w:w="910" w:type="dxa"/>
            <w:tcBorders>
              <w:bottom w:val="single" w:sz="2" w:space="0" w:color="58595B"/>
            </w:tcBorders>
          </w:tcPr>
          <w:p w14:paraId="1E7216EC" w14:textId="77777777" w:rsidR="00D06CB2" w:rsidRPr="005C5E32" w:rsidRDefault="00D06CB2">
            <w:pPr>
              <w:pStyle w:val="TableText"/>
              <w:spacing w:before="0" w:after="40" w:line="230" w:lineRule="atLeast"/>
              <w:jc w:val="right"/>
            </w:pPr>
            <w:r w:rsidRPr="005C5E32">
              <w:t>–</w:t>
            </w:r>
          </w:p>
        </w:tc>
        <w:tc>
          <w:tcPr>
            <w:tcW w:w="1074" w:type="dxa"/>
            <w:tcBorders>
              <w:bottom w:val="single" w:sz="2" w:space="0" w:color="58595B"/>
            </w:tcBorders>
          </w:tcPr>
          <w:p w14:paraId="19E6168E" w14:textId="77777777" w:rsidR="00D06CB2" w:rsidRPr="005C5E32" w:rsidRDefault="00D06CB2">
            <w:pPr>
              <w:pStyle w:val="TableText"/>
              <w:spacing w:before="0" w:after="40" w:line="230" w:lineRule="atLeast"/>
              <w:jc w:val="right"/>
            </w:pPr>
            <w:r w:rsidRPr="005C5E32">
              <w:t>–</w:t>
            </w:r>
          </w:p>
        </w:tc>
      </w:tr>
    </w:tbl>
    <w:p w14:paraId="22EFE58F" w14:textId="77777777" w:rsidR="00D06CB2" w:rsidRPr="005C5E32" w:rsidRDefault="00D06CB2" w:rsidP="00A03341">
      <w:pPr>
        <w:pStyle w:val="Heading3"/>
        <w:spacing w:before="480"/>
      </w:pPr>
      <w:bookmarkStart w:id="349" w:name="_Toc112144641"/>
      <w:r w:rsidRPr="005C5E32">
        <w:t>18.</w:t>
      </w:r>
      <w:r w:rsidRPr="005C5E32">
        <w:tab/>
        <w:t>Explanations of major variances against budget</w:t>
      </w:r>
      <w:bookmarkEnd w:id="349"/>
    </w:p>
    <w:p w14:paraId="68466B86" w14:textId="77777777" w:rsidR="00D06CB2" w:rsidRPr="005C5E32" w:rsidRDefault="00D06CB2" w:rsidP="00A03341">
      <w:pPr>
        <w:pStyle w:val="BodyText"/>
      </w:pPr>
      <w:r w:rsidRPr="005C5E32">
        <w:t>Explanations for major variances from the Ministry’s original 2025/26 budget figures are as follows:</w:t>
      </w:r>
    </w:p>
    <w:p w14:paraId="7097E5F1" w14:textId="77777777" w:rsidR="00D06CB2" w:rsidRPr="005C5E32" w:rsidRDefault="00D06CB2" w:rsidP="00F54FD9">
      <w:pPr>
        <w:pStyle w:val="Heading4"/>
        <w:numPr>
          <w:ilvl w:val="0"/>
          <w:numId w:val="57"/>
        </w:numPr>
        <w:tabs>
          <w:tab w:val="clear" w:pos="851"/>
        </w:tabs>
        <w:spacing w:before="240" w:after="240" w:line="280" w:lineRule="atLeast"/>
        <w:ind w:left="851" w:hanging="851"/>
      </w:pPr>
      <w:r w:rsidRPr="005C5E32">
        <w:t>Statement of comprehensive revenue and expense</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962"/>
        <w:gridCol w:w="1134"/>
        <w:gridCol w:w="1321"/>
        <w:gridCol w:w="1088"/>
      </w:tblGrid>
      <w:tr w:rsidR="00D06CB2" w:rsidRPr="005C5E32" w14:paraId="3C7218B5" w14:textId="77777777">
        <w:tc>
          <w:tcPr>
            <w:tcW w:w="4962" w:type="dxa"/>
            <w:tcBorders>
              <w:top w:val="single" w:sz="8" w:space="0" w:color="0E7C7E"/>
              <w:bottom w:val="single" w:sz="2" w:space="0" w:color="58595B"/>
            </w:tcBorders>
            <w:vAlign w:val="bottom"/>
          </w:tcPr>
          <w:p w14:paraId="0E5D4ED5" w14:textId="77777777" w:rsidR="00D06CB2" w:rsidRPr="005C5E32" w:rsidRDefault="00D06CB2">
            <w:pPr>
              <w:pStyle w:val="TableboldGreen"/>
              <w:spacing w:before="40" w:after="40"/>
              <w:jc w:val="right"/>
            </w:pPr>
          </w:p>
        </w:tc>
        <w:tc>
          <w:tcPr>
            <w:tcW w:w="1134" w:type="dxa"/>
            <w:tcBorders>
              <w:top w:val="single" w:sz="8" w:space="0" w:color="0E7C7E"/>
              <w:bottom w:val="single" w:sz="2" w:space="0" w:color="58595B"/>
            </w:tcBorders>
            <w:shd w:val="clear" w:color="auto" w:fill="E7F2F2"/>
            <w:vAlign w:val="bottom"/>
          </w:tcPr>
          <w:p w14:paraId="2CA5F3A8" w14:textId="77777777" w:rsidR="00D06CB2" w:rsidRPr="005C5E32" w:rsidRDefault="00D06CB2">
            <w:pPr>
              <w:pStyle w:val="TableboldGreen"/>
              <w:spacing w:before="40" w:after="40"/>
              <w:jc w:val="right"/>
              <w:rPr>
                <w:rFonts w:asciiTheme="minorHAnsi" w:hAnsiTheme="minorHAnsi" w:cstheme="minorBidi"/>
                <w:szCs w:val="18"/>
              </w:rPr>
            </w:pPr>
            <w:r w:rsidRPr="005C5E32">
              <w:rPr>
                <w:rFonts w:asciiTheme="minorHAnsi" w:hAnsiTheme="minorHAnsi" w:cstheme="minorBidi"/>
                <w:szCs w:val="18"/>
              </w:rPr>
              <w:t>2025/26</w:t>
            </w:r>
            <w:r w:rsidRPr="005C5E32">
              <w:rPr>
                <w:rFonts w:asciiTheme="minorHAnsi" w:hAnsiTheme="minorHAnsi" w:cstheme="minorBidi"/>
                <w:szCs w:val="18"/>
              </w:rPr>
              <w:br/>
              <w:t>Actual</w:t>
            </w:r>
            <w:r w:rsidRPr="005C5E32">
              <w:rPr>
                <w:rFonts w:asciiTheme="minorHAnsi" w:hAnsiTheme="minorHAnsi" w:cstheme="minorBidi"/>
                <w:szCs w:val="18"/>
              </w:rPr>
              <w:br/>
              <w:t>$000</w:t>
            </w:r>
          </w:p>
        </w:tc>
        <w:tc>
          <w:tcPr>
            <w:tcW w:w="1321" w:type="dxa"/>
            <w:tcBorders>
              <w:top w:val="single" w:sz="8" w:space="0" w:color="0E7C7E"/>
              <w:bottom w:val="single" w:sz="2" w:space="0" w:color="58595B"/>
            </w:tcBorders>
            <w:vAlign w:val="bottom"/>
          </w:tcPr>
          <w:p w14:paraId="7581494C" w14:textId="77777777" w:rsidR="00D06CB2" w:rsidRPr="005C5E32" w:rsidRDefault="00D06CB2">
            <w:pPr>
              <w:pStyle w:val="TableboldGreen"/>
              <w:spacing w:before="40" w:after="40"/>
              <w:jc w:val="right"/>
              <w:rPr>
                <w:rFonts w:asciiTheme="minorHAnsi" w:hAnsiTheme="minorHAnsi" w:cstheme="minorBidi"/>
                <w:szCs w:val="18"/>
              </w:rPr>
            </w:pPr>
            <w:r w:rsidRPr="005C5E32">
              <w:rPr>
                <w:rFonts w:asciiTheme="minorHAnsi" w:hAnsiTheme="minorHAnsi" w:cstheme="minorBidi"/>
                <w:szCs w:val="18"/>
              </w:rPr>
              <w:t>2025/26</w:t>
            </w:r>
            <w:r w:rsidRPr="005C5E32">
              <w:rPr>
                <w:rFonts w:asciiTheme="minorHAnsi" w:hAnsiTheme="minorHAnsi" w:cstheme="minorBidi"/>
                <w:szCs w:val="18"/>
              </w:rPr>
              <w:br/>
              <w:t>Budget</w:t>
            </w:r>
            <w:r w:rsidRPr="005C5E32">
              <w:rPr>
                <w:rFonts w:asciiTheme="minorHAnsi" w:hAnsiTheme="minorHAnsi" w:cstheme="minorBidi"/>
                <w:szCs w:val="18"/>
              </w:rPr>
              <w:br/>
              <w:t>$000</w:t>
            </w:r>
          </w:p>
        </w:tc>
        <w:tc>
          <w:tcPr>
            <w:tcW w:w="1088" w:type="dxa"/>
            <w:tcBorders>
              <w:top w:val="single" w:sz="8" w:space="0" w:color="0E7C7E"/>
              <w:bottom w:val="single" w:sz="2" w:space="0" w:color="58595B"/>
            </w:tcBorders>
            <w:vAlign w:val="bottom"/>
          </w:tcPr>
          <w:p w14:paraId="7BE5DD92" w14:textId="77777777" w:rsidR="00D06CB2" w:rsidRPr="005C5E32" w:rsidRDefault="00D06CB2">
            <w:pPr>
              <w:pStyle w:val="TableboldGreen"/>
              <w:spacing w:before="40" w:after="40"/>
              <w:jc w:val="right"/>
              <w:rPr>
                <w:rFonts w:asciiTheme="minorHAnsi" w:hAnsiTheme="minorHAnsi" w:cstheme="minorBidi"/>
                <w:szCs w:val="18"/>
              </w:rPr>
            </w:pPr>
            <w:r w:rsidRPr="005C5E32">
              <w:rPr>
                <w:rFonts w:asciiTheme="minorHAnsi" w:hAnsiTheme="minorHAnsi" w:cstheme="minorBidi"/>
                <w:szCs w:val="18"/>
              </w:rPr>
              <w:t>2025/26</w:t>
            </w:r>
            <w:r w:rsidRPr="005C5E32">
              <w:rPr>
                <w:rFonts w:asciiTheme="minorHAnsi" w:hAnsiTheme="minorHAnsi" w:cstheme="minorBidi"/>
                <w:szCs w:val="18"/>
              </w:rPr>
              <w:br/>
              <w:t>Variance</w:t>
            </w:r>
            <w:r w:rsidRPr="005C5E32">
              <w:rPr>
                <w:rFonts w:asciiTheme="minorHAnsi" w:hAnsiTheme="minorHAnsi" w:cstheme="minorBidi"/>
                <w:szCs w:val="18"/>
              </w:rPr>
              <w:br/>
              <w:t>$000</w:t>
            </w:r>
          </w:p>
        </w:tc>
      </w:tr>
      <w:tr w:rsidR="00D06CB2" w:rsidRPr="005C5E32" w14:paraId="7985BBD1" w14:textId="77777777">
        <w:tc>
          <w:tcPr>
            <w:tcW w:w="4962" w:type="dxa"/>
            <w:tcBorders>
              <w:top w:val="single" w:sz="2" w:space="0" w:color="58595B"/>
              <w:bottom w:val="single" w:sz="2" w:space="0" w:color="58595B"/>
            </w:tcBorders>
          </w:tcPr>
          <w:p w14:paraId="002ABC89" w14:textId="77777777" w:rsidR="00D06CB2" w:rsidRPr="005C5E32" w:rsidRDefault="00D06CB2">
            <w:pPr>
              <w:pStyle w:val="TableText"/>
              <w:spacing w:before="40" w:after="40"/>
            </w:pPr>
            <w:r w:rsidRPr="005C5E32">
              <w:t>Revenue Crown</w:t>
            </w:r>
          </w:p>
        </w:tc>
        <w:tc>
          <w:tcPr>
            <w:tcW w:w="1134" w:type="dxa"/>
            <w:tcBorders>
              <w:top w:val="single" w:sz="2" w:space="0" w:color="58595B"/>
              <w:bottom w:val="single" w:sz="2" w:space="0" w:color="58595B"/>
            </w:tcBorders>
            <w:shd w:val="clear" w:color="auto" w:fill="E7F2F2"/>
          </w:tcPr>
          <w:p w14:paraId="028F9303" w14:textId="77777777" w:rsidR="00D06CB2" w:rsidRPr="005C5E32" w:rsidRDefault="00D06CB2">
            <w:pPr>
              <w:pStyle w:val="TableText"/>
              <w:spacing w:before="40" w:after="40"/>
              <w:jc w:val="right"/>
              <w:rPr>
                <w:szCs w:val="18"/>
              </w:rPr>
            </w:pPr>
            <w:r w:rsidRPr="005C5E32">
              <w:rPr>
                <w:szCs w:val="18"/>
              </w:rPr>
              <w:t>212,085</w:t>
            </w:r>
          </w:p>
        </w:tc>
        <w:tc>
          <w:tcPr>
            <w:tcW w:w="1321" w:type="dxa"/>
            <w:tcBorders>
              <w:top w:val="single" w:sz="2" w:space="0" w:color="58595B"/>
              <w:bottom w:val="single" w:sz="2" w:space="0" w:color="58595B"/>
            </w:tcBorders>
          </w:tcPr>
          <w:p w14:paraId="59079941" w14:textId="77777777" w:rsidR="00D06CB2" w:rsidRPr="005C5E32" w:rsidRDefault="00D06CB2">
            <w:pPr>
              <w:pStyle w:val="TableText"/>
              <w:spacing w:before="40" w:after="40"/>
              <w:jc w:val="right"/>
              <w:rPr>
                <w:szCs w:val="18"/>
              </w:rPr>
            </w:pPr>
            <w:r w:rsidRPr="005C5E32">
              <w:rPr>
                <w:szCs w:val="18"/>
              </w:rPr>
              <w:t>207,089</w:t>
            </w:r>
          </w:p>
        </w:tc>
        <w:tc>
          <w:tcPr>
            <w:tcW w:w="1088" w:type="dxa"/>
            <w:tcBorders>
              <w:top w:val="single" w:sz="2" w:space="0" w:color="58595B"/>
              <w:bottom w:val="single" w:sz="2" w:space="0" w:color="58595B"/>
            </w:tcBorders>
          </w:tcPr>
          <w:p w14:paraId="138F3F8D" w14:textId="77777777" w:rsidR="00D06CB2" w:rsidRPr="005C5E32" w:rsidRDefault="00D06CB2">
            <w:pPr>
              <w:pStyle w:val="TableText"/>
              <w:spacing w:before="40" w:after="40"/>
              <w:jc w:val="right"/>
              <w:rPr>
                <w:szCs w:val="18"/>
              </w:rPr>
            </w:pPr>
            <w:r w:rsidRPr="005C5E32">
              <w:rPr>
                <w:szCs w:val="18"/>
              </w:rPr>
              <w:t>4,996</w:t>
            </w:r>
          </w:p>
        </w:tc>
      </w:tr>
      <w:tr w:rsidR="00D06CB2" w:rsidRPr="005C5E32" w14:paraId="70FD29C6" w14:textId="77777777">
        <w:tc>
          <w:tcPr>
            <w:tcW w:w="4962" w:type="dxa"/>
            <w:tcBorders>
              <w:top w:val="single" w:sz="2" w:space="0" w:color="58595B"/>
              <w:bottom w:val="single" w:sz="2" w:space="0" w:color="58595B"/>
            </w:tcBorders>
          </w:tcPr>
          <w:p w14:paraId="1A833897" w14:textId="77777777" w:rsidR="00D06CB2" w:rsidRPr="005C5E32" w:rsidRDefault="00D06CB2">
            <w:pPr>
              <w:pStyle w:val="TableText"/>
              <w:spacing w:before="40" w:after="40"/>
            </w:pPr>
            <w:r w:rsidRPr="005C5E32">
              <w:t>Other revenue</w:t>
            </w:r>
          </w:p>
        </w:tc>
        <w:tc>
          <w:tcPr>
            <w:tcW w:w="1134" w:type="dxa"/>
            <w:tcBorders>
              <w:top w:val="single" w:sz="2" w:space="0" w:color="58595B"/>
              <w:bottom w:val="single" w:sz="2" w:space="0" w:color="58595B"/>
            </w:tcBorders>
            <w:shd w:val="clear" w:color="auto" w:fill="E7F2F2"/>
          </w:tcPr>
          <w:p w14:paraId="371EAF7B" w14:textId="77777777" w:rsidR="00D06CB2" w:rsidRPr="005C5E32" w:rsidRDefault="00D06CB2">
            <w:pPr>
              <w:pStyle w:val="TableText"/>
              <w:spacing w:before="40" w:after="40"/>
              <w:jc w:val="right"/>
              <w:rPr>
                <w:szCs w:val="18"/>
              </w:rPr>
            </w:pPr>
            <w:r w:rsidRPr="005C5E32">
              <w:rPr>
                <w:szCs w:val="18"/>
              </w:rPr>
              <w:t>1,301</w:t>
            </w:r>
          </w:p>
        </w:tc>
        <w:tc>
          <w:tcPr>
            <w:tcW w:w="1321" w:type="dxa"/>
            <w:tcBorders>
              <w:top w:val="single" w:sz="2" w:space="0" w:color="58595B"/>
              <w:bottom w:val="single" w:sz="2" w:space="0" w:color="58595B"/>
            </w:tcBorders>
          </w:tcPr>
          <w:p w14:paraId="2F3EC51F" w14:textId="77777777" w:rsidR="00D06CB2" w:rsidRPr="005C5E32" w:rsidRDefault="00D06CB2">
            <w:pPr>
              <w:pStyle w:val="TableText"/>
              <w:spacing w:before="40" w:after="40"/>
              <w:jc w:val="right"/>
              <w:rPr>
                <w:szCs w:val="18"/>
              </w:rPr>
            </w:pPr>
            <w:r w:rsidRPr="005C5E32">
              <w:rPr>
                <w:szCs w:val="18"/>
              </w:rPr>
              <w:t>955</w:t>
            </w:r>
          </w:p>
        </w:tc>
        <w:tc>
          <w:tcPr>
            <w:tcW w:w="1088" w:type="dxa"/>
            <w:tcBorders>
              <w:top w:val="single" w:sz="2" w:space="0" w:color="58595B"/>
              <w:bottom w:val="single" w:sz="2" w:space="0" w:color="58595B"/>
            </w:tcBorders>
          </w:tcPr>
          <w:p w14:paraId="161CFC06" w14:textId="77777777" w:rsidR="00D06CB2" w:rsidRPr="005C5E32" w:rsidRDefault="00D06CB2">
            <w:pPr>
              <w:pStyle w:val="TableText"/>
              <w:spacing w:before="40" w:after="40"/>
              <w:jc w:val="right"/>
              <w:rPr>
                <w:szCs w:val="18"/>
              </w:rPr>
            </w:pPr>
            <w:r w:rsidRPr="005C5E32">
              <w:rPr>
                <w:szCs w:val="18"/>
              </w:rPr>
              <w:t>346</w:t>
            </w:r>
          </w:p>
        </w:tc>
      </w:tr>
      <w:tr w:rsidR="00D06CB2" w:rsidRPr="005C5E32" w14:paraId="30D3F899" w14:textId="77777777">
        <w:tc>
          <w:tcPr>
            <w:tcW w:w="4962" w:type="dxa"/>
            <w:tcBorders>
              <w:top w:val="single" w:sz="2" w:space="0" w:color="58595B"/>
              <w:bottom w:val="single" w:sz="2" w:space="0" w:color="58595B"/>
            </w:tcBorders>
          </w:tcPr>
          <w:p w14:paraId="3B388897" w14:textId="77777777" w:rsidR="00D06CB2" w:rsidRPr="005C5E32" w:rsidRDefault="00D06CB2">
            <w:pPr>
              <w:pStyle w:val="TableText"/>
              <w:spacing w:before="40" w:after="40"/>
            </w:pPr>
            <w:r w:rsidRPr="005C5E32">
              <w:t>Personnel costs</w:t>
            </w:r>
          </w:p>
        </w:tc>
        <w:tc>
          <w:tcPr>
            <w:tcW w:w="1134" w:type="dxa"/>
            <w:tcBorders>
              <w:top w:val="single" w:sz="2" w:space="0" w:color="58595B"/>
              <w:bottom w:val="single" w:sz="2" w:space="0" w:color="58595B"/>
            </w:tcBorders>
            <w:shd w:val="clear" w:color="auto" w:fill="E7F2F2"/>
          </w:tcPr>
          <w:p w14:paraId="02DCE5D8" w14:textId="77777777" w:rsidR="00D06CB2" w:rsidRPr="005C5E32" w:rsidRDefault="00D06CB2">
            <w:pPr>
              <w:pStyle w:val="TableText"/>
              <w:spacing w:before="40" w:after="40"/>
              <w:jc w:val="right"/>
              <w:rPr>
                <w:szCs w:val="18"/>
              </w:rPr>
            </w:pPr>
            <w:r w:rsidRPr="005C5E32">
              <w:rPr>
                <w:szCs w:val="18"/>
              </w:rPr>
              <w:t>115,051</w:t>
            </w:r>
          </w:p>
        </w:tc>
        <w:tc>
          <w:tcPr>
            <w:tcW w:w="1321" w:type="dxa"/>
            <w:tcBorders>
              <w:top w:val="single" w:sz="2" w:space="0" w:color="58595B"/>
              <w:bottom w:val="single" w:sz="2" w:space="0" w:color="58595B"/>
            </w:tcBorders>
          </w:tcPr>
          <w:p w14:paraId="6F6A52E7" w14:textId="77777777" w:rsidR="00D06CB2" w:rsidRPr="005C5E32" w:rsidRDefault="00D06CB2">
            <w:pPr>
              <w:pStyle w:val="TableText"/>
              <w:spacing w:before="40" w:after="40"/>
              <w:jc w:val="right"/>
              <w:rPr>
                <w:szCs w:val="18"/>
              </w:rPr>
            </w:pPr>
            <w:r w:rsidRPr="005C5E32">
              <w:rPr>
                <w:szCs w:val="18"/>
              </w:rPr>
              <w:t>144,016</w:t>
            </w:r>
          </w:p>
        </w:tc>
        <w:tc>
          <w:tcPr>
            <w:tcW w:w="1088" w:type="dxa"/>
            <w:tcBorders>
              <w:top w:val="single" w:sz="2" w:space="0" w:color="58595B"/>
              <w:bottom w:val="single" w:sz="2" w:space="0" w:color="58595B"/>
            </w:tcBorders>
          </w:tcPr>
          <w:p w14:paraId="5CFB540A" w14:textId="77777777" w:rsidR="00D06CB2" w:rsidRPr="005C5E32" w:rsidRDefault="00D06CB2">
            <w:pPr>
              <w:pStyle w:val="TableText"/>
              <w:spacing w:before="40" w:after="40"/>
              <w:jc w:val="right"/>
              <w:rPr>
                <w:szCs w:val="18"/>
              </w:rPr>
            </w:pPr>
            <w:r w:rsidRPr="005C5E32">
              <w:rPr>
                <w:szCs w:val="18"/>
              </w:rPr>
              <w:t>(28,965)</w:t>
            </w:r>
          </w:p>
        </w:tc>
      </w:tr>
      <w:tr w:rsidR="00D06CB2" w:rsidRPr="005C5E32" w14:paraId="49FD7628" w14:textId="77777777">
        <w:tc>
          <w:tcPr>
            <w:tcW w:w="4962" w:type="dxa"/>
            <w:tcBorders>
              <w:top w:val="single" w:sz="2" w:space="0" w:color="58595B"/>
              <w:bottom w:val="single" w:sz="2" w:space="0" w:color="58595B"/>
            </w:tcBorders>
          </w:tcPr>
          <w:p w14:paraId="4EF4CDD0" w14:textId="77777777" w:rsidR="00D06CB2" w:rsidRPr="005C5E32" w:rsidRDefault="00D06CB2">
            <w:pPr>
              <w:pStyle w:val="TableText"/>
              <w:spacing w:before="40" w:after="40"/>
            </w:pPr>
            <w:r w:rsidRPr="005C5E32">
              <w:t>Contribution and sponsorship</w:t>
            </w:r>
          </w:p>
        </w:tc>
        <w:tc>
          <w:tcPr>
            <w:tcW w:w="1134" w:type="dxa"/>
            <w:tcBorders>
              <w:top w:val="single" w:sz="2" w:space="0" w:color="58595B"/>
              <w:bottom w:val="single" w:sz="2" w:space="0" w:color="58595B"/>
            </w:tcBorders>
            <w:shd w:val="clear" w:color="auto" w:fill="E7F2F2"/>
          </w:tcPr>
          <w:p w14:paraId="2088824D" w14:textId="77777777" w:rsidR="00D06CB2" w:rsidRPr="005C5E32" w:rsidRDefault="00D06CB2">
            <w:pPr>
              <w:pStyle w:val="TableText"/>
              <w:spacing w:before="40" w:after="40"/>
              <w:jc w:val="right"/>
              <w:rPr>
                <w:szCs w:val="18"/>
              </w:rPr>
            </w:pPr>
            <w:r w:rsidRPr="005C5E32">
              <w:rPr>
                <w:szCs w:val="18"/>
              </w:rPr>
              <w:t>17,787</w:t>
            </w:r>
          </w:p>
        </w:tc>
        <w:tc>
          <w:tcPr>
            <w:tcW w:w="1321" w:type="dxa"/>
            <w:tcBorders>
              <w:top w:val="single" w:sz="2" w:space="0" w:color="58595B"/>
              <w:bottom w:val="single" w:sz="2" w:space="0" w:color="58595B"/>
            </w:tcBorders>
          </w:tcPr>
          <w:p w14:paraId="2FFB805E" w14:textId="77777777" w:rsidR="00D06CB2" w:rsidRPr="005C5E32" w:rsidRDefault="00D06CB2">
            <w:pPr>
              <w:pStyle w:val="TableText"/>
              <w:spacing w:before="40" w:after="40"/>
              <w:jc w:val="right"/>
              <w:rPr>
                <w:szCs w:val="18"/>
              </w:rPr>
            </w:pPr>
            <w:r w:rsidRPr="005C5E32">
              <w:rPr>
                <w:szCs w:val="18"/>
              </w:rPr>
              <w:t>12,213</w:t>
            </w:r>
          </w:p>
        </w:tc>
        <w:tc>
          <w:tcPr>
            <w:tcW w:w="1088" w:type="dxa"/>
            <w:tcBorders>
              <w:top w:val="single" w:sz="2" w:space="0" w:color="58595B"/>
              <w:bottom w:val="single" w:sz="2" w:space="0" w:color="58595B"/>
            </w:tcBorders>
          </w:tcPr>
          <w:p w14:paraId="5E78590F" w14:textId="77777777" w:rsidR="00D06CB2" w:rsidRPr="005C5E32" w:rsidRDefault="00D06CB2">
            <w:pPr>
              <w:pStyle w:val="TableText"/>
              <w:spacing w:before="40" w:after="40"/>
              <w:jc w:val="right"/>
              <w:rPr>
                <w:szCs w:val="18"/>
              </w:rPr>
            </w:pPr>
            <w:r w:rsidRPr="005C5E32">
              <w:rPr>
                <w:szCs w:val="18"/>
              </w:rPr>
              <w:t>5,574</w:t>
            </w:r>
          </w:p>
        </w:tc>
      </w:tr>
      <w:tr w:rsidR="00D06CB2" w:rsidRPr="005C5E32" w14:paraId="6C39B8A2" w14:textId="77777777">
        <w:tc>
          <w:tcPr>
            <w:tcW w:w="4962" w:type="dxa"/>
            <w:tcBorders>
              <w:top w:val="single" w:sz="2" w:space="0" w:color="58595B"/>
              <w:bottom w:val="single" w:sz="2" w:space="0" w:color="58595B"/>
            </w:tcBorders>
          </w:tcPr>
          <w:p w14:paraId="1BAAB0FA" w14:textId="77777777" w:rsidR="00D06CB2" w:rsidRPr="005C5E32" w:rsidRDefault="00D06CB2">
            <w:pPr>
              <w:pStyle w:val="TableText"/>
              <w:spacing w:before="40" w:after="40"/>
            </w:pPr>
            <w:r w:rsidRPr="005C5E32">
              <w:t>External resources</w:t>
            </w:r>
          </w:p>
        </w:tc>
        <w:tc>
          <w:tcPr>
            <w:tcW w:w="1134" w:type="dxa"/>
            <w:tcBorders>
              <w:top w:val="single" w:sz="2" w:space="0" w:color="58595B"/>
              <w:bottom w:val="single" w:sz="2" w:space="0" w:color="58595B"/>
            </w:tcBorders>
            <w:shd w:val="clear" w:color="auto" w:fill="E7F2F2"/>
          </w:tcPr>
          <w:p w14:paraId="7E54357E" w14:textId="77777777" w:rsidR="00D06CB2" w:rsidRPr="005C5E32" w:rsidRDefault="00D06CB2">
            <w:pPr>
              <w:pStyle w:val="TableText"/>
              <w:spacing w:before="40" w:after="40"/>
              <w:jc w:val="right"/>
              <w:rPr>
                <w:szCs w:val="18"/>
              </w:rPr>
            </w:pPr>
            <w:r w:rsidRPr="005C5E32">
              <w:rPr>
                <w:szCs w:val="18"/>
              </w:rPr>
              <w:t>48,098</w:t>
            </w:r>
          </w:p>
        </w:tc>
        <w:tc>
          <w:tcPr>
            <w:tcW w:w="1321" w:type="dxa"/>
            <w:tcBorders>
              <w:top w:val="single" w:sz="2" w:space="0" w:color="58595B"/>
              <w:bottom w:val="single" w:sz="2" w:space="0" w:color="58595B"/>
            </w:tcBorders>
          </w:tcPr>
          <w:p w14:paraId="7F951855" w14:textId="77777777" w:rsidR="00D06CB2" w:rsidRPr="005C5E32" w:rsidRDefault="00D06CB2">
            <w:pPr>
              <w:pStyle w:val="TableText"/>
              <w:spacing w:before="40" w:after="40"/>
              <w:jc w:val="right"/>
              <w:rPr>
                <w:szCs w:val="18"/>
              </w:rPr>
            </w:pPr>
            <w:r w:rsidRPr="005C5E32">
              <w:rPr>
                <w:szCs w:val="18"/>
              </w:rPr>
              <w:t>23,548</w:t>
            </w:r>
          </w:p>
        </w:tc>
        <w:tc>
          <w:tcPr>
            <w:tcW w:w="1088" w:type="dxa"/>
            <w:tcBorders>
              <w:top w:val="single" w:sz="2" w:space="0" w:color="58595B"/>
              <w:bottom w:val="single" w:sz="2" w:space="0" w:color="58595B"/>
            </w:tcBorders>
          </w:tcPr>
          <w:p w14:paraId="15D374EF" w14:textId="77777777" w:rsidR="00D06CB2" w:rsidRPr="005C5E32" w:rsidRDefault="00D06CB2">
            <w:pPr>
              <w:pStyle w:val="TableText"/>
              <w:spacing w:before="40" w:after="40"/>
              <w:jc w:val="right"/>
              <w:rPr>
                <w:szCs w:val="18"/>
              </w:rPr>
            </w:pPr>
            <w:r w:rsidRPr="005C5E32">
              <w:rPr>
                <w:szCs w:val="18"/>
              </w:rPr>
              <w:t>24,550</w:t>
            </w:r>
          </w:p>
        </w:tc>
      </w:tr>
      <w:tr w:rsidR="00D06CB2" w:rsidRPr="005C5E32" w14:paraId="6D06B3C8" w14:textId="77777777">
        <w:tc>
          <w:tcPr>
            <w:tcW w:w="4962" w:type="dxa"/>
            <w:tcBorders>
              <w:top w:val="single" w:sz="2" w:space="0" w:color="58595B"/>
              <w:bottom w:val="single" w:sz="2" w:space="0" w:color="58595B"/>
            </w:tcBorders>
          </w:tcPr>
          <w:p w14:paraId="7D6D0773" w14:textId="77777777" w:rsidR="00D06CB2" w:rsidRPr="005C5E32" w:rsidRDefault="00D06CB2">
            <w:pPr>
              <w:pStyle w:val="TableText"/>
              <w:spacing w:before="40" w:after="40"/>
            </w:pPr>
            <w:r w:rsidRPr="005C5E32">
              <w:t>General and administration</w:t>
            </w:r>
          </w:p>
        </w:tc>
        <w:tc>
          <w:tcPr>
            <w:tcW w:w="1134" w:type="dxa"/>
            <w:tcBorders>
              <w:top w:val="single" w:sz="2" w:space="0" w:color="58595B"/>
              <w:bottom w:val="single" w:sz="2" w:space="0" w:color="58595B"/>
            </w:tcBorders>
            <w:shd w:val="clear" w:color="auto" w:fill="E7F2F2"/>
          </w:tcPr>
          <w:p w14:paraId="5AC3B67E" w14:textId="77777777" w:rsidR="00D06CB2" w:rsidRPr="005C5E32" w:rsidRDefault="00D06CB2">
            <w:pPr>
              <w:pStyle w:val="TableText"/>
              <w:spacing w:before="40" w:after="40"/>
              <w:jc w:val="right"/>
              <w:rPr>
                <w:szCs w:val="18"/>
              </w:rPr>
            </w:pPr>
            <w:r w:rsidRPr="005C5E32">
              <w:rPr>
                <w:szCs w:val="18"/>
              </w:rPr>
              <w:t>(518)</w:t>
            </w:r>
          </w:p>
        </w:tc>
        <w:tc>
          <w:tcPr>
            <w:tcW w:w="1321" w:type="dxa"/>
            <w:tcBorders>
              <w:top w:val="single" w:sz="2" w:space="0" w:color="58595B"/>
              <w:bottom w:val="single" w:sz="2" w:space="0" w:color="58595B"/>
            </w:tcBorders>
          </w:tcPr>
          <w:p w14:paraId="213CF962" w14:textId="77777777" w:rsidR="00D06CB2" w:rsidRPr="005C5E32" w:rsidRDefault="00D06CB2">
            <w:pPr>
              <w:pStyle w:val="TableText"/>
              <w:spacing w:before="40" w:after="40"/>
              <w:jc w:val="right"/>
              <w:rPr>
                <w:szCs w:val="18"/>
              </w:rPr>
            </w:pPr>
            <w:r w:rsidRPr="005C5E32">
              <w:rPr>
                <w:szCs w:val="18"/>
              </w:rPr>
              <w:t>3,238</w:t>
            </w:r>
          </w:p>
        </w:tc>
        <w:tc>
          <w:tcPr>
            <w:tcW w:w="1088" w:type="dxa"/>
            <w:tcBorders>
              <w:top w:val="single" w:sz="2" w:space="0" w:color="58595B"/>
              <w:bottom w:val="single" w:sz="2" w:space="0" w:color="58595B"/>
            </w:tcBorders>
          </w:tcPr>
          <w:p w14:paraId="3B37F6E0" w14:textId="77777777" w:rsidR="00D06CB2" w:rsidRPr="005C5E32" w:rsidRDefault="00D06CB2">
            <w:pPr>
              <w:pStyle w:val="TableText"/>
              <w:spacing w:before="40" w:after="40"/>
              <w:jc w:val="right"/>
              <w:rPr>
                <w:szCs w:val="18"/>
              </w:rPr>
            </w:pPr>
            <w:r w:rsidRPr="005C5E32">
              <w:rPr>
                <w:szCs w:val="18"/>
              </w:rPr>
              <w:t>(3,756)</w:t>
            </w:r>
          </w:p>
        </w:tc>
      </w:tr>
    </w:tbl>
    <w:p w14:paraId="352BF9A4" w14:textId="77777777" w:rsidR="00D06CB2" w:rsidRPr="005C5E32" w:rsidRDefault="00D06CB2" w:rsidP="00A03341">
      <w:pPr>
        <w:pStyle w:val="BodyText"/>
        <w:spacing w:before="240"/>
      </w:pPr>
      <w:r w:rsidRPr="005C5E32">
        <w:rPr>
          <w:b/>
        </w:rPr>
        <w:lastRenderedPageBreak/>
        <w:t>Revenue Crown.</w:t>
      </w:r>
      <w:r w:rsidRPr="005C5E32">
        <w:t xml:space="preserve"> The actual Crown revenue was higher than budget mainly due to:</w:t>
      </w:r>
    </w:p>
    <w:p w14:paraId="7314D753" w14:textId="2B486E51" w:rsidR="00D06CB2" w:rsidRPr="005C5E32" w:rsidRDefault="00D06CB2" w:rsidP="00A03341">
      <w:pPr>
        <w:pStyle w:val="Bullet"/>
        <w:spacing w:after="100"/>
      </w:pPr>
      <w:r w:rsidRPr="005C5E32">
        <w:t>in-principle expense transfer from 2024/25 under Environment for Fast-track approval implementations, fresh</w:t>
      </w:r>
      <w:r w:rsidR="00670AF3" w:rsidRPr="005C5E32">
        <w:t>water</w:t>
      </w:r>
      <w:r w:rsidRPr="005C5E32">
        <w:t xml:space="preserve"> farm plan implementations, water rights litigations, Waitangi </w:t>
      </w:r>
      <w:r w:rsidRPr="005C5E32">
        <w:rPr>
          <w:spacing w:val="-2"/>
        </w:rPr>
        <w:t>Tribunal hearings</w:t>
      </w:r>
      <w:r w:rsidR="00DF2C77" w:rsidRPr="005C5E32">
        <w:rPr>
          <w:spacing w:val="-2"/>
        </w:rPr>
        <w:t>, resource management national direction and phase 3 RMA replacemen</w:t>
      </w:r>
      <w:r w:rsidR="00DF2C77" w:rsidRPr="005C5E32">
        <w:t>t</w:t>
      </w:r>
    </w:p>
    <w:p w14:paraId="019587B0" w14:textId="77777777" w:rsidR="00D06CB2" w:rsidRPr="005C5E32" w:rsidRDefault="00D06CB2" w:rsidP="00A03341">
      <w:pPr>
        <w:pStyle w:val="Bullet"/>
        <w:spacing w:after="100"/>
      </w:pPr>
      <w:r w:rsidRPr="005C5E32">
        <w:t>in-principle expense transfer from 2024/25 under Climate Change for legal costs on the impacts of climate change.</w:t>
      </w:r>
    </w:p>
    <w:p w14:paraId="60831A37" w14:textId="77777777" w:rsidR="00D06CB2" w:rsidRPr="005C5E32" w:rsidRDefault="00D06CB2">
      <w:pPr>
        <w:pStyle w:val="BodyText"/>
      </w:pPr>
      <w:r w:rsidRPr="005C5E32">
        <w:rPr>
          <w:b/>
          <w:bCs/>
        </w:rPr>
        <w:t xml:space="preserve">Other revenue. </w:t>
      </w:r>
      <w:r w:rsidRPr="005C5E32">
        <w:t xml:space="preserve">The actual revenue was higher than budget due to higher-than-expected revenue from fast-track applications. </w:t>
      </w:r>
    </w:p>
    <w:p w14:paraId="7CC05F6D" w14:textId="36863415" w:rsidR="005914FD" w:rsidRPr="005C5E32" w:rsidRDefault="00372945">
      <w:pPr>
        <w:pStyle w:val="BodyText"/>
      </w:pPr>
      <w:r w:rsidRPr="005C5E32">
        <w:rPr>
          <w:b/>
          <w:bCs/>
        </w:rPr>
        <w:t xml:space="preserve">External resources. </w:t>
      </w:r>
      <w:r w:rsidR="00C32873" w:rsidRPr="005C5E32">
        <w:t xml:space="preserve">The actual expense was </w:t>
      </w:r>
      <w:r w:rsidR="0008606A" w:rsidRPr="005C5E32">
        <w:t>higher than budget due to the increase in spend</w:t>
      </w:r>
      <w:r w:rsidR="00062D8C" w:rsidRPr="005C5E32">
        <w:t> </w:t>
      </w:r>
      <w:r w:rsidR="0008606A" w:rsidRPr="005C5E32">
        <w:t>on contractors and consultants driven by the work under</w:t>
      </w:r>
      <w:r w:rsidR="00E02333" w:rsidRPr="005C5E32">
        <w:t xml:space="preserve">taken for </w:t>
      </w:r>
      <w:r w:rsidR="00C607E4" w:rsidRPr="005C5E32">
        <w:t xml:space="preserve">the new </w:t>
      </w:r>
      <w:r w:rsidR="00AC4F3F" w:rsidRPr="005C5E32">
        <w:t>r</w:t>
      </w:r>
      <w:r w:rsidR="000A2C18" w:rsidRPr="005C5E32">
        <w:t xml:space="preserve">esource </w:t>
      </w:r>
      <w:r w:rsidR="00AC4F3F" w:rsidRPr="005C5E32">
        <w:t>m</w:t>
      </w:r>
      <w:r w:rsidR="000A2C18" w:rsidRPr="005C5E32">
        <w:t xml:space="preserve">anagement </w:t>
      </w:r>
      <w:r w:rsidR="00AC4F3F" w:rsidRPr="005C5E32">
        <w:t>s</w:t>
      </w:r>
      <w:r w:rsidR="000A2C18" w:rsidRPr="005C5E32">
        <w:t xml:space="preserve">ystem. </w:t>
      </w:r>
    </w:p>
    <w:p w14:paraId="2091A16D" w14:textId="4001FCEE" w:rsidR="00D06CB2" w:rsidRPr="005C5E32" w:rsidRDefault="00D06CB2">
      <w:pPr>
        <w:pStyle w:val="BodyText"/>
      </w:pPr>
      <w:r w:rsidRPr="005C5E32">
        <w:rPr>
          <w:b/>
        </w:rPr>
        <w:t>Personnel</w:t>
      </w:r>
      <w:r w:rsidRPr="005C5E32">
        <w:rPr>
          <w:b/>
          <w:bCs/>
        </w:rPr>
        <w:t>.</w:t>
      </w:r>
      <w:r w:rsidRPr="005C5E32">
        <w:t xml:space="preserve"> The actual expense was lower than budget due to recruitment timing and delays in</w:t>
      </w:r>
      <w:r w:rsidR="00062D8C" w:rsidRPr="005C5E32">
        <w:t> </w:t>
      </w:r>
      <w:r w:rsidRPr="005C5E32">
        <w:t>programme delivery.</w:t>
      </w:r>
      <w:r w:rsidR="005B7E42" w:rsidRPr="005C5E32">
        <w:t xml:space="preserve"> </w:t>
      </w:r>
    </w:p>
    <w:p w14:paraId="0DEA91B1" w14:textId="77777777" w:rsidR="00D06CB2" w:rsidRPr="005C5E32" w:rsidRDefault="00D06CB2">
      <w:pPr>
        <w:pStyle w:val="BodyText"/>
      </w:pPr>
      <w:r w:rsidRPr="005C5E32">
        <w:rPr>
          <w:b/>
        </w:rPr>
        <w:t>Contribution and sponsorship</w:t>
      </w:r>
      <w:r w:rsidRPr="005C5E32">
        <w:rPr>
          <w:b/>
          <w:bCs/>
        </w:rPr>
        <w:t>.</w:t>
      </w:r>
      <w:r w:rsidRPr="005C5E32">
        <w:t xml:space="preserve"> The actual expense was higher than budget due to evolving engagement and partnership funding models with Ministry stakeholders.</w:t>
      </w:r>
    </w:p>
    <w:p w14:paraId="7AE3E487" w14:textId="6D697A71" w:rsidR="00D06CB2" w:rsidRPr="005C5E32" w:rsidRDefault="00D06CB2" w:rsidP="00A03341">
      <w:pPr>
        <w:pStyle w:val="BodyText"/>
        <w:spacing w:after="100"/>
      </w:pPr>
      <w:r w:rsidRPr="005C5E32">
        <w:rPr>
          <w:rStyle w:val="Strong"/>
        </w:rPr>
        <w:t>General and administration.</w:t>
      </w:r>
      <w:r w:rsidRPr="005C5E32">
        <w:t xml:space="preserve"> The actual expense was lower than budget due to the release of</w:t>
      </w:r>
      <w:r w:rsidR="00062D8C" w:rsidRPr="005C5E32">
        <w:t> </w:t>
      </w:r>
      <w:r w:rsidRPr="005C5E32">
        <w:t>a</w:t>
      </w:r>
      <w:r w:rsidR="00801766" w:rsidRPr="005C5E32">
        <w:t> </w:t>
      </w:r>
      <w:r w:rsidRPr="005C5E32">
        <w:t>provision previously recognised for Tribunal claims administration costs.</w:t>
      </w:r>
      <w:r w:rsidR="005B7E42" w:rsidRPr="005C5E32">
        <w:t xml:space="preserve"> </w:t>
      </w:r>
    </w:p>
    <w:p w14:paraId="13C2F5D9" w14:textId="77777777" w:rsidR="00D06CB2" w:rsidRPr="005C5E32" w:rsidRDefault="00D06CB2" w:rsidP="00801766">
      <w:pPr>
        <w:pStyle w:val="Heading4"/>
        <w:numPr>
          <w:ilvl w:val="0"/>
          <w:numId w:val="57"/>
        </w:numPr>
        <w:tabs>
          <w:tab w:val="clear" w:pos="851"/>
        </w:tabs>
        <w:spacing w:before="240" w:after="240" w:line="280" w:lineRule="atLeast"/>
        <w:ind w:left="856" w:hanging="856"/>
      </w:pPr>
      <w:r w:rsidRPr="005C5E32">
        <w:t>Statement of financial position</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612"/>
        <w:gridCol w:w="1259"/>
        <w:gridCol w:w="1317"/>
        <w:gridCol w:w="1317"/>
      </w:tblGrid>
      <w:tr w:rsidR="00D06CB2" w:rsidRPr="005C5E32" w14:paraId="648D9CEA" w14:textId="77777777" w:rsidTr="005967EB">
        <w:tc>
          <w:tcPr>
            <w:tcW w:w="4566" w:type="dxa"/>
            <w:tcBorders>
              <w:top w:val="single" w:sz="8" w:space="0" w:color="0E7C7E"/>
              <w:bottom w:val="single" w:sz="2" w:space="0" w:color="58595B"/>
            </w:tcBorders>
          </w:tcPr>
          <w:p w14:paraId="395E4167" w14:textId="77777777" w:rsidR="00D06CB2" w:rsidRPr="005C5E32" w:rsidRDefault="00D06CB2">
            <w:pPr>
              <w:pStyle w:val="TableboldGreen"/>
              <w:spacing w:before="40" w:after="40"/>
              <w:jc w:val="right"/>
            </w:pPr>
          </w:p>
        </w:tc>
        <w:tc>
          <w:tcPr>
            <w:tcW w:w="1247" w:type="dxa"/>
            <w:tcBorders>
              <w:top w:val="single" w:sz="8" w:space="0" w:color="0E7C7E"/>
              <w:bottom w:val="single" w:sz="2" w:space="0" w:color="58595B"/>
            </w:tcBorders>
            <w:shd w:val="clear" w:color="auto" w:fill="E7F2F2"/>
          </w:tcPr>
          <w:p w14:paraId="6FFFCF67" w14:textId="77777777" w:rsidR="00D06CB2" w:rsidRPr="005C5E32" w:rsidRDefault="00D06CB2">
            <w:pPr>
              <w:pStyle w:val="TableboldGreen"/>
              <w:spacing w:before="40" w:after="40"/>
              <w:jc w:val="right"/>
              <w:rPr>
                <w:rFonts w:asciiTheme="minorHAnsi" w:hAnsiTheme="minorHAnsi" w:cstheme="minorHAnsi"/>
              </w:rPr>
            </w:pPr>
            <w:r w:rsidRPr="005C5E32">
              <w:rPr>
                <w:rFonts w:asciiTheme="minorHAnsi" w:hAnsiTheme="minorHAnsi" w:cstheme="minorBidi"/>
                <w:szCs w:val="18"/>
              </w:rPr>
              <w:t>2025/26</w:t>
            </w:r>
            <w:r w:rsidRPr="005C5E32">
              <w:rPr>
                <w:rFonts w:asciiTheme="minorHAnsi" w:hAnsiTheme="minorHAnsi" w:cstheme="minorBidi"/>
                <w:szCs w:val="18"/>
              </w:rPr>
              <w:br/>
              <w:t>Actual</w:t>
            </w:r>
            <w:r w:rsidRPr="005C5E32">
              <w:rPr>
                <w:rFonts w:asciiTheme="minorHAnsi" w:hAnsiTheme="minorHAnsi" w:cstheme="minorBidi"/>
                <w:szCs w:val="18"/>
              </w:rPr>
              <w:br/>
              <w:t>$000</w:t>
            </w:r>
          </w:p>
        </w:tc>
        <w:tc>
          <w:tcPr>
            <w:tcW w:w="1304" w:type="dxa"/>
            <w:tcBorders>
              <w:top w:val="single" w:sz="8" w:space="0" w:color="0E7C7E"/>
              <w:bottom w:val="single" w:sz="2" w:space="0" w:color="58595B"/>
            </w:tcBorders>
          </w:tcPr>
          <w:p w14:paraId="43C48B18" w14:textId="77777777" w:rsidR="00D06CB2" w:rsidRPr="005C5E32" w:rsidRDefault="00D06CB2">
            <w:pPr>
              <w:pStyle w:val="TableboldGreen"/>
              <w:spacing w:before="40" w:after="40"/>
              <w:jc w:val="right"/>
              <w:rPr>
                <w:rFonts w:asciiTheme="minorHAnsi" w:hAnsiTheme="minorHAnsi" w:cstheme="minorHAnsi"/>
              </w:rPr>
            </w:pPr>
            <w:r w:rsidRPr="005C5E32">
              <w:rPr>
                <w:rFonts w:asciiTheme="minorHAnsi" w:hAnsiTheme="minorHAnsi" w:cstheme="minorBidi"/>
                <w:szCs w:val="18"/>
              </w:rPr>
              <w:t>2025/26</w:t>
            </w:r>
            <w:r w:rsidRPr="005C5E32">
              <w:rPr>
                <w:rFonts w:asciiTheme="minorHAnsi" w:hAnsiTheme="minorHAnsi" w:cstheme="minorBidi"/>
                <w:szCs w:val="18"/>
              </w:rPr>
              <w:br/>
              <w:t>Budget</w:t>
            </w:r>
            <w:r w:rsidRPr="005C5E32">
              <w:rPr>
                <w:rFonts w:asciiTheme="minorHAnsi" w:hAnsiTheme="minorHAnsi" w:cstheme="minorBidi"/>
                <w:szCs w:val="18"/>
              </w:rPr>
              <w:br/>
              <w:t>$000</w:t>
            </w:r>
          </w:p>
        </w:tc>
        <w:tc>
          <w:tcPr>
            <w:tcW w:w="1304" w:type="dxa"/>
            <w:tcBorders>
              <w:top w:val="single" w:sz="8" w:space="0" w:color="0E7C7E"/>
              <w:bottom w:val="single" w:sz="2" w:space="0" w:color="58595B"/>
            </w:tcBorders>
          </w:tcPr>
          <w:p w14:paraId="6618E81D" w14:textId="77777777" w:rsidR="00D06CB2" w:rsidRPr="005C5E32" w:rsidRDefault="00D06CB2">
            <w:pPr>
              <w:pStyle w:val="TableboldGreen"/>
              <w:spacing w:before="40" w:after="40"/>
              <w:jc w:val="right"/>
            </w:pPr>
            <w:r w:rsidRPr="005C5E32">
              <w:rPr>
                <w:rFonts w:asciiTheme="minorHAnsi" w:hAnsiTheme="minorHAnsi" w:cstheme="minorBidi"/>
                <w:szCs w:val="18"/>
              </w:rPr>
              <w:t>2025/26</w:t>
            </w:r>
            <w:r w:rsidRPr="005C5E32">
              <w:rPr>
                <w:rFonts w:asciiTheme="minorHAnsi" w:hAnsiTheme="minorHAnsi" w:cstheme="minorBidi"/>
                <w:szCs w:val="18"/>
              </w:rPr>
              <w:br/>
              <w:t>Variance</w:t>
            </w:r>
            <w:r w:rsidRPr="005C5E32">
              <w:rPr>
                <w:rFonts w:asciiTheme="minorHAnsi" w:hAnsiTheme="minorHAnsi" w:cstheme="minorBidi"/>
                <w:szCs w:val="18"/>
              </w:rPr>
              <w:br/>
              <w:t>$000</w:t>
            </w:r>
          </w:p>
        </w:tc>
      </w:tr>
      <w:tr w:rsidR="00D06CB2" w:rsidRPr="005C5E32" w14:paraId="479E1B9F" w14:textId="77777777" w:rsidTr="005967EB">
        <w:tc>
          <w:tcPr>
            <w:tcW w:w="4566" w:type="dxa"/>
            <w:tcBorders>
              <w:top w:val="single" w:sz="2" w:space="0" w:color="58595B"/>
              <w:bottom w:val="single" w:sz="2" w:space="0" w:color="58595B"/>
            </w:tcBorders>
          </w:tcPr>
          <w:p w14:paraId="27C9AAEE" w14:textId="77777777" w:rsidR="00D06CB2" w:rsidRPr="005C5E32" w:rsidRDefault="00D06CB2">
            <w:pPr>
              <w:pStyle w:val="TableText"/>
              <w:spacing w:before="40" w:after="40"/>
            </w:pPr>
            <w:r w:rsidRPr="005C5E32">
              <w:t>Cash and cash equivalents</w:t>
            </w:r>
          </w:p>
        </w:tc>
        <w:tc>
          <w:tcPr>
            <w:tcW w:w="1247" w:type="dxa"/>
            <w:tcBorders>
              <w:top w:val="single" w:sz="2" w:space="0" w:color="58595B"/>
              <w:bottom w:val="single" w:sz="2" w:space="0" w:color="58595B"/>
            </w:tcBorders>
            <w:shd w:val="clear" w:color="auto" w:fill="E7F2F2"/>
          </w:tcPr>
          <w:p w14:paraId="7EAF31D7" w14:textId="77777777" w:rsidR="00D06CB2" w:rsidRPr="005C5E32" w:rsidRDefault="00D06CB2">
            <w:pPr>
              <w:pStyle w:val="TableText"/>
              <w:spacing w:before="40" w:after="40"/>
              <w:jc w:val="right"/>
              <w:rPr>
                <w:szCs w:val="18"/>
              </w:rPr>
            </w:pPr>
            <w:r w:rsidRPr="005C5E32">
              <w:rPr>
                <w:szCs w:val="18"/>
              </w:rPr>
              <w:t>20,176</w:t>
            </w:r>
          </w:p>
        </w:tc>
        <w:tc>
          <w:tcPr>
            <w:tcW w:w="1304" w:type="dxa"/>
            <w:tcBorders>
              <w:top w:val="single" w:sz="2" w:space="0" w:color="58595B"/>
              <w:bottom w:val="single" w:sz="2" w:space="0" w:color="58595B"/>
            </w:tcBorders>
          </w:tcPr>
          <w:p w14:paraId="22180CF4" w14:textId="77777777" w:rsidR="00D06CB2" w:rsidRPr="005C5E32" w:rsidRDefault="00D06CB2">
            <w:pPr>
              <w:pStyle w:val="TableText"/>
              <w:spacing w:before="40" w:after="40"/>
              <w:jc w:val="right"/>
              <w:rPr>
                <w:szCs w:val="18"/>
              </w:rPr>
            </w:pPr>
            <w:r w:rsidRPr="005C5E32">
              <w:rPr>
                <w:szCs w:val="18"/>
              </w:rPr>
              <w:t>16,408</w:t>
            </w:r>
          </w:p>
        </w:tc>
        <w:tc>
          <w:tcPr>
            <w:tcW w:w="1304" w:type="dxa"/>
            <w:tcBorders>
              <w:top w:val="single" w:sz="2" w:space="0" w:color="58595B"/>
              <w:bottom w:val="single" w:sz="2" w:space="0" w:color="58595B"/>
            </w:tcBorders>
          </w:tcPr>
          <w:p w14:paraId="0FB5AC42" w14:textId="77777777" w:rsidR="00D06CB2" w:rsidRPr="005C5E32" w:rsidRDefault="00D06CB2">
            <w:pPr>
              <w:pStyle w:val="TableText"/>
              <w:spacing w:before="40" w:after="40"/>
              <w:jc w:val="right"/>
              <w:rPr>
                <w:szCs w:val="18"/>
              </w:rPr>
            </w:pPr>
            <w:r w:rsidRPr="005C5E32">
              <w:rPr>
                <w:szCs w:val="18"/>
              </w:rPr>
              <w:t>3,768</w:t>
            </w:r>
          </w:p>
        </w:tc>
      </w:tr>
      <w:tr w:rsidR="00D06CB2" w:rsidRPr="005C5E32" w14:paraId="415FAFB3" w14:textId="77777777" w:rsidTr="005967EB">
        <w:tc>
          <w:tcPr>
            <w:tcW w:w="4566" w:type="dxa"/>
            <w:tcBorders>
              <w:top w:val="single" w:sz="2" w:space="0" w:color="58595B"/>
              <w:bottom w:val="single" w:sz="2" w:space="0" w:color="58595B"/>
            </w:tcBorders>
          </w:tcPr>
          <w:p w14:paraId="17966CB8" w14:textId="77777777" w:rsidR="00D06CB2" w:rsidRPr="005C5E32" w:rsidRDefault="00D06CB2">
            <w:pPr>
              <w:pStyle w:val="TableText"/>
              <w:spacing w:before="40" w:after="40"/>
            </w:pPr>
            <w:r w:rsidRPr="005C5E32">
              <w:t>Receivables</w:t>
            </w:r>
          </w:p>
        </w:tc>
        <w:tc>
          <w:tcPr>
            <w:tcW w:w="1247" w:type="dxa"/>
            <w:tcBorders>
              <w:top w:val="single" w:sz="2" w:space="0" w:color="58595B"/>
              <w:bottom w:val="single" w:sz="2" w:space="0" w:color="58595B"/>
            </w:tcBorders>
            <w:shd w:val="clear" w:color="auto" w:fill="E7F2F2"/>
          </w:tcPr>
          <w:p w14:paraId="00D58D0A" w14:textId="77777777" w:rsidR="00D06CB2" w:rsidRPr="005C5E32" w:rsidRDefault="00D06CB2">
            <w:pPr>
              <w:pStyle w:val="TableText"/>
              <w:spacing w:before="40" w:after="40"/>
              <w:jc w:val="right"/>
              <w:rPr>
                <w:szCs w:val="18"/>
              </w:rPr>
            </w:pPr>
            <w:r w:rsidRPr="005C5E32">
              <w:rPr>
                <w:szCs w:val="18"/>
              </w:rPr>
              <w:t>26,708</w:t>
            </w:r>
          </w:p>
        </w:tc>
        <w:tc>
          <w:tcPr>
            <w:tcW w:w="1304" w:type="dxa"/>
            <w:tcBorders>
              <w:top w:val="single" w:sz="2" w:space="0" w:color="58595B"/>
              <w:bottom w:val="single" w:sz="2" w:space="0" w:color="58595B"/>
            </w:tcBorders>
          </w:tcPr>
          <w:p w14:paraId="1B9062F8" w14:textId="77777777" w:rsidR="00D06CB2" w:rsidRPr="005C5E32" w:rsidRDefault="00D06CB2">
            <w:pPr>
              <w:pStyle w:val="TableText"/>
              <w:spacing w:before="40" w:after="40"/>
              <w:jc w:val="right"/>
              <w:rPr>
                <w:szCs w:val="18"/>
              </w:rPr>
            </w:pPr>
            <w:r w:rsidRPr="005C5E32">
              <w:rPr>
                <w:szCs w:val="18"/>
              </w:rPr>
              <w:t>16,203</w:t>
            </w:r>
          </w:p>
        </w:tc>
        <w:tc>
          <w:tcPr>
            <w:tcW w:w="1304" w:type="dxa"/>
            <w:tcBorders>
              <w:top w:val="single" w:sz="2" w:space="0" w:color="58595B"/>
              <w:bottom w:val="single" w:sz="2" w:space="0" w:color="58595B"/>
            </w:tcBorders>
          </w:tcPr>
          <w:p w14:paraId="0D318FA0" w14:textId="77777777" w:rsidR="00D06CB2" w:rsidRPr="005C5E32" w:rsidRDefault="00D06CB2">
            <w:pPr>
              <w:pStyle w:val="TableText"/>
              <w:spacing w:before="40" w:after="40"/>
              <w:jc w:val="right"/>
              <w:rPr>
                <w:szCs w:val="18"/>
              </w:rPr>
            </w:pPr>
            <w:r w:rsidRPr="005C5E32">
              <w:rPr>
                <w:szCs w:val="18"/>
              </w:rPr>
              <w:t>10,505</w:t>
            </w:r>
          </w:p>
        </w:tc>
      </w:tr>
      <w:tr w:rsidR="00D06CB2" w:rsidRPr="005C5E32" w14:paraId="1A583D20" w14:textId="77777777" w:rsidTr="005967EB">
        <w:tc>
          <w:tcPr>
            <w:tcW w:w="4566" w:type="dxa"/>
            <w:tcBorders>
              <w:top w:val="single" w:sz="2" w:space="0" w:color="58595B"/>
              <w:bottom w:val="single" w:sz="2" w:space="0" w:color="58595B"/>
            </w:tcBorders>
          </w:tcPr>
          <w:p w14:paraId="0EE43B90" w14:textId="77777777" w:rsidR="00D06CB2" w:rsidRPr="005C5E32" w:rsidRDefault="00D06CB2">
            <w:pPr>
              <w:pStyle w:val="TableText"/>
              <w:spacing w:before="40" w:after="40"/>
            </w:pPr>
            <w:r w:rsidRPr="005C5E32">
              <w:t>Payables</w:t>
            </w:r>
          </w:p>
        </w:tc>
        <w:tc>
          <w:tcPr>
            <w:tcW w:w="1247" w:type="dxa"/>
            <w:tcBorders>
              <w:top w:val="single" w:sz="2" w:space="0" w:color="58595B"/>
              <w:bottom w:val="single" w:sz="2" w:space="0" w:color="58595B"/>
            </w:tcBorders>
            <w:shd w:val="clear" w:color="auto" w:fill="E7F2F2"/>
          </w:tcPr>
          <w:p w14:paraId="64CDB0B8" w14:textId="77777777" w:rsidR="00D06CB2" w:rsidRPr="005C5E32" w:rsidRDefault="00D06CB2">
            <w:pPr>
              <w:pStyle w:val="TableText"/>
              <w:spacing w:before="40" w:after="40"/>
              <w:jc w:val="right"/>
              <w:rPr>
                <w:szCs w:val="18"/>
              </w:rPr>
            </w:pPr>
            <w:r w:rsidRPr="005C5E32">
              <w:rPr>
                <w:szCs w:val="18"/>
              </w:rPr>
              <w:t>10,488</w:t>
            </w:r>
          </w:p>
        </w:tc>
        <w:tc>
          <w:tcPr>
            <w:tcW w:w="1304" w:type="dxa"/>
            <w:tcBorders>
              <w:top w:val="single" w:sz="2" w:space="0" w:color="58595B"/>
              <w:bottom w:val="single" w:sz="2" w:space="0" w:color="58595B"/>
            </w:tcBorders>
          </w:tcPr>
          <w:p w14:paraId="42015F88" w14:textId="77777777" w:rsidR="00D06CB2" w:rsidRPr="005C5E32" w:rsidRDefault="00D06CB2">
            <w:pPr>
              <w:pStyle w:val="TableText"/>
              <w:spacing w:before="40" w:after="40"/>
              <w:jc w:val="right"/>
              <w:rPr>
                <w:szCs w:val="18"/>
              </w:rPr>
            </w:pPr>
            <w:r w:rsidRPr="005C5E32">
              <w:rPr>
                <w:szCs w:val="18"/>
              </w:rPr>
              <w:t>17,300</w:t>
            </w:r>
          </w:p>
        </w:tc>
        <w:tc>
          <w:tcPr>
            <w:tcW w:w="1304" w:type="dxa"/>
            <w:tcBorders>
              <w:top w:val="single" w:sz="2" w:space="0" w:color="58595B"/>
              <w:bottom w:val="single" w:sz="2" w:space="0" w:color="58595B"/>
            </w:tcBorders>
          </w:tcPr>
          <w:p w14:paraId="49BAB255" w14:textId="77777777" w:rsidR="00D06CB2" w:rsidRPr="005C5E32" w:rsidRDefault="00D06CB2">
            <w:pPr>
              <w:pStyle w:val="TableText"/>
              <w:spacing w:before="40" w:after="40"/>
              <w:jc w:val="right"/>
              <w:rPr>
                <w:szCs w:val="18"/>
              </w:rPr>
            </w:pPr>
            <w:r w:rsidRPr="005C5E32">
              <w:rPr>
                <w:szCs w:val="18"/>
              </w:rPr>
              <w:t>(6,812)</w:t>
            </w:r>
          </w:p>
        </w:tc>
      </w:tr>
      <w:tr w:rsidR="00D06CB2" w:rsidRPr="005C5E32" w14:paraId="327A73D7" w14:textId="77777777" w:rsidTr="005967EB">
        <w:tc>
          <w:tcPr>
            <w:tcW w:w="4566" w:type="dxa"/>
            <w:tcBorders>
              <w:top w:val="single" w:sz="2" w:space="0" w:color="58595B"/>
              <w:bottom w:val="single" w:sz="2" w:space="0" w:color="58595B"/>
            </w:tcBorders>
          </w:tcPr>
          <w:p w14:paraId="462DAAB9" w14:textId="77777777" w:rsidR="00D06CB2" w:rsidRPr="005C5E32" w:rsidRDefault="00D06CB2">
            <w:pPr>
              <w:pStyle w:val="TableText"/>
              <w:spacing w:before="40" w:after="40"/>
            </w:pPr>
            <w:r w:rsidRPr="005C5E32">
              <w:t>Employee entitlements</w:t>
            </w:r>
          </w:p>
        </w:tc>
        <w:tc>
          <w:tcPr>
            <w:tcW w:w="1247" w:type="dxa"/>
            <w:tcBorders>
              <w:top w:val="single" w:sz="2" w:space="0" w:color="58595B"/>
              <w:bottom w:val="single" w:sz="2" w:space="0" w:color="58595B"/>
            </w:tcBorders>
            <w:shd w:val="clear" w:color="auto" w:fill="E7F2F2"/>
          </w:tcPr>
          <w:p w14:paraId="60FB5A97" w14:textId="77777777" w:rsidR="00D06CB2" w:rsidRPr="005C5E32" w:rsidRDefault="00D06CB2">
            <w:pPr>
              <w:pStyle w:val="TableText"/>
              <w:spacing w:before="40" w:after="40"/>
              <w:jc w:val="right"/>
              <w:rPr>
                <w:szCs w:val="18"/>
              </w:rPr>
            </w:pPr>
            <w:r w:rsidRPr="005C5E32">
              <w:rPr>
                <w:szCs w:val="18"/>
              </w:rPr>
              <w:t>11,542</w:t>
            </w:r>
          </w:p>
        </w:tc>
        <w:tc>
          <w:tcPr>
            <w:tcW w:w="1304" w:type="dxa"/>
            <w:tcBorders>
              <w:top w:val="single" w:sz="2" w:space="0" w:color="58595B"/>
              <w:bottom w:val="single" w:sz="2" w:space="0" w:color="58595B"/>
            </w:tcBorders>
          </w:tcPr>
          <w:p w14:paraId="25CF3577" w14:textId="77777777" w:rsidR="00D06CB2" w:rsidRPr="005C5E32" w:rsidRDefault="00D06CB2">
            <w:pPr>
              <w:pStyle w:val="TableText"/>
              <w:spacing w:before="40" w:after="40"/>
              <w:jc w:val="right"/>
              <w:rPr>
                <w:szCs w:val="18"/>
              </w:rPr>
            </w:pPr>
            <w:r w:rsidRPr="005C5E32">
              <w:rPr>
                <w:szCs w:val="18"/>
              </w:rPr>
              <w:t>10,377</w:t>
            </w:r>
          </w:p>
        </w:tc>
        <w:tc>
          <w:tcPr>
            <w:tcW w:w="1304" w:type="dxa"/>
            <w:tcBorders>
              <w:top w:val="single" w:sz="2" w:space="0" w:color="58595B"/>
              <w:bottom w:val="single" w:sz="2" w:space="0" w:color="58595B"/>
            </w:tcBorders>
          </w:tcPr>
          <w:p w14:paraId="1942CB35" w14:textId="77777777" w:rsidR="00D06CB2" w:rsidRPr="005C5E32" w:rsidRDefault="00D06CB2">
            <w:pPr>
              <w:pStyle w:val="TableText"/>
              <w:spacing w:before="40" w:after="40"/>
              <w:jc w:val="right"/>
              <w:rPr>
                <w:szCs w:val="18"/>
              </w:rPr>
            </w:pPr>
            <w:r w:rsidRPr="005C5E32">
              <w:rPr>
                <w:szCs w:val="18"/>
              </w:rPr>
              <w:t>1,165</w:t>
            </w:r>
          </w:p>
        </w:tc>
      </w:tr>
    </w:tbl>
    <w:p w14:paraId="1EBAD2CD" w14:textId="77777777" w:rsidR="00D06CB2" w:rsidRPr="005C5E32" w:rsidRDefault="00D06CB2" w:rsidP="00A03341">
      <w:pPr>
        <w:pStyle w:val="BodyText"/>
        <w:spacing w:before="240" w:after="100"/>
      </w:pPr>
      <w:r w:rsidRPr="005C5E32">
        <w:rPr>
          <w:b/>
        </w:rPr>
        <w:t>Cash and cash equivalents</w:t>
      </w:r>
      <w:r w:rsidRPr="005C5E32">
        <w:rPr>
          <w:b/>
          <w:bCs/>
        </w:rPr>
        <w:t>.</w:t>
      </w:r>
      <w:r w:rsidRPr="005C5E32">
        <w:t xml:space="preserve"> The Ministry drew more funding from the Crown in anticipation of payments due to creditors. This has resulted in cash and cash equivalents that are higher than the forecast.</w:t>
      </w:r>
    </w:p>
    <w:p w14:paraId="0035D832" w14:textId="77777777" w:rsidR="00D06CB2" w:rsidRPr="005C5E32" w:rsidRDefault="00D06CB2" w:rsidP="00A03341">
      <w:pPr>
        <w:pStyle w:val="BodyText"/>
        <w:spacing w:before="100" w:after="100"/>
      </w:pPr>
      <w:r w:rsidRPr="005C5E32">
        <w:rPr>
          <w:b/>
        </w:rPr>
        <w:t>Receivables</w:t>
      </w:r>
      <w:r w:rsidRPr="005C5E32">
        <w:rPr>
          <w:b/>
          <w:bCs/>
        </w:rPr>
        <w:t>.</w:t>
      </w:r>
      <w:r w:rsidRPr="005C5E32">
        <w:t xml:space="preserve"> The higher level of receivables primarily relates to amounts receivable from the Crown. Funds drawn down by the Ministry during the year differed from budget, leaving an increased amount receivable at year-end.</w:t>
      </w:r>
    </w:p>
    <w:p w14:paraId="2CB3A1D9" w14:textId="77777777" w:rsidR="00D06CB2" w:rsidRPr="005C5E32" w:rsidRDefault="00D06CB2" w:rsidP="00A03341">
      <w:pPr>
        <w:pStyle w:val="BodyText"/>
        <w:spacing w:before="100" w:after="100"/>
      </w:pPr>
      <w:r w:rsidRPr="005C5E32">
        <w:rPr>
          <w:b/>
        </w:rPr>
        <w:t>Payables</w:t>
      </w:r>
      <w:r w:rsidRPr="005C5E32">
        <w:rPr>
          <w:b/>
          <w:bCs/>
        </w:rPr>
        <w:t>.</w:t>
      </w:r>
      <w:r w:rsidRPr="005C5E32">
        <w:t xml:space="preserve"> The payables liability was lower than budget due to lower-than-expected year-end accruals.</w:t>
      </w:r>
    </w:p>
    <w:p w14:paraId="0254D7B5" w14:textId="011C06C1" w:rsidR="00D06CB2" w:rsidRPr="005C5E32" w:rsidRDefault="00D06CB2" w:rsidP="00A03341">
      <w:pPr>
        <w:pStyle w:val="BodyText"/>
        <w:spacing w:before="100" w:after="100"/>
      </w:pPr>
      <w:r w:rsidRPr="005C5E32">
        <w:rPr>
          <w:b/>
          <w:bCs/>
        </w:rPr>
        <w:t xml:space="preserve">Employee entitlements. </w:t>
      </w:r>
      <w:r w:rsidRPr="005C5E32">
        <w:t>The</w:t>
      </w:r>
      <w:r w:rsidRPr="005C5E32">
        <w:rPr>
          <w:b/>
          <w:bCs/>
        </w:rPr>
        <w:t xml:space="preserve"> </w:t>
      </w:r>
      <w:r w:rsidRPr="005C5E32">
        <w:t>annual leave and retiring leave liabilities were slightly higher than</w:t>
      </w:r>
      <w:r w:rsidR="00062D8C" w:rsidRPr="005C5E32">
        <w:t> </w:t>
      </w:r>
      <w:r w:rsidRPr="005C5E32">
        <w:t>budget.</w:t>
      </w:r>
      <w:r w:rsidR="005B7E42" w:rsidRPr="005C5E32">
        <w:t xml:space="preserve"> </w:t>
      </w:r>
    </w:p>
    <w:p w14:paraId="0BE3DC66" w14:textId="77777777" w:rsidR="00D06CB2" w:rsidRPr="005C5E32" w:rsidRDefault="00D06CB2" w:rsidP="00062D8C">
      <w:pPr>
        <w:pStyle w:val="Heading4"/>
        <w:numPr>
          <w:ilvl w:val="0"/>
          <w:numId w:val="57"/>
        </w:numPr>
        <w:tabs>
          <w:tab w:val="clear" w:pos="851"/>
        </w:tabs>
        <w:spacing w:before="240" w:after="120" w:line="280" w:lineRule="atLeast"/>
        <w:ind w:left="851" w:hanging="851"/>
      </w:pPr>
      <w:r w:rsidRPr="005C5E32">
        <w:lastRenderedPageBreak/>
        <w:t>Statement of cash flows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585"/>
        <w:gridCol w:w="1310"/>
        <w:gridCol w:w="1305"/>
        <w:gridCol w:w="1305"/>
      </w:tblGrid>
      <w:tr w:rsidR="00D06CB2" w:rsidRPr="005C5E32" w14:paraId="551ADE68" w14:textId="77777777" w:rsidTr="005967EB">
        <w:trPr>
          <w:trHeight w:val="20"/>
        </w:trPr>
        <w:tc>
          <w:tcPr>
            <w:tcW w:w="4579" w:type="dxa"/>
            <w:tcBorders>
              <w:top w:val="single" w:sz="8" w:space="0" w:color="0E7C7E"/>
              <w:bottom w:val="single" w:sz="2" w:space="0" w:color="58595B"/>
            </w:tcBorders>
          </w:tcPr>
          <w:p w14:paraId="3F8AFDE3" w14:textId="77777777" w:rsidR="00D06CB2" w:rsidRPr="005C5E32" w:rsidRDefault="00D06CB2" w:rsidP="00062D8C">
            <w:pPr>
              <w:pStyle w:val="TableboldGreen"/>
              <w:keepNext/>
              <w:spacing w:before="40" w:after="40"/>
              <w:jc w:val="right"/>
            </w:pPr>
          </w:p>
        </w:tc>
        <w:tc>
          <w:tcPr>
            <w:tcW w:w="1309" w:type="dxa"/>
            <w:tcBorders>
              <w:top w:val="single" w:sz="8" w:space="0" w:color="0E7C7E"/>
              <w:bottom w:val="single" w:sz="2" w:space="0" w:color="58595B"/>
            </w:tcBorders>
            <w:shd w:val="clear" w:color="auto" w:fill="E7F2F2"/>
          </w:tcPr>
          <w:p w14:paraId="523ACD37" w14:textId="77777777" w:rsidR="00D06CB2" w:rsidRPr="005C5E32" w:rsidRDefault="00D06CB2" w:rsidP="00062D8C">
            <w:pPr>
              <w:pStyle w:val="TableboldGreen"/>
              <w:keepNext/>
              <w:spacing w:before="40" w:after="40"/>
              <w:jc w:val="right"/>
              <w:rPr>
                <w:rFonts w:cstheme="minorBidi"/>
                <w:szCs w:val="18"/>
              </w:rPr>
            </w:pPr>
            <w:r w:rsidRPr="005C5E32">
              <w:rPr>
                <w:rFonts w:cstheme="minorBidi"/>
                <w:szCs w:val="18"/>
              </w:rPr>
              <w:t>2025/26</w:t>
            </w:r>
            <w:r w:rsidRPr="005C5E32">
              <w:rPr>
                <w:rFonts w:cstheme="minorBidi"/>
                <w:szCs w:val="18"/>
              </w:rPr>
              <w:br/>
              <w:t>Actual</w:t>
            </w:r>
            <w:r w:rsidRPr="005C5E32">
              <w:rPr>
                <w:rFonts w:cstheme="minorBidi"/>
                <w:szCs w:val="18"/>
              </w:rPr>
              <w:br/>
              <w:t>$000</w:t>
            </w:r>
          </w:p>
        </w:tc>
        <w:tc>
          <w:tcPr>
            <w:tcW w:w="1304" w:type="dxa"/>
            <w:tcBorders>
              <w:top w:val="single" w:sz="8" w:space="0" w:color="0E7C7E"/>
              <w:bottom w:val="single" w:sz="2" w:space="0" w:color="58595B"/>
            </w:tcBorders>
          </w:tcPr>
          <w:p w14:paraId="34DF86C8" w14:textId="77777777" w:rsidR="00D06CB2" w:rsidRPr="005C5E32" w:rsidRDefault="00D06CB2" w:rsidP="00062D8C">
            <w:pPr>
              <w:pStyle w:val="TableboldGreen"/>
              <w:keepNext/>
              <w:spacing w:before="40" w:after="40"/>
              <w:jc w:val="right"/>
              <w:rPr>
                <w:rFonts w:cstheme="minorBidi"/>
                <w:szCs w:val="18"/>
              </w:rPr>
            </w:pPr>
            <w:r w:rsidRPr="005C5E32">
              <w:rPr>
                <w:rFonts w:cstheme="minorBidi"/>
                <w:szCs w:val="18"/>
              </w:rPr>
              <w:t>2025/26</w:t>
            </w:r>
            <w:r w:rsidRPr="005C5E32">
              <w:rPr>
                <w:rFonts w:cstheme="minorBidi"/>
                <w:szCs w:val="18"/>
              </w:rPr>
              <w:br/>
              <w:t>Budget</w:t>
            </w:r>
            <w:r w:rsidRPr="005C5E32">
              <w:rPr>
                <w:rFonts w:cstheme="minorBidi"/>
                <w:szCs w:val="18"/>
              </w:rPr>
              <w:br/>
              <w:t>$000</w:t>
            </w:r>
          </w:p>
        </w:tc>
        <w:tc>
          <w:tcPr>
            <w:tcW w:w="1304" w:type="dxa"/>
            <w:tcBorders>
              <w:top w:val="single" w:sz="8" w:space="0" w:color="0E7C7E"/>
              <w:bottom w:val="single" w:sz="2" w:space="0" w:color="58595B"/>
            </w:tcBorders>
          </w:tcPr>
          <w:p w14:paraId="7E426B49" w14:textId="77777777" w:rsidR="00D06CB2" w:rsidRPr="005C5E32" w:rsidRDefault="00D06CB2" w:rsidP="00062D8C">
            <w:pPr>
              <w:pStyle w:val="TableboldGreen"/>
              <w:keepNext/>
              <w:spacing w:before="40" w:after="40"/>
              <w:jc w:val="right"/>
              <w:rPr>
                <w:rFonts w:cstheme="minorBidi"/>
                <w:szCs w:val="18"/>
              </w:rPr>
            </w:pPr>
            <w:r w:rsidRPr="005C5E32">
              <w:rPr>
                <w:rFonts w:cstheme="minorBidi"/>
                <w:szCs w:val="18"/>
              </w:rPr>
              <w:t>2025/26</w:t>
            </w:r>
            <w:r w:rsidRPr="005C5E32">
              <w:rPr>
                <w:rFonts w:cstheme="minorBidi"/>
                <w:szCs w:val="18"/>
              </w:rPr>
              <w:br/>
              <w:t>Variance</w:t>
            </w:r>
            <w:r w:rsidRPr="005C5E32">
              <w:rPr>
                <w:rFonts w:cstheme="minorBidi"/>
                <w:szCs w:val="18"/>
              </w:rPr>
              <w:br/>
              <w:t>$000</w:t>
            </w:r>
          </w:p>
        </w:tc>
      </w:tr>
      <w:tr w:rsidR="00D06CB2" w:rsidRPr="005C5E32" w14:paraId="78D6A899" w14:textId="77777777" w:rsidTr="005967EB">
        <w:trPr>
          <w:trHeight w:val="20"/>
        </w:trPr>
        <w:tc>
          <w:tcPr>
            <w:tcW w:w="4579" w:type="dxa"/>
            <w:tcBorders>
              <w:top w:val="single" w:sz="2" w:space="0" w:color="58595B"/>
              <w:bottom w:val="single" w:sz="2" w:space="0" w:color="58595B"/>
            </w:tcBorders>
          </w:tcPr>
          <w:p w14:paraId="02D3249C" w14:textId="77777777" w:rsidR="00D06CB2" w:rsidRPr="005C5E32" w:rsidRDefault="00D06CB2">
            <w:pPr>
              <w:pStyle w:val="TableText"/>
              <w:spacing w:before="40" w:after="40"/>
            </w:pPr>
            <w:r w:rsidRPr="005C5E32">
              <w:t>Receipts from the Crown</w:t>
            </w:r>
          </w:p>
        </w:tc>
        <w:tc>
          <w:tcPr>
            <w:tcW w:w="1309" w:type="dxa"/>
            <w:tcBorders>
              <w:top w:val="single" w:sz="2" w:space="0" w:color="58595B"/>
              <w:bottom w:val="single" w:sz="2" w:space="0" w:color="58595B"/>
            </w:tcBorders>
            <w:shd w:val="clear" w:color="auto" w:fill="E7F2F2"/>
          </w:tcPr>
          <w:p w14:paraId="79302C91" w14:textId="77777777" w:rsidR="00D06CB2" w:rsidRPr="005C5E32" w:rsidRDefault="00D06CB2">
            <w:pPr>
              <w:pStyle w:val="TableText"/>
              <w:spacing w:before="40" w:after="40"/>
              <w:jc w:val="right"/>
              <w:rPr>
                <w:szCs w:val="18"/>
              </w:rPr>
            </w:pPr>
            <w:r w:rsidRPr="005C5E32">
              <w:rPr>
                <w:szCs w:val="18"/>
              </w:rPr>
              <w:t>217,086</w:t>
            </w:r>
          </w:p>
        </w:tc>
        <w:tc>
          <w:tcPr>
            <w:tcW w:w="1304" w:type="dxa"/>
            <w:tcBorders>
              <w:top w:val="single" w:sz="2" w:space="0" w:color="58595B"/>
              <w:bottom w:val="single" w:sz="2" w:space="0" w:color="58595B"/>
            </w:tcBorders>
          </w:tcPr>
          <w:p w14:paraId="482AA3D9" w14:textId="77777777" w:rsidR="00D06CB2" w:rsidRPr="005C5E32" w:rsidRDefault="00D06CB2">
            <w:pPr>
              <w:pStyle w:val="TableText"/>
              <w:spacing w:before="40" w:after="40"/>
              <w:jc w:val="right"/>
              <w:rPr>
                <w:szCs w:val="18"/>
              </w:rPr>
            </w:pPr>
            <w:r w:rsidRPr="005C5E32">
              <w:rPr>
                <w:szCs w:val="18"/>
              </w:rPr>
              <w:t>207,089</w:t>
            </w:r>
          </w:p>
        </w:tc>
        <w:tc>
          <w:tcPr>
            <w:tcW w:w="1304" w:type="dxa"/>
            <w:tcBorders>
              <w:top w:val="single" w:sz="2" w:space="0" w:color="58595B"/>
              <w:bottom w:val="single" w:sz="2" w:space="0" w:color="58595B"/>
            </w:tcBorders>
          </w:tcPr>
          <w:p w14:paraId="26DC9F44" w14:textId="77777777" w:rsidR="00D06CB2" w:rsidRPr="005C5E32" w:rsidRDefault="00D06CB2">
            <w:pPr>
              <w:pStyle w:val="TableText"/>
              <w:spacing w:before="40" w:after="40"/>
              <w:jc w:val="right"/>
              <w:rPr>
                <w:szCs w:val="18"/>
              </w:rPr>
            </w:pPr>
            <w:r w:rsidRPr="005C5E32">
              <w:rPr>
                <w:szCs w:val="18"/>
              </w:rPr>
              <w:t>9,997</w:t>
            </w:r>
          </w:p>
        </w:tc>
      </w:tr>
      <w:tr w:rsidR="00D06CB2" w:rsidRPr="005C5E32" w14:paraId="1101D863" w14:textId="77777777" w:rsidTr="005967EB">
        <w:trPr>
          <w:trHeight w:val="20"/>
        </w:trPr>
        <w:tc>
          <w:tcPr>
            <w:tcW w:w="4579" w:type="dxa"/>
            <w:tcBorders>
              <w:top w:val="single" w:sz="2" w:space="0" w:color="58595B"/>
              <w:bottom w:val="single" w:sz="2" w:space="0" w:color="58595B"/>
            </w:tcBorders>
          </w:tcPr>
          <w:p w14:paraId="5E0EFEED" w14:textId="77777777" w:rsidR="00D06CB2" w:rsidRPr="005C5E32" w:rsidRDefault="00D06CB2">
            <w:pPr>
              <w:pStyle w:val="TableText"/>
              <w:spacing w:before="40" w:after="40"/>
            </w:pPr>
            <w:r w:rsidRPr="005C5E32">
              <w:t>Payments to suppliers</w:t>
            </w:r>
          </w:p>
        </w:tc>
        <w:tc>
          <w:tcPr>
            <w:tcW w:w="1309" w:type="dxa"/>
            <w:tcBorders>
              <w:top w:val="single" w:sz="2" w:space="0" w:color="58595B"/>
              <w:bottom w:val="single" w:sz="2" w:space="0" w:color="58595B"/>
            </w:tcBorders>
            <w:shd w:val="clear" w:color="auto" w:fill="E7F2F2"/>
          </w:tcPr>
          <w:p w14:paraId="0056A1FE" w14:textId="77777777" w:rsidR="00D06CB2" w:rsidRPr="005C5E32" w:rsidRDefault="00D06CB2">
            <w:pPr>
              <w:pStyle w:val="TableText"/>
              <w:spacing w:before="40" w:after="40"/>
              <w:jc w:val="right"/>
              <w:rPr>
                <w:szCs w:val="18"/>
              </w:rPr>
            </w:pPr>
            <w:r w:rsidRPr="005C5E32">
              <w:rPr>
                <w:szCs w:val="18"/>
              </w:rPr>
              <w:t>85,976</w:t>
            </w:r>
          </w:p>
        </w:tc>
        <w:tc>
          <w:tcPr>
            <w:tcW w:w="1304" w:type="dxa"/>
            <w:tcBorders>
              <w:top w:val="single" w:sz="2" w:space="0" w:color="58595B"/>
              <w:bottom w:val="single" w:sz="2" w:space="0" w:color="58595B"/>
            </w:tcBorders>
          </w:tcPr>
          <w:p w14:paraId="1691433A" w14:textId="77777777" w:rsidR="00D06CB2" w:rsidRPr="005C5E32" w:rsidRDefault="00D06CB2">
            <w:pPr>
              <w:pStyle w:val="TableText"/>
              <w:spacing w:before="40" w:after="40"/>
              <w:jc w:val="right"/>
              <w:rPr>
                <w:szCs w:val="18"/>
              </w:rPr>
            </w:pPr>
            <w:r w:rsidRPr="005C5E32">
              <w:rPr>
                <w:szCs w:val="18"/>
              </w:rPr>
              <w:t>63,255</w:t>
            </w:r>
          </w:p>
        </w:tc>
        <w:tc>
          <w:tcPr>
            <w:tcW w:w="1304" w:type="dxa"/>
            <w:tcBorders>
              <w:top w:val="single" w:sz="2" w:space="0" w:color="58595B"/>
              <w:bottom w:val="single" w:sz="2" w:space="0" w:color="58595B"/>
            </w:tcBorders>
          </w:tcPr>
          <w:p w14:paraId="5DCCB327" w14:textId="77777777" w:rsidR="00D06CB2" w:rsidRPr="005C5E32" w:rsidRDefault="00D06CB2">
            <w:pPr>
              <w:pStyle w:val="TableText"/>
              <w:spacing w:before="40" w:after="40"/>
              <w:jc w:val="right"/>
              <w:rPr>
                <w:szCs w:val="18"/>
              </w:rPr>
            </w:pPr>
            <w:r w:rsidRPr="005C5E32">
              <w:rPr>
                <w:szCs w:val="18"/>
              </w:rPr>
              <w:t xml:space="preserve"> 22,721</w:t>
            </w:r>
          </w:p>
        </w:tc>
      </w:tr>
      <w:tr w:rsidR="00D06CB2" w:rsidRPr="005C5E32" w14:paraId="101BDAD9" w14:textId="77777777" w:rsidTr="005967EB">
        <w:trPr>
          <w:trHeight w:val="20"/>
        </w:trPr>
        <w:tc>
          <w:tcPr>
            <w:tcW w:w="4579" w:type="dxa"/>
            <w:tcBorders>
              <w:top w:val="single" w:sz="2" w:space="0" w:color="58595B"/>
              <w:bottom w:val="single" w:sz="2" w:space="0" w:color="58595B"/>
            </w:tcBorders>
          </w:tcPr>
          <w:p w14:paraId="0ED70544" w14:textId="77777777" w:rsidR="00D06CB2" w:rsidRPr="005C5E32" w:rsidRDefault="00D06CB2">
            <w:pPr>
              <w:pStyle w:val="TableText"/>
              <w:spacing w:before="40" w:after="40"/>
            </w:pPr>
            <w:r w:rsidRPr="005C5E32">
              <w:t>Payments to employees</w:t>
            </w:r>
          </w:p>
        </w:tc>
        <w:tc>
          <w:tcPr>
            <w:tcW w:w="1309" w:type="dxa"/>
            <w:tcBorders>
              <w:top w:val="single" w:sz="2" w:space="0" w:color="58595B"/>
              <w:bottom w:val="single" w:sz="2" w:space="0" w:color="58595B"/>
            </w:tcBorders>
            <w:shd w:val="clear" w:color="auto" w:fill="E7F2F2"/>
          </w:tcPr>
          <w:p w14:paraId="69F1B720" w14:textId="77777777" w:rsidR="00D06CB2" w:rsidRPr="005C5E32" w:rsidRDefault="00D06CB2">
            <w:pPr>
              <w:pStyle w:val="TableText"/>
              <w:spacing w:before="40" w:after="40"/>
              <w:jc w:val="right"/>
              <w:rPr>
                <w:szCs w:val="18"/>
              </w:rPr>
            </w:pPr>
            <w:r w:rsidRPr="005C5E32">
              <w:rPr>
                <w:szCs w:val="18"/>
              </w:rPr>
              <w:t>115,939</w:t>
            </w:r>
          </w:p>
        </w:tc>
        <w:tc>
          <w:tcPr>
            <w:tcW w:w="1304" w:type="dxa"/>
            <w:tcBorders>
              <w:top w:val="single" w:sz="2" w:space="0" w:color="58595B"/>
              <w:bottom w:val="single" w:sz="2" w:space="0" w:color="58595B"/>
            </w:tcBorders>
          </w:tcPr>
          <w:p w14:paraId="790B3404" w14:textId="77777777" w:rsidR="00D06CB2" w:rsidRPr="005C5E32" w:rsidRDefault="00D06CB2">
            <w:pPr>
              <w:pStyle w:val="TableText"/>
              <w:spacing w:before="40" w:after="40"/>
              <w:jc w:val="right"/>
              <w:rPr>
                <w:szCs w:val="18"/>
              </w:rPr>
            </w:pPr>
            <w:r w:rsidRPr="005C5E32">
              <w:rPr>
                <w:szCs w:val="18"/>
              </w:rPr>
              <w:t>143,926</w:t>
            </w:r>
          </w:p>
        </w:tc>
        <w:tc>
          <w:tcPr>
            <w:tcW w:w="1304" w:type="dxa"/>
            <w:tcBorders>
              <w:top w:val="single" w:sz="2" w:space="0" w:color="58595B"/>
              <w:bottom w:val="single" w:sz="2" w:space="0" w:color="58595B"/>
            </w:tcBorders>
          </w:tcPr>
          <w:p w14:paraId="3DD78526" w14:textId="77777777" w:rsidR="00D06CB2" w:rsidRPr="005C5E32" w:rsidRDefault="00D06CB2">
            <w:pPr>
              <w:pStyle w:val="TableText"/>
              <w:spacing w:before="40" w:after="40"/>
              <w:jc w:val="right"/>
              <w:rPr>
                <w:szCs w:val="18"/>
              </w:rPr>
            </w:pPr>
            <w:r w:rsidRPr="005C5E32">
              <w:rPr>
                <w:szCs w:val="18"/>
              </w:rPr>
              <w:t>(27,987)</w:t>
            </w:r>
          </w:p>
        </w:tc>
      </w:tr>
    </w:tbl>
    <w:p w14:paraId="17A77AB8" w14:textId="77777777" w:rsidR="00D06CB2" w:rsidRPr="005C5E32" w:rsidRDefault="00D06CB2" w:rsidP="00A03341">
      <w:pPr>
        <w:pStyle w:val="BodyText"/>
        <w:spacing w:before="240" w:after="100"/>
      </w:pPr>
      <w:r w:rsidRPr="005C5E32">
        <w:rPr>
          <w:b/>
        </w:rPr>
        <w:t xml:space="preserve">Receipts from the Crown. </w:t>
      </w:r>
      <w:r w:rsidRPr="005C5E32">
        <w:t>Actual received cash was higher than budget due to in-principle transfers,</w:t>
      </w:r>
      <w:r w:rsidRPr="005C5E32">
        <w:rPr>
          <w:b/>
        </w:rPr>
        <w:t xml:space="preserve"> </w:t>
      </w:r>
      <w:r w:rsidRPr="005C5E32">
        <w:t>as mentioned above.</w:t>
      </w:r>
    </w:p>
    <w:p w14:paraId="0F1BAE0D" w14:textId="77777777" w:rsidR="00D06CB2" w:rsidRPr="005C5E32" w:rsidRDefault="00D06CB2" w:rsidP="00A03341">
      <w:pPr>
        <w:pStyle w:val="BodyText"/>
        <w:spacing w:before="100" w:after="100"/>
      </w:pPr>
      <w:r w:rsidRPr="005C5E32">
        <w:rPr>
          <w:b/>
          <w:bCs/>
        </w:rPr>
        <w:t xml:space="preserve">Payments to suppliers. </w:t>
      </w:r>
      <w:r w:rsidRPr="005C5E32">
        <w:t>Actual cash paid was higher</w:t>
      </w:r>
      <w:r w:rsidRPr="005C5E32">
        <w:rPr>
          <w:b/>
          <w:bCs/>
        </w:rPr>
        <w:t xml:space="preserve"> </w:t>
      </w:r>
      <w:r w:rsidRPr="005C5E32">
        <w:t xml:space="preserve">than budget due to higher-than-expected operating expenses. </w:t>
      </w:r>
    </w:p>
    <w:p w14:paraId="33F0EDF5" w14:textId="666445A1" w:rsidR="00D06CB2" w:rsidRPr="005C5E32" w:rsidRDefault="00D06CB2" w:rsidP="61981646">
      <w:pPr>
        <w:pStyle w:val="BodyText"/>
        <w:spacing w:before="100" w:after="100"/>
        <w:rPr>
          <w:b/>
          <w:bCs/>
        </w:rPr>
      </w:pPr>
      <w:r w:rsidRPr="005C5E32">
        <w:rPr>
          <w:b/>
          <w:bCs/>
        </w:rPr>
        <w:t xml:space="preserve">Payments to employees. </w:t>
      </w:r>
      <w:r w:rsidRPr="005C5E32">
        <w:t>Actual cash paid was lower than budget due to underspend in this area for the year.</w:t>
      </w:r>
      <w:r w:rsidR="005B7E42" w:rsidRPr="005C5E32">
        <w:t xml:space="preserve"> </w:t>
      </w:r>
    </w:p>
    <w:p w14:paraId="3CE5A38D" w14:textId="77777777" w:rsidR="00D06CB2" w:rsidRPr="005C5E32" w:rsidRDefault="00D06CB2" w:rsidP="00A03341">
      <w:pPr>
        <w:pStyle w:val="Heading3"/>
      </w:pPr>
      <w:bookmarkStart w:id="350" w:name="_19.__Climate"/>
      <w:bookmarkEnd w:id="350"/>
      <w:r w:rsidRPr="005C5E32">
        <w:t xml:space="preserve">19. </w:t>
      </w:r>
      <w:r w:rsidRPr="005C5E32">
        <w:tab/>
        <w:t>Climate Change Chief Executives Board</w:t>
      </w:r>
    </w:p>
    <w:p w14:paraId="50C02001" w14:textId="77777777" w:rsidR="00D06CB2" w:rsidRPr="005C5E32" w:rsidRDefault="00D06CB2" w:rsidP="00A03341">
      <w:pPr>
        <w:pStyle w:val="BodyText"/>
      </w:pPr>
      <w:r w:rsidRPr="005C5E32">
        <w:t xml:space="preserve">The Climate Change Chief Executives Board (CCCE Board) is an interdepartmental executive board to provide oversight of the Government’s response to climate change. Operating funding of $3.242 million in 2025/26 was approved for the appropriation. </w:t>
      </w:r>
    </w:p>
    <w:p w14:paraId="7598A0A6" w14:textId="77777777" w:rsidR="00D06CB2" w:rsidRPr="005C5E32" w:rsidRDefault="00D06CB2" w:rsidP="00A03341">
      <w:pPr>
        <w:pStyle w:val="BodyText"/>
      </w:pPr>
      <w:r w:rsidRPr="005C5E32">
        <w:t>The Ministry administers the CCCE Board appropriation under Vote Environment and the revenues, expenditures, assets and liabilities relating to the Board are consolidated in the Ministry’s financial statements.</w:t>
      </w:r>
    </w:p>
    <w:p w14:paraId="7B57FBC9" w14:textId="77777777" w:rsidR="00D06CB2" w:rsidRPr="005C5E32" w:rsidRDefault="00D06CB2" w:rsidP="00A03341">
      <w:pPr>
        <w:pStyle w:val="Heading4"/>
        <w:spacing w:after="240"/>
      </w:pPr>
      <w:r w:rsidRPr="005C5E32">
        <w:t>Climate Change Chief Executives Board financial information</w:t>
      </w:r>
    </w:p>
    <w:tbl>
      <w:tblPr>
        <w:tblW w:w="8505" w:type="dxa"/>
        <w:tblLayout w:type="fixed"/>
        <w:tblCellMar>
          <w:left w:w="85" w:type="dxa"/>
          <w:right w:w="85" w:type="dxa"/>
        </w:tblCellMar>
        <w:tblLook w:val="01E0" w:firstRow="1" w:lastRow="1" w:firstColumn="1" w:lastColumn="1" w:noHBand="0" w:noVBand="0"/>
      </w:tblPr>
      <w:tblGrid>
        <w:gridCol w:w="5000"/>
        <w:gridCol w:w="2214"/>
        <w:gridCol w:w="1291"/>
      </w:tblGrid>
      <w:tr w:rsidR="00D06CB2" w:rsidRPr="005C5E32" w14:paraId="32ABF150" w14:textId="77777777" w:rsidTr="005967EB">
        <w:trPr>
          <w:trHeight w:val="730"/>
        </w:trPr>
        <w:tc>
          <w:tcPr>
            <w:tcW w:w="7646" w:type="dxa"/>
            <w:gridSpan w:val="2"/>
            <w:tcBorders>
              <w:top w:val="single" w:sz="8" w:space="0" w:color="0E7C7E"/>
              <w:left w:val="nil"/>
              <w:bottom w:val="single" w:sz="2" w:space="0" w:color="58595B"/>
              <w:right w:val="nil"/>
            </w:tcBorders>
          </w:tcPr>
          <w:p w14:paraId="7963350B" w14:textId="77777777" w:rsidR="00D06CB2" w:rsidRPr="005C5E32" w:rsidRDefault="00D06CB2">
            <w:pPr>
              <w:pStyle w:val="TableboldGreen"/>
              <w:spacing w:before="40" w:after="40"/>
              <w:jc w:val="right"/>
              <w:rPr>
                <w:rFonts w:cstheme="minorHAnsi"/>
              </w:rPr>
            </w:pPr>
            <w:r w:rsidRPr="005C5E32">
              <w:t>2024/25</w:t>
            </w:r>
            <w:r w:rsidRPr="005C5E32">
              <w:br/>
            </w:r>
            <w:r w:rsidRPr="005C5E32">
              <w:rPr>
                <w:rFonts w:cstheme="minorHAnsi"/>
              </w:rPr>
              <w:t>Actual</w:t>
            </w:r>
            <w:r w:rsidRPr="005C5E32">
              <w:rPr>
                <w:rFonts w:cstheme="minorHAnsi"/>
              </w:rPr>
              <w:br/>
              <w:t>$000</w:t>
            </w:r>
          </w:p>
        </w:tc>
        <w:tc>
          <w:tcPr>
            <w:tcW w:w="1361" w:type="dxa"/>
            <w:tcBorders>
              <w:top w:val="single" w:sz="8" w:space="0" w:color="0E7C7E"/>
              <w:left w:val="nil"/>
              <w:bottom w:val="single" w:sz="2" w:space="0" w:color="58595B"/>
              <w:right w:val="nil"/>
            </w:tcBorders>
            <w:shd w:val="clear" w:color="auto" w:fill="E7F2F2"/>
          </w:tcPr>
          <w:p w14:paraId="6DF6DDE8" w14:textId="77777777" w:rsidR="00D06CB2" w:rsidRPr="005C5E32" w:rsidRDefault="00D06CB2">
            <w:pPr>
              <w:pStyle w:val="TableboldGreen"/>
              <w:spacing w:before="40" w:after="40"/>
              <w:jc w:val="right"/>
              <w:rPr>
                <w:rFonts w:cstheme="minorHAnsi"/>
              </w:rPr>
            </w:pPr>
            <w:r w:rsidRPr="005C5E32">
              <w:t>2025/26</w:t>
            </w:r>
            <w:r w:rsidRPr="005C5E32">
              <w:br/>
            </w:r>
            <w:r w:rsidRPr="005C5E32">
              <w:rPr>
                <w:rFonts w:cstheme="minorHAnsi"/>
              </w:rPr>
              <w:t>Actual</w:t>
            </w:r>
            <w:r w:rsidRPr="005C5E32">
              <w:rPr>
                <w:rFonts w:cstheme="minorHAnsi"/>
              </w:rPr>
              <w:br/>
              <w:t>$000</w:t>
            </w:r>
          </w:p>
        </w:tc>
      </w:tr>
      <w:tr w:rsidR="00D06CB2" w:rsidRPr="005C5E32" w14:paraId="77421359" w14:textId="77777777" w:rsidTr="005967EB">
        <w:trPr>
          <w:trHeight w:val="527"/>
        </w:trPr>
        <w:tc>
          <w:tcPr>
            <w:tcW w:w="5304" w:type="dxa"/>
            <w:tcBorders>
              <w:top w:val="single" w:sz="2" w:space="0" w:color="58595B"/>
              <w:left w:val="nil"/>
              <w:bottom w:val="single" w:sz="2" w:space="0" w:color="58595B"/>
              <w:right w:val="nil"/>
            </w:tcBorders>
          </w:tcPr>
          <w:p w14:paraId="0955506D" w14:textId="77777777" w:rsidR="00D06CB2" w:rsidRPr="005C5E32" w:rsidRDefault="00D06CB2">
            <w:pPr>
              <w:pStyle w:val="TableboldGreen"/>
              <w:spacing w:before="40" w:after="40"/>
            </w:pPr>
            <w:r w:rsidRPr="005C5E32">
              <w:t>Revenue</w:t>
            </w:r>
          </w:p>
          <w:p w14:paraId="28FB0837" w14:textId="77777777" w:rsidR="00D06CB2" w:rsidRPr="005C5E32" w:rsidRDefault="00D06CB2">
            <w:pPr>
              <w:pStyle w:val="TableText"/>
              <w:spacing w:before="0" w:after="40"/>
            </w:pPr>
            <w:r w:rsidRPr="005C5E32">
              <w:t>Funding from the Crown</w:t>
            </w:r>
          </w:p>
        </w:tc>
        <w:tc>
          <w:tcPr>
            <w:tcW w:w="2342" w:type="dxa"/>
            <w:tcBorders>
              <w:top w:val="single" w:sz="2" w:space="0" w:color="58595B"/>
              <w:left w:val="nil"/>
              <w:bottom w:val="single" w:sz="2" w:space="0" w:color="58595B"/>
              <w:right w:val="nil"/>
            </w:tcBorders>
            <w:vAlign w:val="bottom"/>
          </w:tcPr>
          <w:p w14:paraId="4176FCAC" w14:textId="77777777" w:rsidR="00D06CB2" w:rsidRPr="005C5E32" w:rsidRDefault="00D06CB2">
            <w:pPr>
              <w:pStyle w:val="TableText"/>
              <w:spacing w:before="0" w:after="40"/>
              <w:jc w:val="right"/>
            </w:pPr>
            <w:r w:rsidRPr="005C5E32">
              <w:t>3,754</w:t>
            </w:r>
          </w:p>
        </w:tc>
        <w:tc>
          <w:tcPr>
            <w:tcW w:w="1361" w:type="dxa"/>
            <w:tcBorders>
              <w:top w:val="single" w:sz="2" w:space="0" w:color="58595B"/>
              <w:left w:val="nil"/>
              <w:bottom w:val="single" w:sz="2" w:space="0" w:color="58595B"/>
              <w:right w:val="nil"/>
            </w:tcBorders>
            <w:shd w:val="clear" w:color="auto" w:fill="E7F2F2"/>
            <w:vAlign w:val="bottom"/>
          </w:tcPr>
          <w:p w14:paraId="0CC83265" w14:textId="77777777" w:rsidR="00D06CB2" w:rsidRPr="005C5E32" w:rsidRDefault="00D06CB2">
            <w:pPr>
              <w:pStyle w:val="TableText"/>
              <w:spacing w:before="0" w:after="40"/>
              <w:jc w:val="right"/>
            </w:pPr>
            <w:r w:rsidRPr="005C5E32">
              <w:t>3,242</w:t>
            </w:r>
          </w:p>
        </w:tc>
      </w:tr>
      <w:tr w:rsidR="00D06CB2" w:rsidRPr="005C5E32" w14:paraId="32B0F903" w14:textId="77777777" w:rsidTr="005967EB">
        <w:trPr>
          <w:trHeight w:val="513"/>
        </w:trPr>
        <w:tc>
          <w:tcPr>
            <w:tcW w:w="5304" w:type="dxa"/>
            <w:tcBorders>
              <w:top w:val="single" w:sz="2" w:space="0" w:color="58595B"/>
              <w:left w:val="nil"/>
              <w:bottom w:val="single" w:sz="2" w:space="0" w:color="58595B"/>
              <w:right w:val="nil"/>
            </w:tcBorders>
          </w:tcPr>
          <w:p w14:paraId="3CED2230" w14:textId="77777777" w:rsidR="00D06CB2" w:rsidRPr="005C5E32" w:rsidRDefault="00D06CB2">
            <w:pPr>
              <w:pStyle w:val="TableboldGreen"/>
              <w:spacing w:before="40" w:after="40"/>
            </w:pPr>
            <w:r w:rsidRPr="005C5E32">
              <w:t>Expenses</w:t>
            </w:r>
          </w:p>
          <w:p w14:paraId="704551CB" w14:textId="77777777" w:rsidR="00D06CB2" w:rsidRPr="005C5E32" w:rsidRDefault="00D06CB2">
            <w:pPr>
              <w:pStyle w:val="TableText"/>
              <w:spacing w:before="0" w:after="40"/>
            </w:pPr>
            <w:r w:rsidRPr="005C5E32">
              <w:t xml:space="preserve">Personnel </w:t>
            </w:r>
          </w:p>
        </w:tc>
        <w:tc>
          <w:tcPr>
            <w:tcW w:w="2342" w:type="dxa"/>
            <w:tcBorders>
              <w:top w:val="single" w:sz="2" w:space="0" w:color="58595B"/>
              <w:left w:val="nil"/>
              <w:bottom w:val="single" w:sz="2" w:space="0" w:color="58595B"/>
              <w:right w:val="nil"/>
            </w:tcBorders>
            <w:vAlign w:val="bottom"/>
          </w:tcPr>
          <w:p w14:paraId="2E5FC817" w14:textId="77777777" w:rsidR="00D06CB2" w:rsidRPr="005C5E32" w:rsidRDefault="00D06CB2">
            <w:pPr>
              <w:pStyle w:val="TableText"/>
              <w:spacing w:before="40" w:after="40"/>
              <w:jc w:val="right"/>
            </w:pPr>
            <w:r w:rsidRPr="005C5E32">
              <w:t>1,803</w:t>
            </w:r>
          </w:p>
        </w:tc>
        <w:tc>
          <w:tcPr>
            <w:tcW w:w="1361" w:type="dxa"/>
            <w:tcBorders>
              <w:top w:val="single" w:sz="2" w:space="0" w:color="58595B"/>
              <w:left w:val="nil"/>
              <w:bottom w:val="single" w:sz="2" w:space="0" w:color="58595B"/>
              <w:right w:val="nil"/>
            </w:tcBorders>
            <w:shd w:val="clear" w:color="auto" w:fill="E7F2F2"/>
            <w:vAlign w:val="bottom"/>
          </w:tcPr>
          <w:p w14:paraId="2B8BF133" w14:textId="77777777" w:rsidR="00D06CB2" w:rsidRPr="005C5E32" w:rsidRDefault="00D06CB2">
            <w:pPr>
              <w:pStyle w:val="TableText"/>
              <w:spacing w:before="40" w:after="40"/>
              <w:jc w:val="right"/>
            </w:pPr>
            <w:r w:rsidRPr="005C5E32">
              <w:t>1,340</w:t>
            </w:r>
          </w:p>
        </w:tc>
      </w:tr>
      <w:tr w:rsidR="00D06CB2" w:rsidRPr="005C5E32" w14:paraId="51434B09" w14:textId="77777777" w:rsidTr="005967EB">
        <w:trPr>
          <w:trHeight w:val="283"/>
        </w:trPr>
        <w:tc>
          <w:tcPr>
            <w:tcW w:w="5304" w:type="dxa"/>
            <w:tcBorders>
              <w:top w:val="single" w:sz="2" w:space="0" w:color="58595B"/>
              <w:left w:val="nil"/>
              <w:bottom w:val="single" w:sz="2" w:space="0" w:color="58595B"/>
              <w:right w:val="nil"/>
            </w:tcBorders>
          </w:tcPr>
          <w:p w14:paraId="4A4DA681" w14:textId="77777777" w:rsidR="00D06CB2" w:rsidRPr="005C5E32" w:rsidRDefault="00D06CB2">
            <w:pPr>
              <w:pStyle w:val="TableText"/>
              <w:spacing w:before="40" w:after="40"/>
            </w:pPr>
            <w:r w:rsidRPr="005C5E32">
              <w:t>Contractors and consultants</w:t>
            </w:r>
          </w:p>
        </w:tc>
        <w:tc>
          <w:tcPr>
            <w:tcW w:w="2342" w:type="dxa"/>
            <w:tcBorders>
              <w:top w:val="single" w:sz="2" w:space="0" w:color="58595B"/>
              <w:left w:val="nil"/>
              <w:bottom w:val="single" w:sz="2" w:space="0" w:color="58595B"/>
              <w:right w:val="nil"/>
            </w:tcBorders>
          </w:tcPr>
          <w:p w14:paraId="1FF98878" w14:textId="77777777" w:rsidR="00D06CB2" w:rsidRPr="005C5E32" w:rsidRDefault="00D06CB2">
            <w:pPr>
              <w:pStyle w:val="TableText"/>
              <w:spacing w:before="40" w:after="40"/>
              <w:jc w:val="right"/>
            </w:pPr>
            <w:r w:rsidRPr="005C5E32">
              <w:t>166</w:t>
            </w:r>
          </w:p>
        </w:tc>
        <w:tc>
          <w:tcPr>
            <w:tcW w:w="1361" w:type="dxa"/>
            <w:tcBorders>
              <w:top w:val="single" w:sz="2" w:space="0" w:color="58595B"/>
              <w:left w:val="nil"/>
              <w:bottom w:val="single" w:sz="2" w:space="0" w:color="58595B"/>
              <w:right w:val="nil"/>
            </w:tcBorders>
            <w:shd w:val="clear" w:color="auto" w:fill="E7F2F2"/>
          </w:tcPr>
          <w:p w14:paraId="42F522C2" w14:textId="77777777" w:rsidR="00D06CB2" w:rsidRPr="005C5E32" w:rsidRDefault="00D06CB2">
            <w:pPr>
              <w:pStyle w:val="TableText"/>
              <w:spacing w:before="40" w:after="40"/>
              <w:jc w:val="right"/>
            </w:pPr>
            <w:r w:rsidRPr="005C5E32">
              <w:t>75</w:t>
            </w:r>
          </w:p>
        </w:tc>
      </w:tr>
      <w:tr w:rsidR="00D06CB2" w:rsidRPr="005C5E32" w14:paraId="35C04E26" w14:textId="77777777" w:rsidTr="005967EB">
        <w:trPr>
          <w:trHeight w:val="283"/>
        </w:trPr>
        <w:tc>
          <w:tcPr>
            <w:tcW w:w="5304" w:type="dxa"/>
            <w:tcBorders>
              <w:top w:val="single" w:sz="2" w:space="0" w:color="58595B"/>
              <w:left w:val="nil"/>
              <w:bottom w:val="single" w:sz="2" w:space="0" w:color="58595B"/>
              <w:right w:val="nil"/>
            </w:tcBorders>
          </w:tcPr>
          <w:p w14:paraId="1DA27AF4" w14:textId="77777777" w:rsidR="00D06CB2" w:rsidRPr="005C5E32" w:rsidRDefault="00D06CB2">
            <w:pPr>
              <w:pStyle w:val="TableText"/>
              <w:spacing w:before="40" w:after="40"/>
            </w:pPr>
            <w:r w:rsidRPr="005C5E32">
              <w:t>Other operating costs</w:t>
            </w:r>
          </w:p>
        </w:tc>
        <w:tc>
          <w:tcPr>
            <w:tcW w:w="2342" w:type="dxa"/>
            <w:tcBorders>
              <w:top w:val="single" w:sz="2" w:space="0" w:color="58595B"/>
              <w:left w:val="nil"/>
              <w:bottom w:val="single" w:sz="2" w:space="0" w:color="58595B"/>
              <w:right w:val="nil"/>
            </w:tcBorders>
          </w:tcPr>
          <w:p w14:paraId="7D539E94" w14:textId="77777777" w:rsidR="00D06CB2" w:rsidRPr="005C5E32" w:rsidRDefault="00D06CB2">
            <w:pPr>
              <w:pStyle w:val="TableText"/>
              <w:spacing w:before="40" w:after="40"/>
              <w:jc w:val="right"/>
            </w:pPr>
            <w:r w:rsidRPr="005C5E32">
              <w:t>1,515</w:t>
            </w:r>
          </w:p>
        </w:tc>
        <w:tc>
          <w:tcPr>
            <w:tcW w:w="1361" w:type="dxa"/>
            <w:tcBorders>
              <w:top w:val="single" w:sz="2" w:space="0" w:color="58595B"/>
              <w:left w:val="nil"/>
              <w:bottom w:val="single" w:sz="2" w:space="0" w:color="58595B"/>
              <w:right w:val="nil"/>
            </w:tcBorders>
            <w:shd w:val="clear" w:color="auto" w:fill="E7F2F2"/>
          </w:tcPr>
          <w:p w14:paraId="0BF79FF6" w14:textId="77777777" w:rsidR="00D06CB2" w:rsidRPr="005C5E32" w:rsidRDefault="00D06CB2">
            <w:pPr>
              <w:pStyle w:val="TableText"/>
              <w:spacing w:before="40" w:after="40"/>
              <w:jc w:val="right"/>
            </w:pPr>
            <w:r w:rsidRPr="005C5E32">
              <w:t>1,279</w:t>
            </w:r>
          </w:p>
        </w:tc>
      </w:tr>
      <w:tr w:rsidR="00D06CB2" w:rsidRPr="005C5E32" w14:paraId="1354BA00" w14:textId="77777777" w:rsidTr="005967EB">
        <w:trPr>
          <w:trHeight w:val="283"/>
        </w:trPr>
        <w:tc>
          <w:tcPr>
            <w:tcW w:w="5304" w:type="dxa"/>
            <w:tcBorders>
              <w:top w:val="single" w:sz="2" w:space="0" w:color="58595B"/>
              <w:left w:val="nil"/>
              <w:bottom w:val="single" w:sz="2" w:space="0" w:color="58595B"/>
              <w:right w:val="nil"/>
            </w:tcBorders>
          </w:tcPr>
          <w:p w14:paraId="2D82E0F9" w14:textId="77777777" w:rsidR="00D06CB2" w:rsidRPr="005C5E32" w:rsidRDefault="00D06CB2">
            <w:pPr>
              <w:pStyle w:val="TableText"/>
              <w:spacing w:before="40" w:after="40"/>
            </w:pPr>
            <w:r w:rsidRPr="005C5E32">
              <w:rPr>
                <w:rFonts w:eastAsia="Lato Black"/>
                <w:b/>
              </w:rPr>
              <w:t>Total costs</w:t>
            </w:r>
          </w:p>
        </w:tc>
        <w:tc>
          <w:tcPr>
            <w:tcW w:w="2342" w:type="dxa"/>
            <w:tcBorders>
              <w:top w:val="single" w:sz="2" w:space="0" w:color="58595B"/>
              <w:left w:val="nil"/>
              <w:bottom w:val="single" w:sz="2" w:space="0" w:color="58595B"/>
              <w:right w:val="nil"/>
            </w:tcBorders>
          </w:tcPr>
          <w:p w14:paraId="10FD69C8" w14:textId="77777777" w:rsidR="00D06CB2" w:rsidRPr="005C5E32" w:rsidRDefault="00D06CB2">
            <w:pPr>
              <w:pStyle w:val="TableText"/>
              <w:spacing w:before="40" w:after="40"/>
              <w:jc w:val="right"/>
              <w:rPr>
                <w:b/>
              </w:rPr>
            </w:pPr>
            <w:r w:rsidRPr="005C5E32">
              <w:rPr>
                <w:b/>
              </w:rPr>
              <w:t>3,484</w:t>
            </w:r>
          </w:p>
        </w:tc>
        <w:tc>
          <w:tcPr>
            <w:tcW w:w="1361" w:type="dxa"/>
            <w:tcBorders>
              <w:top w:val="single" w:sz="2" w:space="0" w:color="58595B"/>
              <w:left w:val="nil"/>
              <w:bottom w:val="single" w:sz="2" w:space="0" w:color="58595B"/>
              <w:right w:val="nil"/>
            </w:tcBorders>
            <w:shd w:val="clear" w:color="auto" w:fill="E7F2F2"/>
          </w:tcPr>
          <w:p w14:paraId="64CFCF68" w14:textId="77777777" w:rsidR="00D06CB2" w:rsidRPr="005C5E32" w:rsidRDefault="00D06CB2">
            <w:pPr>
              <w:pStyle w:val="TableText"/>
              <w:spacing w:before="40" w:after="40"/>
              <w:jc w:val="right"/>
              <w:rPr>
                <w:b/>
              </w:rPr>
            </w:pPr>
            <w:r w:rsidRPr="005C5E32">
              <w:rPr>
                <w:b/>
              </w:rPr>
              <w:t>2,694</w:t>
            </w:r>
          </w:p>
        </w:tc>
      </w:tr>
      <w:tr w:rsidR="00D06CB2" w:rsidRPr="005C5E32" w14:paraId="0DD6D104" w14:textId="77777777" w:rsidTr="005967EB">
        <w:trPr>
          <w:trHeight w:val="554"/>
        </w:trPr>
        <w:tc>
          <w:tcPr>
            <w:tcW w:w="5304" w:type="dxa"/>
            <w:tcBorders>
              <w:top w:val="single" w:sz="2" w:space="0" w:color="58595B"/>
              <w:left w:val="nil"/>
              <w:bottom w:val="single" w:sz="2" w:space="0" w:color="58595B"/>
              <w:right w:val="nil"/>
            </w:tcBorders>
          </w:tcPr>
          <w:p w14:paraId="34705716" w14:textId="77777777" w:rsidR="00D06CB2" w:rsidRPr="005C5E32" w:rsidRDefault="00D06CB2">
            <w:pPr>
              <w:pStyle w:val="TableboldGreen"/>
              <w:spacing w:before="40" w:after="40"/>
            </w:pPr>
            <w:r w:rsidRPr="005C5E32">
              <w:t>Assets</w:t>
            </w:r>
          </w:p>
          <w:p w14:paraId="54C9AC9A" w14:textId="77777777" w:rsidR="00D06CB2" w:rsidRPr="005C5E32" w:rsidRDefault="00D06CB2">
            <w:pPr>
              <w:pStyle w:val="TableText"/>
              <w:spacing w:before="0" w:after="40"/>
            </w:pPr>
            <w:r w:rsidRPr="005C5E32">
              <w:t>Receivables</w:t>
            </w:r>
          </w:p>
        </w:tc>
        <w:tc>
          <w:tcPr>
            <w:tcW w:w="2342" w:type="dxa"/>
            <w:tcBorders>
              <w:top w:val="single" w:sz="2" w:space="0" w:color="58595B"/>
              <w:left w:val="nil"/>
              <w:bottom w:val="single" w:sz="2" w:space="0" w:color="58595B"/>
              <w:right w:val="nil"/>
            </w:tcBorders>
            <w:vAlign w:val="bottom"/>
          </w:tcPr>
          <w:p w14:paraId="57EF5FF8" w14:textId="77777777" w:rsidR="00D06CB2" w:rsidRPr="005C5E32" w:rsidRDefault="00D06CB2">
            <w:pPr>
              <w:pStyle w:val="TableText"/>
              <w:spacing w:before="40" w:after="40"/>
              <w:jc w:val="right"/>
            </w:pPr>
            <w:r w:rsidRPr="005C5E32">
              <w:t>270</w:t>
            </w:r>
          </w:p>
        </w:tc>
        <w:tc>
          <w:tcPr>
            <w:tcW w:w="1361" w:type="dxa"/>
            <w:tcBorders>
              <w:top w:val="single" w:sz="2" w:space="0" w:color="58595B"/>
              <w:left w:val="nil"/>
              <w:bottom w:val="single" w:sz="2" w:space="0" w:color="58595B"/>
              <w:right w:val="nil"/>
            </w:tcBorders>
            <w:shd w:val="clear" w:color="auto" w:fill="E7F2F2"/>
            <w:vAlign w:val="bottom"/>
          </w:tcPr>
          <w:p w14:paraId="154186A3" w14:textId="77777777" w:rsidR="00D06CB2" w:rsidRPr="005C5E32" w:rsidRDefault="00D06CB2">
            <w:pPr>
              <w:pStyle w:val="TableText"/>
              <w:spacing w:before="40" w:after="40"/>
              <w:jc w:val="right"/>
            </w:pPr>
            <w:r w:rsidRPr="005C5E32">
              <w:t>548</w:t>
            </w:r>
          </w:p>
        </w:tc>
      </w:tr>
      <w:tr w:rsidR="00D06CB2" w:rsidRPr="005C5E32" w14:paraId="1EB3651F" w14:textId="77777777" w:rsidTr="005967EB">
        <w:trPr>
          <w:trHeight w:val="554"/>
        </w:trPr>
        <w:tc>
          <w:tcPr>
            <w:tcW w:w="5304" w:type="dxa"/>
            <w:tcBorders>
              <w:top w:val="single" w:sz="2" w:space="0" w:color="58595B"/>
              <w:left w:val="nil"/>
              <w:bottom w:val="single" w:sz="2" w:space="0" w:color="58595B"/>
              <w:right w:val="nil"/>
            </w:tcBorders>
          </w:tcPr>
          <w:p w14:paraId="051D49F8" w14:textId="77777777" w:rsidR="00D06CB2" w:rsidRPr="005C5E32" w:rsidRDefault="00D06CB2">
            <w:pPr>
              <w:pStyle w:val="TableboldGreen"/>
              <w:spacing w:before="40" w:after="40"/>
            </w:pPr>
            <w:r w:rsidRPr="005C5E32">
              <w:t>Liabilities</w:t>
            </w:r>
          </w:p>
          <w:p w14:paraId="4FAB5575" w14:textId="77777777" w:rsidR="00D06CB2" w:rsidRPr="005C5E32" w:rsidRDefault="00D06CB2">
            <w:pPr>
              <w:pStyle w:val="TableText"/>
              <w:spacing w:before="0" w:after="40"/>
              <w:rPr>
                <w:rFonts w:asciiTheme="minorHAnsi" w:hAnsiTheme="minorHAnsi" w:cstheme="minorHAnsi"/>
              </w:rPr>
            </w:pPr>
            <w:r w:rsidRPr="005C5E32">
              <w:rPr>
                <w:rFonts w:asciiTheme="minorHAnsi" w:hAnsiTheme="minorHAnsi" w:cstheme="minorHAnsi"/>
                <w:szCs w:val="18"/>
              </w:rPr>
              <w:t>Provision for repayment of surplus</w:t>
            </w:r>
          </w:p>
        </w:tc>
        <w:tc>
          <w:tcPr>
            <w:tcW w:w="2342" w:type="dxa"/>
            <w:tcBorders>
              <w:top w:val="single" w:sz="2" w:space="0" w:color="58595B"/>
              <w:left w:val="nil"/>
              <w:bottom w:val="single" w:sz="2" w:space="0" w:color="58595B"/>
              <w:right w:val="nil"/>
            </w:tcBorders>
            <w:vAlign w:val="bottom"/>
          </w:tcPr>
          <w:p w14:paraId="7AFA4357" w14:textId="77777777" w:rsidR="00D06CB2" w:rsidRPr="005C5E32" w:rsidRDefault="00D06CB2">
            <w:pPr>
              <w:pStyle w:val="TableText"/>
              <w:spacing w:before="40" w:after="40"/>
              <w:jc w:val="right"/>
              <w:rPr>
                <w:rFonts w:asciiTheme="minorHAnsi" w:hAnsiTheme="minorHAnsi"/>
                <w:szCs w:val="18"/>
              </w:rPr>
            </w:pPr>
            <w:r w:rsidRPr="005C5E32">
              <w:rPr>
                <w:rFonts w:asciiTheme="minorHAnsi" w:hAnsiTheme="minorHAnsi"/>
                <w:szCs w:val="18"/>
              </w:rPr>
              <w:t>270</w:t>
            </w:r>
          </w:p>
        </w:tc>
        <w:tc>
          <w:tcPr>
            <w:tcW w:w="1361" w:type="dxa"/>
            <w:tcBorders>
              <w:top w:val="single" w:sz="2" w:space="0" w:color="58595B"/>
              <w:left w:val="nil"/>
              <w:bottom w:val="single" w:sz="2" w:space="0" w:color="58595B"/>
              <w:right w:val="nil"/>
            </w:tcBorders>
            <w:shd w:val="clear" w:color="auto" w:fill="E7F2F2"/>
            <w:vAlign w:val="bottom"/>
          </w:tcPr>
          <w:p w14:paraId="6DF658A3" w14:textId="77777777" w:rsidR="00D06CB2" w:rsidRPr="005C5E32" w:rsidRDefault="00D06CB2">
            <w:pPr>
              <w:pStyle w:val="TableText"/>
              <w:spacing w:before="40" w:after="40"/>
              <w:jc w:val="right"/>
              <w:rPr>
                <w:rFonts w:asciiTheme="minorHAnsi" w:hAnsiTheme="minorHAnsi"/>
              </w:rPr>
            </w:pPr>
            <w:r w:rsidRPr="005C5E32">
              <w:rPr>
                <w:rFonts w:asciiTheme="minorHAnsi" w:hAnsiTheme="minorHAnsi"/>
              </w:rPr>
              <w:t>548</w:t>
            </w:r>
          </w:p>
        </w:tc>
      </w:tr>
    </w:tbl>
    <w:p w14:paraId="633B0C22" w14:textId="77777777" w:rsidR="00D06CB2" w:rsidRPr="005C5E32" w:rsidRDefault="00D06CB2" w:rsidP="00A03341">
      <w:pPr>
        <w:pStyle w:val="BodyText"/>
        <w:spacing w:before="240"/>
      </w:pPr>
    </w:p>
    <w:p w14:paraId="6B4D6531" w14:textId="77777777" w:rsidR="00D06CB2" w:rsidRPr="005C5E32" w:rsidRDefault="00D06CB2">
      <w:pPr>
        <w:spacing w:before="0" w:after="200" w:line="276" w:lineRule="auto"/>
        <w:jc w:val="left"/>
      </w:pPr>
      <w:r w:rsidRPr="005C5E32">
        <w:br w:type="page"/>
      </w:r>
    </w:p>
    <w:p w14:paraId="132FF7C6" w14:textId="77777777" w:rsidR="00D06CB2" w:rsidRPr="005C5E32" w:rsidRDefault="00D06CB2">
      <w:pPr>
        <w:pStyle w:val="Heading2"/>
        <w:rPr>
          <w:color w:val="0E7B7E"/>
        </w:rPr>
      </w:pPr>
      <w:bookmarkStart w:id="351" w:name="_Toc112144644"/>
      <w:bookmarkStart w:id="352" w:name="_Toc177626496"/>
      <w:bookmarkStart w:id="353" w:name="_Toc205900455"/>
      <w:bookmarkStart w:id="354" w:name="_Toc207017413"/>
      <w:bookmarkStart w:id="355" w:name="_Toc210136389"/>
      <w:bookmarkStart w:id="356" w:name="_Toc240445585"/>
      <w:r w:rsidRPr="005C5E32">
        <w:rPr>
          <w:color w:val="0E7B7E"/>
        </w:rPr>
        <w:lastRenderedPageBreak/>
        <w:t>Non-departmental statements and schedules</w:t>
      </w:r>
      <w:bookmarkEnd w:id="351"/>
      <w:bookmarkEnd w:id="352"/>
      <w:bookmarkEnd w:id="353"/>
      <w:bookmarkEnd w:id="354"/>
      <w:bookmarkEnd w:id="355"/>
      <w:bookmarkEnd w:id="356"/>
    </w:p>
    <w:p w14:paraId="32411ADB" w14:textId="77777777" w:rsidR="00D06CB2" w:rsidRPr="005C5E32" w:rsidRDefault="00D06CB2">
      <w:pPr>
        <w:jc w:val="left"/>
        <w:rPr>
          <w:rFonts w:eastAsia="MS Mincho" w:cs="Arial"/>
          <w:sz w:val="28"/>
          <w:szCs w:val="28"/>
        </w:rPr>
      </w:pPr>
      <w:r w:rsidRPr="005C5E32">
        <w:rPr>
          <w:rFonts w:eastAsia="MS Mincho" w:cs="Arial"/>
          <w:sz w:val="28"/>
          <w:szCs w:val="28"/>
        </w:rPr>
        <w:t>for the year ended 30 June 2026</w:t>
      </w:r>
    </w:p>
    <w:p w14:paraId="06B018AE" w14:textId="77777777" w:rsidR="00D06CB2" w:rsidRPr="005C5E32" w:rsidRDefault="00D06CB2">
      <w:pPr>
        <w:spacing w:before="240"/>
        <w:jc w:val="left"/>
        <w:rPr>
          <w:rFonts w:eastAsia="MS Mincho" w:cs="Arial"/>
          <w:i/>
          <w:iCs/>
          <w:sz w:val="28"/>
          <w:szCs w:val="28"/>
        </w:rPr>
      </w:pPr>
      <w:r w:rsidRPr="005C5E32">
        <w:rPr>
          <w:rFonts w:eastAsia="MS Mincho" w:cs="Arial"/>
          <w:i/>
          <w:iCs/>
          <w:sz w:val="28"/>
          <w:szCs w:val="28"/>
        </w:rPr>
        <w:t>The following non-departmental statements and schedules record the revenue, expenses, assets, liabilities, commitments, contingent liabilities and contingent assets the Ministry manages on behalf of the Crown.</w:t>
      </w:r>
    </w:p>
    <w:p w14:paraId="2CAF8BE0" w14:textId="77777777" w:rsidR="00D06CB2" w:rsidRPr="005C5E32" w:rsidRDefault="00D06CB2">
      <w:pPr>
        <w:pStyle w:val="BodyText"/>
      </w:pPr>
    </w:p>
    <w:p w14:paraId="6595E0D9" w14:textId="77777777" w:rsidR="00D06CB2" w:rsidRPr="005C5E32" w:rsidRDefault="00D06CB2">
      <w:pPr>
        <w:pStyle w:val="Note"/>
      </w:pPr>
      <w:bookmarkStart w:id="357" w:name="_Toc112144645"/>
      <w:r w:rsidRPr="005C5E32">
        <w:br w:type="page"/>
      </w:r>
    </w:p>
    <w:p w14:paraId="41DFC1D1" w14:textId="77777777" w:rsidR="00D06CB2" w:rsidRPr="005C5E32" w:rsidRDefault="00D06CB2">
      <w:pPr>
        <w:pStyle w:val="Heading2green"/>
      </w:pPr>
      <w:bookmarkStart w:id="358" w:name="_Toc207017414"/>
      <w:bookmarkStart w:id="359" w:name="_Toc207017503"/>
      <w:bookmarkStart w:id="360" w:name="_Toc207192320"/>
      <w:bookmarkStart w:id="361" w:name="_Toc239677698"/>
      <w:bookmarkStart w:id="362" w:name="_Toc240445586"/>
      <w:r w:rsidRPr="005C5E32">
        <w:lastRenderedPageBreak/>
        <w:t>Schedule of non-departmental revenue</w:t>
      </w:r>
      <w:bookmarkEnd w:id="357"/>
      <w:bookmarkEnd w:id="358"/>
      <w:bookmarkEnd w:id="359"/>
      <w:bookmarkEnd w:id="360"/>
      <w:bookmarkEnd w:id="361"/>
      <w:bookmarkEnd w:id="362"/>
    </w:p>
    <w:p w14:paraId="401B58BA" w14:textId="77777777" w:rsidR="00D06CB2" w:rsidRPr="005C5E32" w:rsidRDefault="00D06CB2" w:rsidP="00062D8C">
      <w:pPr>
        <w:pStyle w:val="BodyText"/>
        <w:spacing w:after="240"/>
        <w:rPr>
          <w:sz w:val="28"/>
          <w:szCs w:val="28"/>
        </w:rPr>
      </w:pPr>
      <w:r w:rsidRPr="005C5E32">
        <w:rPr>
          <w:sz w:val="28"/>
          <w:szCs w:val="28"/>
        </w:rPr>
        <w:t>for the year ended 30 June 2026</w:t>
      </w:r>
    </w:p>
    <w:tbl>
      <w:tblPr>
        <w:tblW w:w="8505" w:type="dxa"/>
        <w:tblBorders>
          <w:top w:val="single" w:sz="2" w:space="0" w:color="808080" w:themeColor="background1" w:themeShade="80"/>
          <w:bottom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85" w:type="dxa"/>
          <w:right w:w="85" w:type="dxa"/>
        </w:tblCellMar>
        <w:tblLook w:val="01E0" w:firstRow="1" w:lastRow="1" w:firstColumn="1" w:lastColumn="1" w:noHBand="0" w:noVBand="0"/>
      </w:tblPr>
      <w:tblGrid>
        <w:gridCol w:w="3828"/>
        <w:gridCol w:w="850"/>
        <w:gridCol w:w="1276"/>
        <w:gridCol w:w="1417"/>
        <w:gridCol w:w="1134"/>
      </w:tblGrid>
      <w:tr w:rsidR="008C3719" w:rsidRPr="005C5E32" w14:paraId="4EEE30D8" w14:textId="77777777" w:rsidTr="003A5C84">
        <w:tc>
          <w:tcPr>
            <w:tcW w:w="3828" w:type="dxa"/>
            <w:tcBorders>
              <w:top w:val="single" w:sz="8" w:space="0" w:color="2C9986" w:themeColor="accent4"/>
              <w:bottom w:val="single" w:sz="2" w:space="0" w:color="58595B"/>
              <w:right w:val="nil"/>
            </w:tcBorders>
            <w:vAlign w:val="bottom"/>
          </w:tcPr>
          <w:p w14:paraId="74279D53" w14:textId="77777777" w:rsidR="008C3719" w:rsidRPr="005C5E32" w:rsidRDefault="008C3719">
            <w:pPr>
              <w:pStyle w:val="TableboldGreen"/>
              <w:spacing w:before="40" w:after="40"/>
              <w:jc w:val="right"/>
            </w:pPr>
          </w:p>
        </w:tc>
        <w:tc>
          <w:tcPr>
            <w:tcW w:w="850" w:type="dxa"/>
            <w:tcBorders>
              <w:top w:val="single" w:sz="8" w:space="0" w:color="2C9986" w:themeColor="accent4"/>
              <w:left w:val="nil"/>
              <w:bottom w:val="single" w:sz="2" w:space="0" w:color="58595B"/>
              <w:right w:val="nil"/>
            </w:tcBorders>
            <w:vAlign w:val="bottom"/>
          </w:tcPr>
          <w:p w14:paraId="2ECB7D7A" w14:textId="77777777" w:rsidR="008C3719" w:rsidRPr="005C5E32" w:rsidRDefault="008C3719" w:rsidP="009A673B">
            <w:pPr>
              <w:pStyle w:val="TableboldGreen"/>
              <w:spacing w:before="40" w:after="40"/>
              <w:jc w:val="right"/>
            </w:pPr>
            <w:r w:rsidRPr="005C5E32">
              <w:t>Notes</w:t>
            </w:r>
          </w:p>
        </w:tc>
        <w:tc>
          <w:tcPr>
            <w:tcW w:w="1276" w:type="dxa"/>
            <w:tcBorders>
              <w:top w:val="single" w:sz="8" w:space="0" w:color="2C9986" w:themeColor="accent4"/>
              <w:left w:val="nil"/>
              <w:bottom w:val="single" w:sz="2" w:space="0" w:color="58595B"/>
              <w:right w:val="nil"/>
            </w:tcBorders>
            <w:vAlign w:val="bottom"/>
          </w:tcPr>
          <w:p w14:paraId="4F9982C4" w14:textId="77777777" w:rsidR="008C3719" w:rsidRPr="005C5E32" w:rsidRDefault="008C3719">
            <w:pPr>
              <w:pStyle w:val="TableboldGreen"/>
              <w:spacing w:before="40" w:after="40"/>
              <w:jc w:val="right"/>
            </w:pPr>
            <w:r w:rsidRPr="005C5E32">
              <w:t>2024/25</w:t>
            </w:r>
            <w:r w:rsidRPr="005C5E32">
              <w:br/>
              <w:t>Actual</w:t>
            </w:r>
            <w:r w:rsidRPr="005C5E32">
              <w:br/>
              <w:t>$000</w:t>
            </w:r>
          </w:p>
        </w:tc>
        <w:tc>
          <w:tcPr>
            <w:tcW w:w="1417" w:type="dxa"/>
            <w:tcBorders>
              <w:top w:val="single" w:sz="8" w:space="0" w:color="2C9986" w:themeColor="accent4"/>
              <w:left w:val="nil"/>
              <w:bottom w:val="single" w:sz="2" w:space="0" w:color="58595B"/>
              <w:right w:val="nil"/>
            </w:tcBorders>
            <w:vAlign w:val="bottom"/>
          </w:tcPr>
          <w:p w14:paraId="4F3A840D" w14:textId="77777777" w:rsidR="008C3719" w:rsidRPr="005C5E32" w:rsidRDefault="008C3719">
            <w:pPr>
              <w:pStyle w:val="TableboldGreen"/>
              <w:spacing w:before="40" w:after="40"/>
              <w:jc w:val="right"/>
            </w:pPr>
            <w:r w:rsidRPr="005C5E32">
              <w:t>2025/26</w:t>
            </w:r>
            <w:r w:rsidRPr="005C5E32">
              <w:br/>
              <w:t xml:space="preserve">Mains </w:t>
            </w:r>
            <w:r w:rsidRPr="005C5E32" w:rsidDel="00CC12B9">
              <w:t>F</w:t>
            </w:r>
            <w:r w:rsidRPr="005C5E32">
              <w:t>orecast*</w:t>
            </w:r>
            <w:r w:rsidRPr="005C5E32">
              <w:br/>
              <w:t>$000</w:t>
            </w:r>
          </w:p>
        </w:tc>
        <w:tc>
          <w:tcPr>
            <w:tcW w:w="1134" w:type="dxa"/>
            <w:tcBorders>
              <w:top w:val="single" w:sz="8" w:space="0" w:color="2C9986" w:themeColor="accent4"/>
              <w:left w:val="nil"/>
              <w:bottom w:val="single" w:sz="2" w:space="0" w:color="58595B"/>
              <w:right w:val="nil"/>
            </w:tcBorders>
            <w:shd w:val="clear" w:color="auto" w:fill="E7F2F2"/>
            <w:vAlign w:val="bottom"/>
          </w:tcPr>
          <w:p w14:paraId="12E8C150" w14:textId="77777777" w:rsidR="008C3719" w:rsidRPr="005C5E32" w:rsidRDefault="008C3719">
            <w:pPr>
              <w:pStyle w:val="TableboldGreen"/>
              <w:spacing w:before="40" w:after="40"/>
              <w:jc w:val="right"/>
            </w:pPr>
            <w:r w:rsidRPr="005C5E32">
              <w:t>2025/26</w:t>
            </w:r>
            <w:r w:rsidRPr="005C5E32">
              <w:br/>
              <w:t>Actual</w:t>
            </w:r>
            <w:r w:rsidRPr="005C5E32">
              <w:br/>
              <w:t>$000</w:t>
            </w:r>
          </w:p>
        </w:tc>
      </w:tr>
      <w:tr w:rsidR="008C3719" w:rsidRPr="005C5E32" w14:paraId="44DFD7BE" w14:textId="77777777" w:rsidTr="005326A0">
        <w:tc>
          <w:tcPr>
            <w:tcW w:w="3828" w:type="dxa"/>
            <w:tcBorders>
              <w:top w:val="single" w:sz="2" w:space="0" w:color="58595B"/>
              <w:bottom w:val="single" w:sz="2" w:space="0" w:color="58595B"/>
              <w:right w:val="nil"/>
            </w:tcBorders>
          </w:tcPr>
          <w:p w14:paraId="22D4A071" w14:textId="77777777" w:rsidR="008C3719" w:rsidRPr="005C5E32" w:rsidRDefault="008C3719" w:rsidP="000A164F">
            <w:pPr>
              <w:pStyle w:val="TableboldGreen"/>
              <w:spacing w:before="40" w:after="40"/>
            </w:pPr>
            <w:r w:rsidRPr="005C5E32">
              <w:t>Revenue</w:t>
            </w:r>
          </w:p>
        </w:tc>
        <w:tc>
          <w:tcPr>
            <w:tcW w:w="850" w:type="dxa"/>
            <w:tcBorders>
              <w:top w:val="single" w:sz="2" w:space="0" w:color="58595B"/>
              <w:left w:val="nil"/>
              <w:bottom w:val="single" w:sz="2" w:space="0" w:color="58595B"/>
              <w:right w:val="nil"/>
            </w:tcBorders>
          </w:tcPr>
          <w:p w14:paraId="521BDDF3" w14:textId="77777777" w:rsidR="008C3719" w:rsidRPr="005C5E32" w:rsidRDefault="008C3719" w:rsidP="000A164F">
            <w:pPr>
              <w:pStyle w:val="TableText"/>
              <w:spacing w:before="40" w:after="40"/>
              <w:jc w:val="right"/>
            </w:pPr>
          </w:p>
        </w:tc>
        <w:tc>
          <w:tcPr>
            <w:tcW w:w="1276" w:type="dxa"/>
            <w:tcBorders>
              <w:top w:val="single" w:sz="2" w:space="0" w:color="58595B"/>
              <w:left w:val="nil"/>
              <w:bottom w:val="single" w:sz="2" w:space="0" w:color="58595B"/>
              <w:right w:val="nil"/>
            </w:tcBorders>
          </w:tcPr>
          <w:p w14:paraId="121E9762" w14:textId="77777777" w:rsidR="008C3719" w:rsidRPr="005C5E32" w:rsidRDefault="008C3719" w:rsidP="000A164F">
            <w:pPr>
              <w:pStyle w:val="TableText"/>
              <w:spacing w:before="40" w:after="40"/>
              <w:jc w:val="right"/>
            </w:pPr>
          </w:p>
        </w:tc>
        <w:tc>
          <w:tcPr>
            <w:tcW w:w="1417" w:type="dxa"/>
            <w:tcBorders>
              <w:top w:val="single" w:sz="2" w:space="0" w:color="58595B"/>
              <w:left w:val="nil"/>
              <w:bottom w:val="single" w:sz="2" w:space="0" w:color="58595B"/>
              <w:right w:val="nil"/>
            </w:tcBorders>
          </w:tcPr>
          <w:p w14:paraId="3AA257DA" w14:textId="77777777" w:rsidR="008C3719" w:rsidRPr="005C5E32" w:rsidRDefault="008C3719" w:rsidP="000A164F">
            <w:pPr>
              <w:pStyle w:val="TableText"/>
              <w:spacing w:before="40" w:after="40"/>
              <w:jc w:val="right"/>
            </w:pPr>
          </w:p>
        </w:tc>
        <w:tc>
          <w:tcPr>
            <w:tcW w:w="1134" w:type="dxa"/>
            <w:tcBorders>
              <w:top w:val="single" w:sz="2" w:space="0" w:color="58595B"/>
              <w:left w:val="nil"/>
              <w:bottom w:val="single" w:sz="2" w:space="0" w:color="58595B"/>
              <w:right w:val="nil"/>
            </w:tcBorders>
            <w:shd w:val="clear" w:color="auto" w:fill="E7F2F2"/>
            <w:vAlign w:val="bottom"/>
          </w:tcPr>
          <w:p w14:paraId="01112A74" w14:textId="77777777" w:rsidR="008C3719" w:rsidRPr="005C5E32" w:rsidRDefault="008C3719" w:rsidP="000A164F">
            <w:pPr>
              <w:pStyle w:val="TableText"/>
              <w:spacing w:before="40" w:after="40"/>
              <w:jc w:val="right"/>
              <w:rPr>
                <w:szCs w:val="18"/>
              </w:rPr>
            </w:pPr>
            <w:r w:rsidRPr="005C5E32">
              <w:rPr>
                <w:szCs w:val="18"/>
              </w:rPr>
              <w:t xml:space="preserve"> </w:t>
            </w:r>
          </w:p>
        </w:tc>
      </w:tr>
      <w:tr w:rsidR="008C3719" w:rsidRPr="005C5E32" w14:paraId="301FB051" w14:textId="77777777" w:rsidTr="005326A0">
        <w:tc>
          <w:tcPr>
            <w:tcW w:w="3828" w:type="dxa"/>
            <w:tcBorders>
              <w:top w:val="single" w:sz="2" w:space="0" w:color="58595B"/>
              <w:bottom w:val="single" w:sz="2" w:space="0" w:color="58595B"/>
              <w:right w:val="nil"/>
            </w:tcBorders>
          </w:tcPr>
          <w:p w14:paraId="5A647B76" w14:textId="77777777" w:rsidR="008C3719" w:rsidRPr="005C5E32" w:rsidRDefault="008C3719">
            <w:pPr>
              <w:pStyle w:val="TableText"/>
              <w:spacing w:before="40" w:after="40"/>
            </w:pPr>
            <w:r w:rsidRPr="005C5E32">
              <w:t>Royalties</w:t>
            </w:r>
          </w:p>
        </w:tc>
        <w:tc>
          <w:tcPr>
            <w:tcW w:w="850" w:type="dxa"/>
            <w:tcBorders>
              <w:top w:val="single" w:sz="2" w:space="0" w:color="58595B"/>
              <w:left w:val="nil"/>
              <w:bottom w:val="single" w:sz="2" w:space="0" w:color="58595B"/>
              <w:right w:val="nil"/>
            </w:tcBorders>
          </w:tcPr>
          <w:p w14:paraId="5BE14185" w14:textId="77777777" w:rsidR="008C3719" w:rsidRPr="005C5E32" w:rsidRDefault="008C3719" w:rsidP="009A673B">
            <w:pPr>
              <w:pStyle w:val="TableText"/>
              <w:spacing w:before="40" w:after="40"/>
              <w:jc w:val="right"/>
            </w:pPr>
          </w:p>
        </w:tc>
        <w:tc>
          <w:tcPr>
            <w:tcW w:w="1276" w:type="dxa"/>
            <w:tcBorders>
              <w:top w:val="single" w:sz="2" w:space="0" w:color="58595B"/>
              <w:left w:val="nil"/>
              <w:bottom w:val="single" w:sz="2" w:space="0" w:color="58595B"/>
              <w:right w:val="nil"/>
            </w:tcBorders>
          </w:tcPr>
          <w:p w14:paraId="6B9B7B7B" w14:textId="77777777" w:rsidR="008C3719" w:rsidRPr="005C5E32" w:rsidRDefault="008C3719">
            <w:pPr>
              <w:pStyle w:val="TableText"/>
              <w:spacing w:before="40" w:after="40"/>
              <w:jc w:val="right"/>
              <w:rPr>
                <w:rFonts w:eastAsia="Lato"/>
              </w:rPr>
            </w:pPr>
            <w:r w:rsidRPr="005C5E32">
              <w:rPr>
                <w:rFonts w:eastAsia="Lato"/>
              </w:rPr>
              <w:t>1,252</w:t>
            </w:r>
          </w:p>
        </w:tc>
        <w:tc>
          <w:tcPr>
            <w:tcW w:w="1417" w:type="dxa"/>
            <w:tcBorders>
              <w:top w:val="single" w:sz="2" w:space="0" w:color="58595B"/>
              <w:left w:val="nil"/>
              <w:bottom w:val="single" w:sz="2" w:space="0" w:color="58595B"/>
              <w:right w:val="nil"/>
            </w:tcBorders>
          </w:tcPr>
          <w:p w14:paraId="46DD1AAA" w14:textId="77777777" w:rsidR="008C3719" w:rsidRPr="005C5E32" w:rsidRDefault="008C3719">
            <w:pPr>
              <w:pStyle w:val="TableText"/>
              <w:spacing w:before="40" w:after="40"/>
              <w:jc w:val="right"/>
              <w:rPr>
                <w:rFonts w:eastAsia="Lato"/>
              </w:rPr>
            </w:pPr>
            <w:r w:rsidRPr="005C5E32">
              <w:rPr>
                <w:rFonts w:eastAsia="Lato"/>
              </w:rPr>
              <w:t>750</w:t>
            </w:r>
          </w:p>
        </w:tc>
        <w:tc>
          <w:tcPr>
            <w:tcW w:w="1134" w:type="dxa"/>
            <w:tcBorders>
              <w:top w:val="single" w:sz="2" w:space="0" w:color="58595B"/>
              <w:left w:val="nil"/>
              <w:bottom w:val="single" w:sz="2" w:space="0" w:color="58595B"/>
              <w:right w:val="nil"/>
            </w:tcBorders>
            <w:shd w:val="clear" w:color="auto" w:fill="E7F2F2"/>
          </w:tcPr>
          <w:p w14:paraId="2B54C4B3" w14:textId="77777777" w:rsidR="008C3719" w:rsidRPr="005C5E32" w:rsidRDefault="008C3719">
            <w:pPr>
              <w:pStyle w:val="TableText"/>
              <w:spacing w:before="40" w:after="40"/>
              <w:jc w:val="right"/>
              <w:rPr>
                <w:rFonts w:eastAsia="Lato"/>
              </w:rPr>
            </w:pPr>
            <w:r w:rsidRPr="005C5E32">
              <w:rPr>
                <w:rFonts w:eastAsia="Lato"/>
              </w:rPr>
              <w:t>343</w:t>
            </w:r>
          </w:p>
        </w:tc>
      </w:tr>
      <w:tr w:rsidR="008C3719" w:rsidRPr="005C5E32" w14:paraId="167CA69E" w14:textId="77777777" w:rsidTr="005326A0">
        <w:tc>
          <w:tcPr>
            <w:tcW w:w="3828" w:type="dxa"/>
            <w:tcBorders>
              <w:top w:val="single" w:sz="2" w:space="0" w:color="58595B"/>
              <w:bottom w:val="single" w:sz="2" w:space="0" w:color="58595B"/>
              <w:right w:val="nil"/>
            </w:tcBorders>
          </w:tcPr>
          <w:p w14:paraId="4ABBDD3B" w14:textId="77777777" w:rsidR="008C3719" w:rsidRPr="005C5E32" w:rsidRDefault="008C3719">
            <w:pPr>
              <w:pStyle w:val="TableText"/>
              <w:spacing w:before="40" w:after="40"/>
            </w:pPr>
            <w:r w:rsidRPr="005C5E32">
              <w:t>Levies</w:t>
            </w:r>
          </w:p>
        </w:tc>
        <w:tc>
          <w:tcPr>
            <w:tcW w:w="850" w:type="dxa"/>
            <w:tcBorders>
              <w:top w:val="single" w:sz="2" w:space="0" w:color="58595B"/>
              <w:left w:val="nil"/>
              <w:bottom w:val="single" w:sz="2" w:space="0" w:color="58595B"/>
              <w:right w:val="nil"/>
            </w:tcBorders>
          </w:tcPr>
          <w:p w14:paraId="2422F70D" w14:textId="77777777" w:rsidR="008C3719" w:rsidRPr="005C5E32" w:rsidRDefault="008C3719" w:rsidP="009A673B">
            <w:pPr>
              <w:pStyle w:val="TableText"/>
              <w:spacing w:before="40" w:after="40"/>
              <w:jc w:val="right"/>
            </w:pPr>
          </w:p>
        </w:tc>
        <w:tc>
          <w:tcPr>
            <w:tcW w:w="1276" w:type="dxa"/>
            <w:tcBorders>
              <w:top w:val="single" w:sz="2" w:space="0" w:color="58595B"/>
              <w:left w:val="nil"/>
              <w:bottom w:val="single" w:sz="2" w:space="0" w:color="58595B"/>
              <w:right w:val="nil"/>
            </w:tcBorders>
          </w:tcPr>
          <w:p w14:paraId="6C6C86A9" w14:textId="77777777" w:rsidR="008C3719" w:rsidRPr="005C5E32" w:rsidRDefault="008C3719">
            <w:pPr>
              <w:pStyle w:val="TableText"/>
              <w:spacing w:before="40" w:after="40"/>
              <w:jc w:val="right"/>
              <w:rPr>
                <w:rFonts w:eastAsia="Lato"/>
              </w:rPr>
            </w:pPr>
            <w:r w:rsidRPr="005C5E32">
              <w:rPr>
                <w:rFonts w:eastAsia="Lato"/>
              </w:rPr>
              <w:t>258,635</w:t>
            </w:r>
          </w:p>
        </w:tc>
        <w:tc>
          <w:tcPr>
            <w:tcW w:w="1417" w:type="dxa"/>
            <w:tcBorders>
              <w:top w:val="single" w:sz="2" w:space="0" w:color="58595B"/>
              <w:left w:val="nil"/>
              <w:bottom w:val="single" w:sz="2" w:space="0" w:color="58595B"/>
              <w:right w:val="nil"/>
            </w:tcBorders>
          </w:tcPr>
          <w:p w14:paraId="1A76F28A" w14:textId="77777777" w:rsidR="008C3719" w:rsidRPr="005C5E32" w:rsidRDefault="008C3719">
            <w:pPr>
              <w:pStyle w:val="TableText"/>
              <w:spacing w:before="40" w:after="40"/>
              <w:jc w:val="right"/>
              <w:rPr>
                <w:rFonts w:eastAsia="Lato"/>
              </w:rPr>
            </w:pPr>
            <w:r w:rsidRPr="005C5E32">
              <w:rPr>
                <w:rFonts w:eastAsia="Lato"/>
              </w:rPr>
              <w:t>327,889</w:t>
            </w:r>
          </w:p>
        </w:tc>
        <w:tc>
          <w:tcPr>
            <w:tcW w:w="1134" w:type="dxa"/>
            <w:tcBorders>
              <w:top w:val="single" w:sz="2" w:space="0" w:color="58595B"/>
              <w:left w:val="nil"/>
              <w:bottom w:val="single" w:sz="2" w:space="0" w:color="58595B"/>
              <w:right w:val="nil"/>
            </w:tcBorders>
            <w:shd w:val="clear" w:color="auto" w:fill="E7F2F2"/>
          </w:tcPr>
          <w:p w14:paraId="60435666" w14:textId="77777777" w:rsidR="008C3719" w:rsidRPr="005C5E32" w:rsidRDefault="008C3719">
            <w:pPr>
              <w:pStyle w:val="TableText"/>
              <w:spacing w:before="40" w:after="40"/>
              <w:jc w:val="right"/>
            </w:pPr>
            <w:r w:rsidRPr="005C5E32">
              <w:rPr>
                <w:rFonts w:eastAsia="Lato"/>
              </w:rPr>
              <w:t>276,460</w:t>
            </w:r>
          </w:p>
        </w:tc>
      </w:tr>
      <w:tr w:rsidR="008C3719" w:rsidRPr="005C5E32" w14:paraId="0035E450" w14:textId="77777777" w:rsidTr="005326A0">
        <w:tc>
          <w:tcPr>
            <w:tcW w:w="3828" w:type="dxa"/>
            <w:tcBorders>
              <w:top w:val="single" w:sz="2" w:space="0" w:color="58595B"/>
              <w:bottom w:val="single" w:sz="2" w:space="0" w:color="58595B"/>
              <w:right w:val="nil"/>
            </w:tcBorders>
            <w:vAlign w:val="bottom"/>
          </w:tcPr>
          <w:p w14:paraId="4710B2D8" w14:textId="56FF0152" w:rsidR="008C3719" w:rsidRPr="005C5E32" w:rsidRDefault="007E30C3">
            <w:pPr>
              <w:pStyle w:val="TableText"/>
              <w:spacing w:before="40" w:after="40"/>
            </w:pPr>
            <w:r w:rsidRPr="005C5E32">
              <w:t>Surrender of N</w:t>
            </w:r>
            <w:r w:rsidR="00715471" w:rsidRPr="005C5E32">
              <w:t>ew</w:t>
            </w:r>
            <w:r w:rsidR="00F47E03" w:rsidRPr="005C5E32">
              <w:t xml:space="preserve"> </w:t>
            </w:r>
            <w:r w:rsidRPr="005C5E32">
              <w:t>Z</w:t>
            </w:r>
            <w:r w:rsidR="00F47E03" w:rsidRPr="005C5E32">
              <w:t>ealand</w:t>
            </w:r>
            <w:r w:rsidRPr="005C5E32">
              <w:t xml:space="preserve"> Units</w:t>
            </w:r>
          </w:p>
        </w:tc>
        <w:tc>
          <w:tcPr>
            <w:tcW w:w="850" w:type="dxa"/>
            <w:tcBorders>
              <w:top w:val="single" w:sz="2" w:space="0" w:color="58595B"/>
              <w:left w:val="nil"/>
              <w:bottom w:val="single" w:sz="2" w:space="0" w:color="58595B"/>
              <w:right w:val="nil"/>
            </w:tcBorders>
            <w:vAlign w:val="bottom"/>
          </w:tcPr>
          <w:p w14:paraId="66A9F231" w14:textId="77777777" w:rsidR="008C3719" w:rsidRPr="005C5E32" w:rsidRDefault="008C3719" w:rsidP="009A673B">
            <w:pPr>
              <w:pStyle w:val="TableText"/>
              <w:spacing w:before="40" w:after="40"/>
              <w:jc w:val="right"/>
            </w:pPr>
            <w:r w:rsidRPr="005C5E32">
              <w:t>10</w:t>
            </w:r>
          </w:p>
        </w:tc>
        <w:tc>
          <w:tcPr>
            <w:tcW w:w="1276" w:type="dxa"/>
            <w:tcBorders>
              <w:top w:val="single" w:sz="2" w:space="0" w:color="58595B"/>
              <w:left w:val="nil"/>
              <w:bottom w:val="single" w:sz="2" w:space="0" w:color="58595B"/>
              <w:right w:val="nil"/>
            </w:tcBorders>
            <w:vAlign w:val="bottom"/>
          </w:tcPr>
          <w:p w14:paraId="20BD26F5" w14:textId="77777777" w:rsidR="008C3719" w:rsidRPr="005C5E32" w:rsidRDefault="008C3719">
            <w:pPr>
              <w:pStyle w:val="TableText"/>
              <w:spacing w:before="40" w:after="40"/>
              <w:jc w:val="right"/>
              <w:rPr>
                <w:rFonts w:eastAsia="Lato"/>
              </w:rPr>
            </w:pPr>
            <w:r w:rsidRPr="005C5E32">
              <w:rPr>
                <w:rFonts w:eastAsia="Lato"/>
              </w:rPr>
              <w:t>1,892,805</w:t>
            </w:r>
          </w:p>
        </w:tc>
        <w:tc>
          <w:tcPr>
            <w:tcW w:w="1417" w:type="dxa"/>
            <w:tcBorders>
              <w:top w:val="single" w:sz="2" w:space="0" w:color="58595B"/>
              <w:left w:val="nil"/>
              <w:bottom w:val="single" w:sz="2" w:space="0" w:color="58595B"/>
              <w:right w:val="nil"/>
            </w:tcBorders>
            <w:vAlign w:val="bottom"/>
          </w:tcPr>
          <w:p w14:paraId="138C40BA" w14:textId="77777777" w:rsidR="008C3719" w:rsidRPr="005C5E32" w:rsidRDefault="008C3719">
            <w:pPr>
              <w:pStyle w:val="TableText"/>
              <w:spacing w:before="40" w:after="40"/>
              <w:jc w:val="right"/>
              <w:rPr>
                <w:rFonts w:eastAsia="Lato"/>
              </w:rPr>
            </w:pPr>
            <w:r w:rsidRPr="005C5E32">
              <w:rPr>
                <w:rFonts w:eastAsia="Lato"/>
              </w:rPr>
              <w:t>2,299,616</w:t>
            </w:r>
          </w:p>
        </w:tc>
        <w:tc>
          <w:tcPr>
            <w:tcW w:w="1134" w:type="dxa"/>
            <w:tcBorders>
              <w:top w:val="single" w:sz="2" w:space="0" w:color="58595B"/>
              <w:left w:val="nil"/>
              <w:bottom w:val="single" w:sz="2" w:space="0" w:color="58595B"/>
              <w:right w:val="nil"/>
            </w:tcBorders>
            <w:shd w:val="clear" w:color="auto" w:fill="E7F2F2"/>
            <w:vAlign w:val="bottom"/>
          </w:tcPr>
          <w:p w14:paraId="069BCA22" w14:textId="77777777" w:rsidR="008C3719" w:rsidRPr="005C5E32" w:rsidRDefault="008C3719">
            <w:pPr>
              <w:pStyle w:val="TableText"/>
              <w:spacing w:before="40" w:after="40"/>
              <w:jc w:val="right"/>
              <w:rPr>
                <w:rFonts w:eastAsia="Lato"/>
              </w:rPr>
            </w:pPr>
            <w:r w:rsidRPr="005C5E32">
              <w:rPr>
                <w:rFonts w:eastAsia="Lato"/>
              </w:rPr>
              <w:t>1,805,337</w:t>
            </w:r>
          </w:p>
        </w:tc>
      </w:tr>
      <w:tr w:rsidR="008C3719" w:rsidRPr="005C5E32" w14:paraId="417FDBAE" w14:textId="77777777" w:rsidTr="005326A0">
        <w:tc>
          <w:tcPr>
            <w:tcW w:w="3828" w:type="dxa"/>
            <w:tcBorders>
              <w:top w:val="single" w:sz="2" w:space="0" w:color="58595B"/>
              <w:bottom w:val="single" w:sz="2" w:space="0" w:color="58595B"/>
              <w:right w:val="nil"/>
            </w:tcBorders>
          </w:tcPr>
          <w:p w14:paraId="2E8472B5" w14:textId="77777777" w:rsidR="008C3719" w:rsidRPr="005C5E32" w:rsidRDefault="008C3719">
            <w:pPr>
              <w:pStyle w:val="TableText"/>
              <w:spacing w:before="40" w:after="40"/>
            </w:pPr>
            <w:r w:rsidRPr="005C5E32">
              <w:rPr>
                <w:rFonts w:cs="Calibri"/>
                <w:szCs w:val="18"/>
              </w:rPr>
              <w:t>Emissions Trading Scheme penalty revenue</w:t>
            </w:r>
          </w:p>
        </w:tc>
        <w:tc>
          <w:tcPr>
            <w:tcW w:w="850" w:type="dxa"/>
            <w:tcBorders>
              <w:top w:val="single" w:sz="2" w:space="0" w:color="58595B"/>
              <w:left w:val="nil"/>
              <w:bottom w:val="single" w:sz="2" w:space="0" w:color="58595B"/>
              <w:right w:val="nil"/>
            </w:tcBorders>
          </w:tcPr>
          <w:p w14:paraId="2A315296" w14:textId="77777777" w:rsidR="008C3719" w:rsidRPr="005C5E32" w:rsidRDefault="008C3719">
            <w:pPr>
              <w:pStyle w:val="TableText"/>
              <w:spacing w:before="40" w:after="40"/>
              <w:jc w:val="right"/>
            </w:pPr>
          </w:p>
        </w:tc>
        <w:tc>
          <w:tcPr>
            <w:tcW w:w="1276" w:type="dxa"/>
            <w:tcBorders>
              <w:top w:val="single" w:sz="2" w:space="0" w:color="58595B"/>
              <w:left w:val="nil"/>
              <w:bottom w:val="single" w:sz="2" w:space="0" w:color="58595B"/>
              <w:right w:val="nil"/>
            </w:tcBorders>
            <w:vAlign w:val="bottom"/>
          </w:tcPr>
          <w:p w14:paraId="413A1BA2" w14:textId="77777777" w:rsidR="008C3719" w:rsidRPr="005C5E32" w:rsidRDefault="008C3719">
            <w:pPr>
              <w:pStyle w:val="TableText"/>
              <w:spacing w:before="40" w:after="40"/>
              <w:jc w:val="right"/>
              <w:rPr>
                <w:rFonts w:eastAsia="Lato"/>
              </w:rPr>
            </w:pPr>
            <w:r w:rsidRPr="005C5E32">
              <w:rPr>
                <w:rFonts w:eastAsia="Lato"/>
              </w:rPr>
              <w:t>34,006</w:t>
            </w:r>
          </w:p>
        </w:tc>
        <w:tc>
          <w:tcPr>
            <w:tcW w:w="1417" w:type="dxa"/>
            <w:tcBorders>
              <w:top w:val="single" w:sz="2" w:space="0" w:color="58595B"/>
              <w:left w:val="nil"/>
              <w:bottom w:val="single" w:sz="2" w:space="0" w:color="58595B"/>
              <w:right w:val="nil"/>
            </w:tcBorders>
            <w:vAlign w:val="bottom"/>
          </w:tcPr>
          <w:p w14:paraId="6D42F934" w14:textId="77777777" w:rsidR="008C3719" w:rsidRPr="005C5E32" w:rsidRDefault="008C3719">
            <w:pPr>
              <w:pStyle w:val="TableText"/>
              <w:spacing w:before="40" w:after="40"/>
              <w:jc w:val="right"/>
              <w:rPr>
                <w:rFonts w:eastAsia="Lato"/>
              </w:rPr>
            </w:pPr>
            <w:r w:rsidRPr="005C5E32">
              <w:rPr>
                <w:rFonts w:cs="Calibri"/>
                <w:szCs w:val="18"/>
              </w:rPr>
              <w:t>–</w:t>
            </w:r>
          </w:p>
        </w:tc>
        <w:tc>
          <w:tcPr>
            <w:tcW w:w="1134" w:type="dxa"/>
            <w:tcBorders>
              <w:top w:val="single" w:sz="2" w:space="0" w:color="58595B"/>
              <w:left w:val="nil"/>
              <w:bottom w:val="single" w:sz="2" w:space="0" w:color="58595B"/>
              <w:right w:val="nil"/>
            </w:tcBorders>
            <w:shd w:val="clear" w:color="auto" w:fill="E7F2F2"/>
            <w:vAlign w:val="bottom"/>
          </w:tcPr>
          <w:p w14:paraId="3D5F3A8C" w14:textId="77777777" w:rsidR="008C3719" w:rsidRPr="005C5E32" w:rsidRDefault="008C3719">
            <w:pPr>
              <w:pStyle w:val="TableText"/>
              <w:spacing w:before="40" w:after="40"/>
              <w:jc w:val="right"/>
              <w:rPr>
                <w:rFonts w:eastAsia="Lato"/>
              </w:rPr>
            </w:pPr>
            <w:r w:rsidRPr="005C5E32">
              <w:rPr>
                <w:rFonts w:eastAsia="Lato"/>
              </w:rPr>
              <w:t>4,327</w:t>
            </w:r>
          </w:p>
        </w:tc>
      </w:tr>
      <w:tr w:rsidR="008C3719" w:rsidRPr="005C5E32" w14:paraId="1CD6FB4B" w14:textId="77777777" w:rsidTr="005326A0">
        <w:tc>
          <w:tcPr>
            <w:tcW w:w="3828" w:type="dxa"/>
            <w:tcBorders>
              <w:top w:val="single" w:sz="2" w:space="0" w:color="58595B"/>
              <w:bottom w:val="single" w:sz="2" w:space="0" w:color="58595B"/>
              <w:right w:val="nil"/>
            </w:tcBorders>
          </w:tcPr>
          <w:p w14:paraId="611B76F4" w14:textId="77777777" w:rsidR="008C3719" w:rsidRPr="005C5E32" w:rsidRDefault="008C3719">
            <w:pPr>
              <w:pStyle w:val="TableText"/>
              <w:spacing w:before="40" w:after="40"/>
              <w:rPr>
                <w:rFonts w:cs="Calibri"/>
                <w:szCs w:val="18"/>
              </w:rPr>
            </w:pPr>
            <w:r w:rsidRPr="005C5E32">
              <w:rPr>
                <w:rFonts w:cs="Calibri"/>
                <w:szCs w:val="18"/>
              </w:rPr>
              <w:t>Grants refund</w:t>
            </w:r>
          </w:p>
        </w:tc>
        <w:tc>
          <w:tcPr>
            <w:tcW w:w="850" w:type="dxa"/>
            <w:tcBorders>
              <w:top w:val="single" w:sz="2" w:space="0" w:color="58595B"/>
              <w:left w:val="nil"/>
              <w:bottom w:val="single" w:sz="2" w:space="0" w:color="58595B"/>
              <w:right w:val="nil"/>
            </w:tcBorders>
          </w:tcPr>
          <w:p w14:paraId="75AF5930" w14:textId="77777777" w:rsidR="008C3719" w:rsidRPr="005C5E32" w:rsidRDefault="008C3719">
            <w:pPr>
              <w:pStyle w:val="TableText"/>
              <w:spacing w:before="40" w:after="40"/>
              <w:jc w:val="right"/>
            </w:pPr>
          </w:p>
        </w:tc>
        <w:tc>
          <w:tcPr>
            <w:tcW w:w="1276" w:type="dxa"/>
            <w:tcBorders>
              <w:top w:val="single" w:sz="2" w:space="0" w:color="58595B"/>
              <w:left w:val="nil"/>
              <w:bottom w:val="single" w:sz="2" w:space="0" w:color="58595B"/>
              <w:right w:val="nil"/>
            </w:tcBorders>
          </w:tcPr>
          <w:p w14:paraId="62FD6B84" w14:textId="77777777" w:rsidR="008C3719" w:rsidRPr="005C5E32" w:rsidRDefault="008C3719">
            <w:pPr>
              <w:pStyle w:val="TableText"/>
              <w:spacing w:before="40" w:after="40"/>
              <w:jc w:val="right"/>
              <w:rPr>
                <w:rFonts w:eastAsia="Lato"/>
              </w:rPr>
            </w:pPr>
            <w:r w:rsidRPr="005C5E32">
              <w:rPr>
                <w:rFonts w:cs="Calibri"/>
                <w:szCs w:val="18"/>
              </w:rPr>
              <w:t>–</w:t>
            </w:r>
          </w:p>
        </w:tc>
        <w:tc>
          <w:tcPr>
            <w:tcW w:w="1417" w:type="dxa"/>
            <w:tcBorders>
              <w:top w:val="single" w:sz="2" w:space="0" w:color="58595B"/>
              <w:left w:val="nil"/>
              <w:bottom w:val="single" w:sz="2" w:space="0" w:color="58595B"/>
              <w:right w:val="nil"/>
            </w:tcBorders>
          </w:tcPr>
          <w:p w14:paraId="2F128224" w14:textId="77777777" w:rsidR="008C3719" w:rsidRPr="005C5E32" w:rsidRDefault="008C3719">
            <w:pPr>
              <w:pStyle w:val="TableText"/>
              <w:spacing w:before="40" w:after="40"/>
              <w:jc w:val="right"/>
              <w:rPr>
                <w:rFonts w:cs="Calibri"/>
                <w:szCs w:val="18"/>
              </w:rPr>
            </w:pPr>
            <w:r w:rsidRPr="005C5E32">
              <w:rPr>
                <w:rFonts w:cs="Calibri"/>
                <w:szCs w:val="18"/>
              </w:rPr>
              <w:t>–</w:t>
            </w:r>
          </w:p>
        </w:tc>
        <w:tc>
          <w:tcPr>
            <w:tcW w:w="1134" w:type="dxa"/>
            <w:tcBorders>
              <w:top w:val="single" w:sz="2" w:space="0" w:color="58595B"/>
              <w:left w:val="nil"/>
              <w:bottom w:val="single" w:sz="2" w:space="0" w:color="58595B"/>
              <w:right w:val="nil"/>
            </w:tcBorders>
            <w:shd w:val="clear" w:color="auto" w:fill="E7F2F2"/>
            <w:vAlign w:val="bottom"/>
          </w:tcPr>
          <w:p w14:paraId="74177B16" w14:textId="77777777" w:rsidR="008C3719" w:rsidRPr="005C5E32" w:rsidRDefault="008C3719">
            <w:pPr>
              <w:pStyle w:val="TableText"/>
              <w:spacing w:before="40" w:after="40"/>
              <w:jc w:val="right"/>
              <w:rPr>
                <w:rFonts w:eastAsia="Lato"/>
              </w:rPr>
            </w:pPr>
            <w:r w:rsidRPr="005C5E32">
              <w:rPr>
                <w:rFonts w:eastAsia="Lato"/>
              </w:rPr>
              <w:t>872</w:t>
            </w:r>
          </w:p>
        </w:tc>
      </w:tr>
      <w:tr w:rsidR="008C3719" w:rsidRPr="005C5E32" w14:paraId="644F95A6" w14:textId="77777777" w:rsidTr="005326A0">
        <w:tc>
          <w:tcPr>
            <w:tcW w:w="3828" w:type="dxa"/>
            <w:tcBorders>
              <w:top w:val="single" w:sz="2" w:space="0" w:color="58595B"/>
              <w:bottom w:val="single" w:sz="2" w:space="0" w:color="58595B"/>
              <w:right w:val="nil"/>
            </w:tcBorders>
          </w:tcPr>
          <w:p w14:paraId="7E7325F0" w14:textId="77777777" w:rsidR="008C3719" w:rsidRPr="005C5E32" w:rsidRDefault="008C3719">
            <w:pPr>
              <w:pStyle w:val="TableText"/>
              <w:spacing w:before="40" w:after="40"/>
              <w:rPr>
                <w:rFonts w:cs="Calibri"/>
                <w:szCs w:val="18"/>
              </w:rPr>
            </w:pPr>
            <w:r w:rsidRPr="005C5E32">
              <w:rPr>
                <w:rFonts w:cs="Calibri"/>
                <w:szCs w:val="18"/>
              </w:rPr>
              <w:t>Net changes in carbon price of New Zealand Units</w:t>
            </w:r>
          </w:p>
        </w:tc>
        <w:tc>
          <w:tcPr>
            <w:tcW w:w="850" w:type="dxa"/>
            <w:tcBorders>
              <w:top w:val="single" w:sz="2" w:space="0" w:color="58595B"/>
              <w:left w:val="nil"/>
              <w:bottom w:val="single" w:sz="2" w:space="0" w:color="58595B"/>
              <w:right w:val="nil"/>
            </w:tcBorders>
          </w:tcPr>
          <w:p w14:paraId="22836326" w14:textId="77777777" w:rsidR="008C3719" w:rsidRPr="005C5E32" w:rsidRDefault="008C3719">
            <w:pPr>
              <w:pStyle w:val="TableText"/>
              <w:spacing w:before="40" w:after="40"/>
              <w:jc w:val="right"/>
            </w:pPr>
          </w:p>
        </w:tc>
        <w:tc>
          <w:tcPr>
            <w:tcW w:w="1276" w:type="dxa"/>
            <w:tcBorders>
              <w:top w:val="single" w:sz="2" w:space="0" w:color="58595B"/>
              <w:left w:val="nil"/>
              <w:bottom w:val="single" w:sz="2" w:space="0" w:color="58595B"/>
              <w:right w:val="nil"/>
            </w:tcBorders>
            <w:vAlign w:val="bottom"/>
          </w:tcPr>
          <w:p w14:paraId="257F5F21" w14:textId="77777777" w:rsidR="008C3719" w:rsidRPr="005C5E32" w:rsidRDefault="008C3719">
            <w:pPr>
              <w:pStyle w:val="TableText"/>
              <w:spacing w:before="40" w:after="40"/>
              <w:jc w:val="right"/>
              <w:rPr>
                <w:rFonts w:eastAsia="Lato"/>
              </w:rPr>
            </w:pPr>
            <w:r w:rsidRPr="005C5E32">
              <w:rPr>
                <w:rFonts w:cs="Calibri"/>
                <w:szCs w:val="18"/>
              </w:rPr>
              <w:t>–</w:t>
            </w:r>
          </w:p>
        </w:tc>
        <w:tc>
          <w:tcPr>
            <w:tcW w:w="1417" w:type="dxa"/>
            <w:tcBorders>
              <w:top w:val="single" w:sz="2" w:space="0" w:color="58595B"/>
              <w:left w:val="nil"/>
              <w:bottom w:val="single" w:sz="2" w:space="0" w:color="58595B"/>
              <w:right w:val="nil"/>
            </w:tcBorders>
            <w:vAlign w:val="bottom"/>
          </w:tcPr>
          <w:p w14:paraId="227142EA" w14:textId="77777777" w:rsidR="008C3719" w:rsidRPr="005C5E32" w:rsidRDefault="008C3719">
            <w:pPr>
              <w:pStyle w:val="TableText"/>
              <w:spacing w:before="40" w:after="40"/>
              <w:jc w:val="right"/>
              <w:rPr>
                <w:rFonts w:cs="Calibri"/>
                <w:szCs w:val="18"/>
              </w:rPr>
            </w:pPr>
            <w:r w:rsidRPr="005C5E32">
              <w:rPr>
                <w:rFonts w:cs="Calibri"/>
                <w:szCs w:val="18"/>
              </w:rPr>
              <w:t>–</w:t>
            </w:r>
          </w:p>
        </w:tc>
        <w:tc>
          <w:tcPr>
            <w:tcW w:w="1134" w:type="dxa"/>
            <w:tcBorders>
              <w:top w:val="single" w:sz="2" w:space="0" w:color="58595B"/>
              <w:left w:val="nil"/>
              <w:bottom w:val="single" w:sz="2" w:space="0" w:color="58595B"/>
              <w:right w:val="nil"/>
            </w:tcBorders>
            <w:shd w:val="clear" w:color="auto" w:fill="E7F2F2"/>
            <w:vAlign w:val="bottom"/>
          </w:tcPr>
          <w:p w14:paraId="6E20E13F" w14:textId="77777777" w:rsidR="008C3719" w:rsidRPr="005C5E32" w:rsidRDefault="008C3719">
            <w:pPr>
              <w:pStyle w:val="TableText"/>
              <w:spacing w:before="40" w:after="40"/>
              <w:jc w:val="right"/>
              <w:rPr>
                <w:rFonts w:eastAsia="Lato"/>
              </w:rPr>
            </w:pPr>
            <w:r w:rsidRPr="005C5E32">
              <w:rPr>
                <w:rFonts w:eastAsia="Lato"/>
              </w:rPr>
              <w:t>508,590</w:t>
            </w:r>
          </w:p>
        </w:tc>
      </w:tr>
      <w:tr w:rsidR="008C3719" w:rsidRPr="005C5E32" w14:paraId="1F2DB626" w14:textId="77777777" w:rsidTr="005326A0">
        <w:tc>
          <w:tcPr>
            <w:tcW w:w="3828" w:type="dxa"/>
            <w:tcBorders>
              <w:top w:val="single" w:sz="2" w:space="0" w:color="58595B"/>
              <w:bottom w:val="single" w:sz="2" w:space="0" w:color="58595B"/>
              <w:right w:val="nil"/>
            </w:tcBorders>
          </w:tcPr>
          <w:p w14:paraId="5C2CF1EC" w14:textId="77777777" w:rsidR="008C3719" w:rsidRPr="005C5E32" w:rsidRDefault="008C3719">
            <w:pPr>
              <w:pStyle w:val="TableTextbold"/>
              <w:spacing w:before="40" w:after="40"/>
            </w:pPr>
            <w:r w:rsidRPr="005C5E32">
              <w:t>Total non-departmental revenue</w:t>
            </w:r>
          </w:p>
        </w:tc>
        <w:tc>
          <w:tcPr>
            <w:tcW w:w="850" w:type="dxa"/>
            <w:tcBorders>
              <w:top w:val="single" w:sz="2" w:space="0" w:color="58595B"/>
              <w:left w:val="nil"/>
              <w:bottom w:val="single" w:sz="2" w:space="0" w:color="58595B"/>
              <w:right w:val="nil"/>
            </w:tcBorders>
          </w:tcPr>
          <w:p w14:paraId="4349C4CC" w14:textId="77777777" w:rsidR="008C3719" w:rsidRPr="005C5E32" w:rsidRDefault="008C3719">
            <w:pPr>
              <w:pStyle w:val="TableTextbold"/>
              <w:spacing w:before="40" w:after="40"/>
              <w:jc w:val="right"/>
            </w:pPr>
          </w:p>
        </w:tc>
        <w:tc>
          <w:tcPr>
            <w:tcW w:w="1276" w:type="dxa"/>
            <w:tcBorders>
              <w:top w:val="single" w:sz="2" w:space="0" w:color="58595B"/>
              <w:left w:val="nil"/>
              <w:bottom w:val="single" w:sz="2" w:space="0" w:color="58595B"/>
              <w:right w:val="nil"/>
            </w:tcBorders>
          </w:tcPr>
          <w:p w14:paraId="000FACB1" w14:textId="77777777" w:rsidR="008C3719" w:rsidRPr="005C5E32" w:rsidRDefault="008C3719">
            <w:pPr>
              <w:pStyle w:val="TableTextbold"/>
              <w:spacing w:before="40" w:after="40"/>
              <w:jc w:val="right"/>
              <w:rPr>
                <w:rFonts w:eastAsia="Lato"/>
              </w:rPr>
            </w:pPr>
            <w:r w:rsidRPr="005C5E32">
              <w:rPr>
                <w:rFonts w:eastAsia="Lato"/>
              </w:rPr>
              <w:t>2,186,698</w:t>
            </w:r>
          </w:p>
        </w:tc>
        <w:tc>
          <w:tcPr>
            <w:tcW w:w="1417" w:type="dxa"/>
            <w:tcBorders>
              <w:top w:val="single" w:sz="2" w:space="0" w:color="58595B"/>
              <w:left w:val="nil"/>
              <w:bottom w:val="single" w:sz="2" w:space="0" w:color="58595B"/>
              <w:right w:val="nil"/>
            </w:tcBorders>
          </w:tcPr>
          <w:p w14:paraId="7460A8F6" w14:textId="77777777" w:rsidR="008C3719" w:rsidRPr="005C5E32" w:rsidRDefault="008C3719">
            <w:pPr>
              <w:pStyle w:val="TableTextbold"/>
              <w:spacing w:before="40" w:after="40"/>
              <w:jc w:val="right"/>
              <w:rPr>
                <w:rFonts w:eastAsia="Lato"/>
              </w:rPr>
            </w:pPr>
            <w:r w:rsidRPr="005C5E32">
              <w:rPr>
                <w:rFonts w:eastAsia="Lato"/>
              </w:rPr>
              <w:t>2,628,255</w:t>
            </w:r>
          </w:p>
        </w:tc>
        <w:tc>
          <w:tcPr>
            <w:tcW w:w="1134" w:type="dxa"/>
            <w:tcBorders>
              <w:top w:val="single" w:sz="2" w:space="0" w:color="58595B"/>
              <w:left w:val="nil"/>
              <w:bottom w:val="single" w:sz="2" w:space="0" w:color="58595B"/>
              <w:right w:val="nil"/>
            </w:tcBorders>
            <w:shd w:val="clear" w:color="auto" w:fill="E7F2F2"/>
          </w:tcPr>
          <w:p w14:paraId="3B3EDB15" w14:textId="77777777" w:rsidR="008C3719" w:rsidRPr="005C5E32" w:rsidRDefault="008C3719">
            <w:pPr>
              <w:pStyle w:val="TableTextbold"/>
              <w:spacing w:before="40" w:after="40"/>
              <w:jc w:val="right"/>
            </w:pPr>
            <w:r w:rsidRPr="005C5E32">
              <w:rPr>
                <w:rFonts w:eastAsia="Lato"/>
              </w:rPr>
              <w:t>2,595,929</w:t>
            </w:r>
          </w:p>
        </w:tc>
      </w:tr>
    </w:tbl>
    <w:p w14:paraId="37B19D0E" w14:textId="77777777" w:rsidR="00D06CB2" w:rsidRPr="005C5E32" w:rsidRDefault="00D06CB2" w:rsidP="00062D8C">
      <w:pPr>
        <w:pStyle w:val="Note"/>
      </w:pPr>
      <w:r w:rsidRPr="005C5E32">
        <w:t>*</w:t>
      </w:r>
      <w:bookmarkStart w:id="363" w:name="_Hlk205283477"/>
      <w:r w:rsidRPr="005C5E32">
        <w:t xml:space="preserve"> The statement of accounting policies explains the basis for these figures, which are not subject to audit.</w:t>
      </w:r>
    </w:p>
    <w:bookmarkEnd w:id="363"/>
    <w:p w14:paraId="277712CC" w14:textId="77777777" w:rsidR="00D06CB2" w:rsidRPr="005C5E32" w:rsidRDefault="00D06CB2" w:rsidP="00062D8C">
      <w:pPr>
        <w:pStyle w:val="BodyText"/>
      </w:pPr>
      <w:r w:rsidRPr="005C5E32">
        <w:t xml:space="preserve">Explanations of significant variances against budget are detailed in </w:t>
      </w:r>
      <w:r w:rsidRPr="005C5E32" w:rsidDel="00A42460">
        <w:t>N</w:t>
      </w:r>
      <w:r w:rsidRPr="005C5E32">
        <w:t>ote 13.</w:t>
      </w:r>
    </w:p>
    <w:p w14:paraId="1E18D1C3" w14:textId="3847639A" w:rsidR="00D06CB2" w:rsidRPr="005C5E32" w:rsidRDefault="00D06CB2">
      <w:pPr>
        <w:pStyle w:val="Heading2green"/>
      </w:pPr>
      <w:bookmarkStart w:id="364" w:name="_Toc112144646"/>
      <w:bookmarkStart w:id="365" w:name="_Toc207017415"/>
      <w:bookmarkStart w:id="366" w:name="_Toc207017504"/>
      <w:bookmarkStart w:id="367" w:name="_Toc207192321"/>
      <w:bookmarkStart w:id="368" w:name="_Toc239677699"/>
      <w:bookmarkStart w:id="369" w:name="_Toc240445587"/>
      <w:r w:rsidRPr="005C5E32">
        <w:t>Schedule of non-departmental capital</w:t>
      </w:r>
      <w:r w:rsidR="0070598F" w:rsidRPr="005C5E32">
        <w:t> </w:t>
      </w:r>
      <w:r w:rsidRPr="005C5E32">
        <w:t>receipts</w:t>
      </w:r>
      <w:bookmarkEnd w:id="364"/>
      <w:bookmarkEnd w:id="365"/>
      <w:bookmarkEnd w:id="366"/>
      <w:bookmarkEnd w:id="367"/>
      <w:bookmarkEnd w:id="368"/>
      <w:bookmarkEnd w:id="369"/>
    </w:p>
    <w:p w14:paraId="3933DB6A" w14:textId="77777777" w:rsidR="00D06CB2" w:rsidRPr="005C5E32" w:rsidRDefault="00D06CB2">
      <w:pPr>
        <w:rPr>
          <w:rFonts w:eastAsia="MS Mincho" w:cs="Arial"/>
          <w:sz w:val="28"/>
          <w:szCs w:val="28"/>
        </w:rPr>
      </w:pPr>
      <w:r w:rsidRPr="005C5E32">
        <w:rPr>
          <w:rFonts w:eastAsia="MS Mincho" w:cs="Arial"/>
          <w:sz w:val="28"/>
          <w:szCs w:val="28"/>
        </w:rPr>
        <w:t>for the year ended 30 June 2026</w:t>
      </w:r>
    </w:p>
    <w:p w14:paraId="1575467B" w14:textId="77777777" w:rsidR="00D06CB2" w:rsidRPr="005C5E32" w:rsidRDefault="00D06CB2">
      <w:pPr>
        <w:rPr>
          <w:rFonts w:eastAsia="MS Mincho" w:cs="Arial"/>
        </w:rPr>
      </w:pPr>
      <w:r w:rsidRPr="005C5E32">
        <w:rPr>
          <w:rFonts w:eastAsia="MS Mincho" w:cs="Arial"/>
        </w:rPr>
        <w:t>The Ministry on behalf of the Crown has no capital receipts (2024/25: $nil).</w:t>
      </w:r>
    </w:p>
    <w:p w14:paraId="4F1D8F69" w14:textId="77777777" w:rsidR="00D06CB2" w:rsidRPr="005C5E32" w:rsidRDefault="00D06CB2">
      <w:pPr>
        <w:pStyle w:val="BodyText"/>
      </w:pPr>
    </w:p>
    <w:p w14:paraId="3C1387DC" w14:textId="77777777" w:rsidR="00D06CB2" w:rsidRPr="005C5E32" w:rsidRDefault="00D06CB2">
      <w:pPr>
        <w:pStyle w:val="BodyText"/>
      </w:pPr>
    </w:p>
    <w:p w14:paraId="544FDF28" w14:textId="77777777" w:rsidR="00D06CB2" w:rsidRPr="005C5E32" w:rsidRDefault="00D06CB2">
      <w:pPr>
        <w:pStyle w:val="BodyText"/>
      </w:pPr>
    </w:p>
    <w:p w14:paraId="1730F260" w14:textId="77777777" w:rsidR="00D06CB2" w:rsidRPr="005C5E32" w:rsidRDefault="00D06CB2">
      <w:pPr>
        <w:pStyle w:val="BodyText"/>
      </w:pPr>
    </w:p>
    <w:p w14:paraId="4BCF157B" w14:textId="77777777" w:rsidR="00D06CB2" w:rsidRPr="005C5E32" w:rsidRDefault="00D06CB2">
      <w:pPr>
        <w:pStyle w:val="BodyText"/>
      </w:pPr>
    </w:p>
    <w:p w14:paraId="6277E9E5" w14:textId="77777777" w:rsidR="00D06CB2" w:rsidRPr="005C5E32" w:rsidRDefault="00D06CB2">
      <w:pPr>
        <w:pStyle w:val="BodyText"/>
      </w:pPr>
    </w:p>
    <w:p w14:paraId="2D54EAB5" w14:textId="77777777" w:rsidR="00D06CB2" w:rsidRPr="005C5E32" w:rsidRDefault="00D06CB2">
      <w:pPr>
        <w:pStyle w:val="BodyText"/>
      </w:pPr>
    </w:p>
    <w:p w14:paraId="0F5E8CB9" w14:textId="77777777" w:rsidR="00062D8C" w:rsidRPr="005C5E32" w:rsidRDefault="00062D8C">
      <w:pPr>
        <w:pStyle w:val="BodyText"/>
      </w:pPr>
    </w:p>
    <w:p w14:paraId="2DBCE68A" w14:textId="77777777" w:rsidR="00D06CB2" w:rsidRPr="005C5E32" w:rsidRDefault="00D06CB2">
      <w:pPr>
        <w:pStyle w:val="BodyText"/>
      </w:pPr>
    </w:p>
    <w:p w14:paraId="42E50C3B" w14:textId="77777777" w:rsidR="00D06CB2" w:rsidRPr="005C5E32" w:rsidRDefault="00D06CB2">
      <w:pPr>
        <w:pStyle w:val="BodyText"/>
      </w:pPr>
    </w:p>
    <w:p w14:paraId="4A4E2091" w14:textId="77777777" w:rsidR="00062D8C" w:rsidRPr="005C5E32" w:rsidRDefault="00062D8C">
      <w:pPr>
        <w:pStyle w:val="BodyText"/>
      </w:pPr>
    </w:p>
    <w:p w14:paraId="681313F0" w14:textId="009B016E" w:rsidR="00D06CB2" w:rsidRPr="005C5E32" w:rsidRDefault="00D06CB2" w:rsidP="00E230FA">
      <w:pPr>
        <w:pStyle w:val="Note"/>
        <w:spacing w:before="160" w:after="0"/>
      </w:pPr>
      <w:bookmarkStart w:id="370" w:name="_Hlk205287527"/>
      <w:r w:rsidRPr="005C5E32">
        <w:t xml:space="preserve">The accompanying notes form part of these financial statements. For a full understanding of the Crown’s financial position and the results of its operations for the year, refer to the consolidated Financial Statements of the Government for the year ended 30 June 2026. </w:t>
      </w:r>
      <w:bookmarkEnd w:id="370"/>
      <w:r w:rsidRPr="005C5E32">
        <w:br w:type="page"/>
      </w:r>
    </w:p>
    <w:p w14:paraId="3EF0DC98" w14:textId="77777777" w:rsidR="00D06CB2" w:rsidRPr="005C5E32" w:rsidRDefault="00D06CB2">
      <w:pPr>
        <w:pStyle w:val="Heading2green"/>
      </w:pPr>
      <w:bookmarkStart w:id="371" w:name="_Toc112144647"/>
      <w:bookmarkStart w:id="372" w:name="_Toc207017416"/>
      <w:bookmarkStart w:id="373" w:name="_Toc207017505"/>
      <w:bookmarkStart w:id="374" w:name="_Toc207192322"/>
      <w:bookmarkStart w:id="375" w:name="_Toc239677700"/>
      <w:bookmarkStart w:id="376" w:name="_Toc240445588"/>
      <w:r w:rsidRPr="005C5E32">
        <w:lastRenderedPageBreak/>
        <w:t>Schedule of non-departmental expenses</w:t>
      </w:r>
      <w:bookmarkEnd w:id="371"/>
      <w:bookmarkEnd w:id="372"/>
      <w:bookmarkEnd w:id="373"/>
      <w:bookmarkEnd w:id="374"/>
      <w:bookmarkEnd w:id="375"/>
      <w:bookmarkEnd w:id="376"/>
    </w:p>
    <w:p w14:paraId="394B771B" w14:textId="77777777" w:rsidR="00D06CB2" w:rsidRPr="005C5E32" w:rsidRDefault="00D06CB2" w:rsidP="00062D8C">
      <w:pPr>
        <w:pStyle w:val="BodyText"/>
        <w:spacing w:after="240"/>
        <w:rPr>
          <w:sz w:val="28"/>
          <w:szCs w:val="28"/>
        </w:rPr>
      </w:pPr>
      <w:r w:rsidRPr="005C5E32">
        <w:rPr>
          <w:sz w:val="28"/>
          <w:szCs w:val="28"/>
        </w:rPr>
        <w:t>for the year ended 30 June 2026</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253"/>
        <w:gridCol w:w="689"/>
        <w:gridCol w:w="1092"/>
        <w:gridCol w:w="1436"/>
        <w:gridCol w:w="1035"/>
      </w:tblGrid>
      <w:tr w:rsidR="008C3719" w:rsidRPr="005C5E32" w14:paraId="6685C65E" w14:textId="77777777" w:rsidTr="0014161C">
        <w:tc>
          <w:tcPr>
            <w:tcW w:w="4196" w:type="dxa"/>
            <w:tcBorders>
              <w:top w:val="single" w:sz="8" w:space="0" w:color="2C9986" w:themeColor="accent4"/>
              <w:bottom w:val="single" w:sz="4" w:space="0" w:color="58595B"/>
            </w:tcBorders>
            <w:vAlign w:val="bottom"/>
          </w:tcPr>
          <w:p w14:paraId="1F251004" w14:textId="77777777" w:rsidR="008C3719" w:rsidRPr="005C5E32" w:rsidRDefault="008C3719">
            <w:pPr>
              <w:pStyle w:val="TableboldGreen"/>
              <w:spacing w:before="40" w:after="40"/>
              <w:jc w:val="right"/>
            </w:pPr>
            <w:bookmarkStart w:id="377" w:name="_Hlk205223956"/>
          </w:p>
        </w:tc>
        <w:tc>
          <w:tcPr>
            <w:tcW w:w="680" w:type="dxa"/>
            <w:tcBorders>
              <w:top w:val="single" w:sz="8" w:space="0" w:color="2C9986" w:themeColor="accent4"/>
              <w:bottom w:val="single" w:sz="4" w:space="0" w:color="58595B"/>
            </w:tcBorders>
            <w:vAlign w:val="bottom"/>
          </w:tcPr>
          <w:p w14:paraId="6BE42EAF" w14:textId="77777777" w:rsidR="008C3719" w:rsidRPr="005C5E32" w:rsidRDefault="008C3719" w:rsidP="009A673B">
            <w:pPr>
              <w:pStyle w:val="TableboldGreen"/>
              <w:spacing w:before="40" w:after="40"/>
              <w:jc w:val="right"/>
            </w:pPr>
            <w:r w:rsidRPr="005C5E32">
              <w:t>Notes</w:t>
            </w:r>
          </w:p>
        </w:tc>
        <w:tc>
          <w:tcPr>
            <w:tcW w:w="1077" w:type="dxa"/>
            <w:tcBorders>
              <w:top w:val="single" w:sz="8" w:space="0" w:color="2C9986" w:themeColor="accent4"/>
              <w:bottom w:val="single" w:sz="4" w:space="0" w:color="58595B"/>
            </w:tcBorders>
            <w:vAlign w:val="bottom"/>
          </w:tcPr>
          <w:p w14:paraId="2BDFE97C" w14:textId="77777777" w:rsidR="008C3719" w:rsidRPr="005C5E32" w:rsidRDefault="008C3719">
            <w:pPr>
              <w:pStyle w:val="TableboldGreen"/>
              <w:spacing w:before="40" w:after="40"/>
              <w:jc w:val="right"/>
            </w:pPr>
            <w:r w:rsidRPr="005C5E32">
              <w:t>2024/25</w:t>
            </w:r>
            <w:r w:rsidRPr="005C5E32">
              <w:br/>
              <w:t>Actual</w:t>
            </w:r>
            <w:r w:rsidRPr="005C5E32">
              <w:br/>
              <w:t>$000</w:t>
            </w:r>
          </w:p>
        </w:tc>
        <w:tc>
          <w:tcPr>
            <w:tcW w:w="1417" w:type="dxa"/>
            <w:tcBorders>
              <w:top w:val="single" w:sz="8" w:space="0" w:color="2C9986" w:themeColor="accent4"/>
              <w:bottom w:val="single" w:sz="4" w:space="0" w:color="58595B"/>
            </w:tcBorders>
            <w:vAlign w:val="bottom"/>
          </w:tcPr>
          <w:p w14:paraId="480D01E7" w14:textId="77777777" w:rsidR="008C3719" w:rsidRPr="005C5E32" w:rsidRDefault="008C3719">
            <w:pPr>
              <w:pStyle w:val="TableboldGreen"/>
              <w:spacing w:before="40" w:after="40"/>
              <w:jc w:val="right"/>
            </w:pPr>
            <w:r w:rsidRPr="005C5E32">
              <w:t>2025/26</w:t>
            </w:r>
            <w:r w:rsidRPr="005C5E32">
              <w:br/>
              <w:t xml:space="preserve">Mains </w:t>
            </w:r>
            <w:r w:rsidRPr="005C5E32" w:rsidDel="00CC12B9">
              <w:t>F</w:t>
            </w:r>
            <w:r w:rsidRPr="005C5E32">
              <w:t>orecast*</w:t>
            </w:r>
            <w:r w:rsidRPr="005C5E32">
              <w:br/>
              <w:t>$000</w:t>
            </w:r>
          </w:p>
        </w:tc>
        <w:tc>
          <w:tcPr>
            <w:tcW w:w="1021" w:type="dxa"/>
            <w:tcBorders>
              <w:top w:val="single" w:sz="8" w:space="0" w:color="2C9986" w:themeColor="accent4"/>
              <w:bottom w:val="single" w:sz="4" w:space="0" w:color="58595B"/>
            </w:tcBorders>
            <w:shd w:val="clear" w:color="auto" w:fill="E7F2F2"/>
            <w:vAlign w:val="bottom"/>
          </w:tcPr>
          <w:p w14:paraId="360EDC2D" w14:textId="77777777" w:rsidR="008C3719" w:rsidRPr="005C5E32" w:rsidRDefault="008C3719">
            <w:pPr>
              <w:pStyle w:val="TableboldGreen"/>
              <w:spacing w:before="40" w:after="40"/>
              <w:jc w:val="right"/>
            </w:pPr>
            <w:r w:rsidRPr="005C5E32">
              <w:t>2025/26</w:t>
            </w:r>
            <w:r w:rsidRPr="005C5E32">
              <w:br/>
              <w:t>Actual</w:t>
            </w:r>
            <w:r w:rsidRPr="005C5E32">
              <w:br/>
              <w:t>$000</w:t>
            </w:r>
          </w:p>
        </w:tc>
      </w:tr>
      <w:tr w:rsidR="008C3719" w:rsidRPr="005C5E32" w14:paraId="2AD1CAAC" w14:textId="77777777" w:rsidTr="0014161C">
        <w:tc>
          <w:tcPr>
            <w:tcW w:w="4196" w:type="dxa"/>
            <w:tcBorders>
              <w:top w:val="single" w:sz="4" w:space="0" w:color="58595B"/>
              <w:left w:val="nil"/>
              <w:bottom w:val="single" w:sz="4" w:space="0" w:color="58595B"/>
              <w:right w:val="nil"/>
            </w:tcBorders>
          </w:tcPr>
          <w:p w14:paraId="3517F777" w14:textId="77777777" w:rsidR="008C3719" w:rsidRPr="005C5E32" w:rsidRDefault="008C3719" w:rsidP="000A164F">
            <w:pPr>
              <w:pStyle w:val="TableboldGreen"/>
              <w:spacing w:before="40" w:after="40"/>
            </w:pPr>
            <w:r w:rsidRPr="005C5E32">
              <w:t>Expenses</w:t>
            </w:r>
          </w:p>
        </w:tc>
        <w:tc>
          <w:tcPr>
            <w:tcW w:w="680" w:type="dxa"/>
            <w:tcBorders>
              <w:top w:val="single" w:sz="4" w:space="0" w:color="58595B"/>
              <w:left w:val="nil"/>
              <w:bottom w:val="single" w:sz="4" w:space="0" w:color="58595B"/>
              <w:right w:val="nil"/>
            </w:tcBorders>
          </w:tcPr>
          <w:p w14:paraId="737D589C" w14:textId="77777777" w:rsidR="008C3719" w:rsidRPr="005C5E32" w:rsidRDefault="008C3719" w:rsidP="000A164F">
            <w:pPr>
              <w:pStyle w:val="TableText"/>
              <w:spacing w:before="40" w:after="40"/>
              <w:jc w:val="right"/>
            </w:pPr>
          </w:p>
        </w:tc>
        <w:tc>
          <w:tcPr>
            <w:tcW w:w="1077" w:type="dxa"/>
            <w:tcBorders>
              <w:top w:val="single" w:sz="4" w:space="0" w:color="58595B"/>
              <w:left w:val="nil"/>
              <w:bottom w:val="single" w:sz="4" w:space="0" w:color="58595B"/>
              <w:right w:val="nil"/>
            </w:tcBorders>
          </w:tcPr>
          <w:p w14:paraId="2ABD4458" w14:textId="77777777" w:rsidR="008C3719" w:rsidRPr="005C5E32" w:rsidRDefault="008C3719" w:rsidP="000A164F">
            <w:pPr>
              <w:pStyle w:val="TableText"/>
              <w:spacing w:before="40" w:after="40"/>
              <w:jc w:val="right"/>
            </w:pPr>
          </w:p>
        </w:tc>
        <w:tc>
          <w:tcPr>
            <w:tcW w:w="1417" w:type="dxa"/>
            <w:tcBorders>
              <w:top w:val="single" w:sz="4" w:space="0" w:color="58595B"/>
              <w:left w:val="nil"/>
              <w:bottom w:val="single" w:sz="4" w:space="0" w:color="58595B"/>
              <w:right w:val="nil"/>
            </w:tcBorders>
          </w:tcPr>
          <w:p w14:paraId="39F3BE8F" w14:textId="77777777" w:rsidR="008C3719" w:rsidRPr="005C5E32" w:rsidRDefault="008C3719" w:rsidP="000A164F">
            <w:pPr>
              <w:pStyle w:val="TableText"/>
              <w:spacing w:before="40" w:after="40"/>
              <w:jc w:val="right"/>
            </w:pPr>
          </w:p>
        </w:tc>
        <w:tc>
          <w:tcPr>
            <w:tcW w:w="1021" w:type="dxa"/>
            <w:tcBorders>
              <w:top w:val="single" w:sz="4" w:space="0" w:color="58595B"/>
              <w:left w:val="nil"/>
              <w:bottom w:val="single" w:sz="4" w:space="0" w:color="58595B"/>
              <w:right w:val="nil"/>
            </w:tcBorders>
            <w:shd w:val="clear" w:color="auto" w:fill="E7F2F2"/>
            <w:vAlign w:val="bottom"/>
          </w:tcPr>
          <w:p w14:paraId="56E23E94" w14:textId="77777777" w:rsidR="008C3719" w:rsidRPr="005C5E32" w:rsidRDefault="008C3719" w:rsidP="000A164F">
            <w:pPr>
              <w:pStyle w:val="TableText"/>
              <w:spacing w:before="40" w:after="40"/>
              <w:jc w:val="right"/>
              <w:rPr>
                <w:szCs w:val="18"/>
              </w:rPr>
            </w:pPr>
            <w:r w:rsidRPr="005C5E32">
              <w:rPr>
                <w:szCs w:val="18"/>
              </w:rPr>
              <w:t xml:space="preserve"> </w:t>
            </w:r>
          </w:p>
        </w:tc>
      </w:tr>
      <w:tr w:rsidR="008C3719" w:rsidRPr="005C5E32" w14:paraId="32B11BCD" w14:textId="77777777" w:rsidTr="0014161C">
        <w:tc>
          <w:tcPr>
            <w:tcW w:w="4196" w:type="dxa"/>
            <w:tcBorders>
              <w:top w:val="single" w:sz="4" w:space="0" w:color="58595B"/>
              <w:left w:val="nil"/>
              <w:bottom w:val="single" w:sz="4" w:space="0" w:color="58595B"/>
              <w:right w:val="nil"/>
            </w:tcBorders>
          </w:tcPr>
          <w:p w14:paraId="4D58F762" w14:textId="77777777" w:rsidR="008C3719" w:rsidRPr="005C5E32" w:rsidRDefault="008C3719">
            <w:pPr>
              <w:pStyle w:val="TableText"/>
              <w:spacing w:before="40" w:after="40"/>
            </w:pPr>
            <w:r w:rsidRPr="005C5E32">
              <w:t>Grants and settlements</w:t>
            </w:r>
          </w:p>
        </w:tc>
        <w:tc>
          <w:tcPr>
            <w:tcW w:w="680" w:type="dxa"/>
            <w:tcBorders>
              <w:top w:val="single" w:sz="4" w:space="0" w:color="58595B"/>
              <w:left w:val="nil"/>
              <w:bottom w:val="single" w:sz="4" w:space="0" w:color="58595B"/>
              <w:right w:val="nil"/>
            </w:tcBorders>
          </w:tcPr>
          <w:p w14:paraId="69174EB4" w14:textId="77777777" w:rsidR="008C3719" w:rsidRPr="005C5E32" w:rsidRDefault="008C3719" w:rsidP="009A673B">
            <w:pPr>
              <w:pStyle w:val="TableText"/>
              <w:spacing w:before="40" w:after="40"/>
              <w:jc w:val="right"/>
            </w:pPr>
            <w:r w:rsidRPr="005C5E32">
              <w:t>2</w:t>
            </w:r>
          </w:p>
        </w:tc>
        <w:tc>
          <w:tcPr>
            <w:tcW w:w="1077" w:type="dxa"/>
            <w:tcBorders>
              <w:top w:val="single" w:sz="4" w:space="0" w:color="58595B"/>
              <w:left w:val="nil"/>
              <w:bottom w:val="single" w:sz="4" w:space="0" w:color="58595B"/>
              <w:right w:val="nil"/>
            </w:tcBorders>
          </w:tcPr>
          <w:p w14:paraId="3E334301" w14:textId="77777777" w:rsidR="008C3719" w:rsidRPr="005C5E32" w:rsidRDefault="008C3719">
            <w:pPr>
              <w:pStyle w:val="TableText"/>
              <w:spacing w:before="40" w:after="40"/>
              <w:jc w:val="right"/>
              <w:rPr>
                <w:rFonts w:eastAsia="Lato"/>
              </w:rPr>
            </w:pPr>
            <w:r w:rsidRPr="005C5E32">
              <w:rPr>
                <w:rFonts w:eastAsia="Lato"/>
              </w:rPr>
              <w:t>179,114</w:t>
            </w:r>
          </w:p>
        </w:tc>
        <w:tc>
          <w:tcPr>
            <w:tcW w:w="1417" w:type="dxa"/>
            <w:tcBorders>
              <w:top w:val="single" w:sz="4" w:space="0" w:color="58595B"/>
              <w:left w:val="nil"/>
              <w:bottom w:val="single" w:sz="4" w:space="0" w:color="58595B"/>
              <w:right w:val="nil"/>
            </w:tcBorders>
          </w:tcPr>
          <w:p w14:paraId="4F9E619E" w14:textId="77777777" w:rsidR="008C3719" w:rsidRPr="005C5E32" w:rsidRDefault="008C3719">
            <w:pPr>
              <w:pStyle w:val="TableText"/>
              <w:spacing w:before="40" w:after="40"/>
              <w:jc w:val="right"/>
              <w:rPr>
                <w:rFonts w:eastAsia="Lato"/>
              </w:rPr>
            </w:pPr>
            <w:r w:rsidRPr="005C5E32">
              <w:rPr>
                <w:rFonts w:eastAsia="Lato"/>
              </w:rPr>
              <w:t>211,907</w:t>
            </w:r>
          </w:p>
        </w:tc>
        <w:tc>
          <w:tcPr>
            <w:tcW w:w="1021" w:type="dxa"/>
            <w:tcBorders>
              <w:top w:val="single" w:sz="4" w:space="0" w:color="58595B"/>
              <w:left w:val="nil"/>
              <w:bottom w:val="single" w:sz="4" w:space="0" w:color="58595B"/>
              <w:right w:val="nil"/>
            </w:tcBorders>
            <w:shd w:val="clear" w:color="auto" w:fill="E7F2F2"/>
          </w:tcPr>
          <w:p w14:paraId="0A13C597" w14:textId="77777777" w:rsidR="008C3719" w:rsidRPr="005C5E32" w:rsidRDefault="008C3719">
            <w:pPr>
              <w:pStyle w:val="TableText"/>
              <w:spacing w:before="40" w:after="40"/>
              <w:jc w:val="right"/>
              <w:rPr>
                <w:rFonts w:eastAsia="Lato"/>
              </w:rPr>
            </w:pPr>
            <w:r w:rsidRPr="005C5E32">
              <w:rPr>
                <w:rFonts w:eastAsia="Lato"/>
              </w:rPr>
              <w:t>124,331</w:t>
            </w:r>
          </w:p>
        </w:tc>
      </w:tr>
      <w:tr w:rsidR="008C3719" w:rsidRPr="005C5E32" w14:paraId="0D227ED7" w14:textId="77777777" w:rsidTr="0014161C">
        <w:tc>
          <w:tcPr>
            <w:tcW w:w="4196" w:type="dxa"/>
            <w:tcBorders>
              <w:top w:val="single" w:sz="4" w:space="0" w:color="58595B"/>
              <w:left w:val="nil"/>
              <w:bottom w:val="single" w:sz="4" w:space="0" w:color="58595B"/>
              <w:right w:val="nil"/>
            </w:tcBorders>
            <w:vAlign w:val="bottom"/>
          </w:tcPr>
          <w:p w14:paraId="4F845C71" w14:textId="77777777" w:rsidR="008C3719" w:rsidRPr="005C5E32" w:rsidRDefault="008C3719">
            <w:pPr>
              <w:pStyle w:val="TableText"/>
              <w:spacing w:before="40" w:after="40"/>
            </w:pPr>
            <w:r w:rsidRPr="005C5E32">
              <w:t>Subscriptions and contributions to international forums</w:t>
            </w:r>
          </w:p>
        </w:tc>
        <w:tc>
          <w:tcPr>
            <w:tcW w:w="680" w:type="dxa"/>
            <w:tcBorders>
              <w:top w:val="single" w:sz="4" w:space="0" w:color="58595B"/>
              <w:left w:val="nil"/>
              <w:bottom w:val="single" w:sz="4" w:space="0" w:color="58595B"/>
              <w:right w:val="nil"/>
            </w:tcBorders>
            <w:vAlign w:val="bottom"/>
          </w:tcPr>
          <w:p w14:paraId="23DB3424" w14:textId="77777777" w:rsidR="008C3719" w:rsidRPr="005C5E32" w:rsidRDefault="008C3719" w:rsidP="009A673B">
            <w:pPr>
              <w:pStyle w:val="TableText"/>
              <w:spacing w:before="40" w:after="40"/>
              <w:jc w:val="right"/>
            </w:pPr>
            <w:r w:rsidRPr="005C5E32">
              <w:t>3</w:t>
            </w:r>
          </w:p>
        </w:tc>
        <w:tc>
          <w:tcPr>
            <w:tcW w:w="1077" w:type="dxa"/>
            <w:tcBorders>
              <w:top w:val="single" w:sz="4" w:space="0" w:color="58595B"/>
              <w:left w:val="nil"/>
              <w:bottom w:val="single" w:sz="4" w:space="0" w:color="58595B"/>
              <w:right w:val="nil"/>
            </w:tcBorders>
            <w:vAlign w:val="bottom"/>
          </w:tcPr>
          <w:p w14:paraId="2B6C21CB" w14:textId="77777777" w:rsidR="008C3719" w:rsidRPr="005C5E32" w:rsidRDefault="008C3719">
            <w:pPr>
              <w:pStyle w:val="TableText"/>
              <w:spacing w:before="40" w:after="40"/>
              <w:jc w:val="right"/>
              <w:rPr>
                <w:rFonts w:eastAsia="Lato"/>
              </w:rPr>
            </w:pPr>
            <w:r w:rsidRPr="005C5E32">
              <w:rPr>
                <w:rFonts w:eastAsia="Lato"/>
              </w:rPr>
              <w:t>956</w:t>
            </w:r>
          </w:p>
        </w:tc>
        <w:tc>
          <w:tcPr>
            <w:tcW w:w="1417" w:type="dxa"/>
            <w:tcBorders>
              <w:top w:val="single" w:sz="4" w:space="0" w:color="58595B"/>
              <w:left w:val="nil"/>
              <w:bottom w:val="single" w:sz="4" w:space="0" w:color="58595B"/>
              <w:right w:val="nil"/>
            </w:tcBorders>
            <w:vAlign w:val="bottom"/>
          </w:tcPr>
          <w:p w14:paraId="6E5944FB" w14:textId="77777777" w:rsidR="008C3719" w:rsidRPr="005C5E32" w:rsidRDefault="008C3719">
            <w:pPr>
              <w:pStyle w:val="TableText"/>
              <w:spacing w:before="40" w:after="40"/>
              <w:jc w:val="right"/>
              <w:rPr>
                <w:rFonts w:eastAsia="Lato"/>
              </w:rPr>
            </w:pPr>
            <w:r w:rsidRPr="005C5E32">
              <w:rPr>
                <w:rFonts w:eastAsia="Lato"/>
              </w:rPr>
              <w:t>1,284</w:t>
            </w:r>
          </w:p>
        </w:tc>
        <w:tc>
          <w:tcPr>
            <w:tcW w:w="1021" w:type="dxa"/>
            <w:tcBorders>
              <w:top w:val="single" w:sz="4" w:space="0" w:color="58595B"/>
              <w:left w:val="nil"/>
              <w:bottom w:val="single" w:sz="4" w:space="0" w:color="58595B"/>
              <w:right w:val="nil"/>
            </w:tcBorders>
            <w:shd w:val="clear" w:color="auto" w:fill="E7F2F2"/>
            <w:vAlign w:val="bottom"/>
          </w:tcPr>
          <w:p w14:paraId="71B84206" w14:textId="77777777" w:rsidR="008C3719" w:rsidRPr="005C5E32" w:rsidRDefault="008C3719">
            <w:pPr>
              <w:pStyle w:val="TableText"/>
              <w:spacing w:before="40" w:after="40"/>
              <w:jc w:val="right"/>
              <w:rPr>
                <w:rFonts w:eastAsia="Lato"/>
              </w:rPr>
            </w:pPr>
            <w:r w:rsidRPr="005C5E32">
              <w:rPr>
                <w:rFonts w:eastAsia="Lato"/>
              </w:rPr>
              <w:t>1,034</w:t>
            </w:r>
          </w:p>
        </w:tc>
      </w:tr>
      <w:tr w:rsidR="008C3719" w:rsidRPr="005C5E32" w14:paraId="08A5BCA7" w14:textId="77777777" w:rsidTr="0014161C">
        <w:tc>
          <w:tcPr>
            <w:tcW w:w="4196" w:type="dxa"/>
            <w:tcBorders>
              <w:top w:val="single" w:sz="4" w:space="0" w:color="58595B"/>
              <w:left w:val="nil"/>
              <w:bottom w:val="single" w:sz="4" w:space="0" w:color="58595B"/>
              <w:right w:val="nil"/>
            </w:tcBorders>
          </w:tcPr>
          <w:p w14:paraId="7F68A49D" w14:textId="77777777" w:rsidR="008C3719" w:rsidRPr="005C5E32" w:rsidRDefault="008C3719">
            <w:pPr>
              <w:pStyle w:val="TableText"/>
              <w:spacing w:before="40" w:after="40"/>
            </w:pPr>
            <w:r w:rsidRPr="005C5E32">
              <w:t>Crown entity funding</w:t>
            </w:r>
          </w:p>
        </w:tc>
        <w:tc>
          <w:tcPr>
            <w:tcW w:w="680" w:type="dxa"/>
            <w:tcBorders>
              <w:top w:val="single" w:sz="4" w:space="0" w:color="58595B"/>
              <w:left w:val="nil"/>
              <w:bottom w:val="single" w:sz="4" w:space="0" w:color="58595B"/>
              <w:right w:val="nil"/>
            </w:tcBorders>
          </w:tcPr>
          <w:p w14:paraId="6C80292C" w14:textId="77777777" w:rsidR="008C3719" w:rsidRPr="005C5E32" w:rsidRDefault="008C3719" w:rsidP="009A673B">
            <w:pPr>
              <w:pStyle w:val="TableText"/>
              <w:spacing w:before="40" w:after="40"/>
              <w:jc w:val="right"/>
            </w:pPr>
            <w:r w:rsidRPr="005C5E32">
              <w:t>4</w:t>
            </w:r>
          </w:p>
        </w:tc>
        <w:tc>
          <w:tcPr>
            <w:tcW w:w="1077" w:type="dxa"/>
            <w:tcBorders>
              <w:top w:val="single" w:sz="4" w:space="0" w:color="58595B"/>
              <w:left w:val="nil"/>
              <w:bottom w:val="single" w:sz="4" w:space="0" w:color="58595B"/>
              <w:right w:val="nil"/>
            </w:tcBorders>
          </w:tcPr>
          <w:p w14:paraId="0BB86CDB" w14:textId="77777777" w:rsidR="008C3719" w:rsidRPr="005C5E32" w:rsidRDefault="008C3719">
            <w:pPr>
              <w:pStyle w:val="TableText"/>
              <w:spacing w:before="40" w:after="40"/>
              <w:jc w:val="right"/>
              <w:rPr>
                <w:rFonts w:eastAsia="Lato"/>
              </w:rPr>
            </w:pPr>
            <w:r w:rsidRPr="005C5E32">
              <w:rPr>
                <w:rFonts w:eastAsia="Lato"/>
              </w:rPr>
              <w:t>51,255</w:t>
            </w:r>
          </w:p>
        </w:tc>
        <w:tc>
          <w:tcPr>
            <w:tcW w:w="1417" w:type="dxa"/>
            <w:tcBorders>
              <w:top w:val="single" w:sz="4" w:space="0" w:color="58595B"/>
              <w:left w:val="nil"/>
              <w:bottom w:val="single" w:sz="4" w:space="0" w:color="58595B"/>
              <w:right w:val="nil"/>
            </w:tcBorders>
          </w:tcPr>
          <w:p w14:paraId="3D34C861" w14:textId="77777777" w:rsidR="008C3719" w:rsidRPr="005C5E32" w:rsidRDefault="008C3719">
            <w:pPr>
              <w:pStyle w:val="TableText"/>
              <w:spacing w:before="40" w:after="40"/>
              <w:jc w:val="right"/>
              <w:rPr>
                <w:rFonts w:eastAsia="Lato"/>
              </w:rPr>
            </w:pPr>
            <w:r w:rsidRPr="005C5E32">
              <w:rPr>
                <w:rFonts w:eastAsia="Lato"/>
              </w:rPr>
              <w:t>56,120</w:t>
            </w:r>
          </w:p>
        </w:tc>
        <w:tc>
          <w:tcPr>
            <w:tcW w:w="1021" w:type="dxa"/>
            <w:tcBorders>
              <w:top w:val="single" w:sz="4" w:space="0" w:color="58595B"/>
              <w:left w:val="nil"/>
              <w:bottom w:val="single" w:sz="4" w:space="0" w:color="58595B"/>
              <w:right w:val="nil"/>
            </w:tcBorders>
            <w:shd w:val="clear" w:color="auto" w:fill="E7F2F2"/>
          </w:tcPr>
          <w:p w14:paraId="2CF7FB45" w14:textId="77777777" w:rsidR="008C3719" w:rsidRPr="005C5E32" w:rsidRDefault="008C3719">
            <w:pPr>
              <w:pStyle w:val="TableText"/>
              <w:spacing w:before="40" w:after="40"/>
              <w:jc w:val="right"/>
              <w:rPr>
                <w:rFonts w:eastAsia="Lato"/>
              </w:rPr>
            </w:pPr>
            <w:r w:rsidRPr="005C5E32">
              <w:rPr>
                <w:rFonts w:eastAsia="Lato"/>
              </w:rPr>
              <w:t>56,120</w:t>
            </w:r>
          </w:p>
        </w:tc>
      </w:tr>
      <w:tr w:rsidR="008C3719" w:rsidRPr="005C5E32" w14:paraId="1BCE6569" w14:textId="77777777" w:rsidTr="0014161C">
        <w:tc>
          <w:tcPr>
            <w:tcW w:w="4196" w:type="dxa"/>
            <w:tcBorders>
              <w:top w:val="single" w:sz="4" w:space="0" w:color="58595B"/>
              <w:left w:val="nil"/>
              <w:bottom w:val="single" w:sz="4" w:space="0" w:color="58595B"/>
              <w:right w:val="nil"/>
            </w:tcBorders>
          </w:tcPr>
          <w:p w14:paraId="5942F835" w14:textId="77777777" w:rsidR="008C3719" w:rsidRPr="005C5E32" w:rsidRDefault="008C3719">
            <w:pPr>
              <w:pStyle w:val="TableText"/>
              <w:spacing w:before="40" w:after="40"/>
            </w:pPr>
            <w:r w:rsidRPr="005C5E32">
              <w:t>Levy disbursement</w:t>
            </w:r>
          </w:p>
        </w:tc>
        <w:tc>
          <w:tcPr>
            <w:tcW w:w="680" w:type="dxa"/>
            <w:tcBorders>
              <w:top w:val="single" w:sz="4" w:space="0" w:color="58595B"/>
              <w:left w:val="nil"/>
              <w:bottom w:val="single" w:sz="4" w:space="0" w:color="58595B"/>
              <w:right w:val="nil"/>
            </w:tcBorders>
          </w:tcPr>
          <w:p w14:paraId="7938E32A" w14:textId="77777777" w:rsidR="008C3719" w:rsidRPr="005C5E32" w:rsidRDefault="008C3719" w:rsidP="009A673B">
            <w:pPr>
              <w:pStyle w:val="TableText"/>
              <w:spacing w:before="40" w:after="40"/>
              <w:jc w:val="right"/>
            </w:pPr>
            <w:r w:rsidRPr="005C5E32">
              <w:t>5</w:t>
            </w:r>
          </w:p>
        </w:tc>
        <w:tc>
          <w:tcPr>
            <w:tcW w:w="1077" w:type="dxa"/>
            <w:tcBorders>
              <w:top w:val="single" w:sz="4" w:space="0" w:color="58595B"/>
              <w:left w:val="nil"/>
              <w:bottom w:val="single" w:sz="4" w:space="0" w:color="58595B"/>
              <w:right w:val="nil"/>
            </w:tcBorders>
          </w:tcPr>
          <w:p w14:paraId="166FC144" w14:textId="77777777" w:rsidR="008C3719" w:rsidRPr="005C5E32" w:rsidRDefault="008C3719">
            <w:pPr>
              <w:pStyle w:val="TableText"/>
              <w:spacing w:before="40" w:after="40"/>
              <w:jc w:val="right"/>
              <w:rPr>
                <w:rFonts w:eastAsia="Lato"/>
              </w:rPr>
            </w:pPr>
            <w:r w:rsidRPr="005C5E32">
              <w:rPr>
                <w:rFonts w:eastAsia="Lato"/>
              </w:rPr>
              <w:t>99,932</w:t>
            </w:r>
          </w:p>
        </w:tc>
        <w:tc>
          <w:tcPr>
            <w:tcW w:w="1417" w:type="dxa"/>
            <w:tcBorders>
              <w:top w:val="single" w:sz="4" w:space="0" w:color="58595B"/>
              <w:left w:val="nil"/>
              <w:bottom w:val="single" w:sz="4" w:space="0" w:color="58595B"/>
              <w:right w:val="nil"/>
            </w:tcBorders>
          </w:tcPr>
          <w:p w14:paraId="5855FCAF" w14:textId="77777777" w:rsidR="008C3719" w:rsidRPr="005C5E32" w:rsidRDefault="008C3719">
            <w:pPr>
              <w:pStyle w:val="TableText"/>
              <w:spacing w:before="40" w:after="40"/>
              <w:jc w:val="right"/>
              <w:rPr>
                <w:rFonts w:eastAsia="Lato"/>
              </w:rPr>
            </w:pPr>
            <w:r w:rsidRPr="005C5E32">
              <w:rPr>
                <w:rFonts w:eastAsia="Lato"/>
              </w:rPr>
              <w:t>127,861</w:t>
            </w:r>
          </w:p>
        </w:tc>
        <w:tc>
          <w:tcPr>
            <w:tcW w:w="1021" w:type="dxa"/>
            <w:tcBorders>
              <w:top w:val="single" w:sz="4" w:space="0" w:color="58595B"/>
              <w:left w:val="nil"/>
              <w:bottom w:val="single" w:sz="4" w:space="0" w:color="58595B"/>
              <w:right w:val="nil"/>
            </w:tcBorders>
            <w:shd w:val="clear" w:color="auto" w:fill="E7F2F2"/>
          </w:tcPr>
          <w:p w14:paraId="75CB9B24" w14:textId="77777777" w:rsidR="008C3719" w:rsidRPr="005C5E32" w:rsidRDefault="008C3719">
            <w:pPr>
              <w:pStyle w:val="TableText"/>
              <w:spacing w:before="40" w:after="40"/>
              <w:jc w:val="right"/>
            </w:pPr>
            <w:r w:rsidRPr="005C5E32">
              <w:rPr>
                <w:rFonts w:eastAsia="Lato"/>
              </w:rPr>
              <w:t>108,623</w:t>
            </w:r>
          </w:p>
        </w:tc>
      </w:tr>
      <w:tr w:rsidR="008C3719" w:rsidRPr="005C5E32" w14:paraId="6B5F4142" w14:textId="77777777" w:rsidTr="0014161C">
        <w:tc>
          <w:tcPr>
            <w:tcW w:w="4196" w:type="dxa"/>
            <w:tcBorders>
              <w:top w:val="single" w:sz="4" w:space="0" w:color="58595B"/>
              <w:left w:val="nil"/>
              <w:bottom w:val="single" w:sz="4" w:space="0" w:color="58595B"/>
              <w:right w:val="nil"/>
            </w:tcBorders>
          </w:tcPr>
          <w:p w14:paraId="58152CFB" w14:textId="77777777" w:rsidR="008C3719" w:rsidRPr="005C5E32" w:rsidRDefault="008C3719">
            <w:pPr>
              <w:pStyle w:val="TableText"/>
              <w:spacing w:before="40" w:after="40"/>
            </w:pPr>
            <w:r w:rsidRPr="005C5E32">
              <w:t>Allocation of New Zealand Units</w:t>
            </w:r>
          </w:p>
        </w:tc>
        <w:tc>
          <w:tcPr>
            <w:tcW w:w="680" w:type="dxa"/>
            <w:tcBorders>
              <w:top w:val="single" w:sz="4" w:space="0" w:color="58595B"/>
              <w:left w:val="nil"/>
              <w:bottom w:val="single" w:sz="4" w:space="0" w:color="58595B"/>
              <w:right w:val="nil"/>
            </w:tcBorders>
          </w:tcPr>
          <w:p w14:paraId="3F6B9018" w14:textId="77777777" w:rsidR="008C3719" w:rsidRPr="005C5E32" w:rsidRDefault="008C3719" w:rsidP="009A673B">
            <w:pPr>
              <w:pStyle w:val="TableText"/>
              <w:spacing w:before="40" w:after="40"/>
              <w:jc w:val="right"/>
            </w:pPr>
            <w:r w:rsidRPr="005C5E32">
              <w:t>6, 10</w:t>
            </w:r>
          </w:p>
        </w:tc>
        <w:tc>
          <w:tcPr>
            <w:tcW w:w="1077" w:type="dxa"/>
            <w:tcBorders>
              <w:top w:val="single" w:sz="4" w:space="0" w:color="58595B"/>
              <w:left w:val="nil"/>
              <w:bottom w:val="single" w:sz="4" w:space="0" w:color="58595B"/>
              <w:right w:val="nil"/>
            </w:tcBorders>
          </w:tcPr>
          <w:p w14:paraId="1C83CCAD" w14:textId="77777777" w:rsidR="008C3719" w:rsidRPr="005C5E32" w:rsidRDefault="008C3719">
            <w:pPr>
              <w:pStyle w:val="TableText"/>
              <w:spacing w:before="40" w:after="40"/>
              <w:jc w:val="right"/>
              <w:rPr>
                <w:rFonts w:eastAsia="Lato"/>
              </w:rPr>
            </w:pPr>
            <w:r w:rsidRPr="005C5E32">
              <w:rPr>
                <w:rFonts w:eastAsia="Lato"/>
              </w:rPr>
              <w:t>1,093,489</w:t>
            </w:r>
          </w:p>
        </w:tc>
        <w:tc>
          <w:tcPr>
            <w:tcW w:w="1417" w:type="dxa"/>
            <w:tcBorders>
              <w:top w:val="single" w:sz="4" w:space="0" w:color="58595B"/>
              <w:left w:val="nil"/>
              <w:bottom w:val="single" w:sz="4" w:space="0" w:color="58595B"/>
              <w:right w:val="nil"/>
            </w:tcBorders>
          </w:tcPr>
          <w:p w14:paraId="074FC82A" w14:textId="77777777" w:rsidR="008C3719" w:rsidRPr="005C5E32" w:rsidRDefault="008C3719">
            <w:pPr>
              <w:pStyle w:val="TableText"/>
              <w:spacing w:before="40" w:after="40"/>
              <w:jc w:val="right"/>
              <w:rPr>
                <w:rFonts w:eastAsia="Lato"/>
              </w:rPr>
            </w:pPr>
            <w:r w:rsidRPr="005C5E32">
              <w:rPr>
                <w:rFonts w:eastAsia="Lato"/>
              </w:rPr>
              <w:t>1,174,232</w:t>
            </w:r>
          </w:p>
        </w:tc>
        <w:tc>
          <w:tcPr>
            <w:tcW w:w="1021" w:type="dxa"/>
            <w:tcBorders>
              <w:top w:val="single" w:sz="4" w:space="0" w:color="58595B"/>
              <w:left w:val="nil"/>
              <w:bottom w:val="single" w:sz="4" w:space="0" w:color="58595B"/>
              <w:right w:val="nil"/>
            </w:tcBorders>
            <w:shd w:val="clear" w:color="auto" w:fill="E7F2F2"/>
          </w:tcPr>
          <w:p w14:paraId="1ABEB965" w14:textId="77777777" w:rsidR="008C3719" w:rsidRPr="005C5E32" w:rsidRDefault="008C3719">
            <w:pPr>
              <w:pStyle w:val="TableText"/>
              <w:spacing w:before="40" w:after="40"/>
              <w:jc w:val="right"/>
              <w:rPr>
                <w:rFonts w:eastAsia="Lato"/>
              </w:rPr>
            </w:pPr>
            <w:r w:rsidRPr="005C5E32">
              <w:rPr>
                <w:rFonts w:eastAsia="Lato"/>
              </w:rPr>
              <w:t>1,325,212</w:t>
            </w:r>
          </w:p>
        </w:tc>
      </w:tr>
      <w:tr w:rsidR="008C3719" w:rsidRPr="005C5E32" w14:paraId="2C7983C2" w14:textId="77777777" w:rsidTr="0014161C">
        <w:tc>
          <w:tcPr>
            <w:tcW w:w="4196" w:type="dxa"/>
            <w:tcBorders>
              <w:top w:val="single" w:sz="4" w:space="0" w:color="58595B"/>
              <w:left w:val="nil"/>
              <w:bottom w:val="single" w:sz="4" w:space="0" w:color="58595B"/>
              <w:right w:val="nil"/>
            </w:tcBorders>
            <w:vAlign w:val="bottom"/>
          </w:tcPr>
          <w:p w14:paraId="40575FC3" w14:textId="77777777" w:rsidR="008C3719" w:rsidRPr="005C5E32" w:rsidRDefault="008C3719">
            <w:pPr>
              <w:pStyle w:val="TableText"/>
              <w:spacing w:before="40" w:after="40"/>
            </w:pPr>
            <w:bookmarkStart w:id="378" w:name="_Hlk142925128"/>
            <w:r w:rsidRPr="005C5E32">
              <w:t>Net changes in carbon price of New Zealand Units</w:t>
            </w:r>
          </w:p>
        </w:tc>
        <w:tc>
          <w:tcPr>
            <w:tcW w:w="680" w:type="dxa"/>
            <w:tcBorders>
              <w:top w:val="single" w:sz="4" w:space="0" w:color="58595B"/>
              <w:left w:val="nil"/>
              <w:bottom w:val="single" w:sz="4" w:space="0" w:color="58595B"/>
              <w:right w:val="nil"/>
            </w:tcBorders>
            <w:vAlign w:val="bottom"/>
          </w:tcPr>
          <w:p w14:paraId="73018D22" w14:textId="77777777" w:rsidR="008C3719" w:rsidRPr="005C5E32" w:rsidRDefault="008C3719" w:rsidP="009A673B">
            <w:pPr>
              <w:pStyle w:val="TableText"/>
              <w:spacing w:before="40" w:after="40"/>
              <w:jc w:val="right"/>
              <w:rPr>
                <w:rFonts w:eastAsia="Lato"/>
              </w:rPr>
            </w:pPr>
            <w:r w:rsidRPr="005C5E32">
              <w:rPr>
                <w:rFonts w:eastAsia="Lato"/>
                <w:color w:val="414042"/>
              </w:rPr>
              <w:t>10</w:t>
            </w:r>
          </w:p>
        </w:tc>
        <w:tc>
          <w:tcPr>
            <w:tcW w:w="1077" w:type="dxa"/>
            <w:tcBorders>
              <w:top w:val="single" w:sz="4" w:space="0" w:color="58595B"/>
              <w:left w:val="nil"/>
              <w:bottom w:val="single" w:sz="4" w:space="0" w:color="58595B"/>
              <w:right w:val="nil"/>
            </w:tcBorders>
            <w:vAlign w:val="bottom"/>
          </w:tcPr>
          <w:p w14:paraId="1D9054A1" w14:textId="77777777" w:rsidR="008C3719" w:rsidRPr="005C5E32" w:rsidRDefault="008C3719">
            <w:pPr>
              <w:pStyle w:val="TableText"/>
              <w:spacing w:before="40" w:after="40"/>
              <w:jc w:val="right"/>
              <w:rPr>
                <w:rFonts w:eastAsia="Lato"/>
              </w:rPr>
            </w:pPr>
            <w:r w:rsidRPr="005C5E32">
              <w:rPr>
                <w:rFonts w:eastAsia="Lato"/>
              </w:rPr>
              <w:t>1,026,907</w:t>
            </w:r>
          </w:p>
        </w:tc>
        <w:tc>
          <w:tcPr>
            <w:tcW w:w="1417" w:type="dxa"/>
            <w:tcBorders>
              <w:top w:val="single" w:sz="4" w:space="0" w:color="58595B"/>
              <w:left w:val="nil"/>
              <w:bottom w:val="single" w:sz="4" w:space="0" w:color="58595B"/>
              <w:right w:val="nil"/>
            </w:tcBorders>
            <w:vAlign w:val="bottom"/>
          </w:tcPr>
          <w:p w14:paraId="450B60F5" w14:textId="77777777" w:rsidR="008C3719" w:rsidRPr="005C5E32" w:rsidRDefault="008C3719">
            <w:pPr>
              <w:pStyle w:val="TableText"/>
              <w:spacing w:before="40" w:after="40"/>
              <w:jc w:val="right"/>
              <w:rPr>
                <w:rFonts w:eastAsia="Lato"/>
              </w:rPr>
            </w:pPr>
            <w:r w:rsidRPr="005C5E32">
              <w:rPr>
                <w:rFonts w:cs="Calibri"/>
                <w:szCs w:val="18"/>
              </w:rPr>
              <w:t>–</w:t>
            </w:r>
          </w:p>
        </w:tc>
        <w:tc>
          <w:tcPr>
            <w:tcW w:w="1021" w:type="dxa"/>
            <w:tcBorders>
              <w:top w:val="single" w:sz="4" w:space="0" w:color="58595B"/>
              <w:left w:val="nil"/>
              <w:bottom w:val="single" w:sz="4" w:space="0" w:color="58595B"/>
              <w:right w:val="nil"/>
            </w:tcBorders>
            <w:shd w:val="clear" w:color="auto" w:fill="E7F2F2"/>
            <w:vAlign w:val="bottom"/>
          </w:tcPr>
          <w:p w14:paraId="609360E2" w14:textId="77777777" w:rsidR="008C3719" w:rsidRPr="005C5E32" w:rsidRDefault="008C3719">
            <w:pPr>
              <w:pStyle w:val="TableText"/>
              <w:spacing w:before="40" w:after="40"/>
              <w:jc w:val="right"/>
              <w:rPr>
                <w:rFonts w:eastAsia="Lato"/>
              </w:rPr>
            </w:pPr>
            <w:r w:rsidRPr="005C5E32">
              <w:rPr>
                <w:rFonts w:cs="Calibri"/>
                <w:szCs w:val="18"/>
              </w:rPr>
              <w:t>–</w:t>
            </w:r>
          </w:p>
        </w:tc>
      </w:tr>
      <w:bookmarkEnd w:id="378"/>
      <w:tr w:rsidR="008C3719" w:rsidRPr="005C5E32" w14:paraId="1E838CE2" w14:textId="77777777" w:rsidTr="0014161C">
        <w:tc>
          <w:tcPr>
            <w:tcW w:w="4196" w:type="dxa"/>
            <w:tcBorders>
              <w:top w:val="single" w:sz="4" w:space="0" w:color="58595B"/>
              <w:left w:val="nil"/>
              <w:bottom w:val="single" w:sz="4" w:space="0" w:color="58595B"/>
              <w:right w:val="nil"/>
            </w:tcBorders>
          </w:tcPr>
          <w:p w14:paraId="4CC074A1" w14:textId="77777777" w:rsidR="008C3719" w:rsidRPr="005C5E32" w:rsidRDefault="008C3719">
            <w:pPr>
              <w:pStyle w:val="TableText"/>
              <w:spacing w:before="40" w:after="40"/>
            </w:pPr>
            <w:r w:rsidRPr="005C5E32">
              <w:t>Loss on sale of New Zealand Units</w:t>
            </w:r>
          </w:p>
        </w:tc>
        <w:tc>
          <w:tcPr>
            <w:tcW w:w="680" w:type="dxa"/>
            <w:tcBorders>
              <w:top w:val="single" w:sz="4" w:space="0" w:color="58595B"/>
              <w:left w:val="nil"/>
              <w:bottom w:val="single" w:sz="4" w:space="0" w:color="58595B"/>
              <w:right w:val="nil"/>
            </w:tcBorders>
          </w:tcPr>
          <w:p w14:paraId="0E472573" w14:textId="77777777" w:rsidR="008C3719" w:rsidRPr="005C5E32" w:rsidRDefault="008C3719" w:rsidP="009A673B">
            <w:pPr>
              <w:pStyle w:val="TableText"/>
              <w:spacing w:before="40" w:after="40"/>
              <w:jc w:val="right"/>
            </w:pPr>
            <w:r w:rsidRPr="005C5E32">
              <w:t>10</w:t>
            </w:r>
          </w:p>
        </w:tc>
        <w:tc>
          <w:tcPr>
            <w:tcW w:w="1077" w:type="dxa"/>
            <w:tcBorders>
              <w:top w:val="single" w:sz="4" w:space="0" w:color="58595B"/>
              <w:left w:val="nil"/>
              <w:bottom w:val="single" w:sz="4" w:space="0" w:color="58595B"/>
              <w:right w:val="nil"/>
            </w:tcBorders>
          </w:tcPr>
          <w:p w14:paraId="5A7461E6" w14:textId="77777777" w:rsidR="008C3719" w:rsidRPr="005C5E32" w:rsidRDefault="008C3719">
            <w:pPr>
              <w:pStyle w:val="TableText"/>
              <w:spacing w:before="40" w:after="40"/>
              <w:jc w:val="right"/>
              <w:rPr>
                <w:rFonts w:eastAsia="Lato"/>
              </w:rPr>
            </w:pPr>
            <w:r w:rsidRPr="005C5E32">
              <w:rPr>
                <w:rFonts w:eastAsia="Lato"/>
              </w:rPr>
              <w:t>17,559</w:t>
            </w:r>
          </w:p>
        </w:tc>
        <w:tc>
          <w:tcPr>
            <w:tcW w:w="1417" w:type="dxa"/>
            <w:tcBorders>
              <w:top w:val="single" w:sz="4" w:space="0" w:color="58595B"/>
              <w:left w:val="nil"/>
              <w:bottom w:val="single" w:sz="4" w:space="0" w:color="58595B"/>
              <w:right w:val="nil"/>
            </w:tcBorders>
          </w:tcPr>
          <w:p w14:paraId="3DDCAC71" w14:textId="77777777" w:rsidR="008C3719" w:rsidRPr="005C5E32" w:rsidRDefault="008C3719">
            <w:pPr>
              <w:pStyle w:val="TableText"/>
              <w:spacing w:before="40" w:after="40"/>
              <w:jc w:val="right"/>
              <w:rPr>
                <w:rFonts w:eastAsia="Lato"/>
              </w:rPr>
            </w:pPr>
            <w:r w:rsidRPr="005C5E32">
              <w:rPr>
                <w:rFonts w:eastAsia="Lato"/>
              </w:rPr>
              <w:t>–</w:t>
            </w:r>
          </w:p>
        </w:tc>
        <w:tc>
          <w:tcPr>
            <w:tcW w:w="1021" w:type="dxa"/>
            <w:tcBorders>
              <w:top w:val="single" w:sz="4" w:space="0" w:color="58595B"/>
              <w:left w:val="nil"/>
              <w:bottom w:val="single" w:sz="4" w:space="0" w:color="58595B"/>
              <w:right w:val="nil"/>
            </w:tcBorders>
            <w:shd w:val="clear" w:color="auto" w:fill="E7F2F2"/>
          </w:tcPr>
          <w:p w14:paraId="55D03681" w14:textId="77777777" w:rsidR="008C3719" w:rsidRPr="005C5E32" w:rsidRDefault="008C3719">
            <w:pPr>
              <w:pStyle w:val="TableText"/>
              <w:spacing w:before="40" w:after="40"/>
              <w:jc w:val="right"/>
              <w:rPr>
                <w:rFonts w:eastAsia="Lato"/>
              </w:rPr>
            </w:pPr>
            <w:r w:rsidRPr="005C5E32">
              <w:rPr>
                <w:rFonts w:eastAsia="Lato"/>
              </w:rPr>
              <w:t>4,821</w:t>
            </w:r>
          </w:p>
        </w:tc>
      </w:tr>
      <w:tr w:rsidR="008C3719" w:rsidRPr="005C5E32" w14:paraId="44485CDF" w14:textId="77777777" w:rsidTr="0014161C">
        <w:tc>
          <w:tcPr>
            <w:tcW w:w="4196" w:type="dxa"/>
            <w:tcBorders>
              <w:top w:val="single" w:sz="4" w:space="0" w:color="58595B"/>
              <w:left w:val="nil"/>
              <w:bottom w:val="single" w:sz="4" w:space="0" w:color="58595B"/>
              <w:right w:val="nil"/>
            </w:tcBorders>
          </w:tcPr>
          <w:p w14:paraId="37C08D1F" w14:textId="77777777" w:rsidR="008C3719" w:rsidRPr="005C5E32" w:rsidRDefault="008C3719">
            <w:pPr>
              <w:pStyle w:val="TableText"/>
              <w:spacing w:before="40" w:after="40"/>
            </w:pPr>
            <w:r w:rsidRPr="005C5E32">
              <w:t>GST input expense</w:t>
            </w:r>
          </w:p>
        </w:tc>
        <w:tc>
          <w:tcPr>
            <w:tcW w:w="680" w:type="dxa"/>
            <w:tcBorders>
              <w:top w:val="single" w:sz="4" w:space="0" w:color="58595B"/>
              <w:left w:val="nil"/>
              <w:bottom w:val="single" w:sz="4" w:space="0" w:color="58595B"/>
              <w:right w:val="nil"/>
            </w:tcBorders>
          </w:tcPr>
          <w:p w14:paraId="70F2C1FD" w14:textId="77777777" w:rsidR="008C3719" w:rsidRPr="005C5E32" w:rsidRDefault="008C3719">
            <w:pPr>
              <w:pStyle w:val="TableText"/>
              <w:spacing w:before="40" w:after="40"/>
              <w:jc w:val="right"/>
            </w:pPr>
          </w:p>
        </w:tc>
        <w:tc>
          <w:tcPr>
            <w:tcW w:w="1077" w:type="dxa"/>
            <w:tcBorders>
              <w:top w:val="single" w:sz="4" w:space="0" w:color="58595B"/>
              <w:left w:val="nil"/>
              <w:bottom w:val="single" w:sz="4" w:space="0" w:color="58595B"/>
              <w:right w:val="nil"/>
            </w:tcBorders>
          </w:tcPr>
          <w:p w14:paraId="2C08FE0C" w14:textId="77777777" w:rsidR="008C3719" w:rsidRPr="005C5E32" w:rsidRDefault="008C3719">
            <w:pPr>
              <w:pStyle w:val="TableText"/>
              <w:spacing w:before="40" w:after="40"/>
              <w:jc w:val="right"/>
              <w:rPr>
                <w:rFonts w:eastAsia="Lato"/>
              </w:rPr>
            </w:pPr>
            <w:r w:rsidRPr="005C5E32">
              <w:rPr>
                <w:rFonts w:eastAsia="Lato"/>
              </w:rPr>
              <w:t>51,180</w:t>
            </w:r>
          </w:p>
        </w:tc>
        <w:tc>
          <w:tcPr>
            <w:tcW w:w="1417" w:type="dxa"/>
            <w:tcBorders>
              <w:top w:val="single" w:sz="4" w:space="0" w:color="58595B"/>
              <w:left w:val="nil"/>
              <w:bottom w:val="single" w:sz="4" w:space="0" w:color="58595B"/>
              <w:right w:val="nil"/>
            </w:tcBorders>
          </w:tcPr>
          <w:p w14:paraId="7006E501" w14:textId="77777777" w:rsidR="008C3719" w:rsidRPr="005C5E32" w:rsidRDefault="008C3719">
            <w:pPr>
              <w:pStyle w:val="TableText"/>
              <w:spacing w:before="40" w:after="40"/>
              <w:jc w:val="right"/>
              <w:rPr>
                <w:rFonts w:eastAsia="Lato"/>
              </w:rPr>
            </w:pPr>
            <w:r w:rsidRPr="005C5E32">
              <w:rPr>
                <w:rFonts w:eastAsia="Lato"/>
              </w:rPr>
              <w:t>58,606</w:t>
            </w:r>
          </w:p>
        </w:tc>
        <w:tc>
          <w:tcPr>
            <w:tcW w:w="1021" w:type="dxa"/>
            <w:tcBorders>
              <w:top w:val="single" w:sz="4" w:space="0" w:color="58595B"/>
              <w:left w:val="nil"/>
              <w:bottom w:val="single" w:sz="4" w:space="0" w:color="58595B"/>
              <w:right w:val="nil"/>
            </w:tcBorders>
            <w:shd w:val="clear" w:color="auto" w:fill="E7F2F2"/>
          </w:tcPr>
          <w:p w14:paraId="538C3E9D" w14:textId="77777777" w:rsidR="008C3719" w:rsidRPr="005C5E32" w:rsidRDefault="008C3719">
            <w:pPr>
              <w:pStyle w:val="TableText"/>
              <w:spacing w:before="40" w:after="40"/>
              <w:jc w:val="right"/>
              <w:rPr>
                <w:rFonts w:eastAsia="Lato"/>
              </w:rPr>
            </w:pPr>
            <w:r w:rsidRPr="005C5E32">
              <w:rPr>
                <w:rFonts w:eastAsia="Lato"/>
              </w:rPr>
              <w:t>42,745</w:t>
            </w:r>
          </w:p>
        </w:tc>
      </w:tr>
      <w:tr w:rsidR="008C3719" w:rsidRPr="005C5E32" w14:paraId="6EFBD38A" w14:textId="77777777" w:rsidTr="0014161C">
        <w:tc>
          <w:tcPr>
            <w:tcW w:w="4196" w:type="dxa"/>
            <w:tcBorders>
              <w:top w:val="single" w:sz="4" w:space="0" w:color="58595B"/>
              <w:left w:val="nil"/>
              <w:bottom w:val="single" w:sz="4" w:space="0" w:color="58595B"/>
              <w:right w:val="nil"/>
            </w:tcBorders>
          </w:tcPr>
          <w:p w14:paraId="271FB9B2" w14:textId="77777777" w:rsidR="008C3719" w:rsidRPr="005C5E32" w:rsidRDefault="008C3719">
            <w:pPr>
              <w:pStyle w:val="TableText"/>
              <w:spacing w:before="40" w:after="40"/>
            </w:pPr>
            <w:r w:rsidRPr="005C5E32">
              <w:t>Other</w:t>
            </w:r>
          </w:p>
        </w:tc>
        <w:tc>
          <w:tcPr>
            <w:tcW w:w="680" w:type="dxa"/>
            <w:tcBorders>
              <w:top w:val="single" w:sz="4" w:space="0" w:color="58595B"/>
              <w:left w:val="nil"/>
              <w:bottom w:val="single" w:sz="4" w:space="0" w:color="58595B"/>
              <w:right w:val="nil"/>
            </w:tcBorders>
          </w:tcPr>
          <w:p w14:paraId="07239D9C" w14:textId="77777777" w:rsidR="008C3719" w:rsidRPr="005C5E32" w:rsidRDefault="008C3719">
            <w:pPr>
              <w:pStyle w:val="TableText"/>
              <w:spacing w:before="40" w:after="40"/>
              <w:jc w:val="right"/>
            </w:pPr>
          </w:p>
        </w:tc>
        <w:tc>
          <w:tcPr>
            <w:tcW w:w="1077" w:type="dxa"/>
            <w:tcBorders>
              <w:top w:val="single" w:sz="4" w:space="0" w:color="58595B"/>
              <w:left w:val="nil"/>
              <w:bottom w:val="single" w:sz="4" w:space="0" w:color="58595B"/>
              <w:right w:val="nil"/>
            </w:tcBorders>
          </w:tcPr>
          <w:p w14:paraId="7C622922" w14:textId="77777777" w:rsidR="008C3719" w:rsidRPr="005C5E32" w:rsidRDefault="008C3719">
            <w:pPr>
              <w:pStyle w:val="TableText"/>
              <w:spacing w:before="40" w:after="40"/>
              <w:jc w:val="right"/>
            </w:pPr>
            <w:r w:rsidRPr="005C5E32">
              <w:rPr>
                <w:rFonts w:eastAsia="Lato"/>
              </w:rPr>
              <w:t>1,644</w:t>
            </w:r>
          </w:p>
        </w:tc>
        <w:tc>
          <w:tcPr>
            <w:tcW w:w="1417" w:type="dxa"/>
            <w:tcBorders>
              <w:top w:val="single" w:sz="4" w:space="0" w:color="58595B"/>
              <w:left w:val="nil"/>
              <w:bottom w:val="single" w:sz="4" w:space="0" w:color="58595B"/>
              <w:right w:val="nil"/>
            </w:tcBorders>
          </w:tcPr>
          <w:p w14:paraId="5CD0F7C8" w14:textId="77777777" w:rsidR="008C3719" w:rsidRPr="005C5E32" w:rsidRDefault="008C3719">
            <w:pPr>
              <w:pStyle w:val="TableText"/>
              <w:spacing w:before="40" w:after="40"/>
              <w:jc w:val="right"/>
              <w:rPr>
                <w:rFonts w:eastAsia="Lato"/>
              </w:rPr>
            </w:pPr>
            <w:r w:rsidRPr="005C5E32">
              <w:rPr>
                <w:rFonts w:eastAsia="Lato"/>
              </w:rPr>
              <w:t>177</w:t>
            </w:r>
          </w:p>
        </w:tc>
        <w:tc>
          <w:tcPr>
            <w:tcW w:w="1021" w:type="dxa"/>
            <w:tcBorders>
              <w:top w:val="single" w:sz="4" w:space="0" w:color="58595B"/>
              <w:left w:val="nil"/>
              <w:bottom w:val="single" w:sz="4" w:space="0" w:color="58595B"/>
              <w:right w:val="nil"/>
            </w:tcBorders>
            <w:shd w:val="clear" w:color="auto" w:fill="E7F2F2"/>
          </w:tcPr>
          <w:p w14:paraId="57BEAC5D" w14:textId="77777777" w:rsidR="008C3719" w:rsidRPr="005C5E32" w:rsidRDefault="008C3719">
            <w:pPr>
              <w:pStyle w:val="TableText"/>
              <w:spacing w:before="40" w:after="40"/>
              <w:jc w:val="right"/>
              <w:rPr>
                <w:rFonts w:eastAsia="Lato"/>
              </w:rPr>
            </w:pPr>
            <w:r w:rsidRPr="005C5E32">
              <w:rPr>
                <w:rFonts w:eastAsia="Lato"/>
              </w:rPr>
              <w:t>130</w:t>
            </w:r>
          </w:p>
        </w:tc>
      </w:tr>
      <w:tr w:rsidR="008C3719" w:rsidRPr="005C5E32" w14:paraId="4F7DF1DA" w14:textId="77777777" w:rsidTr="0014161C">
        <w:tc>
          <w:tcPr>
            <w:tcW w:w="4196" w:type="dxa"/>
            <w:tcBorders>
              <w:top w:val="single" w:sz="4" w:space="0" w:color="58595B"/>
              <w:left w:val="nil"/>
              <w:bottom w:val="single" w:sz="4" w:space="0" w:color="58595B"/>
              <w:right w:val="nil"/>
            </w:tcBorders>
          </w:tcPr>
          <w:p w14:paraId="4DEF4A9F" w14:textId="77777777" w:rsidR="008C3719" w:rsidRPr="005C5E32" w:rsidRDefault="008C3719">
            <w:pPr>
              <w:pStyle w:val="TableTextbold"/>
              <w:spacing w:before="40" w:after="40"/>
            </w:pPr>
            <w:r w:rsidRPr="005C5E32">
              <w:t>Total non-departmental expenses</w:t>
            </w:r>
          </w:p>
        </w:tc>
        <w:tc>
          <w:tcPr>
            <w:tcW w:w="680" w:type="dxa"/>
            <w:tcBorders>
              <w:top w:val="single" w:sz="4" w:space="0" w:color="58595B"/>
              <w:left w:val="nil"/>
              <w:bottom w:val="single" w:sz="4" w:space="0" w:color="58595B"/>
              <w:right w:val="nil"/>
            </w:tcBorders>
          </w:tcPr>
          <w:p w14:paraId="700E8868" w14:textId="77777777" w:rsidR="008C3719" w:rsidRPr="005C5E32" w:rsidRDefault="008C3719">
            <w:pPr>
              <w:pStyle w:val="TableTextbold"/>
              <w:spacing w:before="40" w:after="40"/>
              <w:jc w:val="right"/>
            </w:pPr>
          </w:p>
        </w:tc>
        <w:tc>
          <w:tcPr>
            <w:tcW w:w="1077" w:type="dxa"/>
            <w:tcBorders>
              <w:top w:val="single" w:sz="4" w:space="0" w:color="58595B"/>
              <w:left w:val="nil"/>
              <w:bottom w:val="single" w:sz="4" w:space="0" w:color="58595B"/>
              <w:right w:val="nil"/>
            </w:tcBorders>
          </w:tcPr>
          <w:p w14:paraId="7893E508" w14:textId="77777777" w:rsidR="008C3719" w:rsidRPr="005C5E32" w:rsidRDefault="008C3719">
            <w:pPr>
              <w:pStyle w:val="TableTextbold"/>
              <w:spacing w:before="40" w:after="40"/>
              <w:jc w:val="right"/>
              <w:rPr>
                <w:rFonts w:eastAsia="Lato"/>
              </w:rPr>
            </w:pPr>
            <w:r w:rsidRPr="005C5E32">
              <w:rPr>
                <w:rFonts w:eastAsia="Lato"/>
              </w:rPr>
              <w:t>2,522,036</w:t>
            </w:r>
          </w:p>
        </w:tc>
        <w:tc>
          <w:tcPr>
            <w:tcW w:w="1417" w:type="dxa"/>
            <w:tcBorders>
              <w:top w:val="single" w:sz="4" w:space="0" w:color="58595B"/>
              <w:left w:val="nil"/>
              <w:bottom w:val="single" w:sz="4" w:space="0" w:color="58595B"/>
              <w:right w:val="nil"/>
            </w:tcBorders>
          </w:tcPr>
          <w:p w14:paraId="5CC6496F" w14:textId="77777777" w:rsidR="008C3719" w:rsidRPr="005C5E32" w:rsidRDefault="008C3719">
            <w:pPr>
              <w:pStyle w:val="TableTextbold"/>
              <w:spacing w:before="40" w:after="40"/>
              <w:jc w:val="right"/>
              <w:rPr>
                <w:rFonts w:eastAsia="Lato"/>
              </w:rPr>
            </w:pPr>
            <w:r w:rsidRPr="005C5E32">
              <w:rPr>
                <w:rFonts w:eastAsia="Lato"/>
              </w:rPr>
              <w:t>1,630,187</w:t>
            </w:r>
          </w:p>
        </w:tc>
        <w:tc>
          <w:tcPr>
            <w:tcW w:w="1021" w:type="dxa"/>
            <w:tcBorders>
              <w:top w:val="single" w:sz="4" w:space="0" w:color="58595B"/>
              <w:left w:val="nil"/>
              <w:bottom w:val="single" w:sz="4" w:space="0" w:color="58595B"/>
              <w:right w:val="nil"/>
            </w:tcBorders>
            <w:shd w:val="clear" w:color="auto" w:fill="E7F2F2"/>
          </w:tcPr>
          <w:p w14:paraId="3DFC05F6" w14:textId="77777777" w:rsidR="008C3719" w:rsidRPr="005C5E32" w:rsidRDefault="008C3719">
            <w:pPr>
              <w:pStyle w:val="TableTextbold"/>
              <w:spacing w:before="40" w:after="40"/>
              <w:jc w:val="right"/>
            </w:pPr>
            <w:r w:rsidRPr="005C5E32">
              <w:rPr>
                <w:rFonts w:eastAsia="Lato"/>
              </w:rPr>
              <w:t>1,663,016</w:t>
            </w:r>
          </w:p>
        </w:tc>
      </w:tr>
    </w:tbl>
    <w:bookmarkEnd w:id="377"/>
    <w:p w14:paraId="2DB41E66" w14:textId="77777777" w:rsidR="00D06CB2" w:rsidRPr="005C5E32" w:rsidRDefault="00D06CB2">
      <w:pPr>
        <w:rPr>
          <w:rFonts w:eastAsia="MS Mincho" w:cs="Arial"/>
          <w:sz w:val="18"/>
        </w:rPr>
      </w:pPr>
      <w:r w:rsidRPr="005C5E32">
        <w:rPr>
          <w:rFonts w:eastAsia="MS Mincho" w:cs="Arial"/>
          <w:sz w:val="18"/>
        </w:rPr>
        <w:t>* The statement of accounting policies explains the basis for these figures, which are not subject to audit.</w:t>
      </w:r>
    </w:p>
    <w:p w14:paraId="71FEFF9A" w14:textId="77777777" w:rsidR="00D06CB2" w:rsidRPr="005C5E32" w:rsidRDefault="00D06CB2">
      <w:pPr>
        <w:rPr>
          <w:rFonts w:eastAsia="MS Mincho" w:cs="Arial"/>
        </w:rPr>
      </w:pPr>
      <w:r w:rsidRPr="005C5E32">
        <w:rPr>
          <w:rFonts w:eastAsia="MS Mincho" w:cs="Arial"/>
        </w:rPr>
        <w:t xml:space="preserve">Explanations of significant variances against budget are detailed in </w:t>
      </w:r>
      <w:r w:rsidRPr="005C5E32" w:rsidDel="005D002D">
        <w:rPr>
          <w:rFonts w:eastAsia="MS Mincho" w:cs="Arial"/>
        </w:rPr>
        <w:t>N</w:t>
      </w:r>
      <w:r w:rsidRPr="005C5E32">
        <w:rPr>
          <w:rFonts w:eastAsia="MS Mincho" w:cs="Arial"/>
        </w:rPr>
        <w:t>ote 13.</w:t>
      </w:r>
    </w:p>
    <w:p w14:paraId="5EA09AE6" w14:textId="77777777" w:rsidR="00D06CB2" w:rsidRPr="005C5E32" w:rsidRDefault="00D06CB2">
      <w:pPr>
        <w:rPr>
          <w:rFonts w:eastAsia="MS Mincho" w:cs="Arial"/>
        </w:rPr>
      </w:pPr>
    </w:p>
    <w:p w14:paraId="52634F62" w14:textId="77777777" w:rsidR="00D06CB2" w:rsidRPr="005C5E32" w:rsidRDefault="00D06CB2">
      <w:pPr>
        <w:rPr>
          <w:rFonts w:eastAsia="MS Mincho" w:cs="Arial"/>
        </w:rPr>
      </w:pPr>
    </w:p>
    <w:p w14:paraId="46E936AC" w14:textId="77777777" w:rsidR="00D06CB2" w:rsidRDefault="00D06CB2">
      <w:pPr>
        <w:rPr>
          <w:rFonts w:eastAsia="MS Mincho" w:cs="Arial"/>
        </w:rPr>
      </w:pPr>
    </w:p>
    <w:p w14:paraId="56AB5605" w14:textId="77777777" w:rsidR="00E230FA" w:rsidRPr="005C5E32" w:rsidRDefault="00E230FA">
      <w:pPr>
        <w:rPr>
          <w:rFonts w:eastAsia="MS Mincho" w:cs="Arial"/>
        </w:rPr>
      </w:pPr>
    </w:p>
    <w:p w14:paraId="7BE336AD" w14:textId="77777777" w:rsidR="00D06CB2" w:rsidRPr="005C5E32" w:rsidRDefault="00D06CB2">
      <w:pPr>
        <w:rPr>
          <w:rFonts w:eastAsia="MS Mincho" w:cs="Arial"/>
        </w:rPr>
      </w:pPr>
    </w:p>
    <w:p w14:paraId="56B59504" w14:textId="77777777" w:rsidR="00D06CB2" w:rsidRPr="005C5E32" w:rsidRDefault="00D06CB2">
      <w:pPr>
        <w:rPr>
          <w:rFonts w:eastAsia="MS Mincho" w:cs="Arial"/>
        </w:rPr>
      </w:pPr>
    </w:p>
    <w:p w14:paraId="0F229233" w14:textId="77777777" w:rsidR="00D06CB2" w:rsidRPr="005C5E32" w:rsidRDefault="00D06CB2">
      <w:pPr>
        <w:rPr>
          <w:rFonts w:eastAsia="MS Mincho" w:cs="Arial"/>
        </w:rPr>
      </w:pPr>
    </w:p>
    <w:p w14:paraId="3C4F568A" w14:textId="77777777" w:rsidR="00D06CB2" w:rsidRPr="005C5E32" w:rsidRDefault="00D06CB2">
      <w:pPr>
        <w:rPr>
          <w:rFonts w:eastAsia="MS Mincho" w:cs="Arial"/>
        </w:rPr>
      </w:pPr>
    </w:p>
    <w:p w14:paraId="4AB7C5D2" w14:textId="77777777" w:rsidR="00D06CB2" w:rsidRPr="005C5E32" w:rsidRDefault="00D06CB2">
      <w:pPr>
        <w:rPr>
          <w:rFonts w:eastAsia="MS Mincho" w:cs="Arial"/>
        </w:rPr>
      </w:pPr>
    </w:p>
    <w:p w14:paraId="072CF364" w14:textId="77777777" w:rsidR="00D06CB2" w:rsidRPr="005C5E32" w:rsidRDefault="00D06CB2">
      <w:pPr>
        <w:rPr>
          <w:rFonts w:eastAsia="MS Mincho" w:cs="Arial"/>
        </w:rPr>
      </w:pPr>
    </w:p>
    <w:p w14:paraId="6281FE98" w14:textId="77777777" w:rsidR="00D06CB2" w:rsidRPr="005C5E32" w:rsidRDefault="00D06CB2">
      <w:pPr>
        <w:rPr>
          <w:rFonts w:eastAsia="MS Mincho" w:cs="Arial"/>
        </w:rPr>
      </w:pPr>
    </w:p>
    <w:p w14:paraId="3011010F" w14:textId="77777777" w:rsidR="00D06CB2" w:rsidRPr="005C5E32" w:rsidRDefault="00D06CB2">
      <w:pPr>
        <w:rPr>
          <w:rFonts w:eastAsia="MS Mincho" w:cs="Arial"/>
        </w:rPr>
      </w:pPr>
    </w:p>
    <w:p w14:paraId="79B9E2D5" w14:textId="77777777" w:rsidR="008201D9" w:rsidRPr="005C5E32" w:rsidRDefault="008201D9">
      <w:pPr>
        <w:rPr>
          <w:rFonts w:eastAsia="MS Mincho" w:cs="Arial"/>
        </w:rPr>
      </w:pPr>
    </w:p>
    <w:p w14:paraId="1336EA77" w14:textId="77777777" w:rsidR="008201D9" w:rsidRPr="005C5E32" w:rsidRDefault="008201D9" w:rsidP="00E230FA">
      <w:pPr>
        <w:spacing w:after="0"/>
        <w:rPr>
          <w:rFonts w:eastAsia="MS Mincho" w:cs="Arial"/>
        </w:rPr>
      </w:pPr>
    </w:p>
    <w:p w14:paraId="17626F3F" w14:textId="77777777" w:rsidR="00D06CB2" w:rsidRPr="005C5E32" w:rsidRDefault="00D06CB2" w:rsidP="00E230FA">
      <w:pPr>
        <w:pStyle w:val="Note"/>
        <w:spacing w:before="0"/>
      </w:pPr>
      <w:bookmarkStart w:id="379" w:name="_Toc112144648"/>
      <w:r w:rsidRPr="005C5E32">
        <w:t xml:space="preserve">The accompanying notes form part of these financial statements. For a full understanding of the Crown’s financial position and the results of its operations for the year, refer to the consolidated Financial Statements of the Government for the year ended 30 June 2026. </w:t>
      </w:r>
      <w:r w:rsidRPr="005C5E32">
        <w:br w:type="page"/>
      </w:r>
    </w:p>
    <w:p w14:paraId="365292B6" w14:textId="77777777" w:rsidR="00D06CB2" w:rsidRPr="005C5E32" w:rsidRDefault="00D06CB2">
      <w:pPr>
        <w:pStyle w:val="Heading2green"/>
      </w:pPr>
      <w:bookmarkStart w:id="380" w:name="_Toc207017417"/>
      <w:bookmarkStart w:id="381" w:name="_Toc207017506"/>
      <w:bookmarkStart w:id="382" w:name="_Toc207192323"/>
      <w:bookmarkStart w:id="383" w:name="_Toc239677701"/>
      <w:bookmarkStart w:id="384" w:name="_Toc240445589"/>
      <w:r w:rsidRPr="005C5E32">
        <w:lastRenderedPageBreak/>
        <w:t>Schedule of non-departmental assets</w:t>
      </w:r>
      <w:bookmarkEnd w:id="379"/>
      <w:bookmarkEnd w:id="380"/>
      <w:bookmarkEnd w:id="381"/>
      <w:bookmarkEnd w:id="382"/>
      <w:bookmarkEnd w:id="383"/>
      <w:bookmarkEnd w:id="384"/>
    </w:p>
    <w:p w14:paraId="18D32D41" w14:textId="5D77C7E7" w:rsidR="00D06CB2" w:rsidRPr="005C5E32" w:rsidRDefault="00D06CB2" w:rsidP="008201D9">
      <w:pPr>
        <w:spacing w:after="240"/>
        <w:rPr>
          <w:rFonts w:eastAsia="MS Mincho" w:cs="Arial"/>
          <w:sz w:val="28"/>
          <w:szCs w:val="28"/>
        </w:rPr>
      </w:pPr>
      <w:r w:rsidRPr="005C5E32">
        <w:rPr>
          <w:rFonts w:eastAsia="MS Mincho" w:cs="Arial"/>
          <w:sz w:val="28"/>
          <w:szCs w:val="28"/>
        </w:rPr>
        <w:t>as at 30 June 2026</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003"/>
        <w:gridCol w:w="735"/>
        <w:gridCol w:w="1118"/>
        <w:gridCol w:w="1589"/>
        <w:gridCol w:w="1060"/>
      </w:tblGrid>
      <w:tr w:rsidR="00B83004" w:rsidRPr="005C5E32" w14:paraId="3207C97D" w14:textId="77777777" w:rsidTr="001207EA">
        <w:tc>
          <w:tcPr>
            <w:tcW w:w="3856" w:type="dxa"/>
            <w:tcBorders>
              <w:top w:val="single" w:sz="8" w:space="0" w:color="0E7C7E"/>
              <w:bottom w:val="single" w:sz="2" w:space="0" w:color="58595B"/>
            </w:tcBorders>
            <w:vAlign w:val="bottom"/>
          </w:tcPr>
          <w:p w14:paraId="787BE7FB" w14:textId="77777777" w:rsidR="00B83004" w:rsidRPr="005C5E32" w:rsidRDefault="00B83004">
            <w:pPr>
              <w:pStyle w:val="TableboldGreen"/>
              <w:spacing w:before="40" w:after="40"/>
              <w:jc w:val="right"/>
            </w:pPr>
          </w:p>
        </w:tc>
        <w:tc>
          <w:tcPr>
            <w:tcW w:w="708" w:type="dxa"/>
            <w:tcBorders>
              <w:top w:val="single" w:sz="8" w:space="0" w:color="0E7C7E"/>
              <w:bottom w:val="single" w:sz="2" w:space="0" w:color="58595B"/>
            </w:tcBorders>
            <w:vAlign w:val="bottom"/>
          </w:tcPr>
          <w:p w14:paraId="447F926D" w14:textId="77777777" w:rsidR="00B83004" w:rsidRPr="005C5E32" w:rsidRDefault="00B83004">
            <w:pPr>
              <w:pStyle w:val="TableboldGreen"/>
              <w:spacing w:before="40" w:after="40"/>
              <w:jc w:val="right"/>
            </w:pPr>
            <w:r w:rsidRPr="005C5E32">
              <w:t>Notes</w:t>
            </w:r>
          </w:p>
        </w:tc>
        <w:tc>
          <w:tcPr>
            <w:tcW w:w="1077" w:type="dxa"/>
            <w:tcBorders>
              <w:top w:val="single" w:sz="8" w:space="0" w:color="0E7C7E"/>
              <w:bottom w:val="single" w:sz="2" w:space="0" w:color="58595B"/>
            </w:tcBorders>
            <w:vAlign w:val="bottom"/>
          </w:tcPr>
          <w:p w14:paraId="6D213E61" w14:textId="77777777" w:rsidR="00B83004" w:rsidRPr="005C5E32" w:rsidRDefault="00B83004">
            <w:pPr>
              <w:pStyle w:val="TableboldGreen"/>
              <w:spacing w:before="40" w:after="40"/>
              <w:jc w:val="right"/>
            </w:pPr>
            <w:r w:rsidRPr="005C5E32">
              <w:t>2024/25</w:t>
            </w:r>
            <w:r w:rsidRPr="005C5E32">
              <w:br/>
              <w:t>Actual</w:t>
            </w:r>
            <w:r w:rsidRPr="005C5E32">
              <w:br/>
              <w:t>$000</w:t>
            </w:r>
          </w:p>
        </w:tc>
        <w:tc>
          <w:tcPr>
            <w:tcW w:w="1531" w:type="dxa"/>
            <w:tcBorders>
              <w:top w:val="single" w:sz="8" w:space="0" w:color="0E7C7E"/>
              <w:bottom w:val="single" w:sz="2" w:space="0" w:color="58595B"/>
            </w:tcBorders>
            <w:vAlign w:val="bottom"/>
          </w:tcPr>
          <w:p w14:paraId="2F6306D3" w14:textId="77777777" w:rsidR="00B83004" w:rsidRPr="005C5E32" w:rsidRDefault="00B83004">
            <w:pPr>
              <w:pStyle w:val="TableboldGreen"/>
              <w:spacing w:before="40" w:after="40"/>
              <w:jc w:val="right"/>
            </w:pPr>
            <w:r w:rsidRPr="005C5E32">
              <w:t>2025/26</w:t>
            </w:r>
            <w:r w:rsidRPr="005C5E32">
              <w:br/>
              <w:t xml:space="preserve">Mains </w:t>
            </w:r>
            <w:r w:rsidRPr="005C5E32" w:rsidDel="00445F5C">
              <w:t>F</w:t>
            </w:r>
            <w:r w:rsidRPr="005C5E32">
              <w:t>orecast*</w:t>
            </w:r>
            <w:r w:rsidRPr="005C5E32">
              <w:br/>
              <w:t>$000</w:t>
            </w:r>
          </w:p>
        </w:tc>
        <w:tc>
          <w:tcPr>
            <w:tcW w:w="1021" w:type="dxa"/>
            <w:tcBorders>
              <w:top w:val="single" w:sz="8" w:space="0" w:color="0E7C7E"/>
              <w:bottom w:val="single" w:sz="2" w:space="0" w:color="58595B"/>
            </w:tcBorders>
            <w:shd w:val="clear" w:color="auto" w:fill="E7F2F2"/>
            <w:vAlign w:val="bottom"/>
          </w:tcPr>
          <w:p w14:paraId="0509A299" w14:textId="77777777" w:rsidR="00B83004" w:rsidRPr="005C5E32" w:rsidRDefault="00B83004">
            <w:pPr>
              <w:pStyle w:val="TableboldGreen"/>
              <w:spacing w:before="40" w:after="40"/>
              <w:jc w:val="right"/>
            </w:pPr>
            <w:r w:rsidRPr="005C5E32">
              <w:t>2025/26</w:t>
            </w:r>
            <w:r w:rsidRPr="005C5E32">
              <w:br/>
              <w:t>Actual</w:t>
            </w:r>
            <w:r w:rsidRPr="005C5E32">
              <w:br/>
              <w:t>$000</w:t>
            </w:r>
          </w:p>
        </w:tc>
      </w:tr>
      <w:tr w:rsidR="00B83004" w:rsidRPr="005C5E32" w14:paraId="3094BED9" w14:textId="77777777" w:rsidTr="001207EA">
        <w:trPr>
          <w:trHeight w:val="20"/>
        </w:trPr>
        <w:tc>
          <w:tcPr>
            <w:tcW w:w="3856" w:type="dxa"/>
            <w:tcBorders>
              <w:top w:val="single" w:sz="2" w:space="0" w:color="58595B"/>
              <w:bottom w:val="nil"/>
            </w:tcBorders>
          </w:tcPr>
          <w:p w14:paraId="6FC9A184" w14:textId="77777777" w:rsidR="00B83004" w:rsidRPr="005C5E32" w:rsidRDefault="00B83004">
            <w:pPr>
              <w:pStyle w:val="TableboldGreen"/>
              <w:spacing w:before="40" w:after="0"/>
            </w:pPr>
            <w:r w:rsidRPr="005C5E32">
              <w:t>Assets</w:t>
            </w:r>
          </w:p>
        </w:tc>
        <w:tc>
          <w:tcPr>
            <w:tcW w:w="708" w:type="dxa"/>
            <w:tcBorders>
              <w:top w:val="single" w:sz="2" w:space="0" w:color="58595B"/>
              <w:bottom w:val="nil"/>
            </w:tcBorders>
          </w:tcPr>
          <w:p w14:paraId="25462E61" w14:textId="77777777" w:rsidR="00B83004" w:rsidRPr="005C5E32" w:rsidRDefault="00B83004">
            <w:pPr>
              <w:pStyle w:val="TableText"/>
              <w:spacing w:before="40" w:after="0"/>
              <w:jc w:val="right"/>
            </w:pPr>
          </w:p>
        </w:tc>
        <w:tc>
          <w:tcPr>
            <w:tcW w:w="1077" w:type="dxa"/>
            <w:tcBorders>
              <w:top w:val="single" w:sz="2" w:space="0" w:color="58595B"/>
              <w:bottom w:val="nil"/>
            </w:tcBorders>
          </w:tcPr>
          <w:p w14:paraId="106E0899" w14:textId="77777777" w:rsidR="00B83004" w:rsidRPr="005C5E32" w:rsidRDefault="00B83004">
            <w:pPr>
              <w:pStyle w:val="TableText"/>
              <w:spacing w:before="40" w:after="0"/>
              <w:jc w:val="right"/>
            </w:pPr>
          </w:p>
        </w:tc>
        <w:tc>
          <w:tcPr>
            <w:tcW w:w="1531" w:type="dxa"/>
            <w:tcBorders>
              <w:top w:val="single" w:sz="2" w:space="0" w:color="58595B"/>
              <w:bottom w:val="nil"/>
            </w:tcBorders>
          </w:tcPr>
          <w:p w14:paraId="684C8263" w14:textId="77777777" w:rsidR="00B83004" w:rsidRPr="005C5E32" w:rsidRDefault="00B83004">
            <w:pPr>
              <w:pStyle w:val="TableText"/>
              <w:spacing w:before="40" w:after="0"/>
              <w:jc w:val="right"/>
            </w:pPr>
          </w:p>
        </w:tc>
        <w:tc>
          <w:tcPr>
            <w:tcW w:w="1021" w:type="dxa"/>
            <w:tcBorders>
              <w:top w:val="single" w:sz="2" w:space="0" w:color="58595B"/>
              <w:bottom w:val="nil"/>
            </w:tcBorders>
            <w:shd w:val="clear" w:color="auto" w:fill="E7F2F2"/>
          </w:tcPr>
          <w:p w14:paraId="5A3301A1" w14:textId="77777777" w:rsidR="00B83004" w:rsidRPr="005C5E32" w:rsidRDefault="00B83004">
            <w:pPr>
              <w:pStyle w:val="TableText"/>
              <w:spacing w:before="40" w:after="0"/>
              <w:jc w:val="right"/>
              <w:rPr>
                <w:rFonts w:eastAsia="Lato"/>
              </w:rPr>
            </w:pPr>
          </w:p>
        </w:tc>
      </w:tr>
      <w:tr w:rsidR="00B83004" w:rsidRPr="005C5E32" w14:paraId="418FDDCD" w14:textId="77777777" w:rsidTr="001207EA">
        <w:trPr>
          <w:trHeight w:val="20"/>
        </w:trPr>
        <w:tc>
          <w:tcPr>
            <w:tcW w:w="3856" w:type="dxa"/>
            <w:tcBorders>
              <w:top w:val="nil"/>
              <w:left w:val="nil"/>
              <w:bottom w:val="nil"/>
              <w:right w:val="nil"/>
            </w:tcBorders>
            <w:vAlign w:val="bottom"/>
          </w:tcPr>
          <w:p w14:paraId="556A5D2D" w14:textId="77777777" w:rsidR="00B83004" w:rsidRPr="005C5E32" w:rsidRDefault="00B83004">
            <w:pPr>
              <w:pStyle w:val="Tablegreen"/>
              <w:spacing w:before="40" w:after="0"/>
              <w:rPr>
                <w:b/>
              </w:rPr>
            </w:pPr>
            <w:r w:rsidRPr="005C5E32">
              <w:t>Current assets</w:t>
            </w:r>
          </w:p>
        </w:tc>
        <w:tc>
          <w:tcPr>
            <w:tcW w:w="708" w:type="dxa"/>
            <w:tcBorders>
              <w:top w:val="nil"/>
              <w:left w:val="nil"/>
              <w:bottom w:val="nil"/>
              <w:right w:val="nil"/>
            </w:tcBorders>
            <w:vAlign w:val="bottom"/>
          </w:tcPr>
          <w:p w14:paraId="6C857916" w14:textId="77777777" w:rsidR="00B83004" w:rsidRPr="005C5E32" w:rsidRDefault="00B83004">
            <w:pPr>
              <w:pStyle w:val="TableText"/>
              <w:spacing w:before="40" w:after="0"/>
              <w:jc w:val="right"/>
            </w:pPr>
          </w:p>
        </w:tc>
        <w:tc>
          <w:tcPr>
            <w:tcW w:w="1077" w:type="dxa"/>
            <w:tcBorders>
              <w:top w:val="nil"/>
              <w:left w:val="nil"/>
              <w:bottom w:val="nil"/>
              <w:right w:val="nil"/>
            </w:tcBorders>
            <w:vAlign w:val="bottom"/>
          </w:tcPr>
          <w:p w14:paraId="578336DA" w14:textId="77777777" w:rsidR="00B83004" w:rsidRPr="005C5E32" w:rsidRDefault="00B83004">
            <w:pPr>
              <w:pStyle w:val="TableText"/>
              <w:spacing w:before="40" w:after="0"/>
              <w:jc w:val="right"/>
            </w:pPr>
          </w:p>
        </w:tc>
        <w:tc>
          <w:tcPr>
            <w:tcW w:w="1531" w:type="dxa"/>
            <w:tcBorders>
              <w:top w:val="nil"/>
              <w:left w:val="nil"/>
              <w:bottom w:val="nil"/>
              <w:right w:val="nil"/>
            </w:tcBorders>
            <w:vAlign w:val="bottom"/>
          </w:tcPr>
          <w:p w14:paraId="5FDC3EC2" w14:textId="77777777" w:rsidR="00B83004" w:rsidRPr="005C5E32" w:rsidRDefault="00B83004">
            <w:pPr>
              <w:pStyle w:val="TableText"/>
              <w:spacing w:before="40" w:after="0"/>
              <w:jc w:val="right"/>
            </w:pPr>
          </w:p>
        </w:tc>
        <w:tc>
          <w:tcPr>
            <w:tcW w:w="1021" w:type="dxa"/>
            <w:tcBorders>
              <w:top w:val="nil"/>
              <w:left w:val="nil"/>
              <w:bottom w:val="nil"/>
              <w:right w:val="nil"/>
            </w:tcBorders>
            <w:shd w:val="clear" w:color="auto" w:fill="E7F2F2"/>
            <w:vAlign w:val="bottom"/>
          </w:tcPr>
          <w:p w14:paraId="1F607218" w14:textId="77777777" w:rsidR="00B83004" w:rsidRPr="005C5E32" w:rsidRDefault="00B83004">
            <w:pPr>
              <w:pStyle w:val="TableText"/>
              <w:spacing w:before="40" w:after="0"/>
              <w:jc w:val="right"/>
              <w:rPr>
                <w:rFonts w:eastAsia="Lato"/>
                <w:color w:val="414042"/>
              </w:rPr>
            </w:pPr>
          </w:p>
        </w:tc>
      </w:tr>
      <w:tr w:rsidR="00B83004" w:rsidRPr="005C5E32" w14:paraId="462ED54F" w14:textId="77777777" w:rsidTr="001207EA">
        <w:trPr>
          <w:trHeight w:val="20"/>
        </w:trPr>
        <w:tc>
          <w:tcPr>
            <w:tcW w:w="3856" w:type="dxa"/>
            <w:tcBorders>
              <w:top w:val="nil"/>
              <w:left w:val="nil"/>
              <w:bottom w:val="single" w:sz="2" w:space="0" w:color="58595B"/>
              <w:right w:val="nil"/>
            </w:tcBorders>
          </w:tcPr>
          <w:p w14:paraId="473CCE93" w14:textId="77777777" w:rsidR="00B83004" w:rsidRPr="005C5E32" w:rsidRDefault="00B83004">
            <w:pPr>
              <w:pStyle w:val="TableText"/>
              <w:spacing w:before="40" w:after="40"/>
            </w:pPr>
            <w:r w:rsidRPr="005C5E32">
              <w:t>Cash and cash equivalents</w:t>
            </w:r>
          </w:p>
        </w:tc>
        <w:tc>
          <w:tcPr>
            <w:tcW w:w="708" w:type="dxa"/>
            <w:tcBorders>
              <w:top w:val="nil"/>
              <w:left w:val="nil"/>
              <w:bottom w:val="single" w:sz="2" w:space="0" w:color="58595B"/>
              <w:right w:val="nil"/>
            </w:tcBorders>
          </w:tcPr>
          <w:p w14:paraId="02CDB3B9" w14:textId="77777777" w:rsidR="00B83004" w:rsidRPr="005C5E32" w:rsidRDefault="00B83004">
            <w:pPr>
              <w:pStyle w:val="TableText"/>
              <w:spacing w:before="40" w:after="40"/>
              <w:jc w:val="right"/>
              <w:rPr>
                <w:rFonts w:eastAsia="Lato"/>
              </w:rPr>
            </w:pPr>
          </w:p>
        </w:tc>
        <w:tc>
          <w:tcPr>
            <w:tcW w:w="1077" w:type="dxa"/>
            <w:tcBorders>
              <w:top w:val="nil"/>
              <w:left w:val="nil"/>
              <w:bottom w:val="single" w:sz="2" w:space="0" w:color="58595B"/>
              <w:right w:val="nil"/>
            </w:tcBorders>
          </w:tcPr>
          <w:p w14:paraId="28747D46" w14:textId="77777777" w:rsidR="00B83004" w:rsidRPr="005C5E32" w:rsidRDefault="00B83004">
            <w:pPr>
              <w:pStyle w:val="TableText"/>
              <w:spacing w:before="40" w:after="40"/>
              <w:jc w:val="right"/>
              <w:rPr>
                <w:rFonts w:eastAsia="Lato"/>
              </w:rPr>
            </w:pPr>
            <w:r w:rsidRPr="005C5E32">
              <w:rPr>
                <w:rFonts w:eastAsia="Lato"/>
              </w:rPr>
              <w:t>34,953</w:t>
            </w:r>
          </w:p>
        </w:tc>
        <w:tc>
          <w:tcPr>
            <w:tcW w:w="1531" w:type="dxa"/>
            <w:tcBorders>
              <w:top w:val="nil"/>
              <w:left w:val="nil"/>
              <w:bottom w:val="single" w:sz="2" w:space="0" w:color="58595B"/>
              <w:right w:val="nil"/>
            </w:tcBorders>
          </w:tcPr>
          <w:p w14:paraId="17F6C1B3" w14:textId="77777777" w:rsidR="00B83004" w:rsidRPr="005C5E32" w:rsidRDefault="00B83004">
            <w:pPr>
              <w:pStyle w:val="TableText"/>
              <w:spacing w:before="40" w:after="40"/>
              <w:jc w:val="right"/>
              <w:rPr>
                <w:rFonts w:eastAsia="Lato"/>
              </w:rPr>
            </w:pPr>
            <w:r w:rsidRPr="005C5E32">
              <w:rPr>
                <w:rFonts w:eastAsia="Lato"/>
              </w:rPr>
              <w:t>31,134</w:t>
            </w:r>
          </w:p>
        </w:tc>
        <w:tc>
          <w:tcPr>
            <w:tcW w:w="1021" w:type="dxa"/>
            <w:tcBorders>
              <w:top w:val="nil"/>
              <w:left w:val="nil"/>
              <w:bottom w:val="single" w:sz="2" w:space="0" w:color="58595B"/>
              <w:right w:val="nil"/>
            </w:tcBorders>
            <w:shd w:val="clear" w:color="auto" w:fill="E7F2F2"/>
          </w:tcPr>
          <w:p w14:paraId="70719D48" w14:textId="77777777" w:rsidR="00B83004" w:rsidRPr="005C5E32" w:rsidRDefault="00B83004">
            <w:pPr>
              <w:pStyle w:val="TableText"/>
              <w:spacing w:before="40" w:after="40"/>
              <w:jc w:val="right"/>
              <w:rPr>
                <w:rFonts w:eastAsia="Lato"/>
              </w:rPr>
            </w:pPr>
            <w:r w:rsidRPr="005C5E32">
              <w:rPr>
                <w:rFonts w:eastAsia="Lato"/>
              </w:rPr>
              <w:t>30,962</w:t>
            </w:r>
          </w:p>
        </w:tc>
      </w:tr>
      <w:tr w:rsidR="00B83004" w:rsidRPr="005C5E32" w14:paraId="19C72422" w14:textId="77777777" w:rsidTr="001207EA">
        <w:trPr>
          <w:trHeight w:val="20"/>
        </w:trPr>
        <w:tc>
          <w:tcPr>
            <w:tcW w:w="3856" w:type="dxa"/>
            <w:tcBorders>
              <w:top w:val="single" w:sz="2" w:space="0" w:color="58595B"/>
              <w:left w:val="nil"/>
              <w:bottom w:val="single" w:sz="2" w:space="0" w:color="58595B"/>
              <w:right w:val="nil"/>
            </w:tcBorders>
          </w:tcPr>
          <w:p w14:paraId="0DBA142A" w14:textId="77777777" w:rsidR="00B83004" w:rsidRPr="005C5E32" w:rsidRDefault="00B83004">
            <w:pPr>
              <w:pStyle w:val="TableText"/>
              <w:spacing w:before="40" w:after="40"/>
            </w:pPr>
            <w:r w:rsidRPr="005C5E32">
              <w:t>Receivables</w:t>
            </w:r>
          </w:p>
        </w:tc>
        <w:tc>
          <w:tcPr>
            <w:tcW w:w="708" w:type="dxa"/>
            <w:tcBorders>
              <w:top w:val="single" w:sz="2" w:space="0" w:color="58595B"/>
              <w:left w:val="nil"/>
              <w:bottom w:val="single" w:sz="2" w:space="0" w:color="58595B"/>
              <w:right w:val="nil"/>
            </w:tcBorders>
          </w:tcPr>
          <w:p w14:paraId="36A44847" w14:textId="77777777" w:rsidR="00B83004" w:rsidRPr="005C5E32" w:rsidRDefault="00B83004">
            <w:pPr>
              <w:pStyle w:val="TableText"/>
              <w:spacing w:before="40" w:after="40"/>
              <w:jc w:val="right"/>
              <w:rPr>
                <w:rFonts w:eastAsia="Lato" w:cs="Calibri"/>
                <w:color w:val="414042"/>
                <w:szCs w:val="18"/>
              </w:rPr>
            </w:pPr>
            <w:r w:rsidRPr="005C5E32">
              <w:rPr>
                <w:rFonts w:eastAsia="Lato" w:cs="Calibri"/>
                <w:color w:val="414042"/>
                <w:szCs w:val="18"/>
              </w:rPr>
              <w:t>7</w:t>
            </w:r>
          </w:p>
        </w:tc>
        <w:tc>
          <w:tcPr>
            <w:tcW w:w="1077" w:type="dxa"/>
            <w:tcBorders>
              <w:top w:val="single" w:sz="2" w:space="0" w:color="58595B"/>
              <w:left w:val="nil"/>
              <w:bottom w:val="single" w:sz="2" w:space="0" w:color="58595B"/>
              <w:right w:val="nil"/>
            </w:tcBorders>
          </w:tcPr>
          <w:p w14:paraId="5775AE66" w14:textId="77777777" w:rsidR="00B83004" w:rsidRPr="005C5E32" w:rsidRDefault="00B83004">
            <w:pPr>
              <w:pStyle w:val="TableText"/>
              <w:spacing w:before="40" w:after="40"/>
              <w:jc w:val="right"/>
              <w:rPr>
                <w:rFonts w:eastAsia="Lato"/>
              </w:rPr>
            </w:pPr>
            <w:r w:rsidRPr="005C5E32">
              <w:rPr>
                <w:rFonts w:eastAsia="Lato"/>
              </w:rPr>
              <w:t>96,906</w:t>
            </w:r>
          </w:p>
        </w:tc>
        <w:tc>
          <w:tcPr>
            <w:tcW w:w="1531" w:type="dxa"/>
            <w:tcBorders>
              <w:top w:val="single" w:sz="2" w:space="0" w:color="58595B"/>
              <w:left w:val="nil"/>
              <w:bottom w:val="single" w:sz="2" w:space="0" w:color="58595B"/>
              <w:right w:val="nil"/>
            </w:tcBorders>
          </w:tcPr>
          <w:p w14:paraId="58B05A64" w14:textId="77777777" w:rsidR="00B83004" w:rsidRPr="005C5E32" w:rsidRDefault="00B83004">
            <w:pPr>
              <w:pStyle w:val="TableText"/>
              <w:spacing w:before="40" w:after="40"/>
              <w:jc w:val="right"/>
              <w:rPr>
                <w:rFonts w:eastAsia="Lato"/>
              </w:rPr>
            </w:pPr>
            <w:r w:rsidRPr="005C5E32">
              <w:rPr>
                <w:rFonts w:eastAsia="Lato"/>
              </w:rPr>
              <w:t>57,500</w:t>
            </w:r>
          </w:p>
        </w:tc>
        <w:tc>
          <w:tcPr>
            <w:tcW w:w="1021" w:type="dxa"/>
            <w:tcBorders>
              <w:top w:val="single" w:sz="2" w:space="0" w:color="58595B"/>
              <w:left w:val="nil"/>
              <w:bottom w:val="single" w:sz="2" w:space="0" w:color="58595B"/>
              <w:right w:val="nil"/>
            </w:tcBorders>
            <w:shd w:val="clear" w:color="auto" w:fill="E7F2F2"/>
          </w:tcPr>
          <w:p w14:paraId="00889848" w14:textId="77777777" w:rsidR="00B83004" w:rsidRPr="005C5E32" w:rsidRDefault="00B83004">
            <w:pPr>
              <w:pStyle w:val="TableText"/>
              <w:spacing w:before="40" w:after="40"/>
              <w:jc w:val="right"/>
            </w:pPr>
            <w:r w:rsidRPr="005C5E32">
              <w:rPr>
                <w:rFonts w:eastAsia="Lato"/>
              </w:rPr>
              <w:t>103,325</w:t>
            </w:r>
          </w:p>
        </w:tc>
      </w:tr>
      <w:tr w:rsidR="00B83004" w:rsidRPr="005C5E32" w14:paraId="7946BB87" w14:textId="77777777" w:rsidTr="001207EA">
        <w:trPr>
          <w:trHeight w:val="20"/>
        </w:trPr>
        <w:tc>
          <w:tcPr>
            <w:tcW w:w="3856" w:type="dxa"/>
            <w:tcBorders>
              <w:top w:val="single" w:sz="2" w:space="0" w:color="58595B"/>
              <w:left w:val="nil"/>
              <w:bottom w:val="single" w:sz="2" w:space="0" w:color="58595B"/>
              <w:right w:val="nil"/>
            </w:tcBorders>
          </w:tcPr>
          <w:p w14:paraId="07C1E38A" w14:textId="77777777" w:rsidR="00B83004" w:rsidRPr="005C5E32" w:rsidRDefault="00B83004">
            <w:pPr>
              <w:pStyle w:val="TableText"/>
              <w:spacing w:before="40" w:after="40"/>
              <w:rPr>
                <w:b/>
                <w:bCs/>
              </w:rPr>
            </w:pPr>
            <w:r w:rsidRPr="005C5E32">
              <w:rPr>
                <w:b/>
                <w:bCs/>
              </w:rPr>
              <w:t>Total current assets</w:t>
            </w:r>
          </w:p>
        </w:tc>
        <w:tc>
          <w:tcPr>
            <w:tcW w:w="708" w:type="dxa"/>
            <w:tcBorders>
              <w:top w:val="single" w:sz="2" w:space="0" w:color="58595B"/>
              <w:left w:val="nil"/>
              <w:bottom w:val="single" w:sz="2" w:space="0" w:color="58595B"/>
              <w:right w:val="nil"/>
            </w:tcBorders>
          </w:tcPr>
          <w:p w14:paraId="3442E349" w14:textId="77777777" w:rsidR="00B83004" w:rsidRPr="005C5E32" w:rsidRDefault="00B83004">
            <w:pPr>
              <w:pStyle w:val="TableText"/>
              <w:spacing w:before="40" w:after="40"/>
              <w:jc w:val="right"/>
              <w:rPr>
                <w:b/>
                <w:bCs/>
              </w:rPr>
            </w:pPr>
          </w:p>
        </w:tc>
        <w:tc>
          <w:tcPr>
            <w:tcW w:w="1077" w:type="dxa"/>
            <w:tcBorders>
              <w:top w:val="single" w:sz="2" w:space="0" w:color="58595B"/>
              <w:left w:val="nil"/>
              <w:bottom w:val="single" w:sz="2" w:space="0" w:color="58595B"/>
              <w:right w:val="nil"/>
            </w:tcBorders>
          </w:tcPr>
          <w:p w14:paraId="051647EB" w14:textId="77777777" w:rsidR="00B83004" w:rsidRPr="005C5E32" w:rsidRDefault="00B83004">
            <w:pPr>
              <w:pStyle w:val="TableText"/>
              <w:spacing w:before="40" w:after="40"/>
              <w:jc w:val="right"/>
              <w:rPr>
                <w:rFonts w:eastAsia="Lato"/>
                <w:b/>
                <w:bCs/>
              </w:rPr>
            </w:pPr>
            <w:r w:rsidRPr="005C5E32">
              <w:rPr>
                <w:rFonts w:eastAsia="Lato"/>
                <w:b/>
                <w:bCs/>
              </w:rPr>
              <w:t>131,859</w:t>
            </w:r>
          </w:p>
        </w:tc>
        <w:tc>
          <w:tcPr>
            <w:tcW w:w="1531" w:type="dxa"/>
            <w:tcBorders>
              <w:top w:val="single" w:sz="2" w:space="0" w:color="58595B"/>
              <w:left w:val="nil"/>
              <w:bottom w:val="single" w:sz="2" w:space="0" w:color="58595B"/>
              <w:right w:val="nil"/>
            </w:tcBorders>
          </w:tcPr>
          <w:p w14:paraId="42D1BCC7" w14:textId="77777777" w:rsidR="00B83004" w:rsidRPr="005C5E32" w:rsidRDefault="00B83004">
            <w:pPr>
              <w:pStyle w:val="TableText"/>
              <w:spacing w:before="40" w:after="40"/>
              <w:jc w:val="right"/>
              <w:rPr>
                <w:rFonts w:eastAsia="Lato"/>
                <w:b/>
                <w:bCs/>
              </w:rPr>
            </w:pPr>
            <w:r w:rsidRPr="005C5E32">
              <w:rPr>
                <w:rFonts w:eastAsia="Lato"/>
                <w:b/>
                <w:bCs/>
              </w:rPr>
              <w:t>88,634</w:t>
            </w:r>
          </w:p>
        </w:tc>
        <w:tc>
          <w:tcPr>
            <w:tcW w:w="1021" w:type="dxa"/>
            <w:tcBorders>
              <w:top w:val="single" w:sz="2" w:space="0" w:color="58595B"/>
              <w:left w:val="nil"/>
              <w:bottom w:val="single" w:sz="2" w:space="0" w:color="58595B"/>
              <w:right w:val="nil"/>
            </w:tcBorders>
            <w:shd w:val="clear" w:color="auto" w:fill="E7F2F2"/>
          </w:tcPr>
          <w:p w14:paraId="0343FB8C" w14:textId="77777777" w:rsidR="00B83004" w:rsidRPr="005C5E32" w:rsidRDefault="00B83004">
            <w:pPr>
              <w:pStyle w:val="TableText"/>
              <w:spacing w:before="40" w:after="40"/>
              <w:jc w:val="right"/>
            </w:pPr>
            <w:r w:rsidRPr="005C5E32">
              <w:rPr>
                <w:rFonts w:eastAsia="Lato"/>
                <w:b/>
                <w:bCs/>
              </w:rPr>
              <w:t>134,287</w:t>
            </w:r>
          </w:p>
        </w:tc>
      </w:tr>
      <w:tr w:rsidR="00B83004" w:rsidRPr="005C5E32" w14:paraId="04A0AA23" w14:textId="77777777" w:rsidTr="001207EA">
        <w:trPr>
          <w:trHeight w:val="20"/>
        </w:trPr>
        <w:tc>
          <w:tcPr>
            <w:tcW w:w="3856" w:type="dxa"/>
            <w:tcBorders>
              <w:top w:val="single" w:sz="2" w:space="0" w:color="58595B"/>
              <w:left w:val="nil"/>
              <w:bottom w:val="single" w:sz="2" w:space="0" w:color="58595B"/>
              <w:right w:val="nil"/>
            </w:tcBorders>
          </w:tcPr>
          <w:p w14:paraId="29953171" w14:textId="77777777" w:rsidR="00B83004" w:rsidRPr="005C5E32" w:rsidRDefault="00B83004">
            <w:pPr>
              <w:pStyle w:val="TableboldGreen"/>
              <w:spacing w:before="40" w:after="40"/>
            </w:pPr>
            <w:r w:rsidRPr="005C5E32">
              <w:t>Non-current assets</w:t>
            </w:r>
          </w:p>
        </w:tc>
        <w:tc>
          <w:tcPr>
            <w:tcW w:w="708" w:type="dxa"/>
            <w:tcBorders>
              <w:top w:val="single" w:sz="2" w:space="0" w:color="58595B"/>
              <w:left w:val="nil"/>
              <w:bottom w:val="single" w:sz="2" w:space="0" w:color="58595B"/>
              <w:right w:val="nil"/>
            </w:tcBorders>
          </w:tcPr>
          <w:p w14:paraId="5B967838" w14:textId="77777777" w:rsidR="00B83004" w:rsidRPr="005C5E32" w:rsidRDefault="00B83004">
            <w:pPr>
              <w:pStyle w:val="TableText"/>
              <w:spacing w:before="40" w:after="40"/>
              <w:jc w:val="right"/>
            </w:pPr>
          </w:p>
        </w:tc>
        <w:tc>
          <w:tcPr>
            <w:tcW w:w="1077" w:type="dxa"/>
            <w:tcBorders>
              <w:top w:val="single" w:sz="2" w:space="0" w:color="58595B"/>
              <w:left w:val="nil"/>
              <w:bottom w:val="single" w:sz="2" w:space="0" w:color="58595B"/>
              <w:right w:val="nil"/>
            </w:tcBorders>
          </w:tcPr>
          <w:p w14:paraId="368ED0B7" w14:textId="77777777" w:rsidR="00B83004" w:rsidRPr="005C5E32" w:rsidRDefault="00B83004">
            <w:pPr>
              <w:pStyle w:val="TableText"/>
              <w:spacing w:before="40" w:after="40"/>
              <w:jc w:val="right"/>
              <w:rPr>
                <w:rFonts w:eastAsia="Lato"/>
              </w:rPr>
            </w:pPr>
            <w:r w:rsidRPr="005C5E32">
              <w:rPr>
                <w:rFonts w:eastAsia="Lato"/>
              </w:rPr>
              <w:t>–</w:t>
            </w:r>
          </w:p>
        </w:tc>
        <w:tc>
          <w:tcPr>
            <w:tcW w:w="1531" w:type="dxa"/>
            <w:tcBorders>
              <w:top w:val="single" w:sz="2" w:space="0" w:color="58595B"/>
              <w:left w:val="nil"/>
              <w:bottom w:val="single" w:sz="2" w:space="0" w:color="58595B"/>
              <w:right w:val="nil"/>
            </w:tcBorders>
          </w:tcPr>
          <w:p w14:paraId="1FE9C430" w14:textId="77777777" w:rsidR="00B83004" w:rsidRPr="005C5E32" w:rsidRDefault="00B83004">
            <w:pPr>
              <w:pStyle w:val="TableText"/>
              <w:spacing w:before="40" w:after="40"/>
              <w:jc w:val="right"/>
              <w:rPr>
                <w:rFonts w:eastAsia="Lato"/>
              </w:rPr>
            </w:pPr>
            <w:r w:rsidRPr="005C5E32">
              <w:rPr>
                <w:rFonts w:eastAsia="Lato"/>
              </w:rPr>
              <w:t>–</w:t>
            </w:r>
          </w:p>
        </w:tc>
        <w:tc>
          <w:tcPr>
            <w:tcW w:w="1021" w:type="dxa"/>
            <w:tcBorders>
              <w:top w:val="single" w:sz="2" w:space="0" w:color="58595B"/>
              <w:left w:val="nil"/>
              <w:bottom w:val="single" w:sz="2" w:space="0" w:color="58595B"/>
              <w:right w:val="nil"/>
            </w:tcBorders>
            <w:shd w:val="clear" w:color="auto" w:fill="E7F2F2"/>
          </w:tcPr>
          <w:p w14:paraId="661838C1" w14:textId="77777777" w:rsidR="00B83004" w:rsidRPr="005C5E32" w:rsidRDefault="00B83004">
            <w:pPr>
              <w:pStyle w:val="TableText"/>
              <w:spacing w:before="40" w:after="40"/>
              <w:jc w:val="right"/>
              <w:rPr>
                <w:rFonts w:eastAsia="Lato"/>
              </w:rPr>
            </w:pPr>
            <w:r w:rsidRPr="005C5E32">
              <w:rPr>
                <w:rFonts w:eastAsia="Lato"/>
              </w:rPr>
              <w:t>–</w:t>
            </w:r>
          </w:p>
        </w:tc>
      </w:tr>
      <w:tr w:rsidR="00B83004" w:rsidRPr="005C5E32" w14:paraId="3A24C4DB" w14:textId="77777777" w:rsidTr="001207EA">
        <w:trPr>
          <w:trHeight w:val="20"/>
        </w:trPr>
        <w:tc>
          <w:tcPr>
            <w:tcW w:w="3856" w:type="dxa"/>
            <w:tcBorders>
              <w:top w:val="single" w:sz="2" w:space="0" w:color="58595B"/>
              <w:left w:val="nil"/>
              <w:bottom w:val="single" w:sz="2" w:space="0" w:color="58595B"/>
              <w:right w:val="nil"/>
            </w:tcBorders>
          </w:tcPr>
          <w:p w14:paraId="22ABAE59" w14:textId="77777777" w:rsidR="00B83004" w:rsidRPr="005C5E32" w:rsidRDefault="00B83004">
            <w:pPr>
              <w:pStyle w:val="TableTextbold"/>
              <w:spacing w:before="40" w:after="40"/>
            </w:pPr>
            <w:r w:rsidRPr="005C5E32">
              <w:t>Total non-departmental assets</w:t>
            </w:r>
          </w:p>
        </w:tc>
        <w:tc>
          <w:tcPr>
            <w:tcW w:w="708" w:type="dxa"/>
            <w:tcBorders>
              <w:top w:val="single" w:sz="2" w:space="0" w:color="58595B"/>
              <w:left w:val="nil"/>
              <w:bottom w:val="single" w:sz="2" w:space="0" w:color="58595B"/>
              <w:right w:val="nil"/>
            </w:tcBorders>
          </w:tcPr>
          <w:p w14:paraId="2F4C5790" w14:textId="77777777" w:rsidR="00B83004" w:rsidRPr="005C5E32" w:rsidRDefault="00B83004">
            <w:pPr>
              <w:pStyle w:val="TableTextbold"/>
              <w:spacing w:before="40" w:after="40"/>
              <w:jc w:val="right"/>
            </w:pPr>
          </w:p>
        </w:tc>
        <w:tc>
          <w:tcPr>
            <w:tcW w:w="1077" w:type="dxa"/>
            <w:tcBorders>
              <w:top w:val="single" w:sz="2" w:space="0" w:color="58595B"/>
              <w:left w:val="nil"/>
              <w:bottom w:val="single" w:sz="2" w:space="0" w:color="58595B"/>
              <w:right w:val="nil"/>
            </w:tcBorders>
          </w:tcPr>
          <w:p w14:paraId="1EC7F0E1" w14:textId="77777777" w:rsidR="00B83004" w:rsidRPr="005C5E32" w:rsidRDefault="00B83004">
            <w:pPr>
              <w:pStyle w:val="TableTextbold"/>
              <w:spacing w:before="40" w:after="40"/>
              <w:jc w:val="right"/>
              <w:rPr>
                <w:rFonts w:eastAsia="Lato"/>
              </w:rPr>
            </w:pPr>
            <w:r w:rsidRPr="005C5E32">
              <w:rPr>
                <w:rFonts w:eastAsia="Lato"/>
              </w:rPr>
              <w:t>131,859</w:t>
            </w:r>
          </w:p>
        </w:tc>
        <w:tc>
          <w:tcPr>
            <w:tcW w:w="1531" w:type="dxa"/>
            <w:tcBorders>
              <w:top w:val="single" w:sz="2" w:space="0" w:color="58595B"/>
              <w:left w:val="nil"/>
              <w:bottom w:val="single" w:sz="2" w:space="0" w:color="58595B"/>
              <w:right w:val="nil"/>
            </w:tcBorders>
          </w:tcPr>
          <w:p w14:paraId="777098BD" w14:textId="77777777" w:rsidR="00B83004" w:rsidRPr="005C5E32" w:rsidRDefault="00B83004">
            <w:pPr>
              <w:pStyle w:val="TableTextbold"/>
              <w:spacing w:before="40" w:after="40"/>
              <w:jc w:val="right"/>
              <w:rPr>
                <w:rFonts w:eastAsia="Lato"/>
              </w:rPr>
            </w:pPr>
            <w:r w:rsidRPr="005C5E32">
              <w:rPr>
                <w:rFonts w:eastAsia="Lato"/>
              </w:rPr>
              <w:t>88,634</w:t>
            </w:r>
          </w:p>
        </w:tc>
        <w:tc>
          <w:tcPr>
            <w:tcW w:w="1021" w:type="dxa"/>
            <w:tcBorders>
              <w:top w:val="single" w:sz="2" w:space="0" w:color="58595B"/>
              <w:left w:val="nil"/>
              <w:bottom w:val="single" w:sz="2" w:space="0" w:color="58595B"/>
              <w:right w:val="nil"/>
            </w:tcBorders>
            <w:shd w:val="clear" w:color="auto" w:fill="E7F2F2"/>
          </w:tcPr>
          <w:p w14:paraId="35A082EC" w14:textId="77777777" w:rsidR="00B83004" w:rsidRPr="005C5E32" w:rsidRDefault="00B83004">
            <w:pPr>
              <w:pStyle w:val="TableTextbold"/>
              <w:spacing w:before="40" w:after="40"/>
              <w:jc w:val="right"/>
            </w:pPr>
            <w:r w:rsidRPr="005C5E32">
              <w:rPr>
                <w:rFonts w:eastAsia="Lato"/>
              </w:rPr>
              <w:t>134,287</w:t>
            </w:r>
          </w:p>
        </w:tc>
      </w:tr>
    </w:tbl>
    <w:p w14:paraId="2FA0CE51" w14:textId="77777777" w:rsidR="00D06CB2" w:rsidRPr="005C5E32" w:rsidRDefault="00D06CB2">
      <w:pPr>
        <w:rPr>
          <w:rFonts w:eastAsia="MS Mincho" w:cs="Arial"/>
          <w:sz w:val="18"/>
        </w:rPr>
      </w:pPr>
      <w:r w:rsidRPr="005C5E32">
        <w:rPr>
          <w:rFonts w:eastAsia="MS Mincho" w:cs="Arial"/>
          <w:sz w:val="18"/>
        </w:rPr>
        <w:t>* The statement of accounting policies explains the basis for these figures, which are not subject to audit.</w:t>
      </w:r>
    </w:p>
    <w:p w14:paraId="4717BB36" w14:textId="77777777" w:rsidR="00D06CB2" w:rsidRPr="005C5E32" w:rsidRDefault="00D06CB2">
      <w:r w:rsidRPr="005C5E32">
        <w:t>Explanations of significant variances against budget are detailed in Note 13.</w:t>
      </w:r>
    </w:p>
    <w:p w14:paraId="7475F2E3" w14:textId="77777777" w:rsidR="00D06CB2" w:rsidRPr="005C5E32" w:rsidRDefault="00D06CB2">
      <w:pPr>
        <w:pStyle w:val="BodyText"/>
      </w:pPr>
      <w:r w:rsidRPr="005C5E32">
        <w:t xml:space="preserve">In addition, the Ministry monitors two Crown entities: the Environmental Protection Authority | Te Mana Rauhī Taiao and </w:t>
      </w:r>
      <w:r w:rsidRPr="005C5E32">
        <w:rPr>
          <w:rFonts w:eastAsia="Calibri"/>
        </w:rPr>
        <w:t>He Pou a Rangi |</w:t>
      </w:r>
      <w:r w:rsidRPr="005C5E32">
        <w:t xml:space="preserve"> Climate Change Commission. The investments in these entities are recorded within the Financial Statements of the Government on a line-by-line basis. The investment in those entities is not included in this schedule.</w:t>
      </w:r>
    </w:p>
    <w:p w14:paraId="6BF3DA5C" w14:textId="77777777" w:rsidR="00D06CB2" w:rsidRPr="005C5E32" w:rsidRDefault="00D06CB2">
      <w:pPr>
        <w:rPr>
          <w:rFonts w:eastAsia="MS Mincho" w:cs="Arial"/>
        </w:rPr>
      </w:pPr>
    </w:p>
    <w:p w14:paraId="050CEAD8" w14:textId="77777777" w:rsidR="00D06CB2" w:rsidRPr="005C5E32" w:rsidRDefault="00D06CB2">
      <w:pPr>
        <w:rPr>
          <w:rFonts w:eastAsia="MS Mincho" w:cs="Arial"/>
        </w:rPr>
      </w:pPr>
    </w:p>
    <w:p w14:paraId="5B9A17D7" w14:textId="77777777" w:rsidR="00D06CB2" w:rsidRPr="005C5E32" w:rsidRDefault="00D06CB2">
      <w:pPr>
        <w:rPr>
          <w:rFonts w:eastAsia="MS Mincho" w:cs="Arial"/>
        </w:rPr>
      </w:pPr>
    </w:p>
    <w:p w14:paraId="419175DC" w14:textId="77777777" w:rsidR="00D06CB2" w:rsidRPr="005C5E32" w:rsidRDefault="00D06CB2">
      <w:pPr>
        <w:rPr>
          <w:rFonts w:eastAsia="MS Mincho" w:cs="Arial"/>
        </w:rPr>
      </w:pPr>
    </w:p>
    <w:p w14:paraId="04636233" w14:textId="77777777" w:rsidR="00D06CB2" w:rsidRPr="005C5E32" w:rsidRDefault="00D06CB2">
      <w:pPr>
        <w:rPr>
          <w:rFonts w:eastAsia="MS Mincho" w:cs="Arial"/>
        </w:rPr>
      </w:pPr>
    </w:p>
    <w:p w14:paraId="73BAF9DE" w14:textId="77777777" w:rsidR="00D06CB2" w:rsidRPr="005C5E32" w:rsidRDefault="00D06CB2">
      <w:pPr>
        <w:rPr>
          <w:rFonts w:eastAsia="MS Mincho" w:cs="Arial"/>
        </w:rPr>
      </w:pPr>
    </w:p>
    <w:p w14:paraId="6710B474" w14:textId="77777777" w:rsidR="00D06CB2" w:rsidRPr="005C5E32" w:rsidRDefault="00D06CB2">
      <w:pPr>
        <w:rPr>
          <w:rFonts w:eastAsia="MS Mincho" w:cs="Arial"/>
        </w:rPr>
      </w:pPr>
    </w:p>
    <w:p w14:paraId="06E7BB42" w14:textId="77777777" w:rsidR="00D06CB2" w:rsidRPr="005C5E32" w:rsidRDefault="00D06CB2">
      <w:pPr>
        <w:rPr>
          <w:rFonts w:eastAsia="MS Mincho" w:cs="Arial"/>
        </w:rPr>
      </w:pPr>
    </w:p>
    <w:p w14:paraId="52310826" w14:textId="77777777" w:rsidR="00D06CB2" w:rsidRPr="005C5E32" w:rsidRDefault="00D06CB2">
      <w:pPr>
        <w:rPr>
          <w:rFonts w:eastAsia="MS Mincho" w:cs="Arial"/>
        </w:rPr>
      </w:pPr>
    </w:p>
    <w:p w14:paraId="3E127D50" w14:textId="77777777" w:rsidR="00D06CB2" w:rsidRDefault="00D06CB2">
      <w:pPr>
        <w:rPr>
          <w:rFonts w:eastAsia="MS Mincho" w:cs="Arial"/>
        </w:rPr>
      </w:pPr>
    </w:p>
    <w:p w14:paraId="2A71E6F4" w14:textId="77777777" w:rsidR="00E230FA" w:rsidRPr="005C5E32" w:rsidRDefault="00E230FA">
      <w:pPr>
        <w:rPr>
          <w:rFonts w:eastAsia="MS Mincho" w:cs="Arial"/>
        </w:rPr>
      </w:pPr>
    </w:p>
    <w:p w14:paraId="665E38EE" w14:textId="77777777" w:rsidR="00D06CB2" w:rsidRPr="005C5E32" w:rsidRDefault="00D06CB2">
      <w:pPr>
        <w:rPr>
          <w:rFonts w:eastAsia="MS Mincho" w:cs="Arial"/>
        </w:rPr>
      </w:pPr>
    </w:p>
    <w:p w14:paraId="47BAFE9E" w14:textId="77777777" w:rsidR="00D06CB2" w:rsidRPr="005C5E32" w:rsidRDefault="00D06CB2">
      <w:pPr>
        <w:rPr>
          <w:rFonts w:eastAsia="MS Mincho" w:cs="Arial"/>
        </w:rPr>
      </w:pPr>
    </w:p>
    <w:p w14:paraId="6BC6CC69" w14:textId="77777777" w:rsidR="00D06CB2" w:rsidRPr="005C5E32" w:rsidRDefault="00D06CB2" w:rsidP="00E230FA">
      <w:pPr>
        <w:spacing w:after="0"/>
        <w:rPr>
          <w:rFonts w:eastAsia="MS Mincho" w:cs="Arial"/>
        </w:rPr>
      </w:pPr>
    </w:p>
    <w:p w14:paraId="449CD041" w14:textId="77777777" w:rsidR="00D06CB2" w:rsidRPr="005C5E32" w:rsidRDefault="00D06CB2">
      <w:pPr>
        <w:pStyle w:val="Note"/>
      </w:pPr>
      <w:r w:rsidRPr="005C5E32">
        <w:t xml:space="preserve">The accompanying notes form part of these financial statements. For a full understanding of the Crown’s financial position and the results of its operations for the year, refer to the consolidated Financial Statements of the Government for the year ended 30 June 2026. </w:t>
      </w:r>
      <w:r w:rsidRPr="005C5E32">
        <w:br w:type="page"/>
      </w:r>
    </w:p>
    <w:p w14:paraId="4EEE2E0C" w14:textId="77777777" w:rsidR="00D06CB2" w:rsidRPr="005C5E32" w:rsidRDefault="00D06CB2">
      <w:pPr>
        <w:pStyle w:val="Heading2green"/>
      </w:pPr>
      <w:bookmarkStart w:id="385" w:name="_Toc112144649"/>
      <w:bookmarkStart w:id="386" w:name="_Toc207017418"/>
      <w:bookmarkStart w:id="387" w:name="_Toc207017507"/>
      <w:bookmarkStart w:id="388" w:name="_Toc207192324"/>
      <w:bookmarkStart w:id="389" w:name="_Toc239677702"/>
      <w:bookmarkStart w:id="390" w:name="_Toc240445590"/>
      <w:r w:rsidRPr="005C5E32">
        <w:lastRenderedPageBreak/>
        <w:t>Schedule of non-departmental liabilities</w:t>
      </w:r>
      <w:bookmarkEnd w:id="385"/>
      <w:bookmarkEnd w:id="386"/>
      <w:bookmarkEnd w:id="387"/>
      <w:bookmarkEnd w:id="388"/>
      <w:bookmarkEnd w:id="389"/>
      <w:bookmarkEnd w:id="390"/>
    </w:p>
    <w:p w14:paraId="2269536F" w14:textId="77777777" w:rsidR="00D06CB2" w:rsidRPr="005C5E32" w:rsidRDefault="00D06CB2">
      <w:pPr>
        <w:spacing w:after="240"/>
        <w:rPr>
          <w:rFonts w:eastAsia="MS Mincho" w:cs="Arial"/>
          <w:sz w:val="28"/>
          <w:szCs w:val="28"/>
        </w:rPr>
      </w:pPr>
      <w:r w:rsidRPr="005C5E32">
        <w:rPr>
          <w:rFonts w:eastAsia="MS Mincho" w:cs="Arial"/>
          <w:sz w:val="28"/>
          <w:szCs w:val="28"/>
        </w:rPr>
        <w:t>as at 30 June 2026</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3921"/>
        <w:gridCol w:w="904"/>
        <w:gridCol w:w="1086"/>
        <w:gridCol w:w="1508"/>
        <w:gridCol w:w="1086"/>
      </w:tblGrid>
      <w:tr w:rsidR="008B48AE" w:rsidRPr="005C5E32" w14:paraId="26615275" w14:textId="77777777" w:rsidTr="001207EA">
        <w:trPr>
          <w:trHeight w:val="20"/>
        </w:trPr>
        <w:tc>
          <w:tcPr>
            <w:tcW w:w="3686" w:type="dxa"/>
            <w:tcBorders>
              <w:top w:val="single" w:sz="8" w:space="0" w:color="0E7C7E"/>
              <w:bottom w:val="single" w:sz="2" w:space="0" w:color="58595B"/>
            </w:tcBorders>
            <w:vAlign w:val="bottom"/>
          </w:tcPr>
          <w:p w14:paraId="3DB29155" w14:textId="77777777" w:rsidR="008B48AE" w:rsidRPr="005C5E32" w:rsidRDefault="008B48AE">
            <w:pPr>
              <w:pStyle w:val="TableboldGreen"/>
              <w:spacing w:before="40" w:after="40"/>
              <w:rPr>
                <w:rFonts w:cs="Calibri"/>
                <w:szCs w:val="18"/>
              </w:rPr>
            </w:pPr>
          </w:p>
        </w:tc>
        <w:tc>
          <w:tcPr>
            <w:tcW w:w="850" w:type="dxa"/>
            <w:tcBorders>
              <w:top w:val="single" w:sz="8" w:space="0" w:color="0E7C7E"/>
              <w:bottom w:val="single" w:sz="2" w:space="0" w:color="58595B"/>
            </w:tcBorders>
            <w:vAlign w:val="bottom"/>
          </w:tcPr>
          <w:p w14:paraId="067E32B7" w14:textId="77777777" w:rsidR="008B48AE" w:rsidRPr="005C5E32" w:rsidRDefault="008B48AE">
            <w:pPr>
              <w:pStyle w:val="TableboldGreen"/>
              <w:spacing w:before="40" w:after="40"/>
              <w:jc w:val="right"/>
              <w:rPr>
                <w:rFonts w:cs="Calibri"/>
                <w:szCs w:val="18"/>
              </w:rPr>
            </w:pPr>
            <w:r w:rsidRPr="005C5E32">
              <w:rPr>
                <w:rFonts w:cs="Calibri"/>
                <w:szCs w:val="18"/>
              </w:rPr>
              <w:t>Notes</w:t>
            </w:r>
          </w:p>
        </w:tc>
        <w:tc>
          <w:tcPr>
            <w:tcW w:w="1021" w:type="dxa"/>
            <w:tcBorders>
              <w:top w:val="single" w:sz="8" w:space="0" w:color="0E7C7E"/>
              <w:bottom w:val="single" w:sz="2" w:space="0" w:color="58595B"/>
            </w:tcBorders>
            <w:vAlign w:val="bottom"/>
          </w:tcPr>
          <w:p w14:paraId="326C38E0" w14:textId="77777777" w:rsidR="008B48AE" w:rsidRPr="005C5E32" w:rsidRDefault="008B48AE">
            <w:pPr>
              <w:pStyle w:val="TableboldGreen"/>
              <w:spacing w:before="40" w:after="40"/>
              <w:jc w:val="right"/>
              <w:rPr>
                <w:rFonts w:cs="Calibri"/>
                <w:szCs w:val="18"/>
              </w:rPr>
            </w:pPr>
            <w:r w:rsidRPr="005C5E32">
              <w:rPr>
                <w:rFonts w:cs="Calibri"/>
                <w:szCs w:val="18"/>
              </w:rPr>
              <w:t>2024/25</w:t>
            </w:r>
            <w:r w:rsidRPr="005C5E32">
              <w:rPr>
                <w:rFonts w:cs="Calibri"/>
                <w:szCs w:val="18"/>
              </w:rPr>
              <w:br/>
              <w:t>Actual</w:t>
            </w:r>
            <w:r w:rsidRPr="005C5E32">
              <w:rPr>
                <w:rFonts w:cs="Calibri"/>
                <w:szCs w:val="18"/>
              </w:rPr>
              <w:br/>
              <w:t>$000</w:t>
            </w:r>
          </w:p>
        </w:tc>
        <w:tc>
          <w:tcPr>
            <w:tcW w:w="1418" w:type="dxa"/>
            <w:tcBorders>
              <w:top w:val="single" w:sz="8" w:space="0" w:color="0E7C7E"/>
              <w:bottom w:val="single" w:sz="2" w:space="0" w:color="58595B"/>
            </w:tcBorders>
            <w:vAlign w:val="bottom"/>
          </w:tcPr>
          <w:p w14:paraId="7CCEAB29" w14:textId="77777777" w:rsidR="008B48AE" w:rsidRPr="005C5E32" w:rsidRDefault="008B48AE">
            <w:pPr>
              <w:pStyle w:val="TableboldGreen"/>
              <w:spacing w:before="40" w:after="40"/>
              <w:jc w:val="right"/>
              <w:rPr>
                <w:rFonts w:cs="Calibri"/>
                <w:szCs w:val="18"/>
              </w:rPr>
            </w:pPr>
            <w:r w:rsidRPr="005C5E32">
              <w:rPr>
                <w:rFonts w:cs="Calibri"/>
                <w:szCs w:val="18"/>
              </w:rPr>
              <w:t>2025/26</w:t>
            </w:r>
            <w:r w:rsidRPr="005C5E32">
              <w:rPr>
                <w:rFonts w:cs="Calibri"/>
                <w:szCs w:val="18"/>
              </w:rPr>
              <w:br/>
              <w:t xml:space="preserve">Mains </w:t>
            </w:r>
            <w:r w:rsidRPr="005C5E32" w:rsidDel="00445F5C">
              <w:rPr>
                <w:rFonts w:cs="Calibri"/>
                <w:szCs w:val="18"/>
              </w:rPr>
              <w:t>F</w:t>
            </w:r>
            <w:r w:rsidRPr="005C5E32">
              <w:rPr>
                <w:rFonts w:cs="Calibri"/>
                <w:szCs w:val="18"/>
              </w:rPr>
              <w:t>orecast*</w:t>
            </w:r>
            <w:r w:rsidRPr="005C5E32">
              <w:rPr>
                <w:rFonts w:cs="Calibri"/>
                <w:szCs w:val="18"/>
              </w:rPr>
              <w:br/>
              <w:t>$000</w:t>
            </w:r>
          </w:p>
        </w:tc>
        <w:tc>
          <w:tcPr>
            <w:tcW w:w="1021" w:type="dxa"/>
            <w:tcBorders>
              <w:top w:val="single" w:sz="8" w:space="0" w:color="0E7C7E"/>
              <w:bottom w:val="single" w:sz="2" w:space="0" w:color="58595B"/>
            </w:tcBorders>
            <w:shd w:val="clear" w:color="auto" w:fill="E7F2F2"/>
            <w:vAlign w:val="bottom"/>
          </w:tcPr>
          <w:p w14:paraId="1F89302B" w14:textId="77777777" w:rsidR="008B48AE" w:rsidRPr="005C5E32" w:rsidRDefault="008B48AE">
            <w:pPr>
              <w:pStyle w:val="TableboldGreen"/>
              <w:spacing w:before="40" w:after="40"/>
              <w:jc w:val="right"/>
              <w:rPr>
                <w:rFonts w:cs="Calibri"/>
                <w:szCs w:val="18"/>
              </w:rPr>
            </w:pPr>
            <w:r w:rsidRPr="005C5E32">
              <w:rPr>
                <w:rFonts w:cs="Calibri"/>
                <w:szCs w:val="18"/>
              </w:rPr>
              <w:t>2025/26</w:t>
            </w:r>
            <w:r w:rsidRPr="005C5E32">
              <w:rPr>
                <w:rFonts w:cs="Calibri"/>
                <w:szCs w:val="18"/>
              </w:rPr>
              <w:br/>
              <w:t>Actual</w:t>
            </w:r>
            <w:r w:rsidRPr="005C5E32">
              <w:rPr>
                <w:rFonts w:cs="Calibri"/>
                <w:szCs w:val="18"/>
              </w:rPr>
              <w:br/>
              <w:t>$000</w:t>
            </w:r>
          </w:p>
        </w:tc>
      </w:tr>
      <w:tr w:rsidR="008B48AE" w:rsidRPr="005C5E32" w14:paraId="08A56AD5" w14:textId="77777777" w:rsidTr="001207EA">
        <w:trPr>
          <w:trHeight w:val="20"/>
        </w:trPr>
        <w:tc>
          <w:tcPr>
            <w:tcW w:w="3686" w:type="dxa"/>
            <w:tcBorders>
              <w:top w:val="single" w:sz="2" w:space="0" w:color="000000" w:themeColor="text1"/>
              <w:bottom w:val="nil"/>
            </w:tcBorders>
          </w:tcPr>
          <w:p w14:paraId="7EA52C0A" w14:textId="77777777" w:rsidR="008B48AE" w:rsidRPr="005C5E32" w:rsidRDefault="008B48AE">
            <w:pPr>
              <w:pStyle w:val="TableboldGreen"/>
              <w:spacing w:before="40" w:after="0"/>
              <w:rPr>
                <w:rFonts w:cs="Calibri"/>
                <w:szCs w:val="18"/>
              </w:rPr>
            </w:pPr>
            <w:r w:rsidRPr="005C5E32">
              <w:rPr>
                <w:rFonts w:cs="Calibri"/>
                <w:szCs w:val="18"/>
              </w:rPr>
              <w:t>Liabilities</w:t>
            </w:r>
          </w:p>
        </w:tc>
        <w:tc>
          <w:tcPr>
            <w:tcW w:w="850" w:type="dxa"/>
            <w:tcBorders>
              <w:top w:val="single" w:sz="2" w:space="0" w:color="000000" w:themeColor="text1"/>
              <w:bottom w:val="nil"/>
            </w:tcBorders>
          </w:tcPr>
          <w:p w14:paraId="21977E29" w14:textId="77777777" w:rsidR="008B48AE" w:rsidRPr="005C5E32" w:rsidRDefault="008B48AE">
            <w:pPr>
              <w:pStyle w:val="TableText"/>
              <w:spacing w:before="40" w:after="0"/>
              <w:jc w:val="right"/>
              <w:rPr>
                <w:rFonts w:cs="Calibri"/>
                <w:szCs w:val="18"/>
              </w:rPr>
            </w:pPr>
          </w:p>
        </w:tc>
        <w:tc>
          <w:tcPr>
            <w:tcW w:w="1021" w:type="dxa"/>
            <w:tcBorders>
              <w:top w:val="single" w:sz="2" w:space="0" w:color="000000" w:themeColor="text1"/>
              <w:bottom w:val="nil"/>
            </w:tcBorders>
          </w:tcPr>
          <w:p w14:paraId="4BCFAE8E" w14:textId="77777777" w:rsidR="008B48AE" w:rsidRPr="005C5E32" w:rsidRDefault="008B48AE">
            <w:pPr>
              <w:pStyle w:val="TableText"/>
              <w:spacing w:before="40" w:after="0"/>
              <w:jc w:val="right"/>
              <w:rPr>
                <w:rFonts w:cs="Calibri"/>
                <w:szCs w:val="18"/>
              </w:rPr>
            </w:pPr>
          </w:p>
        </w:tc>
        <w:tc>
          <w:tcPr>
            <w:tcW w:w="1418" w:type="dxa"/>
            <w:tcBorders>
              <w:top w:val="single" w:sz="2" w:space="0" w:color="000000" w:themeColor="text1"/>
              <w:bottom w:val="nil"/>
            </w:tcBorders>
          </w:tcPr>
          <w:p w14:paraId="7968583F" w14:textId="77777777" w:rsidR="008B48AE" w:rsidRPr="005C5E32" w:rsidRDefault="008B48AE">
            <w:pPr>
              <w:pStyle w:val="TableText"/>
              <w:spacing w:before="40" w:after="0"/>
              <w:jc w:val="right"/>
              <w:rPr>
                <w:rFonts w:cs="Calibri"/>
                <w:szCs w:val="18"/>
              </w:rPr>
            </w:pPr>
          </w:p>
        </w:tc>
        <w:tc>
          <w:tcPr>
            <w:tcW w:w="1021" w:type="dxa"/>
            <w:vMerge w:val="restart"/>
            <w:tcBorders>
              <w:top w:val="single" w:sz="2" w:space="0" w:color="000000" w:themeColor="text1"/>
              <w:bottom w:val="nil"/>
            </w:tcBorders>
            <w:shd w:val="clear" w:color="auto" w:fill="E7F2F2"/>
          </w:tcPr>
          <w:p w14:paraId="330E60D9" w14:textId="77777777" w:rsidR="008B48AE" w:rsidRPr="005C5E32" w:rsidRDefault="008B48AE">
            <w:pPr>
              <w:pStyle w:val="TableText"/>
              <w:spacing w:before="40" w:after="0"/>
              <w:jc w:val="right"/>
              <w:rPr>
                <w:rFonts w:eastAsia="Lato" w:cs="Calibri"/>
                <w:szCs w:val="18"/>
              </w:rPr>
            </w:pPr>
          </w:p>
        </w:tc>
      </w:tr>
      <w:tr w:rsidR="008B48AE" w:rsidRPr="005C5E32" w14:paraId="4EB5568F" w14:textId="77777777" w:rsidTr="001207EA">
        <w:trPr>
          <w:trHeight w:val="20"/>
        </w:trPr>
        <w:tc>
          <w:tcPr>
            <w:tcW w:w="3686" w:type="dxa"/>
            <w:tcBorders>
              <w:top w:val="nil"/>
              <w:left w:val="nil"/>
              <w:bottom w:val="single" w:sz="4" w:space="0" w:color="58595B"/>
              <w:right w:val="nil"/>
            </w:tcBorders>
          </w:tcPr>
          <w:p w14:paraId="4D0034A3" w14:textId="77777777" w:rsidR="008B48AE" w:rsidRPr="005C5E32" w:rsidRDefault="008B48AE">
            <w:pPr>
              <w:pStyle w:val="Tablegreen"/>
              <w:spacing w:before="0" w:after="40"/>
              <w:rPr>
                <w:rFonts w:cs="Calibri"/>
                <w:szCs w:val="18"/>
              </w:rPr>
            </w:pPr>
            <w:r w:rsidRPr="005C5E32">
              <w:rPr>
                <w:rFonts w:cs="Calibri"/>
                <w:szCs w:val="18"/>
              </w:rPr>
              <w:t>Current liabilities</w:t>
            </w:r>
          </w:p>
        </w:tc>
        <w:tc>
          <w:tcPr>
            <w:tcW w:w="850" w:type="dxa"/>
            <w:tcBorders>
              <w:top w:val="nil"/>
              <w:left w:val="nil"/>
              <w:bottom w:val="single" w:sz="4" w:space="0" w:color="58595B"/>
              <w:right w:val="nil"/>
            </w:tcBorders>
          </w:tcPr>
          <w:p w14:paraId="1BF02117" w14:textId="77777777" w:rsidR="008B48AE" w:rsidRPr="005C5E32" w:rsidRDefault="008B48AE">
            <w:pPr>
              <w:pStyle w:val="TableText"/>
              <w:spacing w:before="0" w:after="40"/>
              <w:jc w:val="right"/>
              <w:rPr>
                <w:rFonts w:cs="Calibri"/>
                <w:szCs w:val="18"/>
              </w:rPr>
            </w:pPr>
          </w:p>
        </w:tc>
        <w:tc>
          <w:tcPr>
            <w:tcW w:w="1021" w:type="dxa"/>
            <w:tcBorders>
              <w:top w:val="nil"/>
              <w:left w:val="nil"/>
              <w:bottom w:val="single" w:sz="4" w:space="0" w:color="58595B"/>
              <w:right w:val="nil"/>
            </w:tcBorders>
          </w:tcPr>
          <w:p w14:paraId="66323AF5" w14:textId="77777777" w:rsidR="008B48AE" w:rsidRPr="005C5E32" w:rsidRDefault="008B48AE">
            <w:pPr>
              <w:pStyle w:val="TableText"/>
              <w:spacing w:before="0" w:after="40"/>
              <w:jc w:val="right"/>
              <w:rPr>
                <w:rFonts w:cs="Calibri"/>
                <w:szCs w:val="18"/>
              </w:rPr>
            </w:pPr>
          </w:p>
        </w:tc>
        <w:tc>
          <w:tcPr>
            <w:tcW w:w="1418" w:type="dxa"/>
            <w:tcBorders>
              <w:top w:val="nil"/>
              <w:left w:val="nil"/>
              <w:bottom w:val="single" w:sz="4" w:space="0" w:color="58595B"/>
              <w:right w:val="nil"/>
            </w:tcBorders>
          </w:tcPr>
          <w:p w14:paraId="300CAD69" w14:textId="77777777" w:rsidR="008B48AE" w:rsidRPr="005C5E32" w:rsidRDefault="008B48AE">
            <w:pPr>
              <w:pStyle w:val="TableText"/>
              <w:spacing w:before="0" w:after="40"/>
              <w:jc w:val="right"/>
              <w:rPr>
                <w:rFonts w:cs="Calibri"/>
                <w:szCs w:val="18"/>
              </w:rPr>
            </w:pPr>
          </w:p>
        </w:tc>
        <w:tc>
          <w:tcPr>
            <w:tcW w:w="1021" w:type="dxa"/>
            <w:vMerge/>
          </w:tcPr>
          <w:p w14:paraId="716557E7" w14:textId="77777777" w:rsidR="008B48AE" w:rsidRPr="005C5E32" w:rsidRDefault="008B48AE">
            <w:pPr>
              <w:pStyle w:val="TableText"/>
              <w:spacing w:before="0" w:after="40"/>
              <w:jc w:val="right"/>
              <w:rPr>
                <w:rFonts w:cs="Calibri"/>
                <w:szCs w:val="18"/>
              </w:rPr>
            </w:pPr>
          </w:p>
        </w:tc>
      </w:tr>
      <w:tr w:rsidR="008B48AE" w:rsidRPr="005C5E32" w14:paraId="560C7D24" w14:textId="77777777" w:rsidTr="001207EA">
        <w:trPr>
          <w:trHeight w:val="20"/>
        </w:trPr>
        <w:tc>
          <w:tcPr>
            <w:tcW w:w="3686" w:type="dxa"/>
            <w:tcBorders>
              <w:top w:val="single" w:sz="4" w:space="0" w:color="58595B"/>
              <w:left w:val="nil"/>
              <w:bottom w:val="single" w:sz="4" w:space="0" w:color="58595B"/>
              <w:right w:val="nil"/>
            </w:tcBorders>
          </w:tcPr>
          <w:p w14:paraId="1DC687D0" w14:textId="77777777" w:rsidR="008B48AE" w:rsidRPr="005C5E32" w:rsidRDefault="008B48AE">
            <w:pPr>
              <w:pStyle w:val="TableText"/>
              <w:spacing w:before="0" w:after="40"/>
              <w:rPr>
                <w:rFonts w:cs="Calibri"/>
                <w:szCs w:val="18"/>
              </w:rPr>
            </w:pPr>
            <w:r w:rsidRPr="005C5E32">
              <w:rPr>
                <w:rFonts w:cs="Calibri"/>
                <w:szCs w:val="18"/>
              </w:rPr>
              <w:t>Payables</w:t>
            </w:r>
          </w:p>
        </w:tc>
        <w:tc>
          <w:tcPr>
            <w:tcW w:w="850" w:type="dxa"/>
            <w:tcBorders>
              <w:top w:val="single" w:sz="4" w:space="0" w:color="58595B"/>
              <w:left w:val="nil"/>
              <w:bottom w:val="single" w:sz="4" w:space="0" w:color="58595B"/>
              <w:right w:val="nil"/>
            </w:tcBorders>
          </w:tcPr>
          <w:p w14:paraId="64550490" w14:textId="77777777" w:rsidR="008B48AE" w:rsidRPr="005C5E32" w:rsidRDefault="008B48AE">
            <w:pPr>
              <w:pStyle w:val="TableText"/>
              <w:spacing w:before="0" w:after="40"/>
              <w:jc w:val="right"/>
              <w:rPr>
                <w:rFonts w:eastAsia="Lato" w:cs="Calibri"/>
                <w:szCs w:val="18"/>
              </w:rPr>
            </w:pPr>
            <w:r w:rsidRPr="005C5E32">
              <w:rPr>
                <w:rFonts w:eastAsia="Lato" w:cs="Calibri"/>
                <w:szCs w:val="18"/>
              </w:rPr>
              <w:t>8</w:t>
            </w:r>
          </w:p>
        </w:tc>
        <w:tc>
          <w:tcPr>
            <w:tcW w:w="1021" w:type="dxa"/>
            <w:tcBorders>
              <w:top w:val="single" w:sz="4" w:space="0" w:color="58595B"/>
              <w:left w:val="nil"/>
              <w:bottom w:val="single" w:sz="4" w:space="0" w:color="58595B"/>
              <w:right w:val="nil"/>
            </w:tcBorders>
          </w:tcPr>
          <w:p w14:paraId="2C9CE586" w14:textId="77777777" w:rsidR="008B48AE" w:rsidRPr="005C5E32" w:rsidRDefault="008B48AE">
            <w:pPr>
              <w:pStyle w:val="TableText"/>
              <w:spacing w:before="0" w:after="40"/>
              <w:jc w:val="right"/>
              <w:rPr>
                <w:rFonts w:eastAsia="Lato" w:cs="Calibri"/>
                <w:szCs w:val="18"/>
              </w:rPr>
            </w:pPr>
            <w:r w:rsidRPr="005C5E32">
              <w:rPr>
                <w:rFonts w:eastAsia="Lato" w:cs="Calibri"/>
                <w:szCs w:val="18"/>
              </w:rPr>
              <w:t>89,906</w:t>
            </w:r>
          </w:p>
        </w:tc>
        <w:tc>
          <w:tcPr>
            <w:tcW w:w="1418" w:type="dxa"/>
            <w:tcBorders>
              <w:top w:val="single" w:sz="4" w:space="0" w:color="58595B"/>
              <w:left w:val="nil"/>
              <w:bottom w:val="single" w:sz="4" w:space="0" w:color="58595B"/>
              <w:right w:val="nil"/>
            </w:tcBorders>
          </w:tcPr>
          <w:p w14:paraId="1A1E1E06" w14:textId="77777777" w:rsidR="008B48AE" w:rsidRPr="005C5E32" w:rsidRDefault="008B48AE">
            <w:pPr>
              <w:pStyle w:val="TableText"/>
              <w:spacing w:before="0" w:after="40"/>
              <w:jc w:val="right"/>
              <w:rPr>
                <w:rFonts w:eastAsia="Lato" w:cs="Calibri"/>
                <w:szCs w:val="18"/>
              </w:rPr>
            </w:pPr>
            <w:r w:rsidRPr="005C5E32">
              <w:rPr>
                <w:rFonts w:eastAsia="Lato" w:cs="Calibri"/>
                <w:szCs w:val="18"/>
              </w:rPr>
              <w:t>113,960</w:t>
            </w:r>
          </w:p>
        </w:tc>
        <w:tc>
          <w:tcPr>
            <w:tcW w:w="1021" w:type="dxa"/>
            <w:tcBorders>
              <w:top w:val="single" w:sz="4" w:space="0" w:color="58595B"/>
              <w:left w:val="nil"/>
              <w:bottom w:val="single" w:sz="4" w:space="0" w:color="58595B"/>
              <w:right w:val="nil"/>
            </w:tcBorders>
            <w:shd w:val="clear" w:color="auto" w:fill="E7F2F2"/>
          </w:tcPr>
          <w:p w14:paraId="10728594" w14:textId="77777777" w:rsidR="008B48AE" w:rsidRPr="005C5E32" w:rsidRDefault="008B48AE">
            <w:pPr>
              <w:pStyle w:val="TableText"/>
              <w:spacing w:before="0" w:after="40"/>
              <w:jc w:val="right"/>
            </w:pPr>
            <w:r w:rsidRPr="005C5E32">
              <w:rPr>
                <w:rFonts w:eastAsia="Lato" w:cs="Calibri"/>
              </w:rPr>
              <w:t>89,303</w:t>
            </w:r>
          </w:p>
        </w:tc>
      </w:tr>
      <w:tr w:rsidR="008B48AE" w:rsidRPr="005C5E32" w14:paraId="64E16335" w14:textId="77777777" w:rsidTr="001207EA">
        <w:trPr>
          <w:trHeight w:val="20"/>
        </w:trPr>
        <w:tc>
          <w:tcPr>
            <w:tcW w:w="3686" w:type="dxa"/>
            <w:tcBorders>
              <w:top w:val="single" w:sz="4" w:space="0" w:color="58595B"/>
              <w:left w:val="nil"/>
              <w:bottom w:val="single" w:sz="4" w:space="0" w:color="58595B"/>
              <w:right w:val="nil"/>
            </w:tcBorders>
          </w:tcPr>
          <w:p w14:paraId="3829B9E7" w14:textId="77777777" w:rsidR="008B48AE" w:rsidRPr="005C5E32" w:rsidRDefault="008B48AE">
            <w:pPr>
              <w:pStyle w:val="TableText"/>
              <w:spacing w:before="40" w:after="40"/>
              <w:rPr>
                <w:rFonts w:cs="Calibri"/>
                <w:szCs w:val="18"/>
              </w:rPr>
            </w:pPr>
            <w:r w:rsidRPr="005C5E32">
              <w:rPr>
                <w:rFonts w:cs="Calibri"/>
                <w:szCs w:val="18"/>
              </w:rPr>
              <w:t>Provisions</w:t>
            </w:r>
          </w:p>
        </w:tc>
        <w:tc>
          <w:tcPr>
            <w:tcW w:w="850" w:type="dxa"/>
            <w:tcBorders>
              <w:top w:val="single" w:sz="4" w:space="0" w:color="58595B"/>
              <w:left w:val="nil"/>
              <w:bottom w:val="single" w:sz="4" w:space="0" w:color="58595B"/>
              <w:right w:val="nil"/>
            </w:tcBorders>
          </w:tcPr>
          <w:p w14:paraId="33CD9501" w14:textId="77777777" w:rsidR="008B48AE" w:rsidRPr="005C5E32" w:rsidRDefault="008B48AE">
            <w:pPr>
              <w:pStyle w:val="TableText"/>
              <w:spacing w:before="40" w:after="40"/>
              <w:jc w:val="right"/>
              <w:rPr>
                <w:rFonts w:eastAsia="Lato" w:cs="Calibri"/>
                <w:szCs w:val="18"/>
              </w:rPr>
            </w:pPr>
            <w:r w:rsidRPr="005C5E32">
              <w:rPr>
                <w:rFonts w:eastAsia="Lato" w:cs="Calibri"/>
                <w:szCs w:val="18"/>
              </w:rPr>
              <w:t>10</w:t>
            </w:r>
          </w:p>
        </w:tc>
        <w:tc>
          <w:tcPr>
            <w:tcW w:w="1021" w:type="dxa"/>
            <w:tcBorders>
              <w:top w:val="single" w:sz="4" w:space="0" w:color="58595B"/>
              <w:left w:val="nil"/>
              <w:bottom w:val="single" w:sz="4" w:space="0" w:color="58595B"/>
              <w:right w:val="nil"/>
            </w:tcBorders>
          </w:tcPr>
          <w:p w14:paraId="70DA2924" w14:textId="77777777" w:rsidR="008B48AE" w:rsidRPr="005C5E32" w:rsidRDefault="008B48AE">
            <w:pPr>
              <w:pStyle w:val="TableText"/>
              <w:spacing w:before="40" w:after="40"/>
              <w:jc w:val="right"/>
              <w:rPr>
                <w:rFonts w:eastAsia="Lato" w:cs="Calibri"/>
                <w:szCs w:val="18"/>
              </w:rPr>
            </w:pPr>
            <w:r w:rsidRPr="005C5E32">
              <w:rPr>
                <w:rFonts w:eastAsia="Lato" w:cs="Calibri"/>
                <w:szCs w:val="18"/>
              </w:rPr>
              <w:t>7,385,943</w:t>
            </w:r>
          </w:p>
        </w:tc>
        <w:tc>
          <w:tcPr>
            <w:tcW w:w="1418" w:type="dxa"/>
            <w:tcBorders>
              <w:top w:val="single" w:sz="4" w:space="0" w:color="58595B"/>
              <w:left w:val="nil"/>
              <w:bottom w:val="single" w:sz="4" w:space="0" w:color="58595B"/>
              <w:right w:val="nil"/>
            </w:tcBorders>
          </w:tcPr>
          <w:p w14:paraId="7C694BDA" w14:textId="77777777" w:rsidR="008B48AE" w:rsidRPr="005C5E32" w:rsidRDefault="008B48AE">
            <w:pPr>
              <w:pStyle w:val="TableText"/>
              <w:spacing w:before="40" w:after="40"/>
              <w:jc w:val="right"/>
              <w:rPr>
                <w:rFonts w:eastAsia="Lato" w:cs="Calibri"/>
                <w:szCs w:val="18"/>
              </w:rPr>
            </w:pPr>
            <w:r w:rsidRPr="005C5E32">
              <w:rPr>
                <w:rFonts w:eastAsia="Lato" w:cs="Calibri"/>
                <w:szCs w:val="18"/>
              </w:rPr>
              <w:t>5,966,357</w:t>
            </w:r>
          </w:p>
        </w:tc>
        <w:tc>
          <w:tcPr>
            <w:tcW w:w="1021" w:type="dxa"/>
            <w:tcBorders>
              <w:top w:val="single" w:sz="4" w:space="0" w:color="58595B"/>
              <w:left w:val="nil"/>
              <w:bottom w:val="single" w:sz="4" w:space="0" w:color="58595B"/>
              <w:right w:val="nil"/>
            </w:tcBorders>
            <w:shd w:val="clear" w:color="auto" w:fill="E7F2F2"/>
          </w:tcPr>
          <w:p w14:paraId="6E8FDB1C" w14:textId="77777777" w:rsidR="008B48AE" w:rsidRPr="005C5E32" w:rsidRDefault="008B48AE">
            <w:pPr>
              <w:pStyle w:val="TableText"/>
              <w:spacing w:before="40" w:after="40"/>
              <w:jc w:val="right"/>
              <w:rPr>
                <w:rFonts w:eastAsia="Lato" w:cs="Calibri"/>
                <w:szCs w:val="18"/>
              </w:rPr>
            </w:pPr>
            <w:r w:rsidRPr="005C5E32">
              <w:rPr>
                <w:rFonts w:eastAsia="Lato" w:cs="Calibri"/>
                <w:szCs w:val="18"/>
              </w:rPr>
              <w:t>6,406,501</w:t>
            </w:r>
          </w:p>
        </w:tc>
      </w:tr>
      <w:tr w:rsidR="008B48AE" w:rsidRPr="005C5E32" w14:paraId="70FE641B" w14:textId="77777777" w:rsidTr="001207EA">
        <w:trPr>
          <w:trHeight w:val="20"/>
        </w:trPr>
        <w:tc>
          <w:tcPr>
            <w:tcW w:w="3686" w:type="dxa"/>
            <w:tcBorders>
              <w:top w:val="single" w:sz="4" w:space="0" w:color="58595B"/>
              <w:left w:val="nil"/>
              <w:bottom w:val="single" w:sz="4" w:space="0" w:color="58595B"/>
              <w:right w:val="nil"/>
            </w:tcBorders>
          </w:tcPr>
          <w:p w14:paraId="35A7DFFE" w14:textId="77777777" w:rsidR="008B48AE" w:rsidRPr="005C5E32" w:rsidRDefault="008B48AE">
            <w:pPr>
              <w:pStyle w:val="TableText"/>
              <w:spacing w:before="40" w:after="40"/>
              <w:rPr>
                <w:rFonts w:cs="Calibri"/>
                <w:b/>
                <w:bCs/>
                <w:szCs w:val="18"/>
              </w:rPr>
            </w:pPr>
            <w:r w:rsidRPr="005C5E32">
              <w:rPr>
                <w:rFonts w:cs="Calibri"/>
                <w:b/>
                <w:bCs/>
                <w:szCs w:val="18"/>
              </w:rPr>
              <w:t>Total current liabilities</w:t>
            </w:r>
          </w:p>
        </w:tc>
        <w:tc>
          <w:tcPr>
            <w:tcW w:w="850" w:type="dxa"/>
            <w:tcBorders>
              <w:top w:val="single" w:sz="4" w:space="0" w:color="58595B"/>
              <w:left w:val="nil"/>
              <w:bottom w:val="single" w:sz="4" w:space="0" w:color="58595B"/>
              <w:right w:val="nil"/>
            </w:tcBorders>
          </w:tcPr>
          <w:p w14:paraId="0448D0CB" w14:textId="77777777" w:rsidR="008B48AE" w:rsidRPr="005C5E32" w:rsidRDefault="008B48AE">
            <w:pPr>
              <w:pStyle w:val="TableText"/>
              <w:spacing w:before="40" w:after="40"/>
              <w:jc w:val="right"/>
              <w:rPr>
                <w:rFonts w:cs="Calibri"/>
                <w:b/>
                <w:bCs/>
                <w:szCs w:val="18"/>
              </w:rPr>
            </w:pPr>
          </w:p>
        </w:tc>
        <w:tc>
          <w:tcPr>
            <w:tcW w:w="1021" w:type="dxa"/>
            <w:tcBorders>
              <w:top w:val="single" w:sz="4" w:space="0" w:color="58595B"/>
              <w:left w:val="nil"/>
              <w:bottom w:val="single" w:sz="4" w:space="0" w:color="58595B"/>
              <w:right w:val="nil"/>
            </w:tcBorders>
          </w:tcPr>
          <w:p w14:paraId="787EB417" w14:textId="77777777" w:rsidR="008B48AE" w:rsidRPr="005C5E32" w:rsidRDefault="008B48AE">
            <w:pPr>
              <w:pStyle w:val="TableText"/>
              <w:spacing w:before="40" w:after="40"/>
              <w:jc w:val="right"/>
              <w:rPr>
                <w:rFonts w:eastAsia="Lato" w:cs="Calibri"/>
                <w:b/>
                <w:bCs/>
                <w:szCs w:val="18"/>
              </w:rPr>
            </w:pPr>
            <w:r w:rsidRPr="005C5E32">
              <w:rPr>
                <w:rFonts w:eastAsia="Lato" w:cs="Calibri"/>
                <w:b/>
                <w:bCs/>
                <w:szCs w:val="18"/>
              </w:rPr>
              <w:t>7,475,849</w:t>
            </w:r>
          </w:p>
        </w:tc>
        <w:tc>
          <w:tcPr>
            <w:tcW w:w="1418" w:type="dxa"/>
            <w:tcBorders>
              <w:top w:val="single" w:sz="4" w:space="0" w:color="58595B"/>
              <w:left w:val="nil"/>
              <w:bottom w:val="single" w:sz="4" w:space="0" w:color="58595B"/>
              <w:right w:val="nil"/>
            </w:tcBorders>
          </w:tcPr>
          <w:p w14:paraId="2FCFC6F9" w14:textId="77777777" w:rsidR="008B48AE" w:rsidRPr="005C5E32" w:rsidRDefault="008B48AE">
            <w:pPr>
              <w:pStyle w:val="TableText"/>
              <w:spacing w:before="40" w:after="40"/>
              <w:jc w:val="right"/>
              <w:rPr>
                <w:rFonts w:eastAsia="Lato" w:cs="Calibri"/>
                <w:b/>
                <w:bCs/>
                <w:szCs w:val="18"/>
              </w:rPr>
            </w:pPr>
            <w:r w:rsidRPr="005C5E32">
              <w:rPr>
                <w:rFonts w:eastAsia="Lato" w:cs="Calibri"/>
                <w:b/>
                <w:bCs/>
                <w:szCs w:val="18"/>
              </w:rPr>
              <w:t>6,080,317</w:t>
            </w:r>
          </w:p>
        </w:tc>
        <w:tc>
          <w:tcPr>
            <w:tcW w:w="1021" w:type="dxa"/>
            <w:tcBorders>
              <w:top w:val="single" w:sz="4" w:space="0" w:color="58595B"/>
              <w:left w:val="nil"/>
              <w:bottom w:val="single" w:sz="4" w:space="0" w:color="58595B"/>
              <w:right w:val="nil"/>
            </w:tcBorders>
            <w:shd w:val="clear" w:color="auto" w:fill="E7F2F2"/>
          </w:tcPr>
          <w:p w14:paraId="51111898" w14:textId="77777777" w:rsidR="008B48AE" w:rsidRPr="005C5E32" w:rsidRDefault="008B48AE">
            <w:pPr>
              <w:pStyle w:val="TableText"/>
              <w:spacing w:before="40" w:after="40"/>
              <w:jc w:val="right"/>
            </w:pPr>
            <w:r w:rsidRPr="005C5E32">
              <w:rPr>
                <w:rFonts w:eastAsia="Lato" w:cs="Calibri"/>
                <w:b/>
                <w:bCs/>
              </w:rPr>
              <w:t>6,495,804</w:t>
            </w:r>
          </w:p>
        </w:tc>
      </w:tr>
      <w:tr w:rsidR="008B48AE" w:rsidRPr="005C5E32" w14:paraId="299783B0" w14:textId="77777777" w:rsidTr="001207EA">
        <w:trPr>
          <w:trHeight w:val="20"/>
        </w:trPr>
        <w:tc>
          <w:tcPr>
            <w:tcW w:w="3686" w:type="dxa"/>
            <w:tcBorders>
              <w:top w:val="single" w:sz="4" w:space="0" w:color="58595B"/>
              <w:left w:val="nil"/>
              <w:bottom w:val="single" w:sz="4" w:space="0" w:color="58595B"/>
              <w:right w:val="nil"/>
            </w:tcBorders>
          </w:tcPr>
          <w:p w14:paraId="6A5355E5" w14:textId="77777777" w:rsidR="008B48AE" w:rsidRPr="005C5E32" w:rsidRDefault="008B48AE">
            <w:pPr>
              <w:pStyle w:val="Tablegreen"/>
              <w:spacing w:before="40" w:after="0"/>
              <w:rPr>
                <w:rFonts w:cs="Calibri"/>
                <w:szCs w:val="18"/>
              </w:rPr>
            </w:pPr>
            <w:r w:rsidRPr="005C5E32">
              <w:rPr>
                <w:rFonts w:cs="Calibri"/>
                <w:szCs w:val="18"/>
              </w:rPr>
              <w:t>Non-current liabilities</w:t>
            </w:r>
          </w:p>
        </w:tc>
        <w:tc>
          <w:tcPr>
            <w:tcW w:w="850" w:type="dxa"/>
            <w:tcBorders>
              <w:top w:val="single" w:sz="4" w:space="0" w:color="58595B"/>
              <w:left w:val="nil"/>
              <w:bottom w:val="single" w:sz="4" w:space="0" w:color="58595B"/>
              <w:right w:val="nil"/>
            </w:tcBorders>
          </w:tcPr>
          <w:p w14:paraId="1A131639" w14:textId="77777777" w:rsidR="008B48AE" w:rsidRPr="005C5E32" w:rsidRDefault="008B48AE">
            <w:pPr>
              <w:pStyle w:val="TableText"/>
              <w:spacing w:before="40" w:after="0"/>
              <w:jc w:val="right"/>
              <w:rPr>
                <w:rFonts w:cs="Calibri"/>
                <w:szCs w:val="18"/>
              </w:rPr>
            </w:pPr>
          </w:p>
        </w:tc>
        <w:tc>
          <w:tcPr>
            <w:tcW w:w="1021" w:type="dxa"/>
            <w:tcBorders>
              <w:top w:val="single" w:sz="4" w:space="0" w:color="58595B"/>
              <w:left w:val="nil"/>
              <w:bottom w:val="single" w:sz="4" w:space="0" w:color="58595B"/>
              <w:right w:val="nil"/>
            </w:tcBorders>
          </w:tcPr>
          <w:p w14:paraId="69484EFD" w14:textId="77777777" w:rsidR="008B48AE" w:rsidRPr="005C5E32" w:rsidRDefault="008B48AE">
            <w:pPr>
              <w:pStyle w:val="TableText"/>
              <w:spacing w:before="40" w:after="0"/>
              <w:jc w:val="right"/>
              <w:rPr>
                <w:rFonts w:cs="Calibri"/>
                <w:szCs w:val="18"/>
              </w:rPr>
            </w:pPr>
          </w:p>
        </w:tc>
        <w:tc>
          <w:tcPr>
            <w:tcW w:w="1418" w:type="dxa"/>
            <w:tcBorders>
              <w:top w:val="single" w:sz="4" w:space="0" w:color="58595B"/>
              <w:left w:val="nil"/>
              <w:bottom w:val="single" w:sz="4" w:space="0" w:color="58595B"/>
              <w:right w:val="nil"/>
            </w:tcBorders>
          </w:tcPr>
          <w:p w14:paraId="160B284A" w14:textId="77777777" w:rsidR="008B48AE" w:rsidRPr="005C5E32" w:rsidRDefault="008B48AE">
            <w:pPr>
              <w:pStyle w:val="TableText"/>
              <w:spacing w:before="40" w:after="0"/>
              <w:jc w:val="right"/>
              <w:rPr>
                <w:rFonts w:cs="Calibri"/>
                <w:szCs w:val="18"/>
              </w:rPr>
            </w:pPr>
          </w:p>
        </w:tc>
        <w:tc>
          <w:tcPr>
            <w:tcW w:w="1021" w:type="dxa"/>
            <w:tcBorders>
              <w:top w:val="single" w:sz="4" w:space="0" w:color="58595B"/>
              <w:left w:val="nil"/>
              <w:bottom w:val="single" w:sz="4" w:space="0" w:color="58595B"/>
              <w:right w:val="nil"/>
            </w:tcBorders>
            <w:shd w:val="clear" w:color="auto" w:fill="E7F2F2"/>
          </w:tcPr>
          <w:p w14:paraId="45155355" w14:textId="77777777" w:rsidR="008B48AE" w:rsidRPr="005C5E32" w:rsidRDefault="008B48AE">
            <w:pPr>
              <w:pStyle w:val="TableText"/>
              <w:spacing w:before="40" w:after="0"/>
              <w:jc w:val="right"/>
              <w:rPr>
                <w:rFonts w:cs="Calibri"/>
                <w:szCs w:val="18"/>
              </w:rPr>
            </w:pPr>
          </w:p>
        </w:tc>
      </w:tr>
      <w:tr w:rsidR="008B48AE" w:rsidRPr="005C5E32" w14:paraId="0C186190" w14:textId="77777777" w:rsidTr="001207EA">
        <w:trPr>
          <w:trHeight w:val="20"/>
        </w:trPr>
        <w:tc>
          <w:tcPr>
            <w:tcW w:w="3686" w:type="dxa"/>
            <w:tcBorders>
              <w:top w:val="single" w:sz="4" w:space="0" w:color="58595B"/>
              <w:left w:val="nil"/>
              <w:bottom w:val="single" w:sz="4" w:space="0" w:color="58595B"/>
              <w:right w:val="nil"/>
            </w:tcBorders>
          </w:tcPr>
          <w:p w14:paraId="34A3CA09" w14:textId="77777777" w:rsidR="008B48AE" w:rsidRPr="005C5E32" w:rsidRDefault="008B48AE">
            <w:pPr>
              <w:pStyle w:val="TableText"/>
              <w:spacing w:before="40" w:after="40"/>
              <w:rPr>
                <w:rFonts w:cs="Calibri"/>
                <w:szCs w:val="18"/>
              </w:rPr>
            </w:pPr>
            <w:r w:rsidRPr="005C5E32">
              <w:rPr>
                <w:rFonts w:cs="Calibri"/>
                <w:szCs w:val="18"/>
              </w:rPr>
              <w:t>Payables</w:t>
            </w:r>
          </w:p>
        </w:tc>
        <w:tc>
          <w:tcPr>
            <w:tcW w:w="850" w:type="dxa"/>
            <w:tcBorders>
              <w:top w:val="single" w:sz="4" w:space="0" w:color="58595B"/>
              <w:left w:val="nil"/>
              <w:bottom w:val="single" w:sz="4" w:space="0" w:color="58595B"/>
              <w:right w:val="nil"/>
            </w:tcBorders>
          </w:tcPr>
          <w:p w14:paraId="0A8A7F9C" w14:textId="77777777" w:rsidR="008B48AE" w:rsidRPr="005C5E32" w:rsidRDefault="008B48AE">
            <w:pPr>
              <w:pStyle w:val="TableText"/>
              <w:spacing w:before="40" w:after="40"/>
              <w:jc w:val="right"/>
              <w:rPr>
                <w:rFonts w:eastAsia="Lato" w:cs="Calibri"/>
                <w:szCs w:val="18"/>
              </w:rPr>
            </w:pPr>
            <w:r w:rsidRPr="005C5E32">
              <w:rPr>
                <w:rFonts w:eastAsia="Lato" w:cs="Calibri"/>
                <w:szCs w:val="18"/>
              </w:rPr>
              <w:t>8</w:t>
            </w:r>
          </w:p>
        </w:tc>
        <w:tc>
          <w:tcPr>
            <w:tcW w:w="1021" w:type="dxa"/>
            <w:tcBorders>
              <w:top w:val="single" w:sz="4" w:space="0" w:color="58595B"/>
              <w:left w:val="nil"/>
              <w:bottom w:val="single" w:sz="4" w:space="0" w:color="58595B"/>
              <w:right w:val="nil"/>
            </w:tcBorders>
          </w:tcPr>
          <w:p w14:paraId="7E4E29F5" w14:textId="77777777" w:rsidR="008B48AE" w:rsidRPr="005C5E32" w:rsidRDefault="008B48AE">
            <w:pPr>
              <w:pStyle w:val="TableText"/>
              <w:spacing w:before="40" w:after="40"/>
              <w:jc w:val="right"/>
              <w:rPr>
                <w:rFonts w:eastAsia="Lato" w:cs="Calibri"/>
                <w:szCs w:val="18"/>
              </w:rPr>
            </w:pPr>
            <w:r w:rsidRPr="005C5E32">
              <w:rPr>
                <w:rFonts w:eastAsia="Lato" w:cs="Calibri"/>
                <w:szCs w:val="18"/>
              </w:rPr>
              <w:t>59,188</w:t>
            </w:r>
          </w:p>
        </w:tc>
        <w:tc>
          <w:tcPr>
            <w:tcW w:w="1418" w:type="dxa"/>
            <w:tcBorders>
              <w:top w:val="single" w:sz="4" w:space="0" w:color="58595B"/>
              <w:left w:val="nil"/>
              <w:bottom w:val="single" w:sz="4" w:space="0" w:color="58595B"/>
              <w:right w:val="nil"/>
            </w:tcBorders>
          </w:tcPr>
          <w:p w14:paraId="17AC953E" w14:textId="77777777" w:rsidR="008B48AE" w:rsidRPr="005C5E32" w:rsidRDefault="008B48AE">
            <w:pPr>
              <w:pStyle w:val="TableText"/>
              <w:spacing w:before="40" w:after="40"/>
              <w:jc w:val="right"/>
              <w:rPr>
                <w:rFonts w:eastAsia="Lato" w:cs="Calibri"/>
                <w:szCs w:val="18"/>
              </w:rPr>
            </w:pPr>
            <w:r w:rsidRPr="005C5E32">
              <w:rPr>
                <w:rFonts w:eastAsia="Lato" w:cs="Calibri"/>
                <w:szCs w:val="18"/>
              </w:rPr>
              <w:t>55,640</w:t>
            </w:r>
          </w:p>
        </w:tc>
        <w:tc>
          <w:tcPr>
            <w:tcW w:w="1021" w:type="dxa"/>
            <w:tcBorders>
              <w:top w:val="single" w:sz="4" w:space="0" w:color="58595B"/>
              <w:left w:val="nil"/>
              <w:bottom w:val="single" w:sz="4" w:space="0" w:color="58595B"/>
              <w:right w:val="nil"/>
            </w:tcBorders>
            <w:shd w:val="clear" w:color="auto" w:fill="E7F2F2"/>
          </w:tcPr>
          <w:p w14:paraId="52E61B1A" w14:textId="77777777" w:rsidR="008B48AE" w:rsidRPr="005C5E32" w:rsidRDefault="008B48AE">
            <w:pPr>
              <w:pStyle w:val="TableText"/>
              <w:spacing w:before="40" w:after="40"/>
              <w:jc w:val="right"/>
              <w:rPr>
                <w:rFonts w:eastAsia="Lato" w:cs="Calibri"/>
                <w:szCs w:val="18"/>
              </w:rPr>
            </w:pPr>
            <w:r w:rsidRPr="005C5E32">
              <w:rPr>
                <w:rFonts w:eastAsia="Lato" w:cs="Calibri"/>
                <w:szCs w:val="18"/>
              </w:rPr>
              <w:t>55,640</w:t>
            </w:r>
          </w:p>
        </w:tc>
      </w:tr>
      <w:tr w:rsidR="008B48AE" w:rsidRPr="005C5E32" w14:paraId="0C1CF967" w14:textId="77777777" w:rsidTr="001207EA">
        <w:trPr>
          <w:trHeight w:val="20"/>
        </w:trPr>
        <w:tc>
          <w:tcPr>
            <w:tcW w:w="3686" w:type="dxa"/>
            <w:tcBorders>
              <w:top w:val="single" w:sz="4" w:space="0" w:color="58595B"/>
              <w:left w:val="nil"/>
              <w:bottom w:val="single" w:sz="4" w:space="0" w:color="58595B"/>
              <w:right w:val="nil"/>
            </w:tcBorders>
          </w:tcPr>
          <w:p w14:paraId="1E638C0F" w14:textId="77777777" w:rsidR="008B48AE" w:rsidRPr="000B2FA4" w:rsidRDefault="008B48AE">
            <w:pPr>
              <w:pStyle w:val="TableText"/>
              <w:spacing w:before="40" w:after="40"/>
              <w:rPr>
                <w:rFonts w:cs="Calibri"/>
                <w:b/>
                <w:szCs w:val="18"/>
              </w:rPr>
            </w:pPr>
            <w:r w:rsidRPr="000B2FA4">
              <w:rPr>
                <w:rFonts w:cs="Calibri"/>
                <w:b/>
                <w:szCs w:val="18"/>
              </w:rPr>
              <w:t>Total non-current liabilities</w:t>
            </w:r>
          </w:p>
        </w:tc>
        <w:tc>
          <w:tcPr>
            <w:tcW w:w="850" w:type="dxa"/>
            <w:tcBorders>
              <w:top w:val="single" w:sz="4" w:space="0" w:color="58595B"/>
              <w:left w:val="nil"/>
              <w:bottom w:val="single" w:sz="4" w:space="0" w:color="58595B"/>
              <w:right w:val="nil"/>
            </w:tcBorders>
          </w:tcPr>
          <w:p w14:paraId="6C00DE82" w14:textId="77777777" w:rsidR="008B48AE" w:rsidRPr="000B2FA4" w:rsidRDefault="008B48AE">
            <w:pPr>
              <w:pStyle w:val="TableText"/>
              <w:spacing w:before="40" w:after="40"/>
              <w:jc w:val="right"/>
              <w:rPr>
                <w:rFonts w:cs="Calibri"/>
                <w:b/>
                <w:szCs w:val="18"/>
              </w:rPr>
            </w:pPr>
          </w:p>
        </w:tc>
        <w:tc>
          <w:tcPr>
            <w:tcW w:w="1021" w:type="dxa"/>
            <w:tcBorders>
              <w:top w:val="single" w:sz="4" w:space="0" w:color="58595B"/>
              <w:left w:val="nil"/>
              <w:bottom w:val="single" w:sz="4" w:space="0" w:color="58595B"/>
              <w:right w:val="nil"/>
            </w:tcBorders>
          </w:tcPr>
          <w:p w14:paraId="786510DE" w14:textId="77777777" w:rsidR="008B48AE" w:rsidRPr="000B2FA4" w:rsidRDefault="008B48AE">
            <w:pPr>
              <w:pStyle w:val="TableText"/>
              <w:spacing w:before="40" w:after="40"/>
              <w:jc w:val="right"/>
              <w:rPr>
                <w:rFonts w:eastAsia="Lato" w:cs="Calibri"/>
                <w:b/>
                <w:szCs w:val="18"/>
              </w:rPr>
            </w:pPr>
            <w:r w:rsidRPr="000B2FA4">
              <w:rPr>
                <w:rFonts w:eastAsia="Lato" w:cs="Calibri"/>
                <w:b/>
                <w:szCs w:val="18"/>
              </w:rPr>
              <w:t>59,188</w:t>
            </w:r>
          </w:p>
        </w:tc>
        <w:tc>
          <w:tcPr>
            <w:tcW w:w="1418" w:type="dxa"/>
            <w:tcBorders>
              <w:top w:val="single" w:sz="4" w:space="0" w:color="58595B"/>
              <w:left w:val="nil"/>
              <w:bottom w:val="single" w:sz="4" w:space="0" w:color="58595B"/>
              <w:right w:val="nil"/>
            </w:tcBorders>
          </w:tcPr>
          <w:p w14:paraId="5845075D" w14:textId="77777777" w:rsidR="008B48AE" w:rsidRPr="000B2FA4" w:rsidRDefault="008B48AE">
            <w:pPr>
              <w:pStyle w:val="TableText"/>
              <w:spacing w:before="40" w:after="40"/>
              <w:jc w:val="right"/>
              <w:rPr>
                <w:rFonts w:eastAsia="Lato" w:cs="Calibri"/>
                <w:b/>
                <w:szCs w:val="18"/>
              </w:rPr>
            </w:pPr>
            <w:r w:rsidRPr="000B2FA4">
              <w:rPr>
                <w:rFonts w:eastAsia="Lato" w:cs="Calibri"/>
                <w:b/>
                <w:szCs w:val="18"/>
              </w:rPr>
              <w:t>55,640</w:t>
            </w:r>
          </w:p>
        </w:tc>
        <w:tc>
          <w:tcPr>
            <w:tcW w:w="1021" w:type="dxa"/>
            <w:tcBorders>
              <w:top w:val="single" w:sz="4" w:space="0" w:color="58595B"/>
              <w:left w:val="nil"/>
              <w:bottom w:val="single" w:sz="4" w:space="0" w:color="58595B"/>
              <w:right w:val="nil"/>
            </w:tcBorders>
            <w:shd w:val="clear" w:color="auto" w:fill="E7F2F2"/>
          </w:tcPr>
          <w:p w14:paraId="6B385838" w14:textId="77777777" w:rsidR="008B48AE" w:rsidRPr="000B2FA4" w:rsidRDefault="008B48AE">
            <w:pPr>
              <w:pStyle w:val="TableText"/>
              <w:spacing w:before="40" w:after="40"/>
              <w:jc w:val="right"/>
              <w:rPr>
                <w:rFonts w:eastAsia="Lato" w:cs="Calibri"/>
                <w:b/>
                <w:szCs w:val="18"/>
              </w:rPr>
            </w:pPr>
            <w:r w:rsidRPr="000B2FA4">
              <w:rPr>
                <w:rFonts w:eastAsia="Lato" w:cs="Calibri"/>
                <w:b/>
                <w:szCs w:val="18"/>
              </w:rPr>
              <w:t>55,640</w:t>
            </w:r>
          </w:p>
        </w:tc>
      </w:tr>
      <w:tr w:rsidR="008B48AE" w:rsidRPr="005C5E32" w14:paraId="002917A0" w14:textId="77777777" w:rsidTr="001207EA">
        <w:trPr>
          <w:trHeight w:val="20"/>
        </w:trPr>
        <w:tc>
          <w:tcPr>
            <w:tcW w:w="3686" w:type="dxa"/>
            <w:tcBorders>
              <w:top w:val="single" w:sz="4" w:space="0" w:color="58595B"/>
              <w:left w:val="nil"/>
              <w:bottom w:val="single" w:sz="4" w:space="0" w:color="58595B"/>
              <w:right w:val="nil"/>
            </w:tcBorders>
          </w:tcPr>
          <w:p w14:paraId="4E98AC46" w14:textId="77777777" w:rsidR="008B48AE" w:rsidRPr="005C5E32" w:rsidRDefault="008B48AE">
            <w:pPr>
              <w:pStyle w:val="TableTextbold"/>
              <w:spacing w:before="40" w:after="40"/>
              <w:rPr>
                <w:rFonts w:cs="Calibri"/>
                <w:szCs w:val="18"/>
              </w:rPr>
            </w:pPr>
            <w:r w:rsidRPr="005C5E32">
              <w:rPr>
                <w:rFonts w:cs="Calibri"/>
                <w:szCs w:val="18"/>
              </w:rPr>
              <w:t>Total non-departmental liabilities</w:t>
            </w:r>
          </w:p>
        </w:tc>
        <w:tc>
          <w:tcPr>
            <w:tcW w:w="850" w:type="dxa"/>
            <w:tcBorders>
              <w:top w:val="single" w:sz="4" w:space="0" w:color="58595B"/>
              <w:left w:val="nil"/>
              <w:bottom w:val="single" w:sz="4" w:space="0" w:color="58595B"/>
              <w:right w:val="nil"/>
            </w:tcBorders>
          </w:tcPr>
          <w:p w14:paraId="5215DAB0" w14:textId="77777777" w:rsidR="008B48AE" w:rsidRPr="005C5E32" w:rsidRDefault="008B48AE">
            <w:pPr>
              <w:pStyle w:val="TableTextbold"/>
              <w:spacing w:before="40" w:after="40"/>
              <w:rPr>
                <w:rFonts w:eastAsia="MS Mincho" w:cs="Calibri"/>
                <w:szCs w:val="18"/>
              </w:rPr>
            </w:pPr>
          </w:p>
        </w:tc>
        <w:tc>
          <w:tcPr>
            <w:tcW w:w="1021" w:type="dxa"/>
            <w:tcBorders>
              <w:top w:val="single" w:sz="4" w:space="0" w:color="58595B"/>
              <w:left w:val="nil"/>
              <w:bottom w:val="single" w:sz="4" w:space="0" w:color="58595B"/>
              <w:right w:val="nil"/>
            </w:tcBorders>
          </w:tcPr>
          <w:p w14:paraId="2B7362F0" w14:textId="77777777" w:rsidR="008B48AE" w:rsidRPr="005C5E32" w:rsidRDefault="008B48AE">
            <w:pPr>
              <w:pStyle w:val="TableTextbold"/>
              <w:spacing w:before="40" w:after="40"/>
              <w:jc w:val="right"/>
              <w:rPr>
                <w:rFonts w:cs="Calibri"/>
                <w:szCs w:val="18"/>
              </w:rPr>
            </w:pPr>
            <w:r w:rsidRPr="005C5E32">
              <w:rPr>
                <w:rFonts w:cs="Calibri"/>
                <w:szCs w:val="18"/>
              </w:rPr>
              <w:t>7,535,037</w:t>
            </w:r>
          </w:p>
        </w:tc>
        <w:tc>
          <w:tcPr>
            <w:tcW w:w="1418" w:type="dxa"/>
            <w:tcBorders>
              <w:top w:val="single" w:sz="4" w:space="0" w:color="58595B"/>
              <w:left w:val="nil"/>
              <w:bottom w:val="single" w:sz="4" w:space="0" w:color="58595B"/>
              <w:right w:val="nil"/>
            </w:tcBorders>
          </w:tcPr>
          <w:p w14:paraId="04A7523B" w14:textId="77777777" w:rsidR="008B48AE" w:rsidRPr="005C5E32" w:rsidRDefault="008B48AE">
            <w:pPr>
              <w:pStyle w:val="TableTextbold"/>
              <w:spacing w:before="40" w:after="40"/>
              <w:jc w:val="right"/>
              <w:rPr>
                <w:rFonts w:cs="Calibri"/>
                <w:szCs w:val="18"/>
              </w:rPr>
            </w:pPr>
            <w:r w:rsidRPr="005C5E32">
              <w:rPr>
                <w:rFonts w:cs="Calibri"/>
                <w:szCs w:val="18"/>
              </w:rPr>
              <w:t>6,135,957</w:t>
            </w:r>
          </w:p>
        </w:tc>
        <w:tc>
          <w:tcPr>
            <w:tcW w:w="1021" w:type="dxa"/>
            <w:tcBorders>
              <w:top w:val="single" w:sz="4" w:space="0" w:color="58595B"/>
              <w:left w:val="nil"/>
              <w:bottom w:val="single" w:sz="4" w:space="0" w:color="58595B"/>
              <w:right w:val="nil"/>
            </w:tcBorders>
            <w:shd w:val="clear" w:color="auto" w:fill="E7F2F2"/>
          </w:tcPr>
          <w:p w14:paraId="220A4806" w14:textId="77777777" w:rsidR="008B48AE" w:rsidRPr="005C5E32" w:rsidRDefault="008B48AE">
            <w:pPr>
              <w:pStyle w:val="TableTextbold"/>
              <w:spacing w:before="40" w:after="40"/>
              <w:jc w:val="right"/>
            </w:pPr>
            <w:r w:rsidRPr="005C5E32">
              <w:rPr>
                <w:rFonts w:cs="Calibri"/>
              </w:rPr>
              <w:t>6,551,444</w:t>
            </w:r>
          </w:p>
        </w:tc>
      </w:tr>
    </w:tbl>
    <w:p w14:paraId="437C095A" w14:textId="77777777" w:rsidR="00D06CB2" w:rsidRPr="005C5E32" w:rsidRDefault="00D06CB2">
      <w:pPr>
        <w:pStyle w:val="Note"/>
      </w:pPr>
      <w:r w:rsidRPr="005C5E32">
        <w:t>* The statement of accounting policies explains the basis for these figures, which are not subject to audit.</w:t>
      </w:r>
    </w:p>
    <w:p w14:paraId="087F8C54" w14:textId="77777777" w:rsidR="00D06CB2" w:rsidRPr="005C5E32" w:rsidRDefault="00D06CB2">
      <w:pPr>
        <w:pStyle w:val="Note"/>
        <w:rPr>
          <w:sz w:val="22"/>
        </w:rPr>
      </w:pPr>
      <w:r w:rsidRPr="005C5E32">
        <w:rPr>
          <w:sz w:val="22"/>
        </w:rPr>
        <w:t>Explanations of significant variances against budget are detailed in Note 13.</w:t>
      </w:r>
    </w:p>
    <w:p w14:paraId="20373115" w14:textId="77777777" w:rsidR="00D06CB2" w:rsidRPr="005C5E32" w:rsidRDefault="00D06CB2">
      <w:pPr>
        <w:pStyle w:val="Heading2green"/>
      </w:pPr>
      <w:bookmarkStart w:id="391" w:name="_Toc112144650"/>
      <w:bookmarkStart w:id="392" w:name="_Toc207017419"/>
      <w:bookmarkStart w:id="393" w:name="_Toc207017508"/>
      <w:bookmarkStart w:id="394" w:name="_Toc207192325"/>
      <w:bookmarkStart w:id="395" w:name="_Toc239677703"/>
      <w:bookmarkStart w:id="396" w:name="_Toc240445591"/>
      <w:r w:rsidRPr="005C5E32">
        <w:t>Schedule of non-departmental commitments</w:t>
      </w:r>
      <w:bookmarkEnd w:id="391"/>
      <w:bookmarkEnd w:id="392"/>
      <w:bookmarkEnd w:id="393"/>
      <w:bookmarkEnd w:id="394"/>
      <w:bookmarkEnd w:id="395"/>
      <w:bookmarkEnd w:id="396"/>
    </w:p>
    <w:p w14:paraId="0062BFCF" w14:textId="77777777" w:rsidR="00D06CB2" w:rsidRPr="005C5E32" w:rsidRDefault="00D06CB2">
      <w:pPr>
        <w:rPr>
          <w:rFonts w:eastAsia="MS Mincho" w:cs="Arial"/>
          <w:sz w:val="28"/>
          <w:szCs w:val="28"/>
        </w:rPr>
      </w:pPr>
      <w:r w:rsidRPr="005C5E32">
        <w:rPr>
          <w:rFonts w:eastAsia="MS Mincho" w:cs="Arial"/>
          <w:sz w:val="28"/>
          <w:szCs w:val="28"/>
        </w:rPr>
        <w:t>as at 30 June 2026</w:t>
      </w:r>
    </w:p>
    <w:p w14:paraId="67651F1F" w14:textId="77777777" w:rsidR="00D06CB2" w:rsidRPr="005C5E32" w:rsidRDefault="00D06CB2">
      <w:pPr>
        <w:pStyle w:val="BodyText"/>
      </w:pPr>
      <w:r w:rsidRPr="005C5E32">
        <w:t>The Ministry, on behalf of the Crown, has no non-cancellable capital or lease commitments (2024/25: $nil).</w:t>
      </w:r>
    </w:p>
    <w:p w14:paraId="2D67C793" w14:textId="77777777" w:rsidR="00D06CB2" w:rsidRPr="005C5E32" w:rsidRDefault="00D06CB2">
      <w:pPr>
        <w:pStyle w:val="BodyText"/>
      </w:pPr>
    </w:p>
    <w:p w14:paraId="01601611" w14:textId="77777777" w:rsidR="00D06CB2" w:rsidRPr="005C5E32" w:rsidRDefault="00D06CB2">
      <w:pPr>
        <w:pStyle w:val="BodyText"/>
      </w:pPr>
    </w:p>
    <w:p w14:paraId="5E3B3E79" w14:textId="77777777" w:rsidR="00D06CB2" w:rsidRPr="005C5E32" w:rsidRDefault="00D06CB2">
      <w:pPr>
        <w:pStyle w:val="BodyText"/>
      </w:pPr>
    </w:p>
    <w:p w14:paraId="21D89FEC" w14:textId="77777777" w:rsidR="00D06CB2" w:rsidRPr="005C5E32" w:rsidRDefault="00D06CB2">
      <w:pPr>
        <w:pStyle w:val="BodyText"/>
      </w:pPr>
    </w:p>
    <w:p w14:paraId="0E7BD842" w14:textId="77777777" w:rsidR="00D06CB2" w:rsidRPr="005C5E32" w:rsidRDefault="00D06CB2">
      <w:pPr>
        <w:pStyle w:val="BodyText"/>
      </w:pPr>
    </w:p>
    <w:p w14:paraId="4024264E" w14:textId="77777777" w:rsidR="00D06CB2" w:rsidRPr="005C5E32" w:rsidRDefault="00D06CB2">
      <w:pPr>
        <w:pStyle w:val="BodyText"/>
      </w:pPr>
    </w:p>
    <w:p w14:paraId="45DE5F5E" w14:textId="77777777" w:rsidR="00D06CB2" w:rsidRPr="005C5E32" w:rsidRDefault="00D06CB2">
      <w:pPr>
        <w:pStyle w:val="BodyText"/>
      </w:pPr>
    </w:p>
    <w:p w14:paraId="7EFD7B9A" w14:textId="77777777" w:rsidR="00D06CB2" w:rsidRPr="005C5E32" w:rsidRDefault="00D06CB2">
      <w:pPr>
        <w:pStyle w:val="BodyText"/>
      </w:pPr>
    </w:p>
    <w:p w14:paraId="5D7BB6B5" w14:textId="77777777" w:rsidR="00D06CB2" w:rsidRPr="005C5E32" w:rsidRDefault="00D06CB2">
      <w:pPr>
        <w:pStyle w:val="BodyText"/>
      </w:pPr>
    </w:p>
    <w:p w14:paraId="6E1D3004" w14:textId="77777777" w:rsidR="00D06CB2" w:rsidRPr="005C5E32" w:rsidRDefault="00D06CB2">
      <w:pPr>
        <w:pStyle w:val="BodyText"/>
      </w:pPr>
    </w:p>
    <w:p w14:paraId="70C809BA" w14:textId="77777777" w:rsidR="00D06CB2" w:rsidRPr="005C5E32" w:rsidRDefault="00D06CB2">
      <w:pPr>
        <w:pStyle w:val="BodyText"/>
      </w:pPr>
    </w:p>
    <w:p w14:paraId="452A2393" w14:textId="77777777" w:rsidR="00D06CB2" w:rsidRPr="005C5E32" w:rsidRDefault="00D06CB2">
      <w:pPr>
        <w:pStyle w:val="Note"/>
      </w:pPr>
      <w:r w:rsidRPr="005C5E32">
        <w:t>The accompanying notes form part of these financial statements. For a full understanding of the Crown’s financial position and the results of its operations for the year, refer to the consolidated Financial Statements of the Government for the year ended 30 June 2026.</w:t>
      </w:r>
    </w:p>
    <w:p w14:paraId="7CA393BE" w14:textId="77777777" w:rsidR="00D06CB2" w:rsidRPr="005C5E32" w:rsidRDefault="00D06CB2">
      <w:pPr>
        <w:pStyle w:val="Heading2green"/>
      </w:pPr>
      <w:bookmarkStart w:id="397" w:name="_Toc112144651"/>
      <w:bookmarkStart w:id="398" w:name="_Toc207017420"/>
      <w:bookmarkStart w:id="399" w:name="_Toc207017509"/>
      <w:bookmarkStart w:id="400" w:name="_Toc207192326"/>
      <w:bookmarkStart w:id="401" w:name="_Toc239677704"/>
      <w:bookmarkStart w:id="402" w:name="_Toc240445592"/>
      <w:r w:rsidRPr="005C5E32">
        <w:lastRenderedPageBreak/>
        <w:t>Schedule of non-departmental contingent liabilities and contingent assets</w:t>
      </w:r>
      <w:bookmarkEnd w:id="397"/>
      <w:bookmarkEnd w:id="398"/>
      <w:bookmarkEnd w:id="399"/>
      <w:bookmarkEnd w:id="400"/>
      <w:bookmarkEnd w:id="401"/>
      <w:bookmarkEnd w:id="402"/>
    </w:p>
    <w:p w14:paraId="2A67DBF5" w14:textId="77777777" w:rsidR="00D06CB2" w:rsidRPr="005C5E32" w:rsidRDefault="00D06CB2">
      <w:pPr>
        <w:pStyle w:val="BodyText"/>
        <w:rPr>
          <w:sz w:val="28"/>
          <w:szCs w:val="28"/>
        </w:rPr>
      </w:pPr>
      <w:r w:rsidRPr="005C5E32">
        <w:rPr>
          <w:sz w:val="28"/>
          <w:szCs w:val="28"/>
        </w:rPr>
        <w:t>as at 30 June 2026</w:t>
      </w:r>
    </w:p>
    <w:p w14:paraId="6D6E0A43" w14:textId="77777777" w:rsidR="00D06CB2" w:rsidRPr="005C5E32" w:rsidRDefault="00D06CB2">
      <w:pPr>
        <w:pStyle w:val="Heading3"/>
      </w:pPr>
      <w:bookmarkStart w:id="403" w:name="_Toc112144652"/>
      <w:r w:rsidRPr="005C5E32">
        <w:t>Unquantifiable contingent liabilities and contingent assets</w:t>
      </w:r>
      <w:bookmarkEnd w:id="403"/>
    </w:p>
    <w:p w14:paraId="318C9863" w14:textId="77777777" w:rsidR="00D06CB2" w:rsidRPr="005C5E32" w:rsidRDefault="00D06CB2">
      <w:pPr>
        <w:pStyle w:val="Heading4"/>
        <w:spacing w:before="180"/>
      </w:pPr>
      <w:r w:rsidRPr="005C5E32">
        <w:t>Environmental liabilities</w:t>
      </w:r>
    </w:p>
    <w:p w14:paraId="79BEE51A" w14:textId="77777777" w:rsidR="00D06CB2" w:rsidRPr="005C5E32" w:rsidRDefault="00D06CB2">
      <w:pPr>
        <w:pStyle w:val="BodyText"/>
        <w:spacing w:before="100" w:after="100"/>
      </w:pPr>
      <w:r w:rsidRPr="005C5E32">
        <w:t>Under common law and various statutes, the Crown may have responsibility to remedy adverse effects on the environment arising from Crown activities.</w:t>
      </w:r>
    </w:p>
    <w:p w14:paraId="2B68202A" w14:textId="77777777" w:rsidR="00D06CB2" w:rsidRPr="005C5E32" w:rsidRDefault="00D06CB2">
      <w:pPr>
        <w:pStyle w:val="BodyText"/>
        <w:spacing w:before="100" w:after="100"/>
      </w:pPr>
      <w:r w:rsidRPr="005C5E32">
        <w:t xml:space="preserve">Liabilities for contaminated sites are recognised in accordance with PBE IPSAS 19: Provisions, Contingent Liabilities and Contingent Assets. Obligations for the clean-up of contaminated sites expressed in an announcement or legislation are not recognised if it is still in progress or has not created a clear expectation that the Crown will fulfil its obligation. </w:t>
      </w:r>
    </w:p>
    <w:p w14:paraId="54A6BFB3" w14:textId="77777777" w:rsidR="00D06CB2" w:rsidRPr="005C5E32" w:rsidRDefault="00D06CB2">
      <w:pPr>
        <w:pStyle w:val="Heading3"/>
      </w:pPr>
      <w:bookmarkStart w:id="404" w:name="_Toc112144653"/>
      <w:r w:rsidRPr="005C5E32">
        <w:t>New Zealand Emissions Trading Scheme</w:t>
      </w:r>
      <w:bookmarkEnd w:id="404"/>
    </w:p>
    <w:p w14:paraId="1C152B11" w14:textId="77777777" w:rsidR="00D06CB2" w:rsidRPr="005C5E32" w:rsidRDefault="00D06CB2">
      <w:pPr>
        <w:pStyle w:val="Heading4"/>
        <w:spacing w:before="180"/>
      </w:pPr>
      <w:r w:rsidRPr="005C5E32">
        <w:t>Post-1989 forest land</w:t>
      </w:r>
    </w:p>
    <w:p w14:paraId="7321FA5F" w14:textId="77777777" w:rsidR="00D06CB2" w:rsidRPr="005C5E32" w:rsidRDefault="00D06CB2">
      <w:pPr>
        <w:pStyle w:val="BodyText"/>
        <w:spacing w:before="100" w:after="100"/>
      </w:pPr>
      <w:r w:rsidRPr="005C5E32">
        <w:t xml:space="preserve">Owners of post-1989 forest land (or those with a registered interest in the forest on the land) may voluntarily become participants in the New Zealand Emissions Trading Scheme (NZ ETS), </w:t>
      </w:r>
      <w:r w:rsidRPr="005C5E32" w:rsidDel="004D23A5">
        <w:t xml:space="preserve">and </w:t>
      </w:r>
      <w:r w:rsidRPr="005C5E32">
        <w:t>in doing so</w:t>
      </w:r>
      <w:r w:rsidRPr="005C5E32" w:rsidDel="004D23A5">
        <w:t xml:space="preserve"> </w:t>
      </w:r>
      <w:r w:rsidRPr="005C5E32">
        <w:t>are entitled to receive New Zealand Units (NZUs) for the increase in carbon stock in their forests.</w:t>
      </w:r>
    </w:p>
    <w:p w14:paraId="798F0E7C" w14:textId="13CA1224" w:rsidR="00D06CB2" w:rsidRPr="005C5E32" w:rsidRDefault="00D06CB2">
      <w:pPr>
        <w:pStyle w:val="BodyText"/>
        <w:spacing w:before="100" w:after="100"/>
      </w:pPr>
      <w:r w:rsidRPr="005C5E32">
        <w:t>Those land</w:t>
      </w:r>
      <w:r w:rsidR="00497633" w:rsidRPr="005C5E32">
        <w:t xml:space="preserve"> </w:t>
      </w:r>
      <w:r w:rsidRPr="005C5E32">
        <w:t>owners who have not registered their post-1989 forest land or who have deregistered from the scheme have until the end of 2030 to decide whether to re-register post-1989 forest land and receive NZUs for the fifth Mandatory Emissions Reporting Period, which lasts from 1 January 2026 to 31 December 2030. If they re-register, they can claim NZUs for all the carbon stored in their forest from 1 January 2026, subject to review and approval of their applications.</w:t>
      </w:r>
    </w:p>
    <w:p w14:paraId="002BB48B" w14:textId="77777777" w:rsidR="00D06CB2" w:rsidRPr="005C5E32" w:rsidRDefault="00D06CB2">
      <w:pPr>
        <w:pStyle w:val="BodyText"/>
        <w:spacing w:before="100" w:after="100"/>
      </w:pPr>
      <w:r w:rsidRPr="005C5E32">
        <w:t>Participants also have various legal obligations, including to surrender units if the carbon stocks in their registered forest areas fall below a previously reported level (eg, due to harvesting or fire). However, the surrender liability is capped at the amount of units the participant previously received for that area of forest land (if any).</w:t>
      </w:r>
    </w:p>
    <w:p w14:paraId="27B9F7F6" w14:textId="77777777" w:rsidR="00D06CB2" w:rsidRPr="005C5E32" w:rsidRDefault="00D06CB2">
      <w:pPr>
        <w:pStyle w:val="BodyText"/>
        <w:spacing w:before="100" w:after="100"/>
      </w:pPr>
      <w:r w:rsidRPr="005C5E32">
        <w:t>Assets and liabilities relating to the post-1989 forestry sector have only been recognised in these non-departmental statements and schedules to the extent that participants have registered in the NZ ETS at 30 June 2026.</w:t>
      </w:r>
    </w:p>
    <w:p w14:paraId="246A6C71" w14:textId="77777777" w:rsidR="00D06CB2" w:rsidRPr="005C5E32" w:rsidRDefault="00D06CB2">
      <w:pPr>
        <w:pStyle w:val="Heading4"/>
      </w:pPr>
      <w:r w:rsidRPr="005C5E32">
        <w:t>Pre-1990 forest land</w:t>
      </w:r>
    </w:p>
    <w:p w14:paraId="21CEE546" w14:textId="77777777" w:rsidR="00D06CB2" w:rsidRPr="005C5E32" w:rsidRDefault="00D06CB2">
      <w:pPr>
        <w:pStyle w:val="BodyText"/>
        <w:spacing w:before="100" w:after="100"/>
      </w:pPr>
      <w:r w:rsidRPr="005C5E32">
        <w:t>Pre-1990 forest land is an area that was forest land on 31 December 1989, and that on 31 December 2007 is still forest land and is covered by predominantly exotic forest species.</w:t>
      </w:r>
    </w:p>
    <w:p w14:paraId="193E6714" w14:textId="6B5FE1B3" w:rsidR="00D06CB2" w:rsidRPr="005C5E32" w:rsidRDefault="00D06CB2">
      <w:pPr>
        <w:pStyle w:val="BodyText"/>
        <w:spacing w:before="100" w:after="100"/>
      </w:pPr>
      <w:r w:rsidRPr="005C5E32">
        <w:t xml:space="preserve">Subject to various exemptions, if an area of more than </w:t>
      </w:r>
      <w:r w:rsidRPr="005C5E32" w:rsidDel="00322C65">
        <w:t xml:space="preserve">two </w:t>
      </w:r>
      <w:r w:rsidRPr="005C5E32">
        <w:t>hectares of pre-1990 forest land is deforested in any five-year period from 1 January 2008, the land</w:t>
      </w:r>
      <w:r w:rsidR="00497633" w:rsidRPr="005C5E32">
        <w:t xml:space="preserve"> </w:t>
      </w:r>
      <w:r w:rsidRPr="005C5E32">
        <w:t xml:space="preserve">owner becomes a mandatory </w:t>
      </w:r>
      <w:r w:rsidRPr="005C5E32">
        <w:rPr>
          <w:spacing w:val="-2"/>
        </w:rPr>
        <w:t>participant in the NZ ETS. The land</w:t>
      </w:r>
      <w:r w:rsidR="00497633" w:rsidRPr="005C5E32">
        <w:rPr>
          <w:spacing w:val="-2"/>
        </w:rPr>
        <w:t xml:space="preserve"> </w:t>
      </w:r>
      <w:r w:rsidRPr="005C5E32">
        <w:rPr>
          <w:spacing w:val="-2"/>
        </w:rPr>
        <w:t>owner must submit an emissions return and either surrende</w:t>
      </w:r>
      <w:r w:rsidRPr="005C5E32">
        <w:t>r units or pay cash at a rate of $25 per NZU for emissions resulting from deforestation that occurred up to 2019 and $35 per unit for emissions resulting from deforestation in 2020.</w:t>
      </w:r>
    </w:p>
    <w:p w14:paraId="0A052A09" w14:textId="1883B9E7" w:rsidR="00D06CB2" w:rsidRPr="005C5E32" w:rsidRDefault="00D06CB2">
      <w:pPr>
        <w:pStyle w:val="BodyText"/>
      </w:pPr>
      <w:r w:rsidRPr="005C5E32">
        <w:lastRenderedPageBreak/>
        <w:t>At 30 June 2026, there may be some deforestation that has not yet been reported to the</w:t>
      </w:r>
      <w:r w:rsidR="009A673B" w:rsidRPr="005C5E32">
        <w:t xml:space="preserve"> </w:t>
      </w:r>
      <w:r w:rsidRPr="005C5E32">
        <w:t>Crown because some participants may not be fully aware of the NZ ETS requirements or</w:t>
      </w:r>
      <w:r w:rsidR="009A673B" w:rsidRPr="005C5E32">
        <w:t xml:space="preserve"> </w:t>
      </w:r>
      <w:r w:rsidRPr="005C5E32">
        <w:t>the</w:t>
      </w:r>
      <w:r w:rsidR="009A673B" w:rsidRPr="005C5E32">
        <w:t> </w:t>
      </w:r>
      <w:r w:rsidRPr="005C5E32">
        <w:t>consequences of non-compliance.</w:t>
      </w:r>
    </w:p>
    <w:p w14:paraId="032A3E7D" w14:textId="77777777" w:rsidR="00D06CB2" w:rsidRPr="005C5E32" w:rsidRDefault="00D06CB2">
      <w:pPr>
        <w:pStyle w:val="Heading4"/>
      </w:pPr>
      <w:r w:rsidRPr="005C5E32">
        <w:t>Reimbursement of excess New Zealand Units surrendered to the Crown</w:t>
      </w:r>
    </w:p>
    <w:p w14:paraId="06AC0320" w14:textId="77777777" w:rsidR="00D06CB2" w:rsidRPr="005C5E32" w:rsidRDefault="00D06CB2">
      <w:pPr>
        <w:pStyle w:val="BodyText"/>
      </w:pPr>
      <w:r w:rsidRPr="005C5E32">
        <w:t>There may be potential liability of reimbursing NZUs to participants who have surrendered units in excess of their obligations. The extent of potential liability is unknown and unquantifiable at this time.</w:t>
      </w:r>
    </w:p>
    <w:p w14:paraId="1000A192" w14:textId="77777777" w:rsidR="00D06CB2" w:rsidRPr="005C5E32" w:rsidRDefault="00D06CB2">
      <w:pPr>
        <w:pStyle w:val="Heading3"/>
      </w:pPr>
      <w:bookmarkStart w:id="405" w:name="_Toc112144654"/>
      <w:r w:rsidRPr="005C5E32">
        <w:t>Quantifiable contingent liabilities</w:t>
      </w:r>
      <w:bookmarkEnd w:id="405"/>
    </w:p>
    <w:p w14:paraId="03431854" w14:textId="77777777" w:rsidR="00D06CB2" w:rsidRPr="005C5E32" w:rsidRDefault="00D06CB2">
      <w:pPr>
        <w:pStyle w:val="Heading4"/>
        <w:spacing w:before="180"/>
      </w:pPr>
      <w:r w:rsidRPr="005C5E32">
        <w:t>Sand royalties</w:t>
      </w:r>
    </w:p>
    <w:p w14:paraId="4008FEE2" w14:textId="77777777" w:rsidR="00D06CB2" w:rsidRPr="005C5E32" w:rsidRDefault="00D06CB2">
      <w:pPr>
        <w:pStyle w:val="BodyText"/>
      </w:pPr>
      <w:r w:rsidRPr="005C5E32">
        <w:t>Customary marine title holders under the Marine and Coastal Area (Takutai Moana) Act 2011 could have payments issued to them retrospectively with regard to sand and shingle royalties if the royalty is taken in the customary marine title area. The amount could be between $500,000 and $2 million (2024/25: Between $500,000 and $2 million).</w:t>
      </w:r>
    </w:p>
    <w:p w14:paraId="3426F451" w14:textId="77777777" w:rsidR="00D06CB2" w:rsidRPr="005C5E32" w:rsidRDefault="00D06CB2">
      <w:pPr>
        <w:pStyle w:val="BodyText"/>
      </w:pPr>
      <w:r w:rsidRPr="005C5E32">
        <w:t>The Ministry on behalf of the Crown has no other contingent liability or assets (2024/25: $nil).</w:t>
      </w:r>
    </w:p>
    <w:p w14:paraId="55778FCE" w14:textId="77777777" w:rsidR="00D06CB2" w:rsidRPr="005C5E32" w:rsidRDefault="00D06CB2">
      <w:pPr>
        <w:pStyle w:val="BodyText"/>
      </w:pPr>
    </w:p>
    <w:p w14:paraId="66D4BD81" w14:textId="77777777" w:rsidR="00D06CB2" w:rsidRPr="005C5E32" w:rsidRDefault="00D06CB2">
      <w:pPr>
        <w:pStyle w:val="BodyText"/>
      </w:pPr>
      <w:r w:rsidRPr="005C5E32">
        <w:br w:type="page"/>
      </w:r>
    </w:p>
    <w:p w14:paraId="0A76FEBE" w14:textId="77777777" w:rsidR="00D06CB2" w:rsidRPr="005C5E32" w:rsidRDefault="00D06CB2">
      <w:pPr>
        <w:pStyle w:val="Heading2green"/>
      </w:pPr>
      <w:bookmarkStart w:id="406" w:name="_Toc112144655"/>
      <w:bookmarkStart w:id="407" w:name="_Toc207017421"/>
      <w:bookmarkStart w:id="408" w:name="_Toc207017510"/>
      <w:bookmarkStart w:id="409" w:name="_Toc207192327"/>
      <w:bookmarkStart w:id="410" w:name="_Toc239677705"/>
      <w:bookmarkStart w:id="411" w:name="_Toc240445593"/>
      <w:r w:rsidRPr="005C5E32">
        <w:lastRenderedPageBreak/>
        <w:t>Notes to the non-departmental statements and schedules</w:t>
      </w:r>
      <w:bookmarkEnd w:id="406"/>
      <w:bookmarkEnd w:id="407"/>
      <w:bookmarkEnd w:id="408"/>
      <w:bookmarkEnd w:id="409"/>
      <w:bookmarkEnd w:id="410"/>
      <w:bookmarkEnd w:id="411"/>
    </w:p>
    <w:p w14:paraId="121782B0" w14:textId="77777777" w:rsidR="00D06CB2" w:rsidRPr="005C5E32" w:rsidRDefault="00D06CB2">
      <w:pPr>
        <w:pStyle w:val="Heading3"/>
        <w:tabs>
          <w:tab w:val="clear" w:pos="851"/>
          <w:tab w:val="left" w:pos="567"/>
        </w:tabs>
        <w:spacing w:before="240"/>
        <w:ind w:left="567" w:hanging="567"/>
      </w:pPr>
      <w:bookmarkStart w:id="412" w:name="_Toc112144656"/>
      <w:r w:rsidRPr="005C5E32">
        <w:t>1.</w:t>
      </w:r>
      <w:r w:rsidRPr="005C5E32">
        <w:tab/>
        <w:t xml:space="preserve">Statement of accounting policies for the year ended 30 June </w:t>
      </w:r>
      <w:bookmarkEnd w:id="412"/>
      <w:r w:rsidRPr="005C5E32">
        <w:t>2026</w:t>
      </w:r>
    </w:p>
    <w:p w14:paraId="2AFD4E3D" w14:textId="77777777" w:rsidR="00D06CB2" w:rsidRPr="005C5E32" w:rsidRDefault="00D06CB2">
      <w:pPr>
        <w:pStyle w:val="Heading4"/>
        <w:spacing w:before="180"/>
      </w:pPr>
      <w:r w:rsidRPr="005C5E32">
        <w:t>Reporting entity</w:t>
      </w:r>
    </w:p>
    <w:p w14:paraId="52AF4BC2" w14:textId="77777777" w:rsidR="00D06CB2" w:rsidRPr="005C5E32" w:rsidRDefault="00D06CB2">
      <w:pPr>
        <w:pStyle w:val="BodyText"/>
      </w:pPr>
      <w:r w:rsidRPr="005C5E32">
        <w:t>The non-departmental statements and schedules present financial information on public funds managed by the Ministry on behalf of the Crown.</w:t>
      </w:r>
    </w:p>
    <w:p w14:paraId="29FA23E6" w14:textId="11A3F4D9" w:rsidR="00D06CB2" w:rsidRPr="005C5E32" w:rsidRDefault="00D06CB2">
      <w:pPr>
        <w:pStyle w:val="BodyText"/>
      </w:pPr>
      <w:r w:rsidRPr="005C5E32">
        <w:t>The non-departmental balances are consolidated into the Financial Statements of the Government for the year ended 30 June 2026. For a full understanding of the Crown’s financial</w:t>
      </w:r>
      <w:r w:rsidR="00BA2D5A" w:rsidRPr="005C5E32">
        <w:t> </w:t>
      </w:r>
      <w:r w:rsidRPr="005C5E32">
        <w:t>position, results of operations, and cash flows for the year, refer to the Financial Statements of the Government for the year ended 30 June 2026.</w:t>
      </w:r>
    </w:p>
    <w:p w14:paraId="7C4000E6" w14:textId="77777777" w:rsidR="00D06CB2" w:rsidRPr="005C5E32" w:rsidRDefault="00D06CB2">
      <w:pPr>
        <w:pStyle w:val="Heading4"/>
        <w:spacing w:before="240"/>
      </w:pPr>
      <w:r w:rsidRPr="005C5E32">
        <w:t>Basis of preparation</w:t>
      </w:r>
    </w:p>
    <w:p w14:paraId="3E6F694C" w14:textId="77777777" w:rsidR="00D06CB2" w:rsidRPr="005C5E32" w:rsidRDefault="00D06CB2">
      <w:pPr>
        <w:pStyle w:val="BodyText"/>
      </w:pPr>
      <w:r w:rsidRPr="005C5E32">
        <w:t>The non-departmental statements and schedules have been prepared in accordance with the Government’s accounting policies as set out in the Financial Statements of the Government, and in accordance with relevant Treasury Instructions and Treasury Circulars.</w:t>
      </w:r>
    </w:p>
    <w:p w14:paraId="53275842" w14:textId="77777777" w:rsidR="00D06CB2" w:rsidRPr="005C5E32" w:rsidRDefault="00D06CB2">
      <w:pPr>
        <w:pStyle w:val="BodyText"/>
      </w:pPr>
      <w:r w:rsidRPr="005C5E32">
        <w:t>Measurements and recognition rules applied in the preparation of these non-departmental statements and schedules are consistent with the New Zealand generally accepted accounting practice (NZ GAAP), applying Tier 1 Public Benefit Entity</w:t>
      </w:r>
      <w:r w:rsidRPr="005C5E32" w:rsidDel="007D456F">
        <w:t xml:space="preserve"> </w:t>
      </w:r>
      <w:r w:rsidRPr="005C5E32">
        <w:t xml:space="preserve">(PBE) Accounting </w:t>
      </w:r>
      <w:r w:rsidRPr="005C5E32" w:rsidDel="000C3765">
        <w:t>S</w:t>
      </w:r>
      <w:r w:rsidRPr="005C5E32">
        <w:t xml:space="preserve">tandards, as appropriate for </w:t>
      </w:r>
      <w:r w:rsidRPr="005C5E32" w:rsidDel="00DF4420">
        <w:t xml:space="preserve">public </w:t>
      </w:r>
      <w:r w:rsidRPr="005C5E32">
        <w:t>benefit entities in the public sector.</w:t>
      </w:r>
    </w:p>
    <w:p w14:paraId="2771B90A" w14:textId="77777777" w:rsidR="00D06CB2" w:rsidRPr="005C5E32" w:rsidRDefault="00D06CB2">
      <w:pPr>
        <w:pStyle w:val="Heading4"/>
        <w:spacing w:before="240"/>
      </w:pPr>
      <w:r w:rsidRPr="005C5E32">
        <w:t>Presentation currency and rounding</w:t>
      </w:r>
    </w:p>
    <w:p w14:paraId="50D47F09" w14:textId="7C8CAFA3" w:rsidR="00D06CB2" w:rsidRPr="005C5E32" w:rsidRDefault="00D06CB2">
      <w:pPr>
        <w:pStyle w:val="BodyText"/>
      </w:pPr>
      <w:r w:rsidRPr="005C5E32">
        <w:t>The non-departmental statements and schedules are presented in New Zealand dollars, and</w:t>
      </w:r>
      <w:r w:rsidR="00BA2D5A" w:rsidRPr="005C5E32">
        <w:t> </w:t>
      </w:r>
      <w:r w:rsidRPr="005C5E32">
        <w:t>all values are rounded to the nearest thousand dollars ($000) unless otherwise stated. The</w:t>
      </w:r>
      <w:r w:rsidR="00BA2D5A" w:rsidRPr="005C5E32">
        <w:t> </w:t>
      </w:r>
      <w:r w:rsidRPr="005C5E32">
        <w:t>functional currency of the Ministry is New Zealand dollars.</w:t>
      </w:r>
    </w:p>
    <w:p w14:paraId="031A6446" w14:textId="77777777" w:rsidR="00D06CB2" w:rsidRPr="005C5E32" w:rsidRDefault="00D06CB2">
      <w:pPr>
        <w:pStyle w:val="Heading4"/>
        <w:spacing w:before="240"/>
      </w:pPr>
      <w:r w:rsidRPr="005C5E32">
        <w:t xml:space="preserve">Comparatives </w:t>
      </w:r>
    </w:p>
    <w:p w14:paraId="26858967" w14:textId="400FE93C" w:rsidR="00D06CB2" w:rsidRPr="005C5E32" w:rsidRDefault="00D06CB2">
      <w:pPr>
        <w:pStyle w:val="BodyText"/>
        <w:tabs>
          <w:tab w:val="left" w:pos="0"/>
        </w:tabs>
      </w:pPr>
      <w:r w:rsidRPr="005C5E32">
        <w:t>All comparative amounts are consistent with those included in the previous year’s non</w:t>
      </w:r>
      <w:r w:rsidR="00BA2D5A" w:rsidRPr="005C5E32">
        <w:noBreakHyphen/>
      </w:r>
      <w:r w:rsidRPr="005C5E32">
        <w:t xml:space="preserve">departmental statements and schedules. </w:t>
      </w:r>
    </w:p>
    <w:p w14:paraId="6BF50232" w14:textId="77777777" w:rsidR="00D06CB2" w:rsidRPr="005C5E32" w:rsidRDefault="00D06CB2">
      <w:pPr>
        <w:pStyle w:val="Heading4"/>
        <w:spacing w:before="240"/>
      </w:pPr>
      <w:r w:rsidRPr="005C5E32">
        <w:t xml:space="preserve">New or amended standards adopted </w:t>
      </w:r>
    </w:p>
    <w:p w14:paraId="31621779" w14:textId="77777777" w:rsidR="00D06CB2" w:rsidRPr="005C5E32" w:rsidRDefault="00D06CB2">
      <w:pPr>
        <w:pStyle w:val="BodyText"/>
        <w:tabs>
          <w:tab w:val="left" w:pos="0"/>
        </w:tabs>
      </w:pPr>
      <w:r w:rsidRPr="005C5E32">
        <w:t>No new accounting standards have been adopted in the year that have had a material impact on the preparation of the non-departmental statements and schedules.</w:t>
      </w:r>
    </w:p>
    <w:p w14:paraId="1B2B5899" w14:textId="77777777" w:rsidR="00D06CB2" w:rsidRPr="005C5E32" w:rsidRDefault="00D06CB2">
      <w:pPr>
        <w:pStyle w:val="Heading4"/>
        <w:spacing w:before="240"/>
      </w:pPr>
      <w:r w:rsidRPr="005C5E32">
        <w:t>Other changes in accounting policies</w:t>
      </w:r>
    </w:p>
    <w:p w14:paraId="68F29EAD" w14:textId="77777777" w:rsidR="00D06CB2" w:rsidRPr="005C5E32" w:rsidRDefault="00D06CB2">
      <w:pPr>
        <w:pStyle w:val="BodyText"/>
      </w:pPr>
      <w:r w:rsidRPr="005C5E32">
        <w:t>There have been no other changes in the accounting policies since the date of the last audited non-departmental statements and schedules.</w:t>
      </w:r>
    </w:p>
    <w:p w14:paraId="3EBE3C6C" w14:textId="77777777" w:rsidR="00D06CB2" w:rsidRPr="005C5E32" w:rsidRDefault="00D06CB2">
      <w:pPr>
        <w:pStyle w:val="Heading4"/>
        <w:spacing w:before="240"/>
      </w:pPr>
      <w:r w:rsidRPr="005C5E32">
        <w:lastRenderedPageBreak/>
        <w:t>Standards issued and not yet effective and not early adopted</w:t>
      </w:r>
    </w:p>
    <w:p w14:paraId="3D36701A" w14:textId="03A77D11" w:rsidR="00D06CB2" w:rsidRPr="005C5E32" w:rsidRDefault="008166CE" w:rsidP="007D316D">
      <w:pPr>
        <w:pStyle w:val="BodyText"/>
      </w:pPr>
      <w:r w:rsidRPr="005C5E32">
        <w:t xml:space="preserve">No new accounting standards have been issued but are not yet effective and have not been early adopted, which are considered likely to have a material impact on these financial statements when adopted in future years. </w:t>
      </w:r>
      <w:r w:rsidR="00D06CB2" w:rsidRPr="005C5E32">
        <w:t>Summary of significant accounting policies</w:t>
      </w:r>
    </w:p>
    <w:p w14:paraId="6C77659E" w14:textId="77777777" w:rsidR="00D06CB2" w:rsidRPr="005C5E32" w:rsidRDefault="00D06CB2">
      <w:pPr>
        <w:pStyle w:val="BodyText"/>
      </w:pPr>
      <w:r w:rsidRPr="005C5E32">
        <w:t>Significant accounting policies are included in the notes to which they relate. Significant accounting policies that do not relate to a specific note are included below.</w:t>
      </w:r>
    </w:p>
    <w:p w14:paraId="3B8245E0" w14:textId="77777777" w:rsidR="00D06CB2" w:rsidRPr="005C5E32" w:rsidRDefault="00D06CB2">
      <w:pPr>
        <w:pStyle w:val="BodyText"/>
      </w:pPr>
      <w:r w:rsidRPr="005C5E32">
        <w:rPr>
          <w:spacing w:val="2"/>
        </w:rPr>
        <w:t>The accounting policies set out below have been applied consistently to all periods presented in these financial statements. The accrual basis of accounting has been used unless otherwise stated</w:t>
      </w:r>
      <w:r w:rsidRPr="005C5E32">
        <w:t>.</w:t>
      </w:r>
    </w:p>
    <w:p w14:paraId="0FBF765F" w14:textId="77EE0E1B" w:rsidR="00D06CB2" w:rsidRPr="005C5E32" w:rsidRDefault="00D06CB2">
      <w:pPr>
        <w:pStyle w:val="Heading5"/>
      </w:pPr>
      <w:r w:rsidRPr="005C5E32">
        <w:t>Budgeting and forecasting figures</w:t>
      </w:r>
      <w:r w:rsidR="005C5228" w:rsidRPr="005C5E32">
        <w:t xml:space="preserve"> for the year ended</w:t>
      </w:r>
      <w:r w:rsidR="00B13EF4" w:rsidRPr="005C5E32">
        <w:t xml:space="preserve"> 30 June 2026</w:t>
      </w:r>
    </w:p>
    <w:p w14:paraId="3F2CE5BD" w14:textId="77777777" w:rsidR="00D06CB2" w:rsidRPr="005C5E32" w:rsidRDefault="00D06CB2">
      <w:pPr>
        <w:pStyle w:val="BodyText"/>
      </w:pPr>
      <w:r w:rsidRPr="005C5E32">
        <w:t>The 2026 budget figures are for the year ended 30 June 2026 and were published in the 2024/25 annual report. They are consistent with the Ministry’s best</w:t>
      </w:r>
      <w:r w:rsidRPr="005C5E32" w:rsidDel="00BF1293">
        <w:t xml:space="preserve"> </w:t>
      </w:r>
      <w:r w:rsidRPr="005C5E32">
        <w:t>estimate financial forecast information submitted to the Treasury for the Budget Economic and Fiscal Update (BEFU) for the year ending 30 June 2026.</w:t>
      </w:r>
    </w:p>
    <w:p w14:paraId="38766B96" w14:textId="77777777" w:rsidR="00D06CB2" w:rsidRPr="005C5E32" w:rsidRDefault="00D06CB2">
      <w:pPr>
        <w:pStyle w:val="BodyText"/>
      </w:pPr>
      <w:bookmarkStart w:id="413" w:name="_Hlk143269518"/>
      <w:r w:rsidRPr="005C5E32">
        <w:t>The forecast figures used in these statements and schedules for the New Zealand Emissions Trading Scheme (NZ ETS) surrender of units and allocation of New Zealand Units (NZUs) were valued using market prices per carbon unit at the time of BEFU 2025 forecast. Similarly, the liability provision for the NZ ETS was valued using market price per carbon unit at the time of BEFU forecast. Budget figure for the appropriation of Allocation of New Zealand Units is based on NZ$100 per carbon unit and the revised budget figure is based on NZ$70 per carbon unit to mitigate the risk of breaching the appropriation.</w:t>
      </w:r>
    </w:p>
    <w:bookmarkEnd w:id="413"/>
    <w:p w14:paraId="6613F538" w14:textId="5C9ABC3D" w:rsidR="00D06CB2" w:rsidRPr="005C5E32" w:rsidRDefault="00D06CB2">
      <w:pPr>
        <w:pStyle w:val="BodyText"/>
      </w:pPr>
      <w:r w:rsidRPr="005C5E32">
        <w:t xml:space="preserve">The budget figures have been prepared in accordance with NZ GAAP, using accounting policies that are consistent with those adopted in preparing these statements and schedules and are based on PBE Accounting </w:t>
      </w:r>
      <w:r w:rsidRPr="005C5E32" w:rsidDel="000C3765">
        <w:t>S</w:t>
      </w:r>
      <w:r w:rsidRPr="005C5E32">
        <w:t>tandards.</w:t>
      </w:r>
    </w:p>
    <w:p w14:paraId="26B34D92" w14:textId="2D46D0AA" w:rsidR="00D06CB2" w:rsidRPr="005C5E32" w:rsidRDefault="00D06CB2">
      <w:pPr>
        <w:pStyle w:val="BodyText"/>
      </w:pPr>
      <w:r w:rsidRPr="005C5E32">
        <w:t>The budget figures are unaudited and have been prepared in accordance with the requirements of the Public Finance Act 1989</w:t>
      </w:r>
      <w:r w:rsidRPr="005C5E32" w:rsidDel="000F5BB6">
        <w:t xml:space="preserve"> and</w:t>
      </w:r>
      <w:r w:rsidRPr="005C5E32">
        <w:t xml:space="preserve"> comply with Tier 1 PBE Accounting </w:t>
      </w:r>
      <w:r w:rsidRPr="005C5E32" w:rsidDel="000C3765">
        <w:t>S</w:t>
      </w:r>
      <w:r w:rsidRPr="005C5E32">
        <w:t xml:space="preserve">tandards and other applicable financial reporting standards, as appropriate for </w:t>
      </w:r>
      <w:r w:rsidRPr="005C5E32" w:rsidDel="000C3765">
        <w:t xml:space="preserve">public </w:t>
      </w:r>
      <w:r w:rsidRPr="005C5E32">
        <w:t>benefit entities in the public sector. They are to be used in the future for reporting historical general-purpose financial statements.</w:t>
      </w:r>
    </w:p>
    <w:p w14:paraId="38A39DC7" w14:textId="77777777" w:rsidR="002708E5" w:rsidRPr="005C5E32" w:rsidRDefault="002708E5" w:rsidP="002708E5">
      <w:pPr>
        <w:pStyle w:val="Heading5"/>
      </w:pPr>
      <w:r w:rsidRPr="005C5E32">
        <w:t>Forecast financial statements</w:t>
      </w:r>
    </w:p>
    <w:p w14:paraId="32C814DC" w14:textId="77777777" w:rsidR="001A039E" w:rsidRPr="005C5E32" w:rsidRDefault="00AD73F1" w:rsidP="001A039E">
      <w:pPr>
        <w:pStyle w:val="BodyText"/>
      </w:pPr>
      <w:r w:rsidRPr="005C5E32">
        <w:t xml:space="preserve">From 1 July </w:t>
      </w:r>
      <w:r w:rsidR="00765460" w:rsidRPr="005C5E32">
        <w:t>2026, responsibility for administering the non-departmental activities transferred to the Ministry for Cities, Environment, Regions and Transport</w:t>
      </w:r>
      <w:r w:rsidR="00EA5C77" w:rsidRPr="005C5E32">
        <w:t xml:space="preserve">. </w:t>
      </w:r>
      <w:r w:rsidR="00CF453C" w:rsidRPr="005C5E32">
        <w:t xml:space="preserve">Forecast </w:t>
      </w:r>
      <w:r w:rsidR="007870B5" w:rsidRPr="005C5E32">
        <w:t>figures</w:t>
      </w:r>
      <w:r w:rsidR="00CF453C" w:rsidRPr="005C5E32">
        <w:t xml:space="preserve"> for 2026/27 have not been </w:t>
      </w:r>
      <w:r w:rsidR="00B927DB" w:rsidRPr="005C5E32">
        <w:t>presented as the Public Finance Act 1989 does not require</w:t>
      </w:r>
      <w:r w:rsidR="002467C5" w:rsidRPr="005C5E32">
        <w:t xml:space="preserve"> forecast financial information for non-departmental activity. </w:t>
      </w:r>
      <w:r w:rsidR="00722580" w:rsidRPr="005C5E32">
        <w:t xml:space="preserve">The related 2026/27 </w:t>
      </w:r>
      <w:r w:rsidR="007B6AD9" w:rsidRPr="005C5E32">
        <w:t xml:space="preserve">appropriations continue to be presented in Vote Environment. </w:t>
      </w:r>
    </w:p>
    <w:p w14:paraId="521746C8" w14:textId="745D1A55" w:rsidR="00D06CB2" w:rsidRPr="005C5E32" w:rsidRDefault="00D06CB2">
      <w:pPr>
        <w:pStyle w:val="Heading5"/>
      </w:pPr>
      <w:r w:rsidRPr="005C5E32">
        <w:t>Foreign exchange</w:t>
      </w:r>
    </w:p>
    <w:p w14:paraId="62035673" w14:textId="70B1755D" w:rsidR="00D06CB2" w:rsidRPr="005C5E32" w:rsidRDefault="00D06CB2">
      <w:pPr>
        <w:pStyle w:val="BodyText"/>
      </w:pPr>
      <w:r w:rsidRPr="005C5E32">
        <w:t>Foreign currency transactions are translated into New Zealand dollars using the exchange rates</w:t>
      </w:r>
      <w:r w:rsidR="00F949E4" w:rsidRPr="005C5E32">
        <w:t> </w:t>
      </w:r>
      <w:r w:rsidRPr="005C5E32">
        <w:t xml:space="preserve">prevailing at the date of </w:t>
      </w:r>
      <w:r w:rsidRPr="005C5E32" w:rsidDel="00DA7FA2">
        <w:t xml:space="preserve">the </w:t>
      </w:r>
      <w:r w:rsidRPr="005C5E32">
        <w:t>transaction. Foreign exchange gains and losses resulting from the settlement of such transactions and from the translation at year-end exchange rates of the</w:t>
      </w:r>
      <w:r w:rsidR="00F949E4" w:rsidRPr="005C5E32">
        <w:t xml:space="preserve"> </w:t>
      </w:r>
      <w:r w:rsidRPr="005C5E32">
        <w:t>monetary assets and liabilities denominated in foreign currencies are recognised in the</w:t>
      </w:r>
      <w:r w:rsidR="00F949E4" w:rsidRPr="005C5E32">
        <w:t> </w:t>
      </w:r>
      <w:r w:rsidRPr="005C5E32">
        <w:t>schedule of non-departmental revenue or schedule of non-departmental expenses.</w:t>
      </w:r>
    </w:p>
    <w:p w14:paraId="351853EB" w14:textId="77777777" w:rsidR="00D06CB2" w:rsidRPr="005C5E32" w:rsidRDefault="00D06CB2">
      <w:pPr>
        <w:pStyle w:val="Heading5"/>
      </w:pPr>
      <w:r w:rsidRPr="005C5E32">
        <w:lastRenderedPageBreak/>
        <w:t xml:space="preserve">Cash and cash equivalents </w:t>
      </w:r>
    </w:p>
    <w:p w14:paraId="0158258F" w14:textId="77777777" w:rsidR="00D06CB2" w:rsidRPr="005C5E32" w:rsidRDefault="00D06CB2" w:rsidP="00ED50FB">
      <w:pPr>
        <w:pStyle w:val="BodyText"/>
        <w:spacing w:before="80" w:after="100"/>
      </w:pPr>
      <w:bookmarkStart w:id="414" w:name="_Hlk143353510"/>
      <w:r w:rsidRPr="005C5E32">
        <w:t>Cash and cash equivalents include cash on hand, cash in transit, and funds held in bank accounts administered by the Ministry. All cash held in bank accounts is held in on-demand accounts and no interest is payable to the Ministry.</w:t>
      </w:r>
    </w:p>
    <w:p w14:paraId="2DA5817E" w14:textId="77777777" w:rsidR="00D06CB2" w:rsidRPr="005C5E32" w:rsidRDefault="00D06CB2" w:rsidP="006844DD">
      <w:pPr>
        <w:pStyle w:val="Heading5"/>
        <w:spacing w:before="200"/>
      </w:pPr>
      <w:r w:rsidRPr="005C5E32">
        <w:t>Goods and services tax (GST)</w:t>
      </w:r>
    </w:p>
    <w:bookmarkEnd w:id="414"/>
    <w:p w14:paraId="41658E80" w14:textId="77777777" w:rsidR="00D06CB2" w:rsidRPr="005C5E32" w:rsidRDefault="00D06CB2" w:rsidP="006844DD">
      <w:pPr>
        <w:pStyle w:val="BodyText"/>
        <w:spacing w:before="80" w:after="100" w:line="276" w:lineRule="atLeast"/>
      </w:pPr>
      <w:r w:rsidRPr="005C5E32">
        <w:t>All items in the financial statements, including appropriation statements, are stated exclusive of GST, except for receivables and payables, which are stated on a GST-inclusive basis. In accordance with the Treasury Instructions, GST is returned on revenue received on behalf of the Crown, where applicable. However, an input tax deduction is not claimed on non</w:t>
      </w:r>
      <w:r w:rsidRPr="005C5E32">
        <w:noBreakHyphen/>
        <w:t>departmental expenditure. Instead, the amount of GST applicable to non-departmental expenditure is recognised as a separate expense and eliminated against GST revenue on consolidation of the Financial Statements of the Government.</w:t>
      </w:r>
    </w:p>
    <w:p w14:paraId="70188DAA" w14:textId="77777777" w:rsidR="00D06CB2" w:rsidRPr="005C5E32" w:rsidRDefault="00D06CB2" w:rsidP="006844DD">
      <w:pPr>
        <w:pStyle w:val="Heading5"/>
        <w:spacing w:before="200"/>
      </w:pPr>
      <w:r w:rsidRPr="005C5E32">
        <w:t>Commitments</w:t>
      </w:r>
    </w:p>
    <w:p w14:paraId="78FFAE16" w14:textId="77777777" w:rsidR="00D06CB2" w:rsidRPr="005C5E32" w:rsidRDefault="00D06CB2" w:rsidP="006844DD">
      <w:pPr>
        <w:pStyle w:val="BodyText"/>
        <w:spacing w:before="80" w:after="100" w:line="276" w:lineRule="atLeast"/>
      </w:pPr>
      <w:r w:rsidRPr="005C5E32">
        <w:t>Future expenses and liabilities to be incurred on non-cancellable contracts that have been entered into as at balance date are disclosed as commitments to the extent that there are equally unperformed obligations.</w:t>
      </w:r>
    </w:p>
    <w:p w14:paraId="03C68199" w14:textId="77777777" w:rsidR="00D06CB2" w:rsidRPr="005C5E32" w:rsidRDefault="00D06CB2" w:rsidP="006844DD">
      <w:pPr>
        <w:pStyle w:val="BodyText"/>
        <w:spacing w:after="100" w:line="276" w:lineRule="atLeast"/>
      </w:pPr>
      <w:r w:rsidRPr="005C5E32">
        <w:t>Cancellable commitments that have penalty or exit costs explicit in the agreement on exercising that option to cancel are included in the statement of commitments at the lower of the remaining contractual commitment and the value of that penalty or exit cost.</w:t>
      </w:r>
    </w:p>
    <w:p w14:paraId="71668AF1" w14:textId="77777777" w:rsidR="00D06CB2" w:rsidRPr="005C5E32" w:rsidRDefault="00D06CB2" w:rsidP="006844DD">
      <w:pPr>
        <w:pStyle w:val="Heading5"/>
        <w:spacing w:before="200"/>
      </w:pPr>
      <w:r w:rsidRPr="005C5E32">
        <w:t>Contingent liabilities</w:t>
      </w:r>
    </w:p>
    <w:p w14:paraId="05ED40E2" w14:textId="77777777" w:rsidR="00D06CB2" w:rsidRPr="005C5E32" w:rsidRDefault="00D06CB2" w:rsidP="00ED50FB">
      <w:pPr>
        <w:pStyle w:val="BodyText"/>
        <w:spacing w:before="80" w:after="100"/>
      </w:pPr>
      <w:r w:rsidRPr="005C5E32">
        <w:t>Contingent liabilities are disclosed at the point at which the contingency is evident.</w:t>
      </w:r>
    </w:p>
    <w:p w14:paraId="79DEBEFE" w14:textId="77777777" w:rsidR="00D06CB2" w:rsidRPr="005C5E32" w:rsidRDefault="00D06CB2" w:rsidP="006844DD">
      <w:pPr>
        <w:pStyle w:val="Heading5"/>
        <w:spacing w:before="200"/>
      </w:pPr>
      <w:r w:rsidRPr="005C5E32">
        <w:t>Critical accounting estimates and assumptions</w:t>
      </w:r>
    </w:p>
    <w:p w14:paraId="71520C82" w14:textId="77777777" w:rsidR="00D06CB2" w:rsidRPr="005C5E32" w:rsidRDefault="00D06CB2" w:rsidP="006844DD">
      <w:pPr>
        <w:pStyle w:val="BodyText"/>
        <w:spacing w:before="80" w:after="100" w:line="276" w:lineRule="atLeast"/>
      </w:pPr>
      <w:r w:rsidRPr="005C5E32">
        <w:t xml:space="preserve">The preparation of financial statements in conformity with PBE Accounting </w:t>
      </w:r>
      <w:r w:rsidRPr="005C5E32" w:rsidDel="00DE7287">
        <w:t>S</w:t>
      </w:r>
      <w:r w:rsidRPr="005C5E32">
        <w:t>tandards requires judgements, estimates and assumptions that affect the application of policies and reported amounts of assets, liabilities, revenue and expenses.</w:t>
      </w:r>
    </w:p>
    <w:p w14:paraId="73B6C957" w14:textId="77777777" w:rsidR="00D06CB2" w:rsidRPr="005C5E32" w:rsidRDefault="00D06CB2" w:rsidP="006844DD">
      <w:pPr>
        <w:pStyle w:val="BodyText"/>
        <w:spacing w:before="100" w:after="100" w:line="276" w:lineRule="atLeast"/>
      </w:pPr>
      <w:r w:rsidRPr="005C5E32">
        <w:t>The estimates and associated assumptions are based on historical experience and various other factors that are considered reasonable under the circumstances. Actual results may differ from these estimates.</w:t>
      </w:r>
    </w:p>
    <w:p w14:paraId="46570105" w14:textId="77777777" w:rsidR="00D06CB2" w:rsidRPr="005C5E32" w:rsidRDefault="00D06CB2" w:rsidP="006844DD">
      <w:pPr>
        <w:pStyle w:val="BodyText"/>
        <w:spacing w:before="100" w:after="100" w:line="276" w:lineRule="atLeast"/>
      </w:pPr>
      <w:r w:rsidRPr="005C5E32">
        <w:t>The estimates and underlying assumptions are reviewed on an ongoing basis. Revisions to accounting estimates are recognised in the period in which the estimates are revised if the revisions affect only that period, or in the period of the revisions and future periods if the revisions affect both current and future periods.</w:t>
      </w:r>
    </w:p>
    <w:p w14:paraId="12CF04BF" w14:textId="77777777" w:rsidR="00D06CB2" w:rsidRPr="005C5E32" w:rsidRDefault="00D06CB2" w:rsidP="006844DD">
      <w:pPr>
        <w:pStyle w:val="BodyText"/>
        <w:spacing w:before="100" w:after="100" w:line="276" w:lineRule="atLeast"/>
      </w:pPr>
      <w:r w:rsidRPr="005C5E32">
        <w:t>Judgements that have a significant effect on the financial statements and estimates with a significant risk of material adjustments in the next year are discussed in the notes to the financial statements.</w:t>
      </w:r>
    </w:p>
    <w:p w14:paraId="2AF5C464" w14:textId="7C63565D" w:rsidR="00D06CB2" w:rsidRPr="005C5E32" w:rsidRDefault="00D06CB2" w:rsidP="006844DD">
      <w:pPr>
        <w:pStyle w:val="BodyText"/>
        <w:spacing w:before="100" w:after="100" w:line="276" w:lineRule="atLeast"/>
      </w:pPr>
      <w:r w:rsidRPr="005C5E32">
        <w:t>Note 10 provides the key assumptions used in determining the arising from the accounting for</w:t>
      </w:r>
      <w:r w:rsidR="00AD36C2" w:rsidRPr="005C5E32">
        <w:t> </w:t>
      </w:r>
      <w:r w:rsidRPr="005C5E32">
        <w:t>the New Zealand Emissions Trading Scheme.</w:t>
      </w:r>
    </w:p>
    <w:p w14:paraId="317C023A" w14:textId="77777777" w:rsidR="00D06CB2" w:rsidRPr="005C5E32" w:rsidRDefault="00D06CB2" w:rsidP="00ED50FB">
      <w:pPr>
        <w:pStyle w:val="Heading4"/>
        <w:spacing w:before="240"/>
      </w:pPr>
      <w:r w:rsidRPr="005C5E32">
        <w:t>New Zealand Emissions Trading Scheme</w:t>
      </w:r>
    </w:p>
    <w:p w14:paraId="7D6E3300" w14:textId="62FE61B2" w:rsidR="00D06CB2" w:rsidRPr="005C5E32" w:rsidRDefault="00D06CB2" w:rsidP="006844DD">
      <w:pPr>
        <w:pStyle w:val="BodyText"/>
        <w:spacing w:before="80" w:line="276" w:lineRule="atLeast"/>
      </w:pPr>
      <w:r w:rsidRPr="005C5E32">
        <w:t>The NZ ETS is</w:t>
      </w:r>
      <w:r w:rsidRPr="005C5E32" w:rsidDel="00DE7287">
        <w:t xml:space="preserve"> </w:t>
      </w:r>
      <w:r w:rsidRPr="005C5E32">
        <w:t>New Zealand’s primary response to global climate change. It puts a price on greenhouse gases to provide an incentive to reduce emissions, invest in energy efficiency and</w:t>
      </w:r>
      <w:r w:rsidR="00BB4F7B" w:rsidRPr="005C5E32">
        <w:t> </w:t>
      </w:r>
      <w:r w:rsidRPr="005C5E32">
        <w:t>plant trees.</w:t>
      </w:r>
    </w:p>
    <w:p w14:paraId="07A76F3B" w14:textId="77777777" w:rsidR="00D06CB2" w:rsidRPr="005C5E32" w:rsidRDefault="00D06CB2" w:rsidP="006844DD">
      <w:pPr>
        <w:pStyle w:val="BodyText"/>
        <w:spacing w:before="100" w:after="100"/>
      </w:pPr>
      <w:r w:rsidRPr="005C5E32">
        <w:lastRenderedPageBreak/>
        <w:t>The purpose of the NZ ETS is to help reduce New Zealand’s emissions to below business-as-usual levels and help New Zealand meet its international obligations under the United Nations Framework Convention on Climate Change, the Kyoto Protocol and the Paris Agreement. This is achieved by establishing a price on emissions, which creates a financial incentive for emitters to reduce their emissions.</w:t>
      </w:r>
    </w:p>
    <w:p w14:paraId="3D62D106" w14:textId="77777777" w:rsidR="00D06CB2" w:rsidRPr="005C5E32" w:rsidRDefault="00D06CB2" w:rsidP="006844DD">
      <w:pPr>
        <w:pStyle w:val="BodyText"/>
        <w:spacing w:before="100" w:after="100"/>
      </w:pPr>
      <w:r w:rsidRPr="005C5E32">
        <w:t>In operation since 2008, the mandatory NZ ETS currently covers emissions from forestry, stationary energy, industrial processes and liquid fossil fuels, which are collectively responsible for roughly 50 percent of New Zealand’s emissions. Emissions from waste are covered by the NZ ETS from 2013, while emissions from synthetic gases are covered by the NZ ETS or a levy from 2013. Since 1 January 2012, the agricultural sector has had mandatory reporting obligations under the NZ ETS.</w:t>
      </w:r>
    </w:p>
    <w:p w14:paraId="12F99B90" w14:textId="77777777" w:rsidR="00D06CB2" w:rsidRPr="005C5E32" w:rsidRDefault="00D06CB2" w:rsidP="006844DD">
      <w:pPr>
        <w:pStyle w:val="BodyText"/>
        <w:spacing w:before="100" w:after="100"/>
      </w:pPr>
      <w:r w:rsidRPr="005C5E32">
        <w:t>The NZ ETS is the system in which New Zealand Units</w:t>
      </w:r>
      <w:r w:rsidRPr="005C5E32" w:rsidDel="00D215DB">
        <w:t xml:space="preserve"> </w:t>
      </w:r>
      <w:r w:rsidRPr="005C5E32">
        <w:t>are traded. Under the NZ ETS, certain sectors are required to acquire and surrender NZUs or other eligible emissions units to account for their direct greenhouse gas emissions or the emissions associated with their products.</w:t>
      </w:r>
    </w:p>
    <w:p w14:paraId="0CD1A8A0" w14:textId="77777777" w:rsidR="00D06CB2" w:rsidRPr="005C5E32" w:rsidRDefault="00D06CB2" w:rsidP="006844DD">
      <w:pPr>
        <w:pStyle w:val="BodyText"/>
        <w:spacing w:before="100" w:after="100"/>
      </w:pPr>
      <w:r w:rsidRPr="005C5E32">
        <w:t xml:space="preserve">For detailed information, see the Ministry’s webpage </w:t>
      </w:r>
      <w:hyperlink r:id="rId100" w:history="1">
        <w:r w:rsidRPr="005C5E32">
          <w:rPr>
            <w:rStyle w:val="Hyperlink"/>
          </w:rPr>
          <w:t>About the New Zealand Emissions Trading Scheme</w:t>
        </w:r>
      </w:hyperlink>
      <w:r w:rsidRPr="005C5E32">
        <w:t>.</w:t>
      </w:r>
    </w:p>
    <w:p w14:paraId="623EB646" w14:textId="77777777" w:rsidR="00D06CB2" w:rsidRPr="005C5E32" w:rsidRDefault="00D06CB2" w:rsidP="006844DD">
      <w:pPr>
        <w:pStyle w:val="BodyText"/>
        <w:spacing w:before="100" w:after="100"/>
        <w:rPr>
          <w:rFonts w:eastAsia="Times New Roman" w:cs="Times New Roman"/>
          <w:szCs w:val="20"/>
        </w:rPr>
      </w:pPr>
      <w:r w:rsidRPr="005C5E32">
        <w:rPr>
          <w:rFonts w:eastAsia="Times New Roman" w:cs="Times New Roman"/>
          <w:szCs w:val="20"/>
        </w:rPr>
        <w:t>The Ministry collects forecast information in relation to the allocation and surrender of units from the following agencies.</w:t>
      </w:r>
    </w:p>
    <w:p w14:paraId="1AE38575" w14:textId="77777777" w:rsidR="00D06CB2" w:rsidRPr="005C5E32" w:rsidRDefault="00D06CB2" w:rsidP="006844DD">
      <w:pPr>
        <w:pStyle w:val="Bullet"/>
        <w:spacing w:after="100"/>
      </w:pPr>
      <w:r w:rsidRPr="005C5E32">
        <w:t>The Ministry for Primary Industries provides information on post-1989 and Permanent Forest Sink Initiative allocation, deforestation, and deregistration forecast.</w:t>
      </w:r>
    </w:p>
    <w:p w14:paraId="25838DCE" w14:textId="77777777" w:rsidR="00D06CB2" w:rsidRPr="005C5E32" w:rsidRDefault="00D06CB2" w:rsidP="006844DD">
      <w:pPr>
        <w:pStyle w:val="Bullet"/>
        <w:spacing w:after="100"/>
      </w:pPr>
      <w:r w:rsidRPr="005C5E32">
        <w:t>The Ministry of Business, Innovation and Employment provides information for surrender of units for liquid fossil fuels,</w:t>
      </w:r>
      <w:r w:rsidRPr="005C5E32" w:rsidDel="00386500">
        <w:t xml:space="preserve"> </w:t>
      </w:r>
      <w:r w:rsidRPr="005C5E32">
        <w:t>stationary energy and industrial processes.</w:t>
      </w:r>
    </w:p>
    <w:p w14:paraId="42E3E96F" w14:textId="77777777" w:rsidR="00D06CB2" w:rsidRPr="005C5E32" w:rsidRDefault="00D06CB2" w:rsidP="006844DD">
      <w:pPr>
        <w:pStyle w:val="Bullet"/>
        <w:spacing w:after="100"/>
      </w:pPr>
      <w:r w:rsidRPr="005C5E32">
        <w:t>The Environmental Protection Authority provides information on allocation of units to industrial sectors and other removable activities.</w:t>
      </w:r>
    </w:p>
    <w:p w14:paraId="3C7F19BF" w14:textId="77777777" w:rsidR="00D06CB2" w:rsidRPr="005C5E32" w:rsidRDefault="00D06CB2" w:rsidP="006844DD">
      <w:pPr>
        <w:pStyle w:val="Bullet"/>
        <w:spacing w:after="100"/>
      </w:pPr>
      <w:r w:rsidRPr="005C5E32">
        <w:t xml:space="preserve">The Ministry for the Environment provides surrender and allocation forecasts for synthetic greenhouse gases and the waste sector. </w:t>
      </w:r>
    </w:p>
    <w:p w14:paraId="730B86BB" w14:textId="77777777" w:rsidR="00D06CB2" w:rsidRPr="001A4D20" w:rsidRDefault="00D06CB2" w:rsidP="00866B76">
      <w:pPr>
        <w:pStyle w:val="BodyText"/>
        <w:rPr>
          <w:rStyle w:val="Hyperlink"/>
          <w:color w:val="auto"/>
        </w:rPr>
      </w:pPr>
      <w:r w:rsidRPr="005C5E32">
        <w:t xml:space="preserve">The Climate Change Response (Emissions Trading Reform) Amendment Act 2020 introduced auctioning to the NZ ETS, to align the supply of units in the scheme with New Zealand’s emissions reduction targets. The first auction took place in March 2021 and subsequent auctions have occurred </w:t>
      </w:r>
      <w:r w:rsidRPr="005C5E32">
        <w:rPr>
          <w:spacing w:val="-2"/>
        </w:rPr>
        <w:t>on a quarterly basis. The units allocated to the market through the auctioning process increase</w:t>
      </w:r>
      <w:r w:rsidRPr="005C5E32">
        <w:t xml:space="preserve"> </w:t>
      </w:r>
      <w:r w:rsidRPr="005C5E32">
        <w:rPr>
          <w:spacing w:val="-2"/>
        </w:rPr>
        <w:t>the overall NZ ETS provision in line with the general NZ ETS accounting treatment. For more informatio</w:t>
      </w:r>
      <w:r w:rsidRPr="005C5E32">
        <w:t xml:space="preserve">n on the auctioning process, see the Ministry’s webpage </w:t>
      </w:r>
      <w:hyperlink r:id="rId101" w:history="1">
        <w:r w:rsidRPr="005C5E32">
          <w:rPr>
            <w:rStyle w:val="Hyperlink"/>
          </w:rPr>
          <w:t>ETS Auctions and how to buy New Zealand Emissions Units (NZUs</w:t>
        </w:r>
      </w:hyperlink>
      <w:r w:rsidRPr="005C5E32">
        <w:rPr>
          <w:rStyle w:val="Hyperlink"/>
        </w:rPr>
        <w:t>)</w:t>
      </w:r>
      <w:r w:rsidRPr="005C5E32">
        <w:t>.</w:t>
      </w:r>
    </w:p>
    <w:p w14:paraId="1C3CA5AD" w14:textId="77777777" w:rsidR="00D06CB2" w:rsidRPr="005C5E32" w:rsidRDefault="00D06CB2" w:rsidP="006C6157">
      <w:pPr>
        <w:pStyle w:val="BodyText"/>
      </w:pPr>
      <w:r w:rsidRPr="005C5E32">
        <w:t>Further information on the Provision arising from the accounting for the New Zealand Emissions Trading Scheme is provided in Note 10.</w:t>
      </w:r>
    </w:p>
    <w:p w14:paraId="5DACAD7F" w14:textId="77777777" w:rsidR="00D06CB2" w:rsidRPr="005C5E32" w:rsidRDefault="00D06CB2">
      <w:pPr>
        <w:pStyle w:val="Heading4"/>
      </w:pPr>
      <w:r w:rsidRPr="005C5E32">
        <w:t>Revenue</w:t>
      </w:r>
    </w:p>
    <w:p w14:paraId="4488BE33" w14:textId="77777777" w:rsidR="00D06CB2" w:rsidRPr="005C5E32" w:rsidRDefault="00D06CB2" w:rsidP="006844DD">
      <w:pPr>
        <w:pStyle w:val="BodyText"/>
        <w:keepNext/>
        <w:spacing w:after="100"/>
      </w:pPr>
      <w:r w:rsidRPr="005C5E32">
        <w:t>The Ministry collects revenue on behalf of the Crown. This includes revenue from:</w:t>
      </w:r>
    </w:p>
    <w:p w14:paraId="4CF574EE" w14:textId="77777777" w:rsidR="00D06CB2" w:rsidRPr="005C5E32" w:rsidRDefault="00D06CB2" w:rsidP="006844DD">
      <w:pPr>
        <w:pStyle w:val="Bullet"/>
        <w:spacing w:after="100"/>
      </w:pPr>
      <w:r w:rsidRPr="005C5E32">
        <w:t>the Waste Disposal Levy under the Waste Minimisation Act 2008</w:t>
      </w:r>
    </w:p>
    <w:p w14:paraId="7F93B675" w14:textId="77777777" w:rsidR="00D06CB2" w:rsidRPr="005C5E32" w:rsidRDefault="00D06CB2" w:rsidP="006844DD">
      <w:pPr>
        <w:pStyle w:val="Bullet"/>
        <w:spacing w:after="100"/>
      </w:pPr>
      <w:r w:rsidRPr="005C5E32">
        <w:t>the Synthetic Greenhouse Gas Levy under the Climate Change Response Act 2002 and the Climate Change (Synthetic Greenhouse Gas Levies) Regulations 2013</w:t>
      </w:r>
    </w:p>
    <w:p w14:paraId="60CBAB33" w14:textId="77777777" w:rsidR="00D06CB2" w:rsidRPr="005C5E32" w:rsidRDefault="00D06CB2" w:rsidP="006844DD">
      <w:pPr>
        <w:pStyle w:val="Bullet"/>
        <w:spacing w:after="100"/>
      </w:pPr>
      <w:r w:rsidRPr="005C5E32">
        <w:t>surrender of units under the NZ ETS</w:t>
      </w:r>
    </w:p>
    <w:p w14:paraId="0073B7BF" w14:textId="77777777" w:rsidR="00D06CB2" w:rsidRPr="005C5E32" w:rsidRDefault="00D06CB2">
      <w:pPr>
        <w:pStyle w:val="Bullet"/>
      </w:pPr>
      <w:r w:rsidRPr="005C5E32">
        <w:t>the Waste Minimisation (Tyres) Regulations 2023.</w:t>
      </w:r>
    </w:p>
    <w:p w14:paraId="725CC34B" w14:textId="77777777" w:rsidR="00D06CB2" w:rsidRPr="005C5E32" w:rsidRDefault="00D06CB2">
      <w:pPr>
        <w:pStyle w:val="BodyText"/>
        <w:rPr>
          <w:spacing w:val="-2"/>
        </w:rPr>
      </w:pPr>
      <w:r w:rsidRPr="005C5E32">
        <w:lastRenderedPageBreak/>
        <w:t>The Waste Disposal Levy revenue is recognised in the month when waste is disposed of at landfill</w:t>
      </w:r>
      <w:r w:rsidRPr="005C5E32">
        <w:rPr>
          <w:spacing w:val="-2"/>
        </w:rPr>
        <w:t>.</w:t>
      </w:r>
    </w:p>
    <w:p w14:paraId="6BBD1B31" w14:textId="38463B96" w:rsidR="00D06CB2" w:rsidRPr="005C5E32" w:rsidRDefault="00D06CB2">
      <w:pPr>
        <w:pStyle w:val="BodyText"/>
      </w:pPr>
      <w:r w:rsidRPr="005C5E32">
        <w:t>The Synthetic Greenhouse Gas Levy revenue is recognised in the month when it is collected by</w:t>
      </w:r>
      <w:r w:rsidR="009B2146" w:rsidRPr="005C5E32">
        <w:t> </w:t>
      </w:r>
      <w:r w:rsidRPr="005C5E32">
        <w:t>the NZ Transport Agency | Waka Kotahi.</w:t>
      </w:r>
    </w:p>
    <w:p w14:paraId="50C9116C" w14:textId="77777777" w:rsidR="00D06CB2" w:rsidRPr="005C5E32" w:rsidRDefault="00D06CB2">
      <w:pPr>
        <w:pStyle w:val="BodyText"/>
      </w:pPr>
      <w:r w:rsidRPr="005C5E32">
        <w:t>Revenue (including accruals) arising from the NZ ETS is recognised when a participant makes emissions or a liability to the Crown is incurred.</w:t>
      </w:r>
    </w:p>
    <w:p w14:paraId="4CAE485B" w14:textId="77777777" w:rsidR="00D06CB2" w:rsidRPr="005C5E32" w:rsidRDefault="00D06CB2">
      <w:pPr>
        <w:pStyle w:val="BodyText"/>
      </w:pPr>
      <w:r w:rsidRPr="005C5E32">
        <w:t>The Product Stewardship (Tyres) revenue is recognised in the month when the fee is collected by the NZ Transport Agency at first registration of the vehicle and by the Ministry when:</w:t>
      </w:r>
    </w:p>
    <w:p w14:paraId="551AA905" w14:textId="77777777" w:rsidR="00D06CB2" w:rsidRPr="005C5E32" w:rsidRDefault="00D06CB2">
      <w:pPr>
        <w:pStyle w:val="Bullet"/>
      </w:pPr>
      <w:r w:rsidRPr="005C5E32">
        <w:t>a loose regulated tyre, off-road motor vehicle or aircraft is imported, or</w:t>
      </w:r>
    </w:p>
    <w:p w14:paraId="7AD2F61C" w14:textId="77777777" w:rsidR="00D06CB2" w:rsidRPr="005C5E32" w:rsidRDefault="00D06CB2">
      <w:pPr>
        <w:pStyle w:val="Bullet"/>
      </w:pPr>
      <w:r w:rsidRPr="005C5E32">
        <w:t xml:space="preserve">a loose regulated tyre manufactured in New Zealand is first sold. </w:t>
      </w:r>
    </w:p>
    <w:p w14:paraId="0A389373" w14:textId="77777777" w:rsidR="00D06CB2" w:rsidRPr="005C5E32" w:rsidRDefault="00D06CB2">
      <w:pPr>
        <w:pStyle w:val="Heading3"/>
        <w:tabs>
          <w:tab w:val="clear" w:pos="851"/>
          <w:tab w:val="left" w:pos="567"/>
        </w:tabs>
      </w:pPr>
      <w:r w:rsidRPr="005C5E32">
        <w:t>Expenses</w:t>
      </w:r>
    </w:p>
    <w:p w14:paraId="377D5F3F" w14:textId="77777777" w:rsidR="00D06CB2" w:rsidRPr="005C5E32" w:rsidRDefault="00D06CB2">
      <w:pPr>
        <w:pStyle w:val="Heading3"/>
        <w:tabs>
          <w:tab w:val="clear" w:pos="851"/>
          <w:tab w:val="left" w:pos="567"/>
        </w:tabs>
        <w:spacing w:before="180"/>
      </w:pPr>
      <w:bookmarkStart w:id="415" w:name="_Hlk205298614"/>
      <w:bookmarkStart w:id="416" w:name="_Hlk205297607"/>
      <w:r w:rsidRPr="005C5E32">
        <w:t>2.</w:t>
      </w:r>
      <w:r w:rsidRPr="005C5E32">
        <w:tab/>
        <w:t>Grants and settlements</w:t>
      </w:r>
    </w:p>
    <w:bookmarkEnd w:id="415"/>
    <w:p w14:paraId="5FBBBDC4" w14:textId="77777777" w:rsidR="00D06CB2" w:rsidRPr="005C5E32" w:rsidRDefault="00D06CB2">
      <w:pPr>
        <w:pStyle w:val="Heading4"/>
        <w:spacing w:before="180"/>
      </w:pPr>
      <w:r w:rsidRPr="005C5E32">
        <w:t>Accounting policy</w:t>
      </w:r>
    </w:p>
    <w:bookmarkEnd w:id="416"/>
    <w:p w14:paraId="406BE5CA" w14:textId="77777777" w:rsidR="00D06CB2" w:rsidRPr="005C5E32" w:rsidRDefault="00D06CB2">
      <w:pPr>
        <w:pStyle w:val="Heading5"/>
      </w:pPr>
      <w:r w:rsidRPr="005C5E32">
        <w:t>Grant expenditure</w:t>
      </w:r>
    </w:p>
    <w:p w14:paraId="065B4B35" w14:textId="77777777" w:rsidR="00D06CB2" w:rsidRPr="005C5E32" w:rsidRDefault="00D06CB2" w:rsidP="00464F0B">
      <w:pPr>
        <w:pStyle w:val="BodyText"/>
        <w:spacing w:after="100"/>
      </w:pPr>
      <w:r w:rsidRPr="005C5E32">
        <w:t>Non-discretionary grants are those grants awarded if the grant application meets the specified criteria. They are recognised as expenditure when an application that meets the specified criteria for the grant</w:t>
      </w:r>
      <w:r w:rsidRPr="005C5E32" w:rsidDel="000B1E9F">
        <w:t xml:space="preserve"> has been received</w:t>
      </w:r>
      <w:r w:rsidRPr="005C5E32">
        <w:t>.</w:t>
      </w:r>
    </w:p>
    <w:p w14:paraId="7760D50A" w14:textId="77777777" w:rsidR="00D06CB2" w:rsidRPr="005C5E32" w:rsidRDefault="00D06CB2" w:rsidP="00464F0B">
      <w:pPr>
        <w:pStyle w:val="BodyText"/>
        <w:spacing w:after="100"/>
      </w:pPr>
      <w:r w:rsidRPr="005C5E32">
        <w:t xml:space="preserve">Discretionary grants are those grants </w:t>
      </w:r>
      <w:r w:rsidRPr="005C5E32" w:rsidDel="00151D6D">
        <w:t xml:space="preserve">where </w:t>
      </w:r>
      <w:r w:rsidRPr="005C5E32">
        <w:t>the Ministry has no obligation to award on</w:t>
      </w:r>
      <w:r w:rsidRPr="005C5E32" w:rsidDel="000B1E9F">
        <w:t xml:space="preserve"> receipt of</w:t>
      </w:r>
      <w:r w:rsidRPr="005C5E32">
        <w:t xml:space="preserve"> the grant application.</w:t>
      </w:r>
    </w:p>
    <w:p w14:paraId="58D9E7F4" w14:textId="77777777" w:rsidR="00D06CB2" w:rsidRPr="005C5E32" w:rsidRDefault="00D06CB2" w:rsidP="00464F0B">
      <w:pPr>
        <w:pStyle w:val="BodyText"/>
        <w:spacing w:after="100"/>
      </w:pPr>
      <w:r w:rsidRPr="005C5E32">
        <w:t xml:space="preserve">For discretionary grants without substantive conditions, the total committed funding over the life of the funding agreement is recognised as expenditure when the grant is approved by the relevant committee or body and the approval has been communicated to the applicant. </w:t>
      </w:r>
    </w:p>
    <w:p w14:paraId="3AA45747" w14:textId="77777777" w:rsidR="00D06CB2" w:rsidRPr="005C5E32" w:rsidRDefault="00D06CB2" w:rsidP="00464F0B">
      <w:pPr>
        <w:pStyle w:val="BodyText"/>
        <w:spacing w:after="100"/>
      </w:pPr>
      <w:r w:rsidRPr="005C5E32">
        <w:t>Grants with substantive conditions are recognised as an expense at the earlier of the grant payment date or when the grant’s conditions have been satisfied.</w:t>
      </w:r>
    </w:p>
    <w:p w14:paraId="4DB51E40" w14:textId="77777777" w:rsidR="00D06CB2" w:rsidRPr="005C5E32" w:rsidRDefault="00D06CB2">
      <w:pPr>
        <w:pStyle w:val="Heading6"/>
        <w:rPr>
          <w:lang w:val="en-NZ"/>
        </w:rPr>
      </w:pPr>
      <w:r w:rsidRPr="005C5E32">
        <w:rPr>
          <w:lang w:val="en-NZ"/>
        </w:rPr>
        <w:t>Further information</w:t>
      </w:r>
    </w:p>
    <w:p w14:paraId="385666D3" w14:textId="77777777" w:rsidR="00D06CB2" w:rsidRPr="005C5E32" w:rsidRDefault="00D06CB2" w:rsidP="00464F0B">
      <w:pPr>
        <w:pStyle w:val="BodyText"/>
        <w:spacing w:after="100"/>
      </w:pPr>
      <w:r w:rsidRPr="005C5E32">
        <w:t xml:space="preserve">Grants funding is provided to support: </w:t>
      </w:r>
    </w:p>
    <w:p w14:paraId="65B383DE" w14:textId="77777777" w:rsidR="00D06CB2" w:rsidRPr="005C5E32" w:rsidRDefault="00D06CB2" w:rsidP="00464F0B">
      <w:pPr>
        <w:pStyle w:val="Bullet"/>
        <w:spacing w:after="100"/>
      </w:pPr>
      <w:r w:rsidRPr="005C5E32">
        <w:t>efforts to achieve a low-waste, low-emissions, circular economy</w:t>
      </w:r>
    </w:p>
    <w:p w14:paraId="32D6C5F9" w14:textId="77777777" w:rsidR="00D06CB2" w:rsidRPr="005C5E32" w:rsidRDefault="00D06CB2" w:rsidP="00464F0B">
      <w:pPr>
        <w:pStyle w:val="Bullet"/>
        <w:spacing w:after="100"/>
      </w:pPr>
      <w:r w:rsidRPr="005C5E32">
        <w:t>nature-based work for a greener New Zealand by restoring and preserving our environment for future generations</w:t>
      </w:r>
    </w:p>
    <w:p w14:paraId="7475B1A1" w14:textId="1FA84B62" w:rsidR="00D06CB2" w:rsidRPr="005C5E32" w:rsidRDefault="00D06CB2" w:rsidP="00464F0B">
      <w:pPr>
        <w:pStyle w:val="Bullet"/>
        <w:spacing w:after="100"/>
      </w:pPr>
      <w:r w:rsidRPr="005C5E32">
        <w:t>work to stop further degradation of our freshwater, improve water quality, reverse any</w:t>
      </w:r>
      <w:r w:rsidR="00464F0B" w:rsidRPr="005C5E32">
        <w:t> </w:t>
      </w:r>
      <w:r w:rsidRPr="005C5E32">
        <w:t>past damage, and bring our waterways and ecosystems to a healthy state within a</w:t>
      </w:r>
      <w:r w:rsidR="00464F0B" w:rsidRPr="005C5E32">
        <w:t> </w:t>
      </w:r>
      <w:r w:rsidRPr="005C5E32">
        <w:t>generation</w:t>
      </w:r>
    </w:p>
    <w:p w14:paraId="622C54F6" w14:textId="77777777" w:rsidR="00D06CB2" w:rsidRPr="005C5E32" w:rsidRDefault="00D06CB2" w:rsidP="00464F0B">
      <w:pPr>
        <w:pStyle w:val="Bullet"/>
        <w:spacing w:after="100"/>
      </w:pPr>
      <w:r w:rsidRPr="005C5E32">
        <w:t>the investigation, management and remediation of contaminated sites</w:t>
      </w:r>
    </w:p>
    <w:p w14:paraId="59C45BB9" w14:textId="77777777" w:rsidR="00D06CB2" w:rsidRPr="005C5E32" w:rsidRDefault="00D06CB2" w:rsidP="00464F0B">
      <w:pPr>
        <w:pStyle w:val="Bullet"/>
        <w:spacing w:after="100"/>
      </w:pPr>
      <w:r w:rsidRPr="005C5E32">
        <w:t>training programmes, including Te Aho T</w:t>
      </w:r>
      <w:r w:rsidRPr="005C5E32">
        <w:rPr>
          <w:rFonts w:cs="Calibri"/>
        </w:rPr>
        <w:t>ū</w:t>
      </w:r>
      <w:r w:rsidRPr="005C5E32">
        <w:t xml:space="preserve"> Roa, that promote environmental and social sustainability, encourage Māori participation, raise environmental and ecological awareness, and encourage children and young people to participate in environmental initiatives in the community.</w:t>
      </w:r>
    </w:p>
    <w:p w14:paraId="5CFFB9CC" w14:textId="77777777" w:rsidR="00D06CB2" w:rsidRPr="005C5E32" w:rsidRDefault="00D06CB2">
      <w:pPr>
        <w:pStyle w:val="Heading5"/>
      </w:pPr>
      <w:r w:rsidRPr="005C5E32">
        <w:lastRenderedPageBreak/>
        <w:t>Settlement expenditure</w:t>
      </w:r>
    </w:p>
    <w:p w14:paraId="5987AF09" w14:textId="77777777" w:rsidR="00D06CB2" w:rsidRPr="005C5E32" w:rsidRDefault="00D06CB2">
      <w:pPr>
        <w:pStyle w:val="BodyText"/>
      </w:pPr>
      <w:r w:rsidRPr="005C5E32">
        <w:t>An expense and an associated provision are recognised for settlement agreements with Waikato River iwi and other iwi on the initialling of the deeds of settlement by the Crown and the relevant iwi.</w:t>
      </w:r>
    </w:p>
    <w:p w14:paraId="4552C3A3" w14:textId="77777777" w:rsidR="00D06CB2" w:rsidRPr="005C5E32" w:rsidRDefault="00D06CB2">
      <w:pPr>
        <w:pStyle w:val="Heading6"/>
        <w:rPr>
          <w:lang w:val="en-NZ"/>
        </w:rPr>
      </w:pPr>
      <w:r w:rsidRPr="005C5E32">
        <w:rPr>
          <w:lang w:val="en-NZ"/>
        </w:rPr>
        <w:t>Further information</w:t>
      </w:r>
    </w:p>
    <w:p w14:paraId="1328161D" w14:textId="77777777" w:rsidR="00D06CB2" w:rsidRPr="005C5E32" w:rsidRDefault="00D06CB2">
      <w:pPr>
        <w:pStyle w:val="BodyText"/>
      </w:pPr>
      <w:r w:rsidRPr="005C5E32">
        <w:t>Settlement funding is provided to support the Waikato River Authority to restore and protect the health and wellbeing of the Waikato River for future generations.</w:t>
      </w:r>
    </w:p>
    <w:p w14:paraId="03E51E78" w14:textId="77777777" w:rsidR="00D06CB2" w:rsidRPr="005C5E32" w:rsidRDefault="00D06CB2">
      <w:pPr>
        <w:pStyle w:val="Heading3"/>
        <w:tabs>
          <w:tab w:val="clear" w:pos="851"/>
          <w:tab w:val="left" w:pos="567"/>
        </w:tabs>
      </w:pPr>
      <w:r w:rsidRPr="005C5E32">
        <w:t>3.</w:t>
      </w:r>
      <w:r w:rsidRPr="005C5E32">
        <w:tab/>
        <w:t>Subscriptions and contributions</w:t>
      </w:r>
      <w:r w:rsidRPr="005C5E32">
        <w:br/>
        <w:t xml:space="preserve">to international forums </w:t>
      </w:r>
    </w:p>
    <w:p w14:paraId="07CEA376" w14:textId="77777777" w:rsidR="00D06CB2" w:rsidRPr="005C5E32" w:rsidRDefault="00D06CB2">
      <w:pPr>
        <w:pStyle w:val="Bullet"/>
        <w:numPr>
          <w:ilvl w:val="0"/>
          <w:numId w:val="0"/>
        </w:numPr>
        <w:spacing w:before="120"/>
      </w:pPr>
      <w:r w:rsidRPr="005C5E32">
        <w:t xml:space="preserve">New Zealand is a member country of the United Nations Environment Programme (UNEP), the United Nations Framework Convention on Climate Change (UNFCCC) and various other United Nations conventions. </w:t>
      </w:r>
    </w:p>
    <w:p w14:paraId="1D618C62" w14:textId="77777777" w:rsidR="00D06CB2" w:rsidRPr="005C5E32" w:rsidRDefault="00D06CB2">
      <w:pPr>
        <w:pStyle w:val="Bullet"/>
        <w:numPr>
          <w:ilvl w:val="0"/>
          <w:numId w:val="0"/>
        </w:numPr>
      </w:pPr>
      <w:r w:rsidRPr="005C5E32">
        <w:t>The Ministry, on behalf of New Zealand, makes annual contributions to UNEP’s and UNFCCC’s core budget and also supports various other programmes of work. It is a lead agency for ensuring New Zealand meets its obligations under key United Nations environmental agreements and climate change agreements, specifically the:</w:t>
      </w:r>
    </w:p>
    <w:p w14:paraId="42534D04" w14:textId="77777777" w:rsidR="00D06CB2" w:rsidRPr="005C5E32" w:rsidRDefault="00D06CB2">
      <w:pPr>
        <w:pStyle w:val="Bullet"/>
      </w:pPr>
      <w:r w:rsidRPr="005C5E32">
        <w:t>Vienna Convention for the Protection of the Ozone Layer, the Montreal Protocol on Substances that Deplete the Ozone Layer, and the Kigali Amendment to the Montreal Protocol</w:t>
      </w:r>
    </w:p>
    <w:p w14:paraId="10BE5BE3" w14:textId="77777777" w:rsidR="00D06CB2" w:rsidRPr="005C5E32" w:rsidRDefault="00D06CB2">
      <w:pPr>
        <w:pStyle w:val="Bullet"/>
      </w:pPr>
      <w:r w:rsidRPr="005C5E32">
        <w:t>Basel Convention on the Control of Transboundary Movements of Hazardous Wastes and their Disposal</w:t>
      </w:r>
    </w:p>
    <w:p w14:paraId="71D7C73D" w14:textId="77777777" w:rsidR="00D06CB2" w:rsidRPr="005C5E32" w:rsidRDefault="00D06CB2">
      <w:pPr>
        <w:pStyle w:val="Bullet"/>
      </w:pPr>
      <w:r w:rsidRPr="005C5E32">
        <w:t>Rotterdam Convention on the Prior Informed Consent Procedure for Certain Hazardous Chemicals and Pesticides in International Trade</w:t>
      </w:r>
    </w:p>
    <w:p w14:paraId="7E035CB4" w14:textId="77777777" w:rsidR="00D06CB2" w:rsidRPr="005C5E32" w:rsidRDefault="00D06CB2">
      <w:pPr>
        <w:pStyle w:val="Bullet"/>
      </w:pPr>
      <w:r w:rsidRPr="005C5E32">
        <w:t xml:space="preserve">Stockholm Convention on Persistent Organic Pollutants </w:t>
      </w:r>
    </w:p>
    <w:p w14:paraId="620854CF" w14:textId="77777777" w:rsidR="00D06CB2" w:rsidRPr="005C5E32" w:rsidRDefault="00D06CB2">
      <w:pPr>
        <w:pStyle w:val="Bullet"/>
      </w:pPr>
      <w:r w:rsidRPr="005C5E32">
        <w:t>Convention to Ban the Importation into Forum Island Countries of Hazardous and Radioactive Wastes and to Control the Transboundary Movement of Hazardous Wastes within the South Pacific Region</w:t>
      </w:r>
    </w:p>
    <w:p w14:paraId="74AA66EE" w14:textId="77777777" w:rsidR="00D06CB2" w:rsidRPr="005C5E32" w:rsidRDefault="00D06CB2">
      <w:pPr>
        <w:pStyle w:val="Bullet"/>
      </w:pPr>
      <w:r w:rsidRPr="005C5E32">
        <w:t>Minamata Convention on Mercury.</w:t>
      </w:r>
    </w:p>
    <w:p w14:paraId="483BC194" w14:textId="77777777" w:rsidR="00D06CB2" w:rsidRPr="005C5E32" w:rsidRDefault="00D06CB2">
      <w:pPr>
        <w:pStyle w:val="Heading3"/>
        <w:tabs>
          <w:tab w:val="clear" w:pos="851"/>
          <w:tab w:val="left" w:pos="567"/>
        </w:tabs>
      </w:pPr>
      <w:r w:rsidRPr="005C5E32">
        <w:t>4.</w:t>
      </w:r>
      <w:r w:rsidRPr="005C5E32">
        <w:tab/>
        <w:t>Crown entity funding</w:t>
      </w:r>
    </w:p>
    <w:p w14:paraId="377E3431" w14:textId="77777777" w:rsidR="00D06CB2" w:rsidRPr="005C5E32" w:rsidRDefault="00D06CB2">
      <w:pPr>
        <w:pStyle w:val="BodyText"/>
      </w:pPr>
      <w:r w:rsidRPr="005C5E32">
        <w:t xml:space="preserve">The Ministry monitors two Crown entities: the </w:t>
      </w:r>
      <w:bookmarkStart w:id="417" w:name="_Hlk205299806"/>
      <w:r w:rsidRPr="005C5E32">
        <w:t>Environmental Protection Authority</w:t>
      </w:r>
      <w:r w:rsidRPr="005C5E32" w:rsidDel="0068703A">
        <w:t> | Te Mana Rauhī Taiao</w:t>
      </w:r>
      <w:r w:rsidRPr="005C5E32">
        <w:t xml:space="preserve"> </w:t>
      </w:r>
      <w:bookmarkEnd w:id="417"/>
      <w:r w:rsidRPr="005C5E32">
        <w:t xml:space="preserve">and </w:t>
      </w:r>
      <w:bookmarkStart w:id="418" w:name="_Hlk205300683"/>
      <w:r w:rsidRPr="005C5E32" w:rsidDel="0068703A">
        <w:t>He Pou a Rangi |</w:t>
      </w:r>
      <w:r w:rsidRPr="005C5E32">
        <w:t xml:space="preserve"> Climate Change Commission</w:t>
      </w:r>
      <w:bookmarkEnd w:id="418"/>
      <w:r w:rsidRPr="005C5E32">
        <w:t>.</w:t>
      </w:r>
    </w:p>
    <w:p w14:paraId="7FA50514" w14:textId="77777777" w:rsidR="00D06CB2" w:rsidRPr="005C5E32" w:rsidRDefault="00D06CB2">
      <w:pPr>
        <w:pStyle w:val="Heading6"/>
        <w:rPr>
          <w:lang w:val="en-NZ"/>
        </w:rPr>
      </w:pPr>
      <w:r w:rsidRPr="005C5E32">
        <w:rPr>
          <w:lang w:val="en-NZ"/>
        </w:rPr>
        <w:t>Environmental Protection Authority | Te Mana Rauhī Taiao</w:t>
      </w:r>
    </w:p>
    <w:p w14:paraId="78C0C2D4" w14:textId="2790BB8D" w:rsidR="00D06CB2" w:rsidRPr="005C5E32" w:rsidRDefault="00D06CB2">
      <w:pPr>
        <w:pStyle w:val="BodyText"/>
      </w:pPr>
      <w:r w:rsidRPr="005C5E32">
        <w:t>The Environmental Protection Authority is</w:t>
      </w:r>
      <w:r w:rsidRPr="005C5E32" w:rsidDel="005069BB">
        <w:t xml:space="preserve"> </w:t>
      </w:r>
      <w:r w:rsidRPr="005C5E32">
        <w:t>New Zealand’s national environmental regulator. Its</w:t>
      </w:r>
      <w:r w:rsidR="006C6157" w:rsidRPr="005C5E32">
        <w:t> </w:t>
      </w:r>
      <w:r w:rsidRPr="005C5E32">
        <w:t>work is about protecting the environment to enhance a safe and sustainable way of life, and</w:t>
      </w:r>
      <w:r w:rsidR="006C6157" w:rsidRPr="005C5E32">
        <w:t> </w:t>
      </w:r>
      <w:r w:rsidRPr="005C5E32">
        <w:t>future, for all New Zealanders. It regulates human activities that impact the environment and people of New Zealand. As steward for the natural world, it regulates many aspects of future life through decisions made today and balances social, economic, safety and environmental factors.</w:t>
      </w:r>
    </w:p>
    <w:p w14:paraId="15FF34E1" w14:textId="77777777" w:rsidR="00D06CB2" w:rsidRPr="005C5E32" w:rsidRDefault="00D06CB2">
      <w:pPr>
        <w:pStyle w:val="Heading6"/>
        <w:rPr>
          <w:lang w:val="en-NZ"/>
        </w:rPr>
      </w:pPr>
      <w:r w:rsidRPr="005C5E32">
        <w:rPr>
          <w:lang w:val="en-NZ"/>
        </w:rPr>
        <w:lastRenderedPageBreak/>
        <w:t xml:space="preserve">He Pou a Rangi | </w:t>
      </w:r>
      <w:bookmarkStart w:id="419" w:name="_Hlk205300923"/>
      <w:r w:rsidRPr="005C5E32">
        <w:rPr>
          <w:lang w:val="en-NZ"/>
        </w:rPr>
        <w:t>Climate Change Commission</w:t>
      </w:r>
      <w:bookmarkEnd w:id="419"/>
    </w:p>
    <w:p w14:paraId="7A9C6AEF" w14:textId="77777777" w:rsidR="00D06CB2" w:rsidRPr="005C5E32" w:rsidRDefault="00D06CB2">
      <w:pPr>
        <w:pStyle w:val="BodyText"/>
      </w:pPr>
      <w:r w:rsidRPr="005C5E32">
        <w:t>The Climate Change Commission’s purpose is to provide independent, expert advice to the Government on mitigating and adapting to the effects of climate change, and to monitor and report on the Government’s progress towards its emissions reduction and adaptation goals.</w:t>
      </w:r>
    </w:p>
    <w:p w14:paraId="5DBF52CD" w14:textId="77777777" w:rsidR="00D06CB2" w:rsidRPr="005C5E32" w:rsidRDefault="00D06CB2">
      <w:pPr>
        <w:pStyle w:val="Heading4"/>
        <w:spacing w:before="120" w:after="240"/>
      </w:pPr>
      <w:r w:rsidRPr="005C5E32">
        <w:t>Breakdown of receivables and further information</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760"/>
        <w:gridCol w:w="2520"/>
        <w:gridCol w:w="1225"/>
      </w:tblGrid>
      <w:tr w:rsidR="00D06CB2" w:rsidRPr="005C5E32" w14:paraId="5CA76221" w14:textId="77777777" w:rsidTr="003C05FF">
        <w:trPr>
          <w:trHeight w:val="20"/>
        </w:trPr>
        <w:tc>
          <w:tcPr>
            <w:tcW w:w="7081" w:type="dxa"/>
            <w:gridSpan w:val="2"/>
            <w:tcBorders>
              <w:top w:val="single" w:sz="8" w:space="0" w:color="0E7C7E"/>
              <w:bottom w:val="single" w:sz="2" w:space="0" w:color="58595B"/>
            </w:tcBorders>
          </w:tcPr>
          <w:p w14:paraId="0FD8659B" w14:textId="77777777" w:rsidR="00D06CB2" w:rsidRPr="005C5E32" w:rsidRDefault="00D06CB2">
            <w:pPr>
              <w:pStyle w:val="TableboldGreen"/>
              <w:spacing w:before="30" w:after="30"/>
              <w:jc w:val="right"/>
            </w:pPr>
            <w:r w:rsidRPr="005C5E32">
              <w:t>2024/25</w:t>
            </w:r>
            <w:r w:rsidRPr="005C5E32">
              <w:br/>
              <w:t>Actual</w:t>
            </w:r>
            <w:r w:rsidRPr="005C5E32">
              <w:br/>
              <w:t>$000</w:t>
            </w:r>
          </w:p>
        </w:tc>
        <w:tc>
          <w:tcPr>
            <w:tcW w:w="1191" w:type="dxa"/>
            <w:tcBorders>
              <w:top w:val="single" w:sz="8" w:space="0" w:color="0E7C7E"/>
              <w:bottom w:val="single" w:sz="2" w:space="0" w:color="58595B"/>
            </w:tcBorders>
            <w:shd w:val="clear" w:color="auto" w:fill="E7F2F2"/>
          </w:tcPr>
          <w:p w14:paraId="7BBEAAB2" w14:textId="77777777" w:rsidR="00D06CB2" w:rsidRPr="005C5E32" w:rsidRDefault="00D06CB2">
            <w:pPr>
              <w:pStyle w:val="TableboldGreen"/>
              <w:spacing w:before="30" w:after="30"/>
              <w:jc w:val="right"/>
            </w:pPr>
            <w:r w:rsidRPr="005C5E32">
              <w:t>2025/26</w:t>
            </w:r>
            <w:r w:rsidRPr="005C5E32">
              <w:br/>
              <w:t>Actual</w:t>
            </w:r>
            <w:r w:rsidRPr="005C5E32">
              <w:br/>
              <w:t>$000</w:t>
            </w:r>
          </w:p>
        </w:tc>
      </w:tr>
      <w:tr w:rsidR="00D06CB2" w:rsidRPr="005C5E32" w14:paraId="456509F4" w14:textId="77777777" w:rsidTr="003C05FF">
        <w:trPr>
          <w:trHeight w:val="20"/>
        </w:trPr>
        <w:tc>
          <w:tcPr>
            <w:tcW w:w="4630" w:type="dxa"/>
            <w:tcBorders>
              <w:top w:val="single" w:sz="2" w:space="0" w:color="58595B"/>
              <w:left w:val="nil"/>
              <w:bottom w:val="single" w:sz="2" w:space="0" w:color="58595B"/>
              <w:right w:val="nil"/>
            </w:tcBorders>
          </w:tcPr>
          <w:p w14:paraId="1C6C6262" w14:textId="77777777" w:rsidR="00D06CB2" w:rsidRPr="005C5E32" w:rsidRDefault="00D06CB2">
            <w:pPr>
              <w:pStyle w:val="TableText"/>
              <w:spacing w:before="30" w:after="30"/>
              <w:rPr>
                <w:b/>
              </w:rPr>
            </w:pPr>
            <w:r w:rsidRPr="005C5E32">
              <w:rPr>
                <w:b/>
              </w:rPr>
              <w:t xml:space="preserve">Operating </w:t>
            </w:r>
            <w:r w:rsidRPr="005C5E32">
              <w:rPr>
                <w:b/>
                <w:bCs/>
              </w:rPr>
              <w:t>expense</w:t>
            </w:r>
          </w:p>
          <w:p w14:paraId="05070DA4" w14:textId="77777777" w:rsidR="00D06CB2" w:rsidRPr="005C5E32" w:rsidRDefault="00D06CB2">
            <w:pPr>
              <w:pStyle w:val="TableText"/>
              <w:spacing w:before="30" w:after="30"/>
            </w:pPr>
            <w:r w:rsidRPr="005C5E32">
              <w:t>Environmental Protection Authority</w:t>
            </w:r>
          </w:p>
        </w:tc>
        <w:tc>
          <w:tcPr>
            <w:tcW w:w="2451" w:type="dxa"/>
            <w:tcBorders>
              <w:top w:val="single" w:sz="2" w:space="0" w:color="58595B"/>
              <w:left w:val="nil"/>
              <w:bottom w:val="single" w:sz="2" w:space="0" w:color="58595B"/>
              <w:right w:val="nil"/>
            </w:tcBorders>
            <w:vAlign w:val="bottom"/>
          </w:tcPr>
          <w:p w14:paraId="7AA2FD5A" w14:textId="77777777" w:rsidR="00D06CB2" w:rsidRPr="005C5E32" w:rsidRDefault="00D06CB2">
            <w:pPr>
              <w:pStyle w:val="TableText"/>
              <w:spacing w:before="30" w:after="30"/>
              <w:jc w:val="right"/>
            </w:pPr>
            <w:r w:rsidRPr="005C5E32">
              <w:t>36,952</w:t>
            </w:r>
          </w:p>
        </w:tc>
        <w:tc>
          <w:tcPr>
            <w:tcW w:w="1191" w:type="dxa"/>
            <w:tcBorders>
              <w:top w:val="single" w:sz="2" w:space="0" w:color="58595B"/>
              <w:left w:val="nil"/>
              <w:bottom w:val="single" w:sz="2" w:space="0" w:color="58595B"/>
              <w:right w:val="nil"/>
            </w:tcBorders>
            <w:shd w:val="clear" w:color="auto" w:fill="E7F2F2"/>
            <w:vAlign w:val="bottom"/>
          </w:tcPr>
          <w:p w14:paraId="59DE6F6A" w14:textId="77777777" w:rsidR="00D06CB2" w:rsidRPr="005C5E32" w:rsidRDefault="00D06CB2">
            <w:pPr>
              <w:pStyle w:val="TableText"/>
              <w:spacing w:before="30" w:after="30"/>
              <w:jc w:val="right"/>
            </w:pPr>
            <w:r w:rsidRPr="005C5E32">
              <w:t>40,616</w:t>
            </w:r>
          </w:p>
        </w:tc>
      </w:tr>
      <w:tr w:rsidR="00D06CB2" w:rsidRPr="005C5E32" w14:paraId="036612CB" w14:textId="77777777" w:rsidTr="003C05FF">
        <w:trPr>
          <w:trHeight w:val="20"/>
        </w:trPr>
        <w:tc>
          <w:tcPr>
            <w:tcW w:w="4630" w:type="dxa"/>
            <w:tcBorders>
              <w:top w:val="single" w:sz="2" w:space="0" w:color="58595B"/>
              <w:left w:val="nil"/>
              <w:bottom w:val="single" w:sz="2" w:space="0" w:color="58595B"/>
              <w:right w:val="nil"/>
            </w:tcBorders>
          </w:tcPr>
          <w:p w14:paraId="503BA451" w14:textId="77777777" w:rsidR="00D06CB2" w:rsidRPr="005C5E32" w:rsidRDefault="00D06CB2">
            <w:pPr>
              <w:pStyle w:val="TableText"/>
              <w:spacing w:before="30" w:after="30"/>
            </w:pPr>
            <w:r w:rsidRPr="005C5E32">
              <w:t>Climate Change Commission</w:t>
            </w:r>
          </w:p>
        </w:tc>
        <w:tc>
          <w:tcPr>
            <w:tcW w:w="2451" w:type="dxa"/>
            <w:tcBorders>
              <w:top w:val="single" w:sz="2" w:space="0" w:color="58595B"/>
              <w:left w:val="nil"/>
              <w:bottom w:val="single" w:sz="2" w:space="0" w:color="58595B"/>
              <w:right w:val="nil"/>
            </w:tcBorders>
          </w:tcPr>
          <w:p w14:paraId="1B1B86A1" w14:textId="77777777" w:rsidR="00D06CB2" w:rsidRPr="005C5E32" w:rsidRDefault="00D06CB2">
            <w:pPr>
              <w:pStyle w:val="TableText"/>
              <w:spacing w:before="30" w:after="30"/>
              <w:jc w:val="right"/>
            </w:pPr>
            <w:r w:rsidRPr="005C5E32">
              <w:t>14,303</w:t>
            </w:r>
          </w:p>
        </w:tc>
        <w:tc>
          <w:tcPr>
            <w:tcW w:w="1191" w:type="dxa"/>
            <w:tcBorders>
              <w:top w:val="single" w:sz="2" w:space="0" w:color="58595B"/>
              <w:left w:val="nil"/>
              <w:bottom w:val="single" w:sz="2" w:space="0" w:color="58595B"/>
              <w:right w:val="nil"/>
            </w:tcBorders>
            <w:shd w:val="clear" w:color="auto" w:fill="E7F2F2"/>
          </w:tcPr>
          <w:p w14:paraId="0A0881BE" w14:textId="77777777" w:rsidR="00D06CB2" w:rsidRPr="005C5E32" w:rsidRDefault="00D06CB2">
            <w:pPr>
              <w:pStyle w:val="TableText"/>
              <w:spacing w:before="30" w:after="30"/>
              <w:jc w:val="right"/>
            </w:pPr>
            <w:r w:rsidRPr="005C5E32">
              <w:t>15,504</w:t>
            </w:r>
          </w:p>
        </w:tc>
      </w:tr>
      <w:tr w:rsidR="00D06CB2" w:rsidRPr="005C5E32" w14:paraId="1A5FC1D4" w14:textId="77777777" w:rsidTr="003C05FF">
        <w:trPr>
          <w:trHeight w:val="20"/>
        </w:trPr>
        <w:tc>
          <w:tcPr>
            <w:tcW w:w="4630" w:type="dxa"/>
            <w:tcBorders>
              <w:top w:val="single" w:sz="2" w:space="0" w:color="58595B"/>
              <w:left w:val="nil"/>
              <w:bottom w:val="single" w:sz="2" w:space="0" w:color="58595B"/>
              <w:right w:val="nil"/>
            </w:tcBorders>
          </w:tcPr>
          <w:p w14:paraId="7DEBB522" w14:textId="77777777" w:rsidR="00D06CB2" w:rsidRPr="005C5E32" w:rsidRDefault="00D06CB2">
            <w:pPr>
              <w:pStyle w:val="TableTextbold"/>
              <w:spacing w:before="30" w:after="30"/>
            </w:pPr>
            <w:r w:rsidRPr="005C5E32">
              <w:t>Total Crown entity operating expense funding</w:t>
            </w:r>
          </w:p>
        </w:tc>
        <w:tc>
          <w:tcPr>
            <w:tcW w:w="2451" w:type="dxa"/>
            <w:tcBorders>
              <w:top w:val="single" w:sz="2" w:space="0" w:color="58595B"/>
              <w:left w:val="nil"/>
              <w:bottom w:val="single" w:sz="2" w:space="0" w:color="58595B"/>
              <w:right w:val="nil"/>
            </w:tcBorders>
          </w:tcPr>
          <w:p w14:paraId="5690CCD1" w14:textId="77777777" w:rsidR="00D06CB2" w:rsidRPr="005C5E32" w:rsidRDefault="00D06CB2">
            <w:pPr>
              <w:pStyle w:val="TableTextbold"/>
              <w:spacing w:before="30" w:after="30"/>
              <w:jc w:val="right"/>
            </w:pPr>
            <w:r w:rsidRPr="005C5E32">
              <w:t>51,255</w:t>
            </w:r>
          </w:p>
        </w:tc>
        <w:tc>
          <w:tcPr>
            <w:tcW w:w="1191" w:type="dxa"/>
            <w:tcBorders>
              <w:top w:val="single" w:sz="2" w:space="0" w:color="58595B"/>
              <w:left w:val="nil"/>
              <w:bottom w:val="single" w:sz="2" w:space="0" w:color="58595B"/>
              <w:right w:val="nil"/>
            </w:tcBorders>
            <w:shd w:val="clear" w:color="auto" w:fill="E7F2F2"/>
          </w:tcPr>
          <w:p w14:paraId="0C0E4452" w14:textId="77777777" w:rsidR="00D06CB2" w:rsidRPr="005C5E32" w:rsidRDefault="00D06CB2">
            <w:pPr>
              <w:pStyle w:val="TableTextbold"/>
              <w:spacing w:before="30" w:after="30"/>
              <w:jc w:val="right"/>
            </w:pPr>
            <w:r w:rsidRPr="005C5E32">
              <w:t>56,120</w:t>
            </w:r>
          </w:p>
        </w:tc>
      </w:tr>
    </w:tbl>
    <w:p w14:paraId="669B92CB" w14:textId="77777777" w:rsidR="00D06CB2" w:rsidRPr="005C5E32" w:rsidRDefault="00D06CB2">
      <w:pPr>
        <w:pStyle w:val="Heading3"/>
        <w:tabs>
          <w:tab w:val="clear" w:pos="851"/>
          <w:tab w:val="left" w:pos="567"/>
        </w:tabs>
        <w:spacing w:before="440"/>
      </w:pPr>
      <w:r w:rsidRPr="005C5E32">
        <w:t>5.</w:t>
      </w:r>
      <w:r w:rsidRPr="005C5E32">
        <w:tab/>
        <w:t>Levy disbursement</w:t>
      </w:r>
    </w:p>
    <w:p w14:paraId="795B5919" w14:textId="77777777" w:rsidR="00D06CB2" w:rsidRPr="005C5E32" w:rsidRDefault="00D06CB2">
      <w:pPr>
        <w:pStyle w:val="BodyText"/>
      </w:pPr>
      <w:r w:rsidRPr="005C5E32">
        <w:t>Expenses arising from Waste Disposal Levy disbursements are recognised in the month the waste is disposed at landfill. Under the Waste Minimisation Act 2008, 50 percent of the levy collected must be distributed to territorial local authorities.</w:t>
      </w:r>
    </w:p>
    <w:p w14:paraId="40760EBD" w14:textId="77777777" w:rsidR="00D06CB2" w:rsidRPr="005C5E32" w:rsidRDefault="00D06CB2">
      <w:pPr>
        <w:pStyle w:val="Heading3"/>
        <w:tabs>
          <w:tab w:val="clear" w:pos="851"/>
          <w:tab w:val="left" w:pos="567"/>
        </w:tabs>
      </w:pPr>
      <w:r w:rsidRPr="005C5E32">
        <w:t>6.</w:t>
      </w:r>
      <w:r w:rsidRPr="005C5E32">
        <w:tab/>
        <w:t>Allocation of New Zealand Units under the NZ ETS</w:t>
      </w:r>
    </w:p>
    <w:p w14:paraId="0C204FD7" w14:textId="77777777" w:rsidR="00D06CB2" w:rsidRPr="005C5E32" w:rsidRDefault="00D06CB2">
      <w:pPr>
        <w:pStyle w:val="BodyText"/>
      </w:pPr>
      <w:r w:rsidRPr="005C5E32">
        <w:t>Expenses (including accruals) arising from the allocation of NZUs under the NZ ETS are recognised as follows.</w:t>
      </w:r>
    </w:p>
    <w:p w14:paraId="4EA3A327" w14:textId="77777777" w:rsidR="00D06CB2" w:rsidRPr="005C5E32" w:rsidRDefault="00D06CB2">
      <w:pPr>
        <w:pStyle w:val="Bullet"/>
      </w:pPr>
      <w:r w:rsidRPr="005C5E32">
        <w:t>For NZUs issued as one-off compensation (</w:t>
      </w:r>
      <w:r w:rsidRPr="005C5E32" w:rsidDel="009B32FC">
        <w:t>eg,</w:t>
      </w:r>
      <w:r w:rsidRPr="005C5E32">
        <w:t xml:space="preserve"> the pre-1990 forestry allocation), expenditure is recognised at the point that the participant has provided all relevant information to the Government to show they have met the criteria and rules for the issue of NZUs and are entitled to them under the NZ ETS.</w:t>
      </w:r>
    </w:p>
    <w:p w14:paraId="76B6E3E9" w14:textId="77777777" w:rsidR="00D06CB2" w:rsidRPr="005C5E32" w:rsidRDefault="00D06CB2">
      <w:pPr>
        <w:pStyle w:val="Bullet"/>
      </w:pPr>
      <w:r w:rsidRPr="005C5E32">
        <w:t>For NZUs issued for carbon sequestration (</w:t>
      </w:r>
      <w:r w:rsidRPr="005C5E32" w:rsidDel="004C0B26">
        <w:t>eg,</w:t>
      </w:r>
      <w:r w:rsidRPr="005C5E32">
        <w:t xml:space="preserve"> post-1989 forestry) or as annual compensation for NZ ETS costs (</w:t>
      </w:r>
      <w:r w:rsidRPr="005C5E32" w:rsidDel="004C0B26">
        <w:t>eg</w:t>
      </w:r>
      <w:r w:rsidRPr="005C5E32">
        <w:t>, the industrial allocation), expenditure is recognised when the carbon is sequestered (based on forecasts of sequestration for registered participants in the scheme at each reporting date) or as the emissions compensated by the industrial allocation occur.</w:t>
      </w:r>
    </w:p>
    <w:p w14:paraId="61524C31" w14:textId="77777777" w:rsidR="00D06CB2" w:rsidRPr="005C5E32" w:rsidRDefault="00D06CB2">
      <w:pPr>
        <w:pStyle w:val="BodyText"/>
      </w:pPr>
      <w:r w:rsidRPr="005C5E32">
        <w:t>The methodology used to approximate the price at the date of each transaction is the lower of the monthly average NZU price and the spot NZU price at the end of each month.</w:t>
      </w:r>
    </w:p>
    <w:p w14:paraId="2D41D908" w14:textId="77777777" w:rsidR="00D06CB2" w:rsidRPr="005C5E32" w:rsidRDefault="00D06CB2">
      <w:pPr>
        <w:pStyle w:val="Heading3"/>
        <w:tabs>
          <w:tab w:val="clear" w:pos="851"/>
          <w:tab w:val="left" w:pos="567"/>
        </w:tabs>
      </w:pPr>
      <w:bookmarkStart w:id="420" w:name="_Toc112144658"/>
      <w:bookmarkStart w:id="421" w:name="_Hlk205292102"/>
      <w:r w:rsidRPr="005C5E32">
        <w:t>7.</w:t>
      </w:r>
      <w:r w:rsidRPr="005C5E32">
        <w:tab/>
        <w:t>Receivables</w:t>
      </w:r>
      <w:bookmarkEnd w:id="420"/>
    </w:p>
    <w:bookmarkEnd w:id="421"/>
    <w:p w14:paraId="522FCA97" w14:textId="77777777" w:rsidR="00D06CB2" w:rsidRPr="005C5E32" w:rsidRDefault="00D06CB2">
      <w:pPr>
        <w:pStyle w:val="Heading4"/>
        <w:spacing w:before="180"/>
      </w:pPr>
      <w:r w:rsidRPr="005C5E32">
        <w:t>Accounting policy</w:t>
      </w:r>
    </w:p>
    <w:p w14:paraId="0E7BF606" w14:textId="77777777" w:rsidR="00D06CB2" w:rsidRPr="005C5E32" w:rsidRDefault="00D06CB2">
      <w:pPr>
        <w:pStyle w:val="BodyText"/>
        <w:spacing w:before="100" w:after="100"/>
      </w:pPr>
      <w:r w:rsidRPr="005C5E32">
        <w:t>Receivables are initially measured at their face value, less an allowance for expected credit losses. The Ministry applies the simplified expected credit loss model of recognising lifetime expected credit losses for receivables.</w:t>
      </w:r>
    </w:p>
    <w:p w14:paraId="4499FEA0" w14:textId="77777777" w:rsidR="00D06CB2" w:rsidRPr="005C5E32" w:rsidRDefault="00D06CB2">
      <w:pPr>
        <w:pStyle w:val="BodyText"/>
        <w:spacing w:before="100" w:after="100"/>
      </w:pPr>
      <w:r w:rsidRPr="005C5E32">
        <w:t>In measuring expected credit losses, short-term receivables have been assessed on a collective basis as they possess shared credit-risk characteristics. They have been grouped based on the days past due.</w:t>
      </w:r>
    </w:p>
    <w:p w14:paraId="62CA0DAD" w14:textId="77777777" w:rsidR="00D06CB2" w:rsidRPr="005C5E32" w:rsidRDefault="00D06CB2">
      <w:pPr>
        <w:pStyle w:val="BodyText"/>
        <w:spacing w:before="100" w:after="100"/>
      </w:pPr>
      <w:r w:rsidRPr="005C5E32">
        <w:lastRenderedPageBreak/>
        <w:t xml:space="preserve">Short-term receivables are written off when there is no reasonable expectation of recovery. </w:t>
      </w:r>
      <w:r w:rsidRPr="005C5E32" w:rsidDel="008642A5">
        <w:t>I</w:t>
      </w:r>
      <w:r w:rsidRPr="005C5E32">
        <w:t>ndicator</w:t>
      </w:r>
      <w:r w:rsidRPr="005C5E32" w:rsidDel="008642A5">
        <w:t>s</w:t>
      </w:r>
      <w:r w:rsidRPr="005C5E32">
        <w:t xml:space="preserve"> that there is no reasonable expectation of recovery </w:t>
      </w:r>
      <w:r w:rsidRPr="005C5E32" w:rsidDel="008642A5">
        <w:t xml:space="preserve">include </w:t>
      </w:r>
      <w:r w:rsidRPr="005C5E32">
        <w:t xml:space="preserve">the debtor </w:t>
      </w:r>
      <w:r w:rsidRPr="005C5E32" w:rsidDel="008642A5">
        <w:t xml:space="preserve">being </w:t>
      </w:r>
      <w:r w:rsidRPr="005C5E32">
        <w:t>in liquidation.</w:t>
      </w:r>
    </w:p>
    <w:p w14:paraId="7C7B7F9C" w14:textId="77777777" w:rsidR="00D06CB2" w:rsidRPr="005C5E32" w:rsidRDefault="00D06CB2">
      <w:pPr>
        <w:pStyle w:val="Heading4"/>
        <w:spacing w:before="120" w:after="180"/>
      </w:pPr>
      <w:bookmarkStart w:id="422" w:name="_Hlk205292162"/>
      <w:r w:rsidRPr="005C5E32">
        <w:t>Breakdown of receivables and further information</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757"/>
        <w:gridCol w:w="2516"/>
        <w:gridCol w:w="1232"/>
      </w:tblGrid>
      <w:tr w:rsidR="00D06CB2" w:rsidRPr="005C5E32" w14:paraId="3B1EC9B5" w14:textId="77777777" w:rsidTr="003C05FF">
        <w:trPr>
          <w:trHeight w:val="20"/>
        </w:trPr>
        <w:tc>
          <w:tcPr>
            <w:tcW w:w="7371" w:type="dxa"/>
            <w:gridSpan w:val="2"/>
            <w:tcBorders>
              <w:top w:val="single" w:sz="8" w:space="0" w:color="0E7C7E"/>
              <w:bottom w:val="single" w:sz="2" w:space="0" w:color="58595B"/>
            </w:tcBorders>
          </w:tcPr>
          <w:p w14:paraId="28DB74BE" w14:textId="77777777" w:rsidR="00D06CB2" w:rsidRPr="005C5E32" w:rsidRDefault="00D06CB2">
            <w:pPr>
              <w:pStyle w:val="TableboldGreen"/>
              <w:spacing w:before="30" w:after="30"/>
              <w:jc w:val="right"/>
            </w:pPr>
            <w:r w:rsidRPr="005C5E32">
              <w:t>2024/25</w:t>
            </w:r>
            <w:r w:rsidRPr="005C5E32">
              <w:br/>
              <w:t>Actual</w:t>
            </w:r>
            <w:r w:rsidRPr="005C5E32">
              <w:br/>
              <w:t>$000</w:t>
            </w:r>
          </w:p>
        </w:tc>
        <w:tc>
          <w:tcPr>
            <w:tcW w:w="1247" w:type="dxa"/>
            <w:tcBorders>
              <w:top w:val="single" w:sz="8" w:space="0" w:color="0E7C7E"/>
              <w:bottom w:val="single" w:sz="2" w:space="0" w:color="58595B"/>
            </w:tcBorders>
            <w:shd w:val="clear" w:color="auto" w:fill="E7F2F2"/>
          </w:tcPr>
          <w:p w14:paraId="061A5440" w14:textId="77777777" w:rsidR="00D06CB2" w:rsidRPr="005C5E32" w:rsidRDefault="00D06CB2">
            <w:pPr>
              <w:pStyle w:val="TableboldGreen"/>
              <w:spacing w:before="30" w:after="30"/>
              <w:jc w:val="right"/>
            </w:pPr>
            <w:r w:rsidRPr="005C5E32">
              <w:t>2025/26</w:t>
            </w:r>
            <w:r w:rsidRPr="005C5E32">
              <w:br/>
              <w:t>Actual</w:t>
            </w:r>
            <w:r w:rsidRPr="005C5E32">
              <w:br/>
              <w:t>$000</w:t>
            </w:r>
          </w:p>
        </w:tc>
      </w:tr>
      <w:tr w:rsidR="00D06CB2" w:rsidRPr="005C5E32" w14:paraId="31CF8CD5" w14:textId="77777777" w:rsidTr="003C05FF">
        <w:trPr>
          <w:trHeight w:val="20"/>
        </w:trPr>
        <w:tc>
          <w:tcPr>
            <w:tcW w:w="4822" w:type="dxa"/>
            <w:tcBorders>
              <w:top w:val="single" w:sz="2" w:space="0" w:color="58595B"/>
              <w:left w:val="nil"/>
              <w:bottom w:val="single" w:sz="2" w:space="0" w:color="58595B"/>
              <w:right w:val="nil"/>
            </w:tcBorders>
          </w:tcPr>
          <w:p w14:paraId="272CEFE9" w14:textId="77777777" w:rsidR="00D06CB2" w:rsidRPr="005C5E32" w:rsidRDefault="00D06CB2">
            <w:pPr>
              <w:pStyle w:val="TableText"/>
              <w:spacing w:before="30" w:after="30"/>
            </w:pPr>
            <w:r w:rsidRPr="005C5E32">
              <w:t>Receivables</w:t>
            </w:r>
          </w:p>
        </w:tc>
        <w:tc>
          <w:tcPr>
            <w:tcW w:w="2549" w:type="dxa"/>
            <w:tcBorders>
              <w:top w:val="single" w:sz="2" w:space="0" w:color="58595B"/>
              <w:left w:val="nil"/>
              <w:bottom w:val="single" w:sz="2" w:space="0" w:color="58595B"/>
              <w:right w:val="nil"/>
            </w:tcBorders>
          </w:tcPr>
          <w:p w14:paraId="01FC783E" w14:textId="77777777" w:rsidR="00D06CB2" w:rsidRPr="005C5E32" w:rsidRDefault="00D06CB2">
            <w:pPr>
              <w:pStyle w:val="TableText"/>
              <w:spacing w:before="30" w:after="30"/>
              <w:jc w:val="right"/>
            </w:pPr>
            <w:r w:rsidRPr="005C5E32">
              <w:t>42,712</w:t>
            </w:r>
          </w:p>
        </w:tc>
        <w:tc>
          <w:tcPr>
            <w:tcW w:w="1247" w:type="dxa"/>
            <w:tcBorders>
              <w:top w:val="single" w:sz="2" w:space="0" w:color="58595B"/>
              <w:left w:val="nil"/>
              <w:bottom w:val="single" w:sz="2" w:space="0" w:color="58595B"/>
              <w:right w:val="nil"/>
            </w:tcBorders>
            <w:shd w:val="clear" w:color="auto" w:fill="E7F2F2"/>
          </w:tcPr>
          <w:p w14:paraId="4D9D97A6" w14:textId="77777777" w:rsidR="00D06CB2" w:rsidRPr="005C5E32" w:rsidRDefault="00D06CB2">
            <w:pPr>
              <w:pStyle w:val="TableText"/>
              <w:spacing w:before="30" w:after="30"/>
              <w:jc w:val="right"/>
            </w:pPr>
            <w:r w:rsidRPr="005C5E32">
              <w:t>46,752</w:t>
            </w:r>
          </w:p>
        </w:tc>
      </w:tr>
      <w:tr w:rsidR="00D06CB2" w:rsidRPr="005C5E32" w14:paraId="13B5D834" w14:textId="77777777" w:rsidTr="003C05FF">
        <w:trPr>
          <w:trHeight w:val="20"/>
        </w:trPr>
        <w:tc>
          <w:tcPr>
            <w:tcW w:w="4822" w:type="dxa"/>
            <w:tcBorders>
              <w:top w:val="single" w:sz="2" w:space="0" w:color="58595B"/>
              <w:left w:val="nil"/>
              <w:bottom w:val="single" w:sz="2" w:space="0" w:color="58595B"/>
              <w:right w:val="nil"/>
            </w:tcBorders>
          </w:tcPr>
          <w:p w14:paraId="025A837A" w14:textId="77777777" w:rsidR="00D06CB2" w:rsidRPr="005C5E32" w:rsidRDefault="00D06CB2">
            <w:pPr>
              <w:pStyle w:val="TableText"/>
              <w:spacing w:before="30" w:after="30"/>
            </w:pPr>
            <w:r w:rsidRPr="005C5E32">
              <w:t>Fines and penalties receivable</w:t>
            </w:r>
          </w:p>
        </w:tc>
        <w:tc>
          <w:tcPr>
            <w:tcW w:w="2549" w:type="dxa"/>
            <w:tcBorders>
              <w:top w:val="single" w:sz="2" w:space="0" w:color="58595B"/>
              <w:left w:val="nil"/>
              <w:bottom w:val="single" w:sz="2" w:space="0" w:color="58595B"/>
              <w:right w:val="nil"/>
            </w:tcBorders>
          </w:tcPr>
          <w:p w14:paraId="6572865B" w14:textId="77777777" w:rsidR="00D06CB2" w:rsidRPr="005C5E32" w:rsidRDefault="00D06CB2">
            <w:pPr>
              <w:pStyle w:val="TableText"/>
              <w:spacing w:before="30" w:after="30"/>
              <w:jc w:val="right"/>
            </w:pPr>
            <w:r w:rsidRPr="005C5E32">
              <w:t>32,483</w:t>
            </w:r>
          </w:p>
        </w:tc>
        <w:tc>
          <w:tcPr>
            <w:tcW w:w="1247" w:type="dxa"/>
            <w:tcBorders>
              <w:top w:val="single" w:sz="2" w:space="0" w:color="58595B"/>
              <w:left w:val="nil"/>
              <w:bottom w:val="single" w:sz="2" w:space="0" w:color="58595B"/>
              <w:right w:val="nil"/>
            </w:tcBorders>
            <w:shd w:val="clear" w:color="auto" w:fill="E7F2F2"/>
          </w:tcPr>
          <w:p w14:paraId="75994340" w14:textId="77777777" w:rsidR="00D06CB2" w:rsidRPr="005C5E32" w:rsidRDefault="00D06CB2">
            <w:pPr>
              <w:pStyle w:val="TableText"/>
              <w:spacing w:before="30" w:after="30"/>
              <w:jc w:val="right"/>
            </w:pPr>
            <w:r w:rsidRPr="005C5E32">
              <w:t>33,026</w:t>
            </w:r>
          </w:p>
        </w:tc>
      </w:tr>
      <w:tr w:rsidR="00D06CB2" w:rsidRPr="005C5E32" w14:paraId="294B6B37" w14:textId="77777777" w:rsidTr="003C05FF">
        <w:trPr>
          <w:trHeight w:val="20"/>
        </w:trPr>
        <w:tc>
          <w:tcPr>
            <w:tcW w:w="4822" w:type="dxa"/>
            <w:tcBorders>
              <w:top w:val="single" w:sz="2" w:space="0" w:color="58595B"/>
              <w:left w:val="nil"/>
              <w:bottom w:val="single" w:sz="2" w:space="0" w:color="58595B"/>
              <w:right w:val="nil"/>
            </w:tcBorders>
          </w:tcPr>
          <w:p w14:paraId="4233F05F" w14:textId="77777777" w:rsidR="00D06CB2" w:rsidRPr="005C5E32" w:rsidRDefault="00D06CB2">
            <w:pPr>
              <w:pStyle w:val="TableText"/>
              <w:spacing w:before="30" w:after="30"/>
            </w:pPr>
            <w:r w:rsidRPr="005C5E32">
              <w:t>Accrued revenue</w:t>
            </w:r>
          </w:p>
        </w:tc>
        <w:tc>
          <w:tcPr>
            <w:tcW w:w="2549" w:type="dxa"/>
            <w:tcBorders>
              <w:top w:val="single" w:sz="2" w:space="0" w:color="58595B"/>
              <w:left w:val="nil"/>
              <w:bottom w:val="single" w:sz="2" w:space="0" w:color="58595B"/>
              <w:right w:val="nil"/>
            </w:tcBorders>
          </w:tcPr>
          <w:p w14:paraId="5D99502A" w14:textId="77777777" w:rsidR="00D06CB2" w:rsidRPr="005C5E32" w:rsidRDefault="00D06CB2">
            <w:pPr>
              <w:pStyle w:val="TableText"/>
              <w:spacing w:before="30" w:after="30"/>
              <w:jc w:val="right"/>
            </w:pPr>
            <w:r w:rsidRPr="005C5E32">
              <w:t>21,711</w:t>
            </w:r>
          </w:p>
        </w:tc>
        <w:tc>
          <w:tcPr>
            <w:tcW w:w="1247" w:type="dxa"/>
            <w:tcBorders>
              <w:top w:val="single" w:sz="2" w:space="0" w:color="58595B"/>
              <w:left w:val="nil"/>
              <w:bottom w:val="single" w:sz="2" w:space="0" w:color="58595B"/>
              <w:right w:val="nil"/>
            </w:tcBorders>
            <w:shd w:val="clear" w:color="auto" w:fill="E7F2F2"/>
          </w:tcPr>
          <w:p w14:paraId="5DA54B6D" w14:textId="77777777" w:rsidR="00D06CB2" w:rsidRPr="005C5E32" w:rsidRDefault="00D06CB2">
            <w:pPr>
              <w:pStyle w:val="TableText"/>
              <w:spacing w:before="30" w:after="30"/>
              <w:jc w:val="right"/>
            </w:pPr>
            <w:r w:rsidRPr="005C5E32">
              <w:t>23,547</w:t>
            </w:r>
          </w:p>
        </w:tc>
      </w:tr>
      <w:tr w:rsidR="00D06CB2" w:rsidRPr="005C5E32" w14:paraId="19545B46" w14:textId="77777777" w:rsidTr="003C05FF">
        <w:trPr>
          <w:trHeight w:val="20"/>
        </w:trPr>
        <w:tc>
          <w:tcPr>
            <w:tcW w:w="4822" w:type="dxa"/>
            <w:tcBorders>
              <w:top w:val="single" w:sz="2" w:space="0" w:color="58595B"/>
              <w:left w:val="nil"/>
              <w:bottom w:val="single" w:sz="2" w:space="0" w:color="58595B"/>
              <w:right w:val="nil"/>
            </w:tcBorders>
          </w:tcPr>
          <w:p w14:paraId="4D5CF5EB" w14:textId="77777777" w:rsidR="00D06CB2" w:rsidRPr="005C5E32" w:rsidRDefault="00D06CB2">
            <w:pPr>
              <w:pStyle w:val="TableTextbold"/>
              <w:spacing w:before="30" w:after="30"/>
            </w:pPr>
            <w:r w:rsidRPr="005C5E32">
              <w:t>Total receivables – non-exchange</w:t>
            </w:r>
          </w:p>
        </w:tc>
        <w:tc>
          <w:tcPr>
            <w:tcW w:w="2549" w:type="dxa"/>
            <w:tcBorders>
              <w:top w:val="single" w:sz="2" w:space="0" w:color="58595B"/>
              <w:left w:val="nil"/>
              <w:bottom w:val="single" w:sz="2" w:space="0" w:color="58595B"/>
              <w:right w:val="nil"/>
            </w:tcBorders>
          </w:tcPr>
          <w:p w14:paraId="02532984" w14:textId="77777777" w:rsidR="00D06CB2" w:rsidRPr="005C5E32" w:rsidRDefault="00D06CB2">
            <w:pPr>
              <w:pStyle w:val="TableTextbold"/>
              <w:spacing w:before="30" w:after="30"/>
              <w:jc w:val="right"/>
            </w:pPr>
            <w:r w:rsidRPr="005C5E32">
              <w:t>96,906</w:t>
            </w:r>
          </w:p>
        </w:tc>
        <w:tc>
          <w:tcPr>
            <w:tcW w:w="1247" w:type="dxa"/>
            <w:tcBorders>
              <w:top w:val="single" w:sz="2" w:space="0" w:color="58595B"/>
              <w:left w:val="nil"/>
              <w:bottom w:val="single" w:sz="2" w:space="0" w:color="58595B"/>
              <w:right w:val="nil"/>
            </w:tcBorders>
            <w:shd w:val="clear" w:color="auto" w:fill="E7F2F2"/>
          </w:tcPr>
          <w:p w14:paraId="4B6C6B11" w14:textId="77777777" w:rsidR="00D06CB2" w:rsidRPr="005C5E32" w:rsidRDefault="00D06CB2">
            <w:pPr>
              <w:pStyle w:val="TableTextbold"/>
              <w:spacing w:before="30" w:after="30"/>
              <w:jc w:val="right"/>
            </w:pPr>
            <w:r w:rsidRPr="005C5E32">
              <w:t>103,325</w:t>
            </w:r>
          </w:p>
        </w:tc>
      </w:tr>
    </w:tbl>
    <w:p w14:paraId="543E4CB8" w14:textId="77777777" w:rsidR="00D06CB2" w:rsidRPr="005C5E32" w:rsidRDefault="00D06CB2">
      <w:pPr>
        <w:pStyle w:val="BodyText"/>
        <w:spacing w:before="240" w:after="100"/>
      </w:pPr>
      <w:bookmarkStart w:id="423" w:name="_Hlk205319569"/>
      <w:bookmarkEnd w:id="422"/>
      <w:r w:rsidRPr="005C5E32">
        <w:t>Receivables mainly relate to</w:t>
      </w:r>
      <w:bookmarkEnd w:id="423"/>
      <w:r w:rsidRPr="005C5E32">
        <w:t>:</w:t>
      </w:r>
    </w:p>
    <w:p w14:paraId="751202D6" w14:textId="77777777" w:rsidR="00D06CB2" w:rsidRPr="005C5E32" w:rsidRDefault="00D06CB2">
      <w:pPr>
        <w:pStyle w:val="Bullet"/>
      </w:pPr>
      <w:r w:rsidRPr="005C5E32">
        <w:t>the Waste Disposal Levy from waste disposal facility operators</w:t>
      </w:r>
    </w:p>
    <w:p w14:paraId="4F03BD55" w14:textId="77777777" w:rsidR="00D06CB2" w:rsidRPr="005C5E32" w:rsidRDefault="00D06CB2">
      <w:pPr>
        <w:pStyle w:val="Bullet"/>
      </w:pPr>
      <w:r w:rsidRPr="005C5E32">
        <w:t>Product Stewardship (Tyres) fees from the importers and manufacturers of</w:t>
      </w:r>
      <w:r w:rsidRPr="005C5E32" w:rsidDel="008642A5">
        <w:t xml:space="preserve"> </w:t>
      </w:r>
      <w:r w:rsidRPr="005C5E32">
        <w:t>loose regulated tyres</w:t>
      </w:r>
    </w:p>
    <w:p w14:paraId="5D834DCE" w14:textId="77777777" w:rsidR="00D06CB2" w:rsidRPr="005C5E32" w:rsidRDefault="00D06CB2">
      <w:pPr>
        <w:pStyle w:val="Bullet"/>
      </w:pPr>
      <w:r w:rsidRPr="005C5E32">
        <w:t xml:space="preserve">NZ ETS penalties from participants for non-compliance and failure to surrender or repay NZUs to the Crown by the due date. </w:t>
      </w:r>
    </w:p>
    <w:p w14:paraId="114CAF35" w14:textId="77777777" w:rsidR="00D06CB2" w:rsidRPr="005C5E32" w:rsidRDefault="00D06CB2">
      <w:pPr>
        <w:pStyle w:val="BodyText"/>
      </w:pPr>
      <w:r w:rsidRPr="005C5E32">
        <w:t>The expected credit loss rates for receivables as at 30 June 2026 and 30 June 2025 are based on the payment profile of revenue on credit over the prior 12 months at the measurement date and the corresponding historical credit losses experienced for that period. Judgement is also applied to determine whether historical loss rates are expected to continue, and any adjustment to the loss rates due to current and forward-looking macroeconomic factors that might affect the recoverability of receivables.</w:t>
      </w:r>
    </w:p>
    <w:p w14:paraId="45EA2FCA" w14:textId="77777777" w:rsidR="00D06CB2" w:rsidRPr="005C5E32" w:rsidRDefault="00D06CB2">
      <w:pPr>
        <w:pStyle w:val="BodyText"/>
        <w:spacing w:after="100"/>
      </w:pPr>
      <w:r w:rsidRPr="005C5E32">
        <w:t>There have been no changes during the reporting period in the estimation techniques or significant assumptions used in measuring the loss allowance.</w:t>
      </w:r>
    </w:p>
    <w:p w14:paraId="44382050" w14:textId="77777777" w:rsidR="00D06CB2" w:rsidRPr="005C5E32" w:rsidRDefault="00D06CB2">
      <w:pPr>
        <w:pStyle w:val="BodyText"/>
        <w:spacing w:after="180"/>
      </w:pPr>
      <w:r w:rsidRPr="005C5E32">
        <w:t>The allowance for credit losses as at 30 June 2026 and 30 June 2025 was determined as follows: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2835"/>
        <w:gridCol w:w="1137"/>
        <w:gridCol w:w="1153"/>
        <w:gridCol w:w="1153"/>
        <w:gridCol w:w="1331"/>
        <w:gridCol w:w="896"/>
      </w:tblGrid>
      <w:tr w:rsidR="00D06CB2" w:rsidRPr="005C5E32" w14:paraId="4E89D922" w14:textId="77777777">
        <w:trPr>
          <w:trHeight w:val="20"/>
        </w:trPr>
        <w:tc>
          <w:tcPr>
            <w:tcW w:w="2835" w:type="dxa"/>
            <w:tcBorders>
              <w:top w:val="single" w:sz="8" w:space="0" w:color="2C9986" w:themeColor="accent4"/>
              <w:left w:val="nil"/>
              <w:bottom w:val="single" w:sz="2" w:space="0" w:color="58595B"/>
              <w:right w:val="nil"/>
            </w:tcBorders>
          </w:tcPr>
          <w:p w14:paraId="383C854A" w14:textId="77777777" w:rsidR="00D06CB2" w:rsidRPr="005C5E32" w:rsidRDefault="00D06CB2">
            <w:pPr>
              <w:pStyle w:val="TableboldGreen"/>
              <w:spacing w:before="30" w:after="30"/>
            </w:pPr>
            <w:r w:rsidRPr="005C5E32">
              <w:t>30 June 2026</w:t>
            </w:r>
          </w:p>
        </w:tc>
        <w:tc>
          <w:tcPr>
            <w:tcW w:w="1137" w:type="dxa"/>
            <w:tcBorders>
              <w:top w:val="single" w:sz="8" w:space="0" w:color="2C9986" w:themeColor="accent4"/>
              <w:left w:val="nil"/>
              <w:bottom w:val="single" w:sz="2" w:space="0" w:color="58595B"/>
              <w:right w:val="nil"/>
            </w:tcBorders>
          </w:tcPr>
          <w:p w14:paraId="04D234C3" w14:textId="77777777" w:rsidR="00D06CB2" w:rsidRPr="005C5E32" w:rsidRDefault="00D06CB2">
            <w:pPr>
              <w:pStyle w:val="TableboldGreen"/>
              <w:spacing w:before="30" w:after="30"/>
              <w:rPr>
                <w:rFonts w:eastAsia="MS Mincho"/>
              </w:rPr>
            </w:pPr>
          </w:p>
        </w:tc>
        <w:tc>
          <w:tcPr>
            <w:tcW w:w="3637" w:type="dxa"/>
            <w:gridSpan w:val="3"/>
            <w:tcBorders>
              <w:top w:val="single" w:sz="8" w:space="0" w:color="2C9986" w:themeColor="accent4"/>
              <w:left w:val="nil"/>
              <w:bottom w:val="single" w:sz="2" w:space="0" w:color="58595B"/>
              <w:right w:val="nil"/>
            </w:tcBorders>
          </w:tcPr>
          <w:p w14:paraId="0F3EDE41" w14:textId="77777777" w:rsidR="00D06CB2" w:rsidRPr="005C5E32" w:rsidRDefault="00D06CB2">
            <w:pPr>
              <w:pStyle w:val="TableboldGreen"/>
              <w:spacing w:before="30" w:after="30"/>
              <w:jc w:val="center"/>
            </w:pPr>
            <w:r w:rsidRPr="005C5E32">
              <w:t>Receivable days past due</w:t>
            </w:r>
          </w:p>
        </w:tc>
        <w:tc>
          <w:tcPr>
            <w:tcW w:w="896" w:type="dxa"/>
            <w:tcBorders>
              <w:top w:val="single" w:sz="8" w:space="0" w:color="2C9986" w:themeColor="accent4"/>
              <w:left w:val="nil"/>
              <w:bottom w:val="single" w:sz="2" w:space="0" w:color="58595B"/>
              <w:right w:val="nil"/>
            </w:tcBorders>
          </w:tcPr>
          <w:p w14:paraId="79E12D0A" w14:textId="77777777" w:rsidR="00D06CB2" w:rsidRPr="005C5E32" w:rsidRDefault="00D06CB2">
            <w:pPr>
              <w:pStyle w:val="TableboldGreen"/>
              <w:spacing w:before="30" w:after="30"/>
              <w:rPr>
                <w:rFonts w:eastAsia="MS Mincho"/>
              </w:rPr>
            </w:pPr>
          </w:p>
        </w:tc>
      </w:tr>
      <w:tr w:rsidR="00D06CB2" w:rsidRPr="005C5E32" w14:paraId="30C8C503" w14:textId="77777777">
        <w:trPr>
          <w:trHeight w:val="20"/>
        </w:trPr>
        <w:tc>
          <w:tcPr>
            <w:tcW w:w="2835" w:type="dxa"/>
            <w:tcBorders>
              <w:top w:val="single" w:sz="2" w:space="0" w:color="58595B"/>
              <w:left w:val="nil"/>
              <w:bottom w:val="single" w:sz="2" w:space="0" w:color="58595B"/>
              <w:right w:val="nil"/>
            </w:tcBorders>
            <w:vAlign w:val="bottom"/>
          </w:tcPr>
          <w:p w14:paraId="195BDAF9" w14:textId="77777777" w:rsidR="00D06CB2" w:rsidRPr="005C5E32" w:rsidRDefault="00D06CB2">
            <w:pPr>
              <w:pStyle w:val="TableboldGreen"/>
              <w:spacing w:before="30" w:after="30" w:line="220" w:lineRule="atLeast"/>
              <w:jc w:val="right"/>
            </w:pPr>
          </w:p>
        </w:tc>
        <w:tc>
          <w:tcPr>
            <w:tcW w:w="1137" w:type="dxa"/>
            <w:tcBorders>
              <w:top w:val="single" w:sz="2" w:space="0" w:color="58595B"/>
              <w:left w:val="nil"/>
              <w:bottom w:val="single" w:sz="2" w:space="0" w:color="58595B"/>
              <w:right w:val="nil"/>
            </w:tcBorders>
            <w:vAlign w:val="bottom"/>
          </w:tcPr>
          <w:p w14:paraId="73EC5254" w14:textId="77777777" w:rsidR="00D06CB2" w:rsidRPr="005C5E32" w:rsidRDefault="00D06CB2">
            <w:pPr>
              <w:pStyle w:val="TableboldGreen"/>
              <w:spacing w:before="30" w:after="30" w:line="220" w:lineRule="atLeast"/>
              <w:jc w:val="right"/>
              <w:rPr>
                <w:rFonts w:eastAsia="Lato"/>
              </w:rPr>
            </w:pPr>
            <w:r w:rsidRPr="005C5E32">
              <w:rPr>
                <w:rFonts w:eastAsia="Lato"/>
                <w:color w:val="0E7C7E"/>
              </w:rPr>
              <w:t>Current</w:t>
            </w:r>
          </w:p>
        </w:tc>
        <w:tc>
          <w:tcPr>
            <w:tcW w:w="1153" w:type="dxa"/>
            <w:tcBorders>
              <w:top w:val="single" w:sz="2" w:space="0" w:color="58595B"/>
              <w:left w:val="nil"/>
              <w:bottom w:val="single" w:sz="2" w:space="0" w:color="58595B"/>
              <w:right w:val="nil"/>
            </w:tcBorders>
            <w:vAlign w:val="bottom"/>
          </w:tcPr>
          <w:p w14:paraId="4C1F527B" w14:textId="77777777" w:rsidR="00D06CB2" w:rsidRPr="005C5E32" w:rsidRDefault="00D06CB2">
            <w:pPr>
              <w:pStyle w:val="TableboldGreen"/>
              <w:spacing w:before="30" w:after="30" w:line="220" w:lineRule="atLeast"/>
              <w:jc w:val="right"/>
              <w:rPr>
                <w:rFonts w:eastAsia="Lato"/>
              </w:rPr>
            </w:pPr>
            <w:r w:rsidRPr="005C5E32">
              <w:rPr>
                <w:rFonts w:eastAsia="Lato"/>
                <w:color w:val="0E7C7E"/>
              </w:rPr>
              <w:t>More than 30 days</w:t>
            </w:r>
          </w:p>
        </w:tc>
        <w:tc>
          <w:tcPr>
            <w:tcW w:w="1153" w:type="dxa"/>
            <w:tcBorders>
              <w:top w:val="single" w:sz="2" w:space="0" w:color="58595B"/>
              <w:left w:val="nil"/>
              <w:bottom w:val="single" w:sz="2" w:space="0" w:color="58595B"/>
              <w:right w:val="nil"/>
            </w:tcBorders>
            <w:vAlign w:val="bottom"/>
          </w:tcPr>
          <w:p w14:paraId="68AC1D29" w14:textId="77777777" w:rsidR="00D06CB2" w:rsidRPr="005C5E32" w:rsidRDefault="00D06CB2">
            <w:pPr>
              <w:pStyle w:val="TableboldGreen"/>
              <w:spacing w:before="30" w:after="30" w:line="220" w:lineRule="atLeast"/>
              <w:jc w:val="right"/>
              <w:rPr>
                <w:rFonts w:eastAsia="Lato"/>
              </w:rPr>
            </w:pPr>
            <w:r w:rsidRPr="005C5E32">
              <w:rPr>
                <w:rFonts w:eastAsia="Lato"/>
                <w:color w:val="0E7C7E"/>
              </w:rPr>
              <w:t>More than 60 days</w:t>
            </w:r>
          </w:p>
        </w:tc>
        <w:tc>
          <w:tcPr>
            <w:tcW w:w="1331" w:type="dxa"/>
            <w:tcBorders>
              <w:top w:val="single" w:sz="2" w:space="0" w:color="58595B"/>
              <w:left w:val="nil"/>
              <w:bottom w:val="single" w:sz="2" w:space="0" w:color="58595B"/>
              <w:right w:val="nil"/>
            </w:tcBorders>
            <w:vAlign w:val="bottom"/>
          </w:tcPr>
          <w:p w14:paraId="2DE79DFD" w14:textId="77777777" w:rsidR="00D06CB2" w:rsidRPr="005C5E32" w:rsidRDefault="00D06CB2">
            <w:pPr>
              <w:pStyle w:val="TableboldGreen"/>
              <w:spacing w:before="30" w:after="30" w:line="220" w:lineRule="atLeast"/>
              <w:jc w:val="right"/>
              <w:rPr>
                <w:rFonts w:eastAsia="Lato"/>
              </w:rPr>
            </w:pPr>
            <w:r w:rsidRPr="005C5E32">
              <w:rPr>
                <w:rFonts w:eastAsia="Lato"/>
                <w:color w:val="0E7C7E"/>
              </w:rPr>
              <w:t xml:space="preserve">More than </w:t>
            </w:r>
            <w:r w:rsidRPr="005C5E32">
              <w:rPr>
                <w:rFonts w:eastAsia="Lato"/>
                <w:color w:val="0E7C7E"/>
              </w:rPr>
              <w:br/>
              <w:t>90 days</w:t>
            </w:r>
          </w:p>
        </w:tc>
        <w:tc>
          <w:tcPr>
            <w:tcW w:w="896" w:type="dxa"/>
            <w:tcBorders>
              <w:top w:val="single" w:sz="2" w:space="0" w:color="58595B"/>
              <w:left w:val="nil"/>
              <w:bottom w:val="single" w:sz="2" w:space="0" w:color="58595B"/>
              <w:right w:val="nil"/>
            </w:tcBorders>
            <w:vAlign w:val="bottom"/>
          </w:tcPr>
          <w:p w14:paraId="29A4C290" w14:textId="77777777" w:rsidR="00D06CB2" w:rsidRPr="005C5E32" w:rsidRDefault="00D06CB2">
            <w:pPr>
              <w:pStyle w:val="TableboldGreen"/>
              <w:spacing w:before="30" w:after="30" w:line="220" w:lineRule="atLeast"/>
              <w:jc w:val="right"/>
              <w:rPr>
                <w:rFonts w:eastAsia="Lato"/>
              </w:rPr>
            </w:pPr>
            <w:r w:rsidRPr="005C5E32">
              <w:rPr>
                <w:rFonts w:eastAsia="Lato"/>
                <w:color w:val="0E7C7E"/>
              </w:rPr>
              <w:t>Total</w:t>
            </w:r>
          </w:p>
        </w:tc>
      </w:tr>
      <w:tr w:rsidR="00D06CB2" w:rsidRPr="005C5E32" w14:paraId="28D774AC" w14:textId="77777777">
        <w:trPr>
          <w:trHeight w:val="20"/>
        </w:trPr>
        <w:tc>
          <w:tcPr>
            <w:tcW w:w="2835" w:type="dxa"/>
            <w:tcBorders>
              <w:top w:val="single" w:sz="2" w:space="0" w:color="58595B"/>
              <w:left w:val="nil"/>
              <w:bottom w:val="single" w:sz="2" w:space="0" w:color="58595B"/>
              <w:right w:val="nil"/>
            </w:tcBorders>
          </w:tcPr>
          <w:p w14:paraId="213ACE7F" w14:textId="77777777" w:rsidR="00D06CB2" w:rsidRPr="005C5E32" w:rsidRDefault="00D06CB2">
            <w:pPr>
              <w:pStyle w:val="TableText"/>
              <w:spacing w:before="30" w:after="30"/>
            </w:pPr>
            <w:r w:rsidRPr="005C5E32">
              <w:t>Expected credit loss rate</w:t>
            </w:r>
          </w:p>
        </w:tc>
        <w:tc>
          <w:tcPr>
            <w:tcW w:w="1137" w:type="dxa"/>
            <w:tcBorders>
              <w:top w:val="single" w:sz="2" w:space="0" w:color="58595B"/>
              <w:left w:val="nil"/>
              <w:bottom w:val="single" w:sz="2" w:space="0" w:color="58595B"/>
              <w:right w:val="nil"/>
            </w:tcBorders>
          </w:tcPr>
          <w:p w14:paraId="68109FC6" w14:textId="77777777" w:rsidR="00D06CB2" w:rsidRPr="005C5E32" w:rsidRDefault="00D06CB2">
            <w:pPr>
              <w:pStyle w:val="TableText"/>
              <w:spacing w:before="30" w:after="30"/>
              <w:jc w:val="right"/>
            </w:pPr>
            <w:r w:rsidRPr="005C5E32">
              <w:t>0%</w:t>
            </w:r>
          </w:p>
        </w:tc>
        <w:tc>
          <w:tcPr>
            <w:tcW w:w="1153" w:type="dxa"/>
            <w:tcBorders>
              <w:top w:val="single" w:sz="2" w:space="0" w:color="58595B"/>
              <w:left w:val="nil"/>
              <w:bottom w:val="single" w:sz="2" w:space="0" w:color="58595B"/>
              <w:right w:val="nil"/>
            </w:tcBorders>
          </w:tcPr>
          <w:p w14:paraId="60CE4D43" w14:textId="77777777" w:rsidR="00D06CB2" w:rsidRPr="005C5E32" w:rsidRDefault="00D06CB2">
            <w:pPr>
              <w:pStyle w:val="TableText"/>
              <w:spacing w:before="30" w:after="30"/>
              <w:jc w:val="right"/>
            </w:pPr>
            <w:r w:rsidRPr="005C5E32">
              <w:t>0%</w:t>
            </w:r>
          </w:p>
        </w:tc>
        <w:tc>
          <w:tcPr>
            <w:tcW w:w="1153" w:type="dxa"/>
            <w:tcBorders>
              <w:top w:val="single" w:sz="2" w:space="0" w:color="58595B"/>
              <w:left w:val="nil"/>
              <w:bottom w:val="single" w:sz="2" w:space="0" w:color="58595B"/>
              <w:right w:val="nil"/>
            </w:tcBorders>
          </w:tcPr>
          <w:p w14:paraId="6576F77A" w14:textId="77777777" w:rsidR="00D06CB2" w:rsidRPr="005C5E32" w:rsidRDefault="00D06CB2">
            <w:pPr>
              <w:pStyle w:val="TableText"/>
              <w:spacing w:before="30" w:after="30"/>
              <w:jc w:val="right"/>
            </w:pPr>
            <w:r w:rsidRPr="005C5E32">
              <w:t>0%</w:t>
            </w:r>
          </w:p>
        </w:tc>
        <w:tc>
          <w:tcPr>
            <w:tcW w:w="1331" w:type="dxa"/>
            <w:tcBorders>
              <w:top w:val="single" w:sz="2" w:space="0" w:color="58595B"/>
              <w:left w:val="nil"/>
              <w:bottom w:val="single" w:sz="2" w:space="0" w:color="58595B"/>
              <w:right w:val="nil"/>
            </w:tcBorders>
          </w:tcPr>
          <w:p w14:paraId="2000F1FE" w14:textId="77777777" w:rsidR="00D06CB2" w:rsidRPr="005C5E32" w:rsidRDefault="00D06CB2">
            <w:pPr>
              <w:pStyle w:val="TableText"/>
              <w:spacing w:before="30" w:after="30"/>
              <w:jc w:val="right"/>
            </w:pPr>
            <w:r w:rsidRPr="005C5E32">
              <w:t>0%</w:t>
            </w:r>
          </w:p>
        </w:tc>
        <w:tc>
          <w:tcPr>
            <w:tcW w:w="896" w:type="dxa"/>
            <w:tcBorders>
              <w:top w:val="single" w:sz="2" w:space="0" w:color="58595B"/>
              <w:left w:val="nil"/>
              <w:bottom w:val="single" w:sz="2" w:space="0" w:color="58595B"/>
              <w:right w:val="nil"/>
            </w:tcBorders>
          </w:tcPr>
          <w:p w14:paraId="5F505B9D" w14:textId="77777777" w:rsidR="00D06CB2" w:rsidRPr="005C5E32" w:rsidRDefault="00D06CB2">
            <w:pPr>
              <w:pStyle w:val="TableText"/>
              <w:spacing w:before="30" w:after="30"/>
              <w:jc w:val="right"/>
            </w:pPr>
            <w:r w:rsidRPr="005C5E32">
              <w:t>–</w:t>
            </w:r>
          </w:p>
        </w:tc>
      </w:tr>
      <w:tr w:rsidR="00D06CB2" w:rsidRPr="005C5E32" w14:paraId="49AE8D3A" w14:textId="77777777">
        <w:trPr>
          <w:trHeight w:val="20"/>
        </w:trPr>
        <w:tc>
          <w:tcPr>
            <w:tcW w:w="2835" w:type="dxa"/>
            <w:tcBorders>
              <w:top w:val="single" w:sz="2" w:space="0" w:color="58595B"/>
              <w:left w:val="nil"/>
              <w:bottom w:val="single" w:sz="2" w:space="0" w:color="58595B"/>
              <w:right w:val="nil"/>
            </w:tcBorders>
          </w:tcPr>
          <w:p w14:paraId="6CA3ADC5" w14:textId="77777777" w:rsidR="00D06CB2" w:rsidRPr="005C5E32" w:rsidRDefault="00D06CB2">
            <w:pPr>
              <w:pStyle w:val="TableText"/>
              <w:spacing w:before="30" w:after="30"/>
            </w:pPr>
            <w:r w:rsidRPr="005C5E32">
              <w:t>Gross carrying amount ($000)</w:t>
            </w:r>
          </w:p>
        </w:tc>
        <w:tc>
          <w:tcPr>
            <w:tcW w:w="1137" w:type="dxa"/>
            <w:tcBorders>
              <w:top w:val="single" w:sz="2" w:space="0" w:color="58595B"/>
              <w:left w:val="nil"/>
              <w:bottom w:val="single" w:sz="2" w:space="0" w:color="58595B"/>
              <w:right w:val="nil"/>
            </w:tcBorders>
          </w:tcPr>
          <w:p w14:paraId="5E4E3CC0" w14:textId="77777777" w:rsidR="00D06CB2" w:rsidRPr="005C5E32" w:rsidRDefault="00D06CB2">
            <w:pPr>
              <w:pStyle w:val="TableText"/>
              <w:spacing w:before="30" w:after="30"/>
              <w:jc w:val="right"/>
            </w:pPr>
            <w:r w:rsidRPr="005C5E32">
              <w:t>68,300</w:t>
            </w:r>
          </w:p>
        </w:tc>
        <w:tc>
          <w:tcPr>
            <w:tcW w:w="1153" w:type="dxa"/>
            <w:tcBorders>
              <w:top w:val="single" w:sz="2" w:space="0" w:color="58595B"/>
              <w:left w:val="nil"/>
              <w:bottom w:val="single" w:sz="2" w:space="0" w:color="58595B"/>
              <w:right w:val="nil"/>
            </w:tcBorders>
          </w:tcPr>
          <w:p w14:paraId="7A7D7806" w14:textId="77777777" w:rsidR="00D06CB2" w:rsidRPr="005C5E32" w:rsidRDefault="00D06CB2">
            <w:pPr>
              <w:pStyle w:val="TableText"/>
              <w:spacing w:before="30" w:after="30"/>
              <w:jc w:val="right"/>
            </w:pPr>
            <w:r w:rsidRPr="005C5E32">
              <w:t>443</w:t>
            </w:r>
          </w:p>
        </w:tc>
        <w:tc>
          <w:tcPr>
            <w:tcW w:w="1153" w:type="dxa"/>
            <w:tcBorders>
              <w:top w:val="single" w:sz="2" w:space="0" w:color="58595B"/>
              <w:left w:val="nil"/>
              <w:bottom w:val="single" w:sz="2" w:space="0" w:color="58595B"/>
              <w:right w:val="nil"/>
            </w:tcBorders>
          </w:tcPr>
          <w:p w14:paraId="3A727C0F" w14:textId="77777777" w:rsidR="00D06CB2" w:rsidRPr="005C5E32" w:rsidRDefault="00D06CB2">
            <w:pPr>
              <w:pStyle w:val="TableText"/>
              <w:spacing w:before="30" w:after="30"/>
              <w:jc w:val="right"/>
            </w:pPr>
            <w:r w:rsidRPr="005C5E32">
              <w:t>328</w:t>
            </w:r>
          </w:p>
        </w:tc>
        <w:tc>
          <w:tcPr>
            <w:tcW w:w="1331" w:type="dxa"/>
            <w:tcBorders>
              <w:top w:val="single" w:sz="2" w:space="0" w:color="58595B"/>
              <w:left w:val="nil"/>
              <w:bottom w:val="single" w:sz="2" w:space="0" w:color="58595B"/>
              <w:right w:val="nil"/>
            </w:tcBorders>
          </w:tcPr>
          <w:p w14:paraId="550E2B48" w14:textId="77777777" w:rsidR="00D06CB2" w:rsidRPr="005C5E32" w:rsidRDefault="00D06CB2">
            <w:pPr>
              <w:pStyle w:val="TableText"/>
              <w:spacing w:before="30" w:after="30"/>
              <w:jc w:val="right"/>
            </w:pPr>
            <w:r w:rsidRPr="005C5E32">
              <w:t>34,255</w:t>
            </w:r>
          </w:p>
        </w:tc>
        <w:tc>
          <w:tcPr>
            <w:tcW w:w="896" w:type="dxa"/>
            <w:tcBorders>
              <w:top w:val="single" w:sz="2" w:space="0" w:color="58595B"/>
              <w:left w:val="nil"/>
              <w:bottom w:val="single" w:sz="2" w:space="0" w:color="58595B"/>
              <w:right w:val="nil"/>
            </w:tcBorders>
          </w:tcPr>
          <w:p w14:paraId="1B9F4F36" w14:textId="77777777" w:rsidR="00D06CB2" w:rsidRPr="005C5E32" w:rsidRDefault="00D06CB2">
            <w:pPr>
              <w:pStyle w:val="TableText"/>
              <w:spacing w:before="30" w:after="30"/>
              <w:jc w:val="right"/>
            </w:pPr>
            <w:r w:rsidRPr="005C5E32">
              <w:t>103,325</w:t>
            </w:r>
          </w:p>
        </w:tc>
      </w:tr>
      <w:tr w:rsidR="00D06CB2" w:rsidRPr="005C5E32" w14:paraId="5C885FD7" w14:textId="77777777">
        <w:trPr>
          <w:trHeight w:val="20"/>
        </w:trPr>
        <w:tc>
          <w:tcPr>
            <w:tcW w:w="2835" w:type="dxa"/>
            <w:tcBorders>
              <w:top w:val="single" w:sz="2" w:space="0" w:color="58595B"/>
              <w:left w:val="nil"/>
              <w:bottom w:val="single" w:sz="2" w:space="0" w:color="58595B"/>
              <w:right w:val="nil"/>
            </w:tcBorders>
          </w:tcPr>
          <w:p w14:paraId="486CD644" w14:textId="77777777" w:rsidR="00D06CB2" w:rsidRPr="005C5E32" w:rsidRDefault="00D06CB2">
            <w:pPr>
              <w:pStyle w:val="TableTextbold"/>
              <w:spacing w:before="30" w:after="30"/>
            </w:pPr>
            <w:r w:rsidRPr="005C5E32">
              <w:t>Lifetime expected credit loss ($000)</w:t>
            </w:r>
          </w:p>
        </w:tc>
        <w:tc>
          <w:tcPr>
            <w:tcW w:w="1137" w:type="dxa"/>
            <w:tcBorders>
              <w:top w:val="single" w:sz="2" w:space="0" w:color="58595B"/>
              <w:left w:val="nil"/>
              <w:bottom w:val="single" w:sz="2" w:space="0" w:color="58595B"/>
              <w:right w:val="nil"/>
            </w:tcBorders>
          </w:tcPr>
          <w:p w14:paraId="1264D3A2" w14:textId="406E0D62" w:rsidR="00D06CB2" w:rsidRPr="005C5E32" w:rsidRDefault="001445B8">
            <w:pPr>
              <w:pStyle w:val="TableTextbold"/>
              <w:spacing w:before="30" w:after="30"/>
              <w:jc w:val="right"/>
            </w:pPr>
            <w:r w:rsidRPr="005C5E32">
              <w:t>–</w:t>
            </w:r>
          </w:p>
        </w:tc>
        <w:tc>
          <w:tcPr>
            <w:tcW w:w="1153" w:type="dxa"/>
            <w:tcBorders>
              <w:top w:val="single" w:sz="2" w:space="0" w:color="58595B"/>
              <w:left w:val="nil"/>
              <w:bottom w:val="single" w:sz="2" w:space="0" w:color="58595B"/>
              <w:right w:val="nil"/>
            </w:tcBorders>
          </w:tcPr>
          <w:p w14:paraId="4117BB07" w14:textId="750B806F" w:rsidR="00D06CB2" w:rsidRPr="005C5E32" w:rsidRDefault="001445B8">
            <w:pPr>
              <w:pStyle w:val="TableTextbold"/>
              <w:spacing w:before="30" w:after="30"/>
              <w:jc w:val="right"/>
            </w:pPr>
            <w:r w:rsidRPr="005C5E32">
              <w:t>–</w:t>
            </w:r>
          </w:p>
        </w:tc>
        <w:tc>
          <w:tcPr>
            <w:tcW w:w="1153" w:type="dxa"/>
            <w:tcBorders>
              <w:top w:val="single" w:sz="2" w:space="0" w:color="58595B"/>
              <w:left w:val="nil"/>
              <w:bottom w:val="single" w:sz="2" w:space="0" w:color="58595B"/>
              <w:right w:val="nil"/>
            </w:tcBorders>
          </w:tcPr>
          <w:p w14:paraId="466ED8D4" w14:textId="4690C868" w:rsidR="00D06CB2" w:rsidRPr="005C5E32" w:rsidRDefault="001445B8">
            <w:pPr>
              <w:pStyle w:val="TableTextbold"/>
              <w:spacing w:before="30" w:after="30"/>
              <w:jc w:val="right"/>
            </w:pPr>
            <w:r w:rsidRPr="005C5E32">
              <w:t>–</w:t>
            </w:r>
          </w:p>
        </w:tc>
        <w:tc>
          <w:tcPr>
            <w:tcW w:w="1331" w:type="dxa"/>
            <w:tcBorders>
              <w:top w:val="single" w:sz="2" w:space="0" w:color="58595B"/>
              <w:left w:val="nil"/>
              <w:bottom w:val="single" w:sz="2" w:space="0" w:color="58595B"/>
              <w:right w:val="nil"/>
            </w:tcBorders>
          </w:tcPr>
          <w:p w14:paraId="25811C54" w14:textId="29C8BEE0" w:rsidR="00D06CB2" w:rsidRPr="005C5E32" w:rsidRDefault="001445B8">
            <w:pPr>
              <w:pStyle w:val="TableTextbold"/>
              <w:spacing w:before="30" w:after="30"/>
              <w:jc w:val="right"/>
            </w:pPr>
            <w:r w:rsidRPr="005C5E32">
              <w:t>–</w:t>
            </w:r>
          </w:p>
        </w:tc>
        <w:tc>
          <w:tcPr>
            <w:tcW w:w="896" w:type="dxa"/>
            <w:tcBorders>
              <w:top w:val="single" w:sz="2" w:space="0" w:color="58595B"/>
              <w:left w:val="nil"/>
              <w:bottom w:val="single" w:sz="2" w:space="0" w:color="58595B"/>
              <w:right w:val="nil"/>
            </w:tcBorders>
          </w:tcPr>
          <w:p w14:paraId="652877CA" w14:textId="77777777" w:rsidR="00D06CB2" w:rsidRPr="005C5E32" w:rsidRDefault="00D06CB2">
            <w:pPr>
              <w:pStyle w:val="TableTextbold"/>
              <w:spacing w:before="30" w:after="30"/>
              <w:jc w:val="right"/>
            </w:pPr>
            <w:r w:rsidRPr="005C5E32">
              <w:t>–</w:t>
            </w:r>
          </w:p>
        </w:tc>
      </w:tr>
      <w:tr w:rsidR="00D06CB2" w:rsidRPr="005C5E32" w14:paraId="2B8CF1C2" w14:textId="77777777">
        <w:trPr>
          <w:trHeight w:val="20"/>
        </w:trPr>
        <w:tc>
          <w:tcPr>
            <w:tcW w:w="2835" w:type="dxa"/>
            <w:tcBorders>
              <w:top w:val="single" w:sz="2" w:space="0" w:color="58595B"/>
              <w:left w:val="nil"/>
              <w:bottom w:val="single" w:sz="2" w:space="0" w:color="58595B"/>
              <w:right w:val="nil"/>
            </w:tcBorders>
          </w:tcPr>
          <w:p w14:paraId="76D1A4AD" w14:textId="77777777" w:rsidR="00D06CB2" w:rsidRPr="005C5E32" w:rsidRDefault="00D06CB2">
            <w:pPr>
              <w:pStyle w:val="TableboldGreen"/>
              <w:spacing w:before="30" w:after="30"/>
            </w:pPr>
            <w:r w:rsidRPr="005C5E32">
              <w:t>30 June 2025</w:t>
            </w:r>
          </w:p>
        </w:tc>
        <w:tc>
          <w:tcPr>
            <w:tcW w:w="1137" w:type="dxa"/>
            <w:tcBorders>
              <w:top w:val="single" w:sz="2" w:space="0" w:color="58595B"/>
              <w:left w:val="nil"/>
              <w:bottom w:val="single" w:sz="2" w:space="0" w:color="58595B"/>
              <w:right w:val="nil"/>
            </w:tcBorders>
          </w:tcPr>
          <w:p w14:paraId="63A77E6D" w14:textId="77777777" w:rsidR="00D06CB2" w:rsidRPr="005C5E32" w:rsidRDefault="00D06CB2">
            <w:pPr>
              <w:pStyle w:val="TableboldGreen"/>
              <w:spacing w:before="30" w:after="30"/>
              <w:rPr>
                <w:rFonts w:eastAsia="MS Mincho"/>
              </w:rPr>
            </w:pPr>
          </w:p>
        </w:tc>
        <w:tc>
          <w:tcPr>
            <w:tcW w:w="3637" w:type="dxa"/>
            <w:gridSpan w:val="3"/>
            <w:tcBorders>
              <w:top w:val="single" w:sz="2" w:space="0" w:color="58595B"/>
              <w:left w:val="nil"/>
              <w:bottom w:val="single" w:sz="2" w:space="0" w:color="58595B"/>
              <w:right w:val="nil"/>
            </w:tcBorders>
          </w:tcPr>
          <w:p w14:paraId="2BAA05EC" w14:textId="77777777" w:rsidR="00D06CB2" w:rsidRPr="005C5E32" w:rsidRDefault="00D06CB2">
            <w:pPr>
              <w:pStyle w:val="TableboldGreen"/>
              <w:spacing w:before="30" w:after="30"/>
              <w:jc w:val="center"/>
            </w:pPr>
            <w:r w:rsidRPr="005C5E32">
              <w:t>Receivable days past due</w:t>
            </w:r>
          </w:p>
        </w:tc>
        <w:tc>
          <w:tcPr>
            <w:tcW w:w="896" w:type="dxa"/>
            <w:tcBorders>
              <w:top w:val="single" w:sz="2" w:space="0" w:color="58595B"/>
              <w:left w:val="nil"/>
              <w:bottom w:val="single" w:sz="2" w:space="0" w:color="58595B"/>
              <w:right w:val="nil"/>
            </w:tcBorders>
          </w:tcPr>
          <w:p w14:paraId="34B1FEE9" w14:textId="77777777" w:rsidR="00D06CB2" w:rsidRPr="005C5E32" w:rsidRDefault="00D06CB2">
            <w:pPr>
              <w:pStyle w:val="TableboldGreen"/>
              <w:spacing w:before="30" w:after="30"/>
              <w:rPr>
                <w:rFonts w:eastAsia="MS Mincho"/>
              </w:rPr>
            </w:pPr>
          </w:p>
        </w:tc>
      </w:tr>
      <w:tr w:rsidR="00D06CB2" w:rsidRPr="005C5E32" w14:paraId="4A8964F4" w14:textId="77777777">
        <w:trPr>
          <w:trHeight w:val="20"/>
        </w:trPr>
        <w:tc>
          <w:tcPr>
            <w:tcW w:w="2835" w:type="dxa"/>
            <w:tcBorders>
              <w:top w:val="single" w:sz="2" w:space="0" w:color="58595B"/>
              <w:left w:val="nil"/>
              <w:bottom w:val="single" w:sz="2" w:space="0" w:color="58595B"/>
              <w:right w:val="nil"/>
            </w:tcBorders>
            <w:vAlign w:val="bottom"/>
          </w:tcPr>
          <w:p w14:paraId="59237365" w14:textId="77777777" w:rsidR="00D06CB2" w:rsidRPr="005C5E32" w:rsidRDefault="00D06CB2">
            <w:pPr>
              <w:pStyle w:val="TableboldGreen"/>
              <w:spacing w:before="30" w:after="30" w:line="220" w:lineRule="atLeast"/>
            </w:pPr>
          </w:p>
        </w:tc>
        <w:tc>
          <w:tcPr>
            <w:tcW w:w="1137" w:type="dxa"/>
            <w:tcBorders>
              <w:top w:val="single" w:sz="2" w:space="0" w:color="58595B"/>
              <w:left w:val="nil"/>
              <w:bottom w:val="single" w:sz="2" w:space="0" w:color="58595B"/>
              <w:right w:val="nil"/>
            </w:tcBorders>
            <w:vAlign w:val="bottom"/>
          </w:tcPr>
          <w:p w14:paraId="400ED451" w14:textId="77777777" w:rsidR="00D06CB2" w:rsidRPr="005C5E32" w:rsidRDefault="00D06CB2">
            <w:pPr>
              <w:pStyle w:val="TableboldGreen"/>
              <w:spacing w:before="30" w:after="30" w:line="220" w:lineRule="atLeast"/>
              <w:jc w:val="right"/>
              <w:rPr>
                <w:rFonts w:eastAsia="Lato"/>
              </w:rPr>
            </w:pPr>
            <w:r w:rsidRPr="005C5E32">
              <w:rPr>
                <w:rFonts w:eastAsia="Lato"/>
                <w:color w:val="0E7C7E"/>
              </w:rPr>
              <w:t>Current</w:t>
            </w:r>
          </w:p>
        </w:tc>
        <w:tc>
          <w:tcPr>
            <w:tcW w:w="1153" w:type="dxa"/>
            <w:tcBorders>
              <w:top w:val="single" w:sz="2" w:space="0" w:color="58595B"/>
              <w:left w:val="nil"/>
              <w:bottom w:val="single" w:sz="2" w:space="0" w:color="58595B"/>
              <w:right w:val="nil"/>
            </w:tcBorders>
            <w:vAlign w:val="bottom"/>
          </w:tcPr>
          <w:p w14:paraId="13F3ED1D" w14:textId="77777777" w:rsidR="00D06CB2" w:rsidRPr="005C5E32" w:rsidRDefault="00D06CB2">
            <w:pPr>
              <w:pStyle w:val="TableboldGreen"/>
              <w:spacing w:before="30" w:after="30" w:line="220" w:lineRule="atLeast"/>
              <w:jc w:val="right"/>
              <w:rPr>
                <w:rFonts w:eastAsia="Lato"/>
              </w:rPr>
            </w:pPr>
            <w:r w:rsidRPr="005C5E32">
              <w:rPr>
                <w:rFonts w:eastAsia="Lato"/>
                <w:color w:val="0E7C7E"/>
              </w:rPr>
              <w:t>More than 30 days</w:t>
            </w:r>
          </w:p>
        </w:tc>
        <w:tc>
          <w:tcPr>
            <w:tcW w:w="1153" w:type="dxa"/>
            <w:tcBorders>
              <w:top w:val="single" w:sz="2" w:space="0" w:color="58595B"/>
              <w:left w:val="nil"/>
              <w:bottom w:val="single" w:sz="2" w:space="0" w:color="58595B"/>
              <w:right w:val="nil"/>
            </w:tcBorders>
            <w:vAlign w:val="bottom"/>
          </w:tcPr>
          <w:p w14:paraId="0FDC222B" w14:textId="77777777" w:rsidR="00D06CB2" w:rsidRPr="005C5E32" w:rsidRDefault="00D06CB2">
            <w:pPr>
              <w:pStyle w:val="TableboldGreen"/>
              <w:spacing w:before="30" w:after="30" w:line="220" w:lineRule="atLeast"/>
              <w:jc w:val="right"/>
              <w:rPr>
                <w:rFonts w:eastAsia="Lato"/>
              </w:rPr>
            </w:pPr>
            <w:r w:rsidRPr="005C5E32">
              <w:rPr>
                <w:rFonts w:eastAsia="Lato"/>
                <w:color w:val="0E7C7E"/>
              </w:rPr>
              <w:t>More than 60 days</w:t>
            </w:r>
          </w:p>
        </w:tc>
        <w:tc>
          <w:tcPr>
            <w:tcW w:w="1331" w:type="dxa"/>
            <w:tcBorders>
              <w:top w:val="single" w:sz="2" w:space="0" w:color="58595B"/>
              <w:left w:val="nil"/>
              <w:bottom w:val="single" w:sz="2" w:space="0" w:color="58595B"/>
              <w:right w:val="nil"/>
            </w:tcBorders>
            <w:vAlign w:val="bottom"/>
          </w:tcPr>
          <w:p w14:paraId="0B177AAE" w14:textId="77777777" w:rsidR="00D06CB2" w:rsidRPr="005C5E32" w:rsidRDefault="00D06CB2">
            <w:pPr>
              <w:pStyle w:val="TableboldGreen"/>
              <w:spacing w:before="30" w:after="30" w:line="220" w:lineRule="atLeast"/>
              <w:jc w:val="right"/>
              <w:rPr>
                <w:rFonts w:eastAsia="Lato"/>
              </w:rPr>
            </w:pPr>
            <w:r w:rsidRPr="005C5E32">
              <w:rPr>
                <w:rFonts w:eastAsia="Lato"/>
                <w:color w:val="0E7C7E"/>
              </w:rPr>
              <w:t xml:space="preserve">More than </w:t>
            </w:r>
            <w:r w:rsidRPr="005C5E32">
              <w:rPr>
                <w:rFonts w:eastAsia="Lato"/>
                <w:color w:val="0E7C7E"/>
              </w:rPr>
              <w:br/>
              <w:t>90 days</w:t>
            </w:r>
          </w:p>
        </w:tc>
        <w:tc>
          <w:tcPr>
            <w:tcW w:w="896" w:type="dxa"/>
            <w:tcBorders>
              <w:top w:val="single" w:sz="2" w:space="0" w:color="58595B"/>
              <w:left w:val="nil"/>
              <w:bottom w:val="single" w:sz="2" w:space="0" w:color="58595B"/>
              <w:right w:val="nil"/>
            </w:tcBorders>
            <w:vAlign w:val="bottom"/>
          </w:tcPr>
          <w:p w14:paraId="1ECA1B63" w14:textId="77777777" w:rsidR="00D06CB2" w:rsidRPr="005C5E32" w:rsidRDefault="00D06CB2">
            <w:pPr>
              <w:pStyle w:val="TableboldGreen"/>
              <w:spacing w:before="30" w:after="30" w:line="220" w:lineRule="atLeast"/>
              <w:jc w:val="right"/>
              <w:rPr>
                <w:rFonts w:eastAsia="Lato"/>
              </w:rPr>
            </w:pPr>
            <w:r w:rsidRPr="005C5E32">
              <w:rPr>
                <w:rFonts w:eastAsia="Lato"/>
                <w:color w:val="0E7C7E"/>
              </w:rPr>
              <w:t>Total</w:t>
            </w:r>
          </w:p>
        </w:tc>
      </w:tr>
      <w:tr w:rsidR="00D06CB2" w:rsidRPr="005C5E32" w14:paraId="7EC8CF7B" w14:textId="77777777">
        <w:trPr>
          <w:trHeight w:val="20"/>
        </w:trPr>
        <w:tc>
          <w:tcPr>
            <w:tcW w:w="2835" w:type="dxa"/>
            <w:tcBorders>
              <w:top w:val="single" w:sz="2" w:space="0" w:color="58595B"/>
              <w:left w:val="nil"/>
              <w:bottom w:val="single" w:sz="2" w:space="0" w:color="58595B"/>
              <w:right w:val="nil"/>
            </w:tcBorders>
          </w:tcPr>
          <w:p w14:paraId="13F2C321" w14:textId="77777777" w:rsidR="00D06CB2" w:rsidRPr="005C5E32" w:rsidRDefault="00D06CB2">
            <w:pPr>
              <w:pStyle w:val="TableText"/>
              <w:spacing w:before="30" w:after="30"/>
            </w:pPr>
            <w:r w:rsidRPr="005C5E32">
              <w:t>Expected credit loss rate</w:t>
            </w:r>
          </w:p>
        </w:tc>
        <w:tc>
          <w:tcPr>
            <w:tcW w:w="1137" w:type="dxa"/>
            <w:tcBorders>
              <w:top w:val="single" w:sz="2" w:space="0" w:color="58595B"/>
              <w:left w:val="nil"/>
              <w:bottom w:val="single" w:sz="2" w:space="0" w:color="58595B"/>
              <w:right w:val="nil"/>
            </w:tcBorders>
          </w:tcPr>
          <w:p w14:paraId="63347E56" w14:textId="77777777" w:rsidR="00D06CB2" w:rsidRPr="005C5E32" w:rsidRDefault="00D06CB2">
            <w:pPr>
              <w:pStyle w:val="TableText"/>
              <w:spacing w:before="30" w:after="30"/>
              <w:jc w:val="right"/>
            </w:pPr>
            <w:r w:rsidRPr="005C5E32">
              <w:t>0%</w:t>
            </w:r>
          </w:p>
        </w:tc>
        <w:tc>
          <w:tcPr>
            <w:tcW w:w="1153" w:type="dxa"/>
            <w:tcBorders>
              <w:top w:val="single" w:sz="2" w:space="0" w:color="58595B"/>
              <w:left w:val="nil"/>
              <w:bottom w:val="single" w:sz="2" w:space="0" w:color="58595B"/>
              <w:right w:val="nil"/>
            </w:tcBorders>
          </w:tcPr>
          <w:p w14:paraId="6FDF8FAB" w14:textId="77777777" w:rsidR="00D06CB2" w:rsidRPr="005C5E32" w:rsidRDefault="00D06CB2">
            <w:pPr>
              <w:pStyle w:val="TableText"/>
              <w:spacing w:before="30" w:after="30"/>
              <w:jc w:val="right"/>
            </w:pPr>
            <w:r w:rsidRPr="005C5E32">
              <w:t>0%</w:t>
            </w:r>
          </w:p>
        </w:tc>
        <w:tc>
          <w:tcPr>
            <w:tcW w:w="1153" w:type="dxa"/>
            <w:tcBorders>
              <w:top w:val="single" w:sz="2" w:space="0" w:color="58595B"/>
              <w:left w:val="nil"/>
              <w:bottom w:val="single" w:sz="2" w:space="0" w:color="58595B"/>
              <w:right w:val="nil"/>
            </w:tcBorders>
          </w:tcPr>
          <w:p w14:paraId="6E977892" w14:textId="77777777" w:rsidR="00D06CB2" w:rsidRPr="005C5E32" w:rsidRDefault="00D06CB2">
            <w:pPr>
              <w:pStyle w:val="TableText"/>
              <w:spacing w:before="30" w:after="30"/>
              <w:jc w:val="right"/>
            </w:pPr>
            <w:r w:rsidRPr="005C5E32">
              <w:t>0%</w:t>
            </w:r>
          </w:p>
        </w:tc>
        <w:tc>
          <w:tcPr>
            <w:tcW w:w="1331" w:type="dxa"/>
            <w:tcBorders>
              <w:top w:val="single" w:sz="2" w:space="0" w:color="58595B"/>
              <w:left w:val="nil"/>
              <w:bottom w:val="single" w:sz="2" w:space="0" w:color="58595B"/>
              <w:right w:val="nil"/>
            </w:tcBorders>
          </w:tcPr>
          <w:p w14:paraId="43F97725" w14:textId="77777777" w:rsidR="00D06CB2" w:rsidRPr="005C5E32" w:rsidRDefault="00D06CB2">
            <w:pPr>
              <w:pStyle w:val="TableText"/>
              <w:spacing w:before="30" w:after="30"/>
              <w:jc w:val="right"/>
            </w:pPr>
            <w:r w:rsidRPr="005C5E32">
              <w:t>0%</w:t>
            </w:r>
          </w:p>
        </w:tc>
        <w:tc>
          <w:tcPr>
            <w:tcW w:w="896" w:type="dxa"/>
            <w:tcBorders>
              <w:top w:val="single" w:sz="2" w:space="0" w:color="58595B"/>
              <w:left w:val="nil"/>
              <w:bottom w:val="single" w:sz="2" w:space="0" w:color="58595B"/>
              <w:right w:val="nil"/>
            </w:tcBorders>
          </w:tcPr>
          <w:p w14:paraId="545C94E4" w14:textId="77777777" w:rsidR="00D06CB2" w:rsidRPr="005C5E32" w:rsidRDefault="00D06CB2">
            <w:pPr>
              <w:pStyle w:val="TableText"/>
              <w:spacing w:before="30" w:after="30"/>
              <w:jc w:val="right"/>
            </w:pPr>
            <w:r w:rsidRPr="005C5E32">
              <w:t>–</w:t>
            </w:r>
          </w:p>
        </w:tc>
      </w:tr>
      <w:tr w:rsidR="00D06CB2" w:rsidRPr="005C5E32" w14:paraId="6C6EFAB5" w14:textId="77777777">
        <w:trPr>
          <w:trHeight w:val="20"/>
        </w:trPr>
        <w:tc>
          <w:tcPr>
            <w:tcW w:w="2835" w:type="dxa"/>
            <w:tcBorders>
              <w:top w:val="single" w:sz="2" w:space="0" w:color="58595B"/>
              <w:left w:val="nil"/>
              <w:bottom w:val="single" w:sz="2" w:space="0" w:color="58595B"/>
              <w:right w:val="nil"/>
            </w:tcBorders>
          </w:tcPr>
          <w:p w14:paraId="78CCAE05" w14:textId="77777777" w:rsidR="00D06CB2" w:rsidRPr="005C5E32" w:rsidRDefault="00D06CB2">
            <w:pPr>
              <w:pStyle w:val="TableText"/>
              <w:spacing w:before="30" w:after="30"/>
            </w:pPr>
            <w:r w:rsidRPr="005C5E32">
              <w:t>Gross carrying amount ($000)</w:t>
            </w:r>
          </w:p>
        </w:tc>
        <w:tc>
          <w:tcPr>
            <w:tcW w:w="1137" w:type="dxa"/>
            <w:tcBorders>
              <w:top w:val="single" w:sz="2" w:space="0" w:color="58595B"/>
              <w:left w:val="nil"/>
              <w:bottom w:val="single" w:sz="2" w:space="0" w:color="58595B"/>
              <w:right w:val="nil"/>
            </w:tcBorders>
          </w:tcPr>
          <w:p w14:paraId="5F3CFE42" w14:textId="77777777" w:rsidR="00D06CB2" w:rsidRPr="005C5E32" w:rsidRDefault="00D06CB2">
            <w:pPr>
              <w:pStyle w:val="TableText"/>
              <w:spacing w:before="30" w:after="30"/>
              <w:jc w:val="right"/>
            </w:pPr>
            <w:r w:rsidRPr="005C5E32">
              <w:t>62,851</w:t>
            </w:r>
          </w:p>
        </w:tc>
        <w:tc>
          <w:tcPr>
            <w:tcW w:w="1153" w:type="dxa"/>
            <w:tcBorders>
              <w:top w:val="single" w:sz="2" w:space="0" w:color="58595B"/>
              <w:left w:val="nil"/>
              <w:bottom w:val="single" w:sz="2" w:space="0" w:color="58595B"/>
              <w:right w:val="nil"/>
            </w:tcBorders>
          </w:tcPr>
          <w:p w14:paraId="41F32156" w14:textId="77777777" w:rsidR="00D06CB2" w:rsidRPr="005C5E32" w:rsidRDefault="00D06CB2">
            <w:pPr>
              <w:pStyle w:val="TableText"/>
              <w:spacing w:before="30" w:after="30"/>
              <w:jc w:val="right"/>
            </w:pPr>
            <w:r w:rsidRPr="005C5E32">
              <w:t>329</w:t>
            </w:r>
          </w:p>
        </w:tc>
        <w:tc>
          <w:tcPr>
            <w:tcW w:w="1153" w:type="dxa"/>
            <w:tcBorders>
              <w:top w:val="single" w:sz="2" w:space="0" w:color="58595B"/>
              <w:left w:val="nil"/>
              <w:bottom w:val="single" w:sz="2" w:space="0" w:color="58595B"/>
              <w:right w:val="nil"/>
            </w:tcBorders>
          </w:tcPr>
          <w:p w14:paraId="2752C7A5" w14:textId="77777777" w:rsidR="00D06CB2" w:rsidRPr="005C5E32" w:rsidRDefault="00D06CB2">
            <w:pPr>
              <w:pStyle w:val="TableText"/>
              <w:spacing w:before="30" w:after="30"/>
              <w:jc w:val="right"/>
            </w:pPr>
            <w:r w:rsidRPr="005C5E32">
              <w:t>29,182</w:t>
            </w:r>
          </w:p>
        </w:tc>
        <w:tc>
          <w:tcPr>
            <w:tcW w:w="1331" w:type="dxa"/>
            <w:tcBorders>
              <w:top w:val="single" w:sz="2" w:space="0" w:color="58595B"/>
              <w:left w:val="nil"/>
              <w:bottom w:val="single" w:sz="2" w:space="0" w:color="58595B"/>
              <w:right w:val="nil"/>
            </w:tcBorders>
          </w:tcPr>
          <w:p w14:paraId="2DC1D1E5" w14:textId="77777777" w:rsidR="00D06CB2" w:rsidRPr="005C5E32" w:rsidRDefault="00D06CB2">
            <w:pPr>
              <w:pStyle w:val="TableText"/>
              <w:spacing w:before="30" w:after="30"/>
              <w:jc w:val="right"/>
            </w:pPr>
            <w:r w:rsidRPr="005C5E32">
              <w:t>4,544</w:t>
            </w:r>
          </w:p>
        </w:tc>
        <w:tc>
          <w:tcPr>
            <w:tcW w:w="896" w:type="dxa"/>
            <w:tcBorders>
              <w:top w:val="single" w:sz="2" w:space="0" w:color="58595B"/>
              <w:left w:val="nil"/>
              <w:bottom w:val="single" w:sz="2" w:space="0" w:color="58595B"/>
              <w:right w:val="nil"/>
            </w:tcBorders>
          </w:tcPr>
          <w:p w14:paraId="7F9E0692" w14:textId="77777777" w:rsidR="00D06CB2" w:rsidRPr="005C5E32" w:rsidRDefault="00D06CB2">
            <w:pPr>
              <w:pStyle w:val="TableText"/>
              <w:spacing w:before="30" w:after="30"/>
              <w:jc w:val="right"/>
            </w:pPr>
            <w:r w:rsidRPr="005C5E32">
              <w:t>96,906</w:t>
            </w:r>
          </w:p>
        </w:tc>
      </w:tr>
      <w:tr w:rsidR="00D06CB2" w:rsidRPr="005C5E32" w14:paraId="051554FF" w14:textId="77777777">
        <w:trPr>
          <w:trHeight w:val="20"/>
        </w:trPr>
        <w:tc>
          <w:tcPr>
            <w:tcW w:w="2835" w:type="dxa"/>
            <w:tcBorders>
              <w:top w:val="single" w:sz="2" w:space="0" w:color="58595B"/>
              <w:left w:val="nil"/>
              <w:bottom w:val="single" w:sz="2" w:space="0" w:color="58595B"/>
              <w:right w:val="nil"/>
            </w:tcBorders>
          </w:tcPr>
          <w:p w14:paraId="7894F2B4" w14:textId="77777777" w:rsidR="00D06CB2" w:rsidRPr="005C5E32" w:rsidRDefault="00D06CB2">
            <w:pPr>
              <w:pStyle w:val="TableTextbold"/>
              <w:spacing w:before="30" w:after="30"/>
            </w:pPr>
            <w:r w:rsidRPr="005C5E32">
              <w:t>Lifetime expected credit loss ($000)</w:t>
            </w:r>
          </w:p>
        </w:tc>
        <w:tc>
          <w:tcPr>
            <w:tcW w:w="1137" w:type="dxa"/>
            <w:tcBorders>
              <w:top w:val="single" w:sz="2" w:space="0" w:color="58595B"/>
              <w:left w:val="nil"/>
              <w:bottom w:val="single" w:sz="2" w:space="0" w:color="58595B"/>
              <w:right w:val="nil"/>
            </w:tcBorders>
          </w:tcPr>
          <w:p w14:paraId="052FD476" w14:textId="0BD199AE" w:rsidR="00D06CB2" w:rsidRPr="005C5E32" w:rsidRDefault="001445B8">
            <w:pPr>
              <w:pStyle w:val="TableTextbold"/>
              <w:spacing w:before="30" w:after="30"/>
              <w:jc w:val="right"/>
            </w:pPr>
            <w:r w:rsidRPr="005C5E32">
              <w:t>–</w:t>
            </w:r>
          </w:p>
        </w:tc>
        <w:tc>
          <w:tcPr>
            <w:tcW w:w="1153" w:type="dxa"/>
            <w:tcBorders>
              <w:top w:val="single" w:sz="2" w:space="0" w:color="58595B"/>
              <w:left w:val="nil"/>
              <w:bottom w:val="single" w:sz="2" w:space="0" w:color="58595B"/>
              <w:right w:val="nil"/>
            </w:tcBorders>
          </w:tcPr>
          <w:p w14:paraId="16F66A18" w14:textId="53474EFC" w:rsidR="00D06CB2" w:rsidRPr="005C5E32" w:rsidRDefault="001445B8">
            <w:pPr>
              <w:pStyle w:val="TableTextbold"/>
              <w:spacing w:before="30" w:after="30"/>
              <w:jc w:val="right"/>
            </w:pPr>
            <w:r w:rsidRPr="005C5E32">
              <w:t>–</w:t>
            </w:r>
          </w:p>
        </w:tc>
        <w:tc>
          <w:tcPr>
            <w:tcW w:w="1153" w:type="dxa"/>
            <w:tcBorders>
              <w:top w:val="single" w:sz="2" w:space="0" w:color="58595B"/>
              <w:left w:val="nil"/>
              <w:bottom w:val="single" w:sz="2" w:space="0" w:color="58595B"/>
              <w:right w:val="nil"/>
            </w:tcBorders>
          </w:tcPr>
          <w:p w14:paraId="0650C92E" w14:textId="74210AE1" w:rsidR="00D06CB2" w:rsidRPr="005C5E32" w:rsidRDefault="001445B8">
            <w:pPr>
              <w:pStyle w:val="TableTextbold"/>
              <w:spacing w:before="30" w:after="30"/>
              <w:jc w:val="right"/>
            </w:pPr>
            <w:r w:rsidRPr="005C5E32">
              <w:t>–</w:t>
            </w:r>
          </w:p>
        </w:tc>
        <w:tc>
          <w:tcPr>
            <w:tcW w:w="1331" w:type="dxa"/>
            <w:tcBorders>
              <w:top w:val="single" w:sz="2" w:space="0" w:color="58595B"/>
              <w:left w:val="nil"/>
              <w:bottom w:val="single" w:sz="2" w:space="0" w:color="58595B"/>
              <w:right w:val="nil"/>
            </w:tcBorders>
          </w:tcPr>
          <w:p w14:paraId="64428E80" w14:textId="3F7D38A6" w:rsidR="00D06CB2" w:rsidRPr="005C5E32" w:rsidRDefault="001445B8">
            <w:pPr>
              <w:pStyle w:val="TableTextbold"/>
              <w:spacing w:before="30" w:after="30"/>
              <w:jc w:val="right"/>
            </w:pPr>
            <w:r w:rsidRPr="005C5E32">
              <w:t>–</w:t>
            </w:r>
          </w:p>
        </w:tc>
        <w:tc>
          <w:tcPr>
            <w:tcW w:w="896" w:type="dxa"/>
            <w:tcBorders>
              <w:top w:val="single" w:sz="2" w:space="0" w:color="58595B"/>
              <w:left w:val="nil"/>
              <w:bottom w:val="single" w:sz="2" w:space="0" w:color="58595B"/>
              <w:right w:val="nil"/>
            </w:tcBorders>
          </w:tcPr>
          <w:p w14:paraId="6861A574" w14:textId="77777777" w:rsidR="00D06CB2" w:rsidRPr="005C5E32" w:rsidRDefault="00D06CB2">
            <w:pPr>
              <w:pStyle w:val="TableTextbold"/>
              <w:spacing w:before="30" w:after="30"/>
              <w:jc w:val="right"/>
            </w:pPr>
            <w:r w:rsidRPr="005C5E32">
              <w:t>–</w:t>
            </w:r>
          </w:p>
        </w:tc>
      </w:tr>
    </w:tbl>
    <w:p w14:paraId="1E6A65CC" w14:textId="77777777" w:rsidR="00D06CB2" w:rsidRPr="005C5E32" w:rsidRDefault="00D06CB2">
      <w:pPr>
        <w:pStyle w:val="BodyText"/>
        <w:spacing w:before="240"/>
      </w:pPr>
      <w:r w:rsidRPr="005C5E32">
        <w:t>There was no movement in the allowance for credit losses as at 30 June 2026 (2024/25: $nil).</w:t>
      </w:r>
    </w:p>
    <w:p w14:paraId="72D00E8F" w14:textId="77777777" w:rsidR="00D06CB2" w:rsidRPr="005C5E32" w:rsidRDefault="00D06CB2">
      <w:pPr>
        <w:pStyle w:val="BodyText"/>
        <w:rPr>
          <w:b/>
          <w:bCs/>
        </w:rPr>
      </w:pPr>
      <w:r w:rsidRPr="005C5E32">
        <w:t>No provision has been recognised, and all receivables are expected to be collected (2024/25: No provision recognised).</w:t>
      </w:r>
    </w:p>
    <w:p w14:paraId="32CB80C8" w14:textId="77777777" w:rsidR="00D06CB2" w:rsidRPr="005C5E32" w:rsidRDefault="00D06CB2">
      <w:pPr>
        <w:pStyle w:val="Heading3"/>
        <w:tabs>
          <w:tab w:val="clear" w:pos="851"/>
          <w:tab w:val="left" w:pos="567"/>
        </w:tabs>
      </w:pPr>
      <w:bookmarkStart w:id="424" w:name="_Toc112144659"/>
      <w:r w:rsidRPr="005C5E32">
        <w:lastRenderedPageBreak/>
        <w:t>8.</w:t>
      </w:r>
      <w:r w:rsidRPr="005C5E32">
        <w:tab/>
        <w:t>Payables</w:t>
      </w:r>
      <w:bookmarkEnd w:id="424"/>
    </w:p>
    <w:p w14:paraId="441843CF" w14:textId="77777777" w:rsidR="00D06CB2" w:rsidRPr="005C5E32" w:rsidRDefault="00D06CB2">
      <w:pPr>
        <w:pStyle w:val="Heading4"/>
        <w:spacing w:before="180"/>
      </w:pPr>
      <w:r w:rsidRPr="005C5E32">
        <w:t>Accounting policy</w:t>
      </w:r>
    </w:p>
    <w:p w14:paraId="71EE3D27" w14:textId="77777777" w:rsidR="00D06CB2" w:rsidRPr="005C5E32" w:rsidRDefault="00D06CB2" w:rsidP="00226250">
      <w:pPr>
        <w:pStyle w:val="BodyText"/>
        <w:spacing w:before="100" w:after="100"/>
      </w:pPr>
      <w:r w:rsidRPr="005C5E32">
        <w:t>Short-term payables are recorded at the amount payable to extinguish the liability.</w:t>
      </w:r>
    </w:p>
    <w:p w14:paraId="5BAD0304" w14:textId="77777777" w:rsidR="00D06CB2" w:rsidRPr="005C5E32" w:rsidRDefault="00D06CB2" w:rsidP="00226250">
      <w:pPr>
        <w:pStyle w:val="Heading4"/>
        <w:spacing w:before="180" w:after="180"/>
      </w:pPr>
      <w:r w:rsidRPr="005C5E32">
        <w:t>Breakdown of payables and further information</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805"/>
        <w:gridCol w:w="2443"/>
        <w:gridCol w:w="1257"/>
      </w:tblGrid>
      <w:tr w:rsidR="00D06CB2" w:rsidRPr="005C5E32" w14:paraId="15C2C8CF" w14:textId="77777777" w:rsidTr="009264C0">
        <w:trPr>
          <w:trHeight w:val="20"/>
          <w:tblHeader/>
        </w:trPr>
        <w:tc>
          <w:tcPr>
            <w:tcW w:w="7189" w:type="dxa"/>
            <w:gridSpan w:val="2"/>
            <w:tcBorders>
              <w:top w:val="single" w:sz="8" w:space="0" w:color="0E7C7E"/>
              <w:bottom w:val="single" w:sz="2" w:space="0" w:color="58595B"/>
            </w:tcBorders>
          </w:tcPr>
          <w:p w14:paraId="1759A86B" w14:textId="77777777" w:rsidR="00D06CB2" w:rsidRPr="005C5E32" w:rsidRDefault="00D06CB2">
            <w:pPr>
              <w:pStyle w:val="TableboldGreen"/>
              <w:spacing w:before="40" w:after="40"/>
              <w:jc w:val="right"/>
            </w:pPr>
            <w:r w:rsidRPr="005C5E32">
              <w:t>2024/25</w:t>
            </w:r>
            <w:r w:rsidRPr="005C5E32">
              <w:br/>
              <w:t>Actual</w:t>
            </w:r>
            <w:r w:rsidRPr="005C5E32">
              <w:br/>
              <w:t>$000</w:t>
            </w:r>
          </w:p>
        </w:tc>
        <w:tc>
          <w:tcPr>
            <w:tcW w:w="1247" w:type="dxa"/>
            <w:tcBorders>
              <w:top w:val="single" w:sz="8" w:space="0" w:color="0E7C7E"/>
              <w:bottom w:val="single" w:sz="2" w:space="0" w:color="58595B"/>
            </w:tcBorders>
            <w:shd w:val="clear" w:color="auto" w:fill="E7F2F2"/>
          </w:tcPr>
          <w:p w14:paraId="659EBCED" w14:textId="77777777" w:rsidR="00D06CB2" w:rsidRPr="005C5E32" w:rsidRDefault="00D06CB2">
            <w:pPr>
              <w:pStyle w:val="TableboldGreen"/>
              <w:spacing w:before="40" w:after="40"/>
              <w:jc w:val="right"/>
            </w:pPr>
            <w:r w:rsidRPr="005C5E32">
              <w:t>2025/26</w:t>
            </w:r>
            <w:r w:rsidRPr="005C5E32">
              <w:br/>
              <w:t>Actual</w:t>
            </w:r>
            <w:r w:rsidRPr="005C5E32">
              <w:br/>
              <w:t>$000</w:t>
            </w:r>
          </w:p>
        </w:tc>
      </w:tr>
      <w:tr w:rsidR="00D06CB2" w:rsidRPr="005C5E32" w14:paraId="177E1789" w14:textId="77777777" w:rsidTr="009264C0">
        <w:trPr>
          <w:trHeight w:val="20"/>
        </w:trPr>
        <w:tc>
          <w:tcPr>
            <w:tcW w:w="4766" w:type="dxa"/>
            <w:tcBorders>
              <w:top w:val="single" w:sz="2" w:space="0" w:color="58595B"/>
              <w:bottom w:val="nil"/>
            </w:tcBorders>
          </w:tcPr>
          <w:p w14:paraId="6C9E7893" w14:textId="77777777" w:rsidR="00D06CB2" w:rsidRPr="005C5E32" w:rsidRDefault="00D06CB2">
            <w:pPr>
              <w:pStyle w:val="TableboldGreen"/>
              <w:spacing w:before="30" w:after="30"/>
            </w:pPr>
            <w:r w:rsidRPr="005C5E32">
              <w:t>Current payables are represented by:</w:t>
            </w:r>
          </w:p>
        </w:tc>
        <w:tc>
          <w:tcPr>
            <w:tcW w:w="2423" w:type="dxa"/>
            <w:tcBorders>
              <w:top w:val="single" w:sz="2" w:space="0" w:color="58595B"/>
              <w:bottom w:val="nil"/>
            </w:tcBorders>
          </w:tcPr>
          <w:p w14:paraId="16849544" w14:textId="77777777" w:rsidR="00D06CB2" w:rsidRPr="005C5E32" w:rsidRDefault="00D06CB2">
            <w:pPr>
              <w:pStyle w:val="TableText"/>
              <w:spacing w:before="30" w:after="30"/>
              <w:jc w:val="right"/>
            </w:pPr>
          </w:p>
        </w:tc>
        <w:tc>
          <w:tcPr>
            <w:tcW w:w="1247" w:type="dxa"/>
            <w:tcBorders>
              <w:top w:val="single" w:sz="2" w:space="0" w:color="58595B"/>
              <w:bottom w:val="nil"/>
            </w:tcBorders>
            <w:shd w:val="clear" w:color="auto" w:fill="E7F2F2"/>
          </w:tcPr>
          <w:p w14:paraId="775F20E6" w14:textId="77777777" w:rsidR="00D06CB2" w:rsidRPr="005C5E32" w:rsidRDefault="00D06CB2">
            <w:pPr>
              <w:pStyle w:val="TableText"/>
              <w:spacing w:before="30" w:after="30"/>
              <w:jc w:val="right"/>
              <w:rPr>
                <w:highlight w:val="yellow"/>
              </w:rPr>
            </w:pPr>
          </w:p>
        </w:tc>
      </w:tr>
      <w:tr w:rsidR="00D06CB2" w:rsidRPr="005C5E32" w14:paraId="7F323BF8" w14:textId="77777777" w:rsidTr="009264C0">
        <w:trPr>
          <w:trHeight w:val="20"/>
        </w:trPr>
        <w:tc>
          <w:tcPr>
            <w:tcW w:w="4766" w:type="dxa"/>
            <w:tcBorders>
              <w:top w:val="nil"/>
              <w:left w:val="nil"/>
              <w:bottom w:val="single" w:sz="4" w:space="0" w:color="auto"/>
              <w:right w:val="nil"/>
            </w:tcBorders>
          </w:tcPr>
          <w:p w14:paraId="5B599F89" w14:textId="77777777" w:rsidR="00D06CB2" w:rsidRPr="005C5E32" w:rsidRDefault="00D06CB2">
            <w:pPr>
              <w:pStyle w:val="TableText"/>
              <w:spacing w:before="30" w:after="30"/>
            </w:pPr>
            <w:r w:rsidRPr="005C5E32">
              <w:t>Waikato River Co-management</w:t>
            </w:r>
          </w:p>
        </w:tc>
        <w:tc>
          <w:tcPr>
            <w:tcW w:w="2423" w:type="dxa"/>
            <w:tcBorders>
              <w:top w:val="nil"/>
              <w:left w:val="nil"/>
              <w:bottom w:val="single" w:sz="4" w:space="0" w:color="auto"/>
              <w:right w:val="nil"/>
            </w:tcBorders>
          </w:tcPr>
          <w:p w14:paraId="184A3086" w14:textId="77777777" w:rsidR="00D06CB2" w:rsidRPr="005C5E32" w:rsidRDefault="00D06CB2">
            <w:pPr>
              <w:pStyle w:val="TableText"/>
              <w:spacing w:before="30" w:after="30"/>
              <w:jc w:val="right"/>
            </w:pPr>
            <w:r w:rsidRPr="005C5E32">
              <w:t>8,000</w:t>
            </w:r>
          </w:p>
        </w:tc>
        <w:tc>
          <w:tcPr>
            <w:tcW w:w="1247" w:type="dxa"/>
            <w:tcBorders>
              <w:top w:val="nil"/>
              <w:left w:val="nil"/>
              <w:bottom w:val="single" w:sz="4" w:space="0" w:color="auto"/>
              <w:right w:val="nil"/>
            </w:tcBorders>
            <w:shd w:val="clear" w:color="auto" w:fill="E7F2F2"/>
          </w:tcPr>
          <w:p w14:paraId="713451C7" w14:textId="77777777" w:rsidR="00D06CB2" w:rsidRPr="005C5E32" w:rsidRDefault="00D06CB2">
            <w:pPr>
              <w:pStyle w:val="TableText"/>
              <w:spacing w:before="30" w:after="30"/>
              <w:jc w:val="right"/>
            </w:pPr>
            <w:r w:rsidRPr="005C5E32">
              <w:t>6,000</w:t>
            </w:r>
          </w:p>
        </w:tc>
      </w:tr>
      <w:tr w:rsidR="00D06CB2" w:rsidRPr="005C5E32" w14:paraId="7E051DED" w14:textId="77777777" w:rsidTr="009264C0">
        <w:trPr>
          <w:trHeight w:val="20"/>
        </w:trPr>
        <w:tc>
          <w:tcPr>
            <w:tcW w:w="4766" w:type="dxa"/>
            <w:tcBorders>
              <w:top w:val="single" w:sz="4" w:space="0" w:color="auto"/>
              <w:left w:val="nil"/>
              <w:bottom w:val="single" w:sz="4" w:space="0" w:color="auto"/>
              <w:right w:val="nil"/>
            </w:tcBorders>
          </w:tcPr>
          <w:p w14:paraId="4533A2E3" w14:textId="77777777" w:rsidR="00D06CB2" w:rsidRPr="005C5E32" w:rsidRDefault="00D06CB2">
            <w:pPr>
              <w:pStyle w:val="TableText"/>
              <w:spacing w:before="30" w:after="30"/>
            </w:pPr>
            <w:r w:rsidRPr="005C5E32">
              <w:t>Waikato River Clean-up Fund</w:t>
            </w:r>
          </w:p>
        </w:tc>
        <w:tc>
          <w:tcPr>
            <w:tcW w:w="2423" w:type="dxa"/>
            <w:tcBorders>
              <w:top w:val="single" w:sz="4" w:space="0" w:color="auto"/>
              <w:left w:val="nil"/>
              <w:bottom w:val="single" w:sz="4" w:space="0" w:color="auto"/>
              <w:right w:val="nil"/>
            </w:tcBorders>
          </w:tcPr>
          <w:p w14:paraId="68FCB9CD" w14:textId="77777777" w:rsidR="00D06CB2" w:rsidRPr="005C5E32" w:rsidRDefault="00D06CB2">
            <w:pPr>
              <w:pStyle w:val="TableText"/>
              <w:spacing w:before="30" w:after="30"/>
              <w:jc w:val="right"/>
            </w:pPr>
            <w:r w:rsidRPr="005C5E32">
              <w:t>6,916</w:t>
            </w:r>
          </w:p>
        </w:tc>
        <w:tc>
          <w:tcPr>
            <w:tcW w:w="1247" w:type="dxa"/>
            <w:tcBorders>
              <w:top w:val="single" w:sz="4" w:space="0" w:color="auto"/>
              <w:left w:val="nil"/>
              <w:bottom w:val="single" w:sz="4" w:space="0" w:color="auto"/>
              <w:right w:val="nil"/>
            </w:tcBorders>
            <w:shd w:val="clear" w:color="auto" w:fill="E7F2F2"/>
          </w:tcPr>
          <w:p w14:paraId="4270D76C" w14:textId="77777777" w:rsidR="00D06CB2" w:rsidRPr="005C5E32" w:rsidRDefault="00D06CB2">
            <w:pPr>
              <w:pStyle w:val="TableText"/>
              <w:spacing w:before="30" w:after="30"/>
              <w:jc w:val="right"/>
            </w:pPr>
            <w:r w:rsidRPr="005C5E32">
              <w:t>6,918</w:t>
            </w:r>
          </w:p>
        </w:tc>
      </w:tr>
      <w:tr w:rsidR="00D06CB2" w:rsidRPr="005C5E32" w14:paraId="48656AF4" w14:textId="77777777" w:rsidTr="009264C0">
        <w:trPr>
          <w:trHeight w:val="20"/>
        </w:trPr>
        <w:tc>
          <w:tcPr>
            <w:tcW w:w="4766" w:type="dxa"/>
            <w:tcBorders>
              <w:top w:val="single" w:sz="4" w:space="0" w:color="auto"/>
              <w:left w:val="nil"/>
              <w:bottom w:val="single" w:sz="4" w:space="0" w:color="auto"/>
              <w:right w:val="nil"/>
            </w:tcBorders>
          </w:tcPr>
          <w:p w14:paraId="255A092E" w14:textId="77777777" w:rsidR="00D06CB2" w:rsidRPr="005C5E32" w:rsidRDefault="00D06CB2">
            <w:pPr>
              <w:pStyle w:val="TableText"/>
              <w:spacing w:before="30" w:after="30"/>
            </w:pPr>
            <w:r w:rsidRPr="005C5E32">
              <w:t>Te Pou Tupua (Whanganui River Funds)</w:t>
            </w:r>
          </w:p>
        </w:tc>
        <w:tc>
          <w:tcPr>
            <w:tcW w:w="2423" w:type="dxa"/>
            <w:tcBorders>
              <w:top w:val="single" w:sz="4" w:space="0" w:color="auto"/>
              <w:left w:val="nil"/>
              <w:bottom w:val="single" w:sz="4" w:space="0" w:color="auto"/>
              <w:right w:val="nil"/>
            </w:tcBorders>
          </w:tcPr>
          <w:p w14:paraId="0A1EFBC3" w14:textId="77777777" w:rsidR="00D06CB2" w:rsidRPr="005C5E32" w:rsidRDefault="00D06CB2">
            <w:pPr>
              <w:pStyle w:val="TableText"/>
              <w:spacing w:before="30" w:after="30"/>
              <w:jc w:val="right"/>
            </w:pPr>
            <w:r w:rsidRPr="005C5E32">
              <w:t>590</w:t>
            </w:r>
          </w:p>
        </w:tc>
        <w:tc>
          <w:tcPr>
            <w:tcW w:w="1247" w:type="dxa"/>
            <w:tcBorders>
              <w:top w:val="single" w:sz="4" w:space="0" w:color="auto"/>
              <w:left w:val="nil"/>
              <w:bottom w:val="single" w:sz="4" w:space="0" w:color="auto"/>
              <w:right w:val="nil"/>
            </w:tcBorders>
            <w:shd w:val="clear" w:color="auto" w:fill="E7F2F2"/>
          </w:tcPr>
          <w:p w14:paraId="61AD1758" w14:textId="77777777" w:rsidR="00D06CB2" w:rsidRPr="005C5E32" w:rsidRDefault="00D06CB2">
            <w:pPr>
              <w:pStyle w:val="TableText"/>
              <w:spacing w:before="30" w:after="30"/>
              <w:jc w:val="right"/>
            </w:pPr>
            <w:r w:rsidRPr="005C5E32">
              <w:t>590</w:t>
            </w:r>
          </w:p>
        </w:tc>
      </w:tr>
      <w:tr w:rsidR="00D06CB2" w:rsidRPr="005C5E32" w14:paraId="0F92C0D3" w14:textId="77777777" w:rsidTr="009264C0">
        <w:trPr>
          <w:trHeight w:val="20"/>
        </w:trPr>
        <w:tc>
          <w:tcPr>
            <w:tcW w:w="4766" w:type="dxa"/>
            <w:tcBorders>
              <w:top w:val="single" w:sz="4" w:space="0" w:color="auto"/>
              <w:left w:val="nil"/>
              <w:bottom w:val="single" w:sz="4" w:space="0" w:color="auto"/>
              <w:right w:val="nil"/>
            </w:tcBorders>
          </w:tcPr>
          <w:p w14:paraId="75C4E043" w14:textId="77777777" w:rsidR="00D06CB2" w:rsidRPr="005C5E32" w:rsidRDefault="00D06CB2">
            <w:pPr>
              <w:pStyle w:val="TableText"/>
              <w:spacing w:before="30" w:after="30"/>
            </w:pPr>
            <w:r w:rsidRPr="005C5E32">
              <w:t xml:space="preserve">Transitional </w:t>
            </w:r>
            <w:r w:rsidRPr="005C5E32" w:rsidDel="00F37AFB">
              <w:t>S</w:t>
            </w:r>
            <w:r w:rsidRPr="005C5E32">
              <w:t xml:space="preserve">upport for Local </w:t>
            </w:r>
            <w:r w:rsidRPr="005C5E32" w:rsidDel="00F37AFB">
              <w:t>G</w:t>
            </w:r>
            <w:r w:rsidRPr="005C5E32">
              <w:t xml:space="preserve">overnment and </w:t>
            </w:r>
            <w:r w:rsidRPr="005C5E32" w:rsidDel="00F37AFB">
              <w:t>I</w:t>
            </w:r>
            <w:r w:rsidRPr="005C5E32">
              <w:t>wi</w:t>
            </w:r>
          </w:p>
        </w:tc>
        <w:tc>
          <w:tcPr>
            <w:tcW w:w="2423" w:type="dxa"/>
            <w:tcBorders>
              <w:top w:val="single" w:sz="4" w:space="0" w:color="auto"/>
              <w:left w:val="nil"/>
              <w:bottom w:val="single" w:sz="4" w:space="0" w:color="auto"/>
              <w:right w:val="nil"/>
            </w:tcBorders>
          </w:tcPr>
          <w:p w14:paraId="1CDC7170" w14:textId="77777777" w:rsidR="00D06CB2" w:rsidRPr="005C5E32" w:rsidRDefault="00D06CB2">
            <w:pPr>
              <w:pStyle w:val="TableText"/>
              <w:spacing w:before="30" w:after="30"/>
              <w:jc w:val="right"/>
            </w:pPr>
            <w:r w:rsidRPr="005C5E32">
              <w:t>8,793</w:t>
            </w:r>
          </w:p>
        </w:tc>
        <w:tc>
          <w:tcPr>
            <w:tcW w:w="1247" w:type="dxa"/>
            <w:tcBorders>
              <w:top w:val="single" w:sz="4" w:space="0" w:color="auto"/>
              <w:left w:val="nil"/>
              <w:bottom w:val="single" w:sz="4" w:space="0" w:color="auto"/>
              <w:right w:val="nil"/>
            </w:tcBorders>
            <w:shd w:val="clear" w:color="auto" w:fill="E7F2F2"/>
          </w:tcPr>
          <w:p w14:paraId="4FF89C58" w14:textId="77777777" w:rsidR="00D06CB2" w:rsidRPr="005C5E32" w:rsidRDefault="00D06CB2">
            <w:pPr>
              <w:pStyle w:val="TableText"/>
              <w:spacing w:before="30" w:after="30"/>
              <w:jc w:val="right"/>
            </w:pPr>
            <w:r w:rsidRPr="005C5E32">
              <w:t>8,793</w:t>
            </w:r>
          </w:p>
        </w:tc>
      </w:tr>
      <w:tr w:rsidR="00D06CB2" w:rsidRPr="005C5E32" w14:paraId="35FCB0F0" w14:textId="77777777" w:rsidTr="009264C0">
        <w:trPr>
          <w:trHeight w:val="20"/>
        </w:trPr>
        <w:tc>
          <w:tcPr>
            <w:tcW w:w="4766" w:type="dxa"/>
            <w:tcBorders>
              <w:top w:val="single" w:sz="4" w:space="0" w:color="auto"/>
              <w:left w:val="nil"/>
              <w:bottom w:val="single" w:sz="4" w:space="0" w:color="auto"/>
              <w:right w:val="nil"/>
            </w:tcBorders>
          </w:tcPr>
          <w:p w14:paraId="0BFC24DD" w14:textId="77777777" w:rsidR="00D06CB2" w:rsidRPr="005C5E32" w:rsidRDefault="00D06CB2">
            <w:pPr>
              <w:pStyle w:val="TableText"/>
              <w:spacing w:before="30" w:after="30"/>
            </w:pPr>
            <w:r w:rsidRPr="005C5E32">
              <w:t>GST payable</w:t>
            </w:r>
          </w:p>
        </w:tc>
        <w:tc>
          <w:tcPr>
            <w:tcW w:w="2423" w:type="dxa"/>
            <w:tcBorders>
              <w:top w:val="single" w:sz="4" w:space="0" w:color="auto"/>
              <w:left w:val="nil"/>
              <w:bottom w:val="single" w:sz="4" w:space="0" w:color="auto"/>
              <w:right w:val="nil"/>
            </w:tcBorders>
          </w:tcPr>
          <w:p w14:paraId="631EED54" w14:textId="77777777" w:rsidR="00D06CB2" w:rsidRPr="005C5E32" w:rsidRDefault="00D06CB2">
            <w:pPr>
              <w:pStyle w:val="TableText"/>
              <w:spacing w:before="30" w:after="30"/>
              <w:jc w:val="right"/>
            </w:pPr>
            <w:r w:rsidRPr="005C5E32">
              <w:t>3,396</w:t>
            </w:r>
          </w:p>
        </w:tc>
        <w:tc>
          <w:tcPr>
            <w:tcW w:w="1247" w:type="dxa"/>
            <w:tcBorders>
              <w:top w:val="single" w:sz="4" w:space="0" w:color="auto"/>
              <w:left w:val="nil"/>
              <w:bottom w:val="single" w:sz="4" w:space="0" w:color="auto"/>
              <w:right w:val="nil"/>
            </w:tcBorders>
            <w:shd w:val="clear" w:color="auto" w:fill="E7F2F2"/>
          </w:tcPr>
          <w:p w14:paraId="34838E73" w14:textId="77777777" w:rsidR="00D06CB2" w:rsidRPr="005C5E32" w:rsidRDefault="00D06CB2">
            <w:pPr>
              <w:pStyle w:val="TableText"/>
              <w:spacing w:before="30" w:after="30"/>
              <w:jc w:val="right"/>
            </w:pPr>
            <w:r w:rsidRPr="005C5E32">
              <w:t>3,611</w:t>
            </w:r>
          </w:p>
        </w:tc>
      </w:tr>
      <w:tr w:rsidR="00D06CB2" w:rsidRPr="005C5E32" w14:paraId="4604B7F7" w14:textId="77777777" w:rsidTr="009264C0">
        <w:trPr>
          <w:trHeight w:val="20"/>
        </w:trPr>
        <w:tc>
          <w:tcPr>
            <w:tcW w:w="4766" w:type="dxa"/>
            <w:tcBorders>
              <w:top w:val="single" w:sz="4" w:space="0" w:color="auto"/>
              <w:left w:val="nil"/>
              <w:bottom w:val="single" w:sz="4" w:space="0" w:color="auto"/>
              <w:right w:val="nil"/>
            </w:tcBorders>
          </w:tcPr>
          <w:p w14:paraId="3A1CB4E4" w14:textId="77777777" w:rsidR="00D06CB2" w:rsidRPr="005C5E32" w:rsidRDefault="00D06CB2">
            <w:pPr>
              <w:pStyle w:val="TableText"/>
              <w:spacing w:before="30" w:after="30"/>
            </w:pPr>
            <w:r w:rsidRPr="005C5E32">
              <w:t>Waste Disposal Levy disbursements payables</w:t>
            </w:r>
          </w:p>
        </w:tc>
        <w:tc>
          <w:tcPr>
            <w:tcW w:w="2423" w:type="dxa"/>
            <w:tcBorders>
              <w:top w:val="single" w:sz="4" w:space="0" w:color="auto"/>
              <w:left w:val="nil"/>
              <w:bottom w:val="single" w:sz="4" w:space="0" w:color="auto"/>
              <w:right w:val="nil"/>
            </w:tcBorders>
          </w:tcPr>
          <w:p w14:paraId="7A54502A" w14:textId="77777777" w:rsidR="00D06CB2" w:rsidRPr="005C5E32" w:rsidRDefault="00D06CB2">
            <w:pPr>
              <w:pStyle w:val="TableText"/>
              <w:spacing w:before="30" w:after="30"/>
              <w:jc w:val="right"/>
            </w:pPr>
            <w:r w:rsidRPr="005C5E32">
              <w:t>49,289</w:t>
            </w:r>
          </w:p>
        </w:tc>
        <w:tc>
          <w:tcPr>
            <w:tcW w:w="1247" w:type="dxa"/>
            <w:tcBorders>
              <w:top w:val="single" w:sz="4" w:space="0" w:color="auto"/>
              <w:left w:val="nil"/>
              <w:bottom w:val="single" w:sz="4" w:space="0" w:color="auto"/>
              <w:right w:val="nil"/>
            </w:tcBorders>
            <w:shd w:val="clear" w:color="auto" w:fill="E7F2F2"/>
          </w:tcPr>
          <w:p w14:paraId="0F944416" w14:textId="77777777" w:rsidR="00D06CB2" w:rsidRPr="005C5E32" w:rsidRDefault="00D06CB2">
            <w:pPr>
              <w:pStyle w:val="TableText"/>
              <w:spacing w:before="30" w:after="30"/>
              <w:jc w:val="right"/>
            </w:pPr>
            <w:r w:rsidRPr="005C5E32">
              <w:t>52,616</w:t>
            </w:r>
          </w:p>
        </w:tc>
      </w:tr>
      <w:tr w:rsidR="00D06CB2" w:rsidRPr="005C5E32" w14:paraId="271295CF" w14:textId="77777777" w:rsidTr="009264C0">
        <w:trPr>
          <w:trHeight w:val="20"/>
        </w:trPr>
        <w:tc>
          <w:tcPr>
            <w:tcW w:w="4766" w:type="dxa"/>
            <w:tcBorders>
              <w:top w:val="single" w:sz="4" w:space="0" w:color="auto"/>
              <w:left w:val="nil"/>
              <w:bottom w:val="single" w:sz="4" w:space="0" w:color="auto"/>
              <w:right w:val="nil"/>
            </w:tcBorders>
          </w:tcPr>
          <w:p w14:paraId="3E124C82" w14:textId="77777777" w:rsidR="00D06CB2" w:rsidRPr="005C5E32" w:rsidRDefault="00D06CB2">
            <w:pPr>
              <w:pStyle w:val="TableText"/>
              <w:spacing w:before="30" w:after="30"/>
            </w:pPr>
            <w:r w:rsidRPr="005C5E32">
              <w:t>Accrued payables</w:t>
            </w:r>
          </w:p>
        </w:tc>
        <w:tc>
          <w:tcPr>
            <w:tcW w:w="2423" w:type="dxa"/>
            <w:tcBorders>
              <w:top w:val="single" w:sz="4" w:space="0" w:color="auto"/>
              <w:left w:val="nil"/>
              <w:bottom w:val="single" w:sz="4" w:space="0" w:color="auto"/>
              <w:right w:val="nil"/>
            </w:tcBorders>
          </w:tcPr>
          <w:p w14:paraId="5F0DDF88" w14:textId="77777777" w:rsidR="00D06CB2" w:rsidRPr="005C5E32" w:rsidRDefault="00D06CB2">
            <w:pPr>
              <w:pStyle w:val="TableText"/>
              <w:spacing w:before="30" w:after="30"/>
              <w:jc w:val="right"/>
            </w:pPr>
            <w:r w:rsidRPr="005C5E32">
              <w:t>12,922</w:t>
            </w:r>
          </w:p>
        </w:tc>
        <w:tc>
          <w:tcPr>
            <w:tcW w:w="1247" w:type="dxa"/>
            <w:tcBorders>
              <w:top w:val="single" w:sz="4" w:space="0" w:color="auto"/>
              <w:left w:val="nil"/>
              <w:bottom w:val="single" w:sz="4" w:space="0" w:color="auto"/>
              <w:right w:val="nil"/>
            </w:tcBorders>
            <w:shd w:val="clear" w:color="auto" w:fill="E7F2F2"/>
          </w:tcPr>
          <w:p w14:paraId="3245491C" w14:textId="77777777" w:rsidR="00D06CB2" w:rsidRPr="005C5E32" w:rsidRDefault="00D06CB2">
            <w:pPr>
              <w:pStyle w:val="TableText"/>
              <w:spacing w:before="30" w:after="30"/>
              <w:jc w:val="right"/>
            </w:pPr>
            <w:r w:rsidRPr="005C5E32">
              <w:t>10,775</w:t>
            </w:r>
          </w:p>
        </w:tc>
      </w:tr>
      <w:tr w:rsidR="00D06CB2" w:rsidRPr="005C5E32" w14:paraId="10EABEC4" w14:textId="77777777" w:rsidTr="009264C0">
        <w:trPr>
          <w:trHeight w:val="20"/>
        </w:trPr>
        <w:tc>
          <w:tcPr>
            <w:tcW w:w="4766" w:type="dxa"/>
            <w:tcBorders>
              <w:top w:val="single" w:sz="4" w:space="0" w:color="auto"/>
              <w:left w:val="nil"/>
              <w:bottom w:val="single" w:sz="4" w:space="0" w:color="auto"/>
              <w:right w:val="nil"/>
            </w:tcBorders>
          </w:tcPr>
          <w:p w14:paraId="0F09E97D" w14:textId="77777777" w:rsidR="00D06CB2" w:rsidRPr="005C5E32" w:rsidRDefault="00D06CB2">
            <w:pPr>
              <w:pStyle w:val="TableText"/>
              <w:spacing w:before="30" w:after="30"/>
              <w:rPr>
                <w:b/>
                <w:bCs/>
              </w:rPr>
            </w:pPr>
            <w:r w:rsidRPr="005C5E32">
              <w:rPr>
                <w:b/>
                <w:bCs/>
              </w:rPr>
              <w:t>Total current portion</w:t>
            </w:r>
          </w:p>
        </w:tc>
        <w:tc>
          <w:tcPr>
            <w:tcW w:w="2423" w:type="dxa"/>
            <w:tcBorders>
              <w:top w:val="single" w:sz="4" w:space="0" w:color="auto"/>
              <w:left w:val="nil"/>
              <w:bottom w:val="single" w:sz="4" w:space="0" w:color="auto"/>
              <w:right w:val="nil"/>
            </w:tcBorders>
          </w:tcPr>
          <w:p w14:paraId="0A4F183C" w14:textId="77777777" w:rsidR="00D06CB2" w:rsidRPr="005C5E32" w:rsidRDefault="00D06CB2">
            <w:pPr>
              <w:pStyle w:val="TableText"/>
              <w:spacing w:before="30" w:after="30"/>
              <w:jc w:val="right"/>
              <w:rPr>
                <w:b/>
                <w:bCs/>
              </w:rPr>
            </w:pPr>
            <w:r w:rsidRPr="005C5E32">
              <w:rPr>
                <w:b/>
                <w:bCs/>
              </w:rPr>
              <w:t>89,906</w:t>
            </w:r>
          </w:p>
        </w:tc>
        <w:tc>
          <w:tcPr>
            <w:tcW w:w="1247" w:type="dxa"/>
            <w:tcBorders>
              <w:top w:val="single" w:sz="4" w:space="0" w:color="auto"/>
              <w:left w:val="nil"/>
              <w:bottom w:val="single" w:sz="4" w:space="0" w:color="auto"/>
              <w:right w:val="nil"/>
            </w:tcBorders>
            <w:shd w:val="clear" w:color="auto" w:fill="E7F2F2"/>
          </w:tcPr>
          <w:p w14:paraId="176175A3" w14:textId="77777777" w:rsidR="00D06CB2" w:rsidRPr="005C5E32" w:rsidRDefault="00D06CB2">
            <w:pPr>
              <w:pStyle w:val="TableText"/>
              <w:spacing w:before="30" w:after="30"/>
              <w:jc w:val="right"/>
            </w:pPr>
            <w:r w:rsidRPr="005C5E32">
              <w:rPr>
                <w:b/>
                <w:bCs/>
              </w:rPr>
              <w:t>89,303</w:t>
            </w:r>
          </w:p>
        </w:tc>
      </w:tr>
      <w:tr w:rsidR="00D06CB2" w:rsidRPr="005C5E32" w14:paraId="0956F260" w14:textId="77777777" w:rsidTr="009264C0">
        <w:trPr>
          <w:trHeight w:val="20"/>
        </w:trPr>
        <w:tc>
          <w:tcPr>
            <w:tcW w:w="4766" w:type="dxa"/>
            <w:tcBorders>
              <w:top w:val="single" w:sz="4" w:space="0" w:color="auto"/>
              <w:left w:val="nil"/>
              <w:bottom w:val="single" w:sz="4" w:space="0" w:color="auto"/>
              <w:right w:val="nil"/>
            </w:tcBorders>
          </w:tcPr>
          <w:p w14:paraId="18A522CC" w14:textId="77777777" w:rsidR="00D06CB2" w:rsidRPr="005C5E32" w:rsidRDefault="00D06CB2">
            <w:pPr>
              <w:pStyle w:val="TableboldGreen"/>
              <w:spacing w:before="30" w:after="30"/>
            </w:pPr>
            <w:r w:rsidRPr="005C5E32">
              <w:t>Non-current payables are represented by:</w:t>
            </w:r>
          </w:p>
        </w:tc>
        <w:tc>
          <w:tcPr>
            <w:tcW w:w="2423" w:type="dxa"/>
            <w:tcBorders>
              <w:top w:val="single" w:sz="4" w:space="0" w:color="auto"/>
              <w:left w:val="nil"/>
              <w:bottom w:val="single" w:sz="4" w:space="0" w:color="auto"/>
              <w:right w:val="nil"/>
            </w:tcBorders>
          </w:tcPr>
          <w:p w14:paraId="1234AB6D" w14:textId="77777777" w:rsidR="00D06CB2" w:rsidRPr="005C5E32" w:rsidRDefault="00D06CB2">
            <w:pPr>
              <w:pStyle w:val="TableText"/>
              <w:spacing w:before="30" w:after="30"/>
              <w:jc w:val="right"/>
            </w:pPr>
          </w:p>
        </w:tc>
        <w:tc>
          <w:tcPr>
            <w:tcW w:w="1247" w:type="dxa"/>
            <w:tcBorders>
              <w:top w:val="single" w:sz="4" w:space="0" w:color="auto"/>
              <w:left w:val="nil"/>
              <w:bottom w:val="single" w:sz="4" w:space="0" w:color="auto"/>
              <w:right w:val="nil"/>
            </w:tcBorders>
            <w:shd w:val="clear" w:color="auto" w:fill="E7F2F2"/>
            <w:vAlign w:val="bottom"/>
          </w:tcPr>
          <w:p w14:paraId="09A13ABC" w14:textId="77777777" w:rsidR="00D06CB2" w:rsidRPr="005C5E32" w:rsidRDefault="00D06CB2">
            <w:pPr>
              <w:pStyle w:val="TableText"/>
              <w:spacing w:before="30" w:after="30"/>
              <w:jc w:val="right"/>
            </w:pPr>
          </w:p>
        </w:tc>
      </w:tr>
      <w:tr w:rsidR="00D06CB2" w:rsidRPr="005C5E32" w14:paraId="1C5D164D" w14:textId="77777777" w:rsidTr="009264C0">
        <w:trPr>
          <w:trHeight w:val="297"/>
        </w:trPr>
        <w:tc>
          <w:tcPr>
            <w:tcW w:w="4766" w:type="dxa"/>
            <w:tcBorders>
              <w:top w:val="single" w:sz="4" w:space="0" w:color="auto"/>
              <w:left w:val="nil"/>
              <w:bottom w:val="single" w:sz="4" w:space="0" w:color="auto"/>
              <w:right w:val="nil"/>
            </w:tcBorders>
            <w:vAlign w:val="bottom"/>
          </w:tcPr>
          <w:p w14:paraId="679D0991" w14:textId="77777777" w:rsidR="00D06CB2" w:rsidRPr="005C5E32" w:rsidRDefault="00D06CB2">
            <w:pPr>
              <w:pStyle w:val="TableText"/>
              <w:spacing w:before="30" w:after="30"/>
            </w:pPr>
            <w:r w:rsidRPr="005C5E32">
              <w:t>Waikato River Clean-up Fund</w:t>
            </w:r>
          </w:p>
        </w:tc>
        <w:tc>
          <w:tcPr>
            <w:tcW w:w="2423" w:type="dxa"/>
            <w:tcBorders>
              <w:top w:val="single" w:sz="4" w:space="0" w:color="auto"/>
              <w:left w:val="nil"/>
              <w:bottom w:val="single" w:sz="4" w:space="0" w:color="auto"/>
              <w:right w:val="nil"/>
            </w:tcBorders>
            <w:vAlign w:val="bottom"/>
          </w:tcPr>
          <w:p w14:paraId="0E84DE77" w14:textId="77777777" w:rsidR="00D06CB2" w:rsidRPr="005C5E32" w:rsidRDefault="00D06CB2">
            <w:pPr>
              <w:pStyle w:val="TableText"/>
              <w:spacing w:before="30" w:after="30"/>
              <w:jc w:val="right"/>
            </w:pPr>
            <w:r w:rsidRPr="005C5E32">
              <w:t>57,988</w:t>
            </w:r>
          </w:p>
        </w:tc>
        <w:tc>
          <w:tcPr>
            <w:tcW w:w="1247" w:type="dxa"/>
            <w:tcBorders>
              <w:top w:val="single" w:sz="4" w:space="0" w:color="auto"/>
              <w:left w:val="nil"/>
              <w:bottom w:val="single" w:sz="4" w:space="0" w:color="auto"/>
              <w:right w:val="nil"/>
            </w:tcBorders>
            <w:shd w:val="clear" w:color="auto" w:fill="E7F2F2"/>
            <w:vAlign w:val="bottom"/>
          </w:tcPr>
          <w:p w14:paraId="1A572618" w14:textId="77777777" w:rsidR="00D06CB2" w:rsidRPr="005C5E32" w:rsidRDefault="00D06CB2">
            <w:pPr>
              <w:pStyle w:val="TableText"/>
              <w:spacing w:before="30" w:after="30"/>
              <w:jc w:val="right"/>
            </w:pPr>
            <w:r w:rsidRPr="005C5E32">
              <w:t>54,563</w:t>
            </w:r>
          </w:p>
        </w:tc>
      </w:tr>
      <w:tr w:rsidR="00D06CB2" w:rsidRPr="005C5E32" w14:paraId="74751054" w14:textId="77777777" w:rsidTr="009264C0">
        <w:trPr>
          <w:trHeight w:val="20"/>
        </w:trPr>
        <w:tc>
          <w:tcPr>
            <w:tcW w:w="4766" w:type="dxa"/>
            <w:tcBorders>
              <w:top w:val="single" w:sz="4" w:space="0" w:color="auto"/>
              <w:left w:val="nil"/>
              <w:bottom w:val="single" w:sz="4" w:space="0" w:color="auto"/>
              <w:right w:val="nil"/>
            </w:tcBorders>
          </w:tcPr>
          <w:p w14:paraId="3A2D4890" w14:textId="77777777" w:rsidR="00D06CB2" w:rsidRPr="005C5E32" w:rsidRDefault="00D06CB2">
            <w:pPr>
              <w:pStyle w:val="TableText"/>
              <w:spacing w:before="30" w:after="30"/>
            </w:pPr>
            <w:r w:rsidRPr="005C5E32">
              <w:t>Te Pou Tupua (Whanganui River Funds)</w:t>
            </w:r>
          </w:p>
        </w:tc>
        <w:tc>
          <w:tcPr>
            <w:tcW w:w="2423" w:type="dxa"/>
            <w:tcBorders>
              <w:top w:val="single" w:sz="4" w:space="0" w:color="auto"/>
              <w:left w:val="nil"/>
              <w:bottom w:val="single" w:sz="4" w:space="0" w:color="auto"/>
              <w:right w:val="nil"/>
            </w:tcBorders>
          </w:tcPr>
          <w:p w14:paraId="764585D0" w14:textId="77777777" w:rsidR="00D06CB2" w:rsidRPr="005C5E32" w:rsidRDefault="00D06CB2">
            <w:pPr>
              <w:pStyle w:val="TableText"/>
              <w:spacing w:before="30" w:after="30"/>
              <w:jc w:val="right"/>
            </w:pPr>
            <w:r w:rsidRPr="005C5E32">
              <w:t>1,200</w:t>
            </w:r>
          </w:p>
        </w:tc>
        <w:tc>
          <w:tcPr>
            <w:tcW w:w="1247" w:type="dxa"/>
            <w:tcBorders>
              <w:top w:val="single" w:sz="4" w:space="0" w:color="auto"/>
              <w:left w:val="nil"/>
              <w:bottom w:val="single" w:sz="4" w:space="0" w:color="auto"/>
              <w:right w:val="nil"/>
            </w:tcBorders>
            <w:shd w:val="clear" w:color="auto" w:fill="E7F2F2"/>
          </w:tcPr>
          <w:p w14:paraId="642B8408" w14:textId="77777777" w:rsidR="00D06CB2" w:rsidRPr="005C5E32" w:rsidRDefault="00D06CB2">
            <w:pPr>
              <w:pStyle w:val="TableText"/>
              <w:spacing w:before="30" w:after="30"/>
              <w:jc w:val="right"/>
            </w:pPr>
            <w:r w:rsidRPr="005C5E32">
              <w:t>1,077</w:t>
            </w:r>
          </w:p>
        </w:tc>
      </w:tr>
      <w:tr w:rsidR="00D06CB2" w:rsidRPr="005C5E32" w14:paraId="65C29429" w14:textId="77777777" w:rsidTr="009264C0">
        <w:trPr>
          <w:trHeight w:val="20"/>
        </w:trPr>
        <w:tc>
          <w:tcPr>
            <w:tcW w:w="4766" w:type="dxa"/>
            <w:tcBorders>
              <w:top w:val="single" w:sz="4" w:space="0" w:color="auto"/>
              <w:left w:val="nil"/>
              <w:bottom w:val="single" w:sz="4" w:space="0" w:color="auto"/>
              <w:right w:val="nil"/>
            </w:tcBorders>
          </w:tcPr>
          <w:p w14:paraId="4A005629" w14:textId="77777777" w:rsidR="00D06CB2" w:rsidRPr="005C5E32" w:rsidRDefault="00D06CB2">
            <w:pPr>
              <w:pStyle w:val="TableText"/>
              <w:spacing w:before="30" w:after="30"/>
              <w:rPr>
                <w:b/>
                <w:bCs/>
              </w:rPr>
            </w:pPr>
            <w:r w:rsidRPr="005C5E32">
              <w:rPr>
                <w:b/>
                <w:bCs/>
              </w:rPr>
              <w:t>Total non-current portion</w:t>
            </w:r>
          </w:p>
        </w:tc>
        <w:tc>
          <w:tcPr>
            <w:tcW w:w="2423" w:type="dxa"/>
            <w:tcBorders>
              <w:top w:val="single" w:sz="4" w:space="0" w:color="auto"/>
              <w:left w:val="nil"/>
              <w:bottom w:val="single" w:sz="4" w:space="0" w:color="auto"/>
              <w:right w:val="nil"/>
            </w:tcBorders>
          </w:tcPr>
          <w:p w14:paraId="09F62F40" w14:textId="77777777" w:rsidR="00D06CB2" w:rsidRPr="005C5E32" w:rsidRDefault="00D06CB2">
            <w:pPr>
              <w:pStyle w:val="TableText"/>
              <w:spacing w:before="30" w:after="30"/>
              <w:jc w:val="right"/>
              <w:rPr>
                <w:b/>
                <w:bCs/>
              </w:rPr>
            </w:pPr>
            <w:r w:rsidRPr="005C5E32">
              <w:rPr>
                <w:b/>
                <w:bCs/>
              </w:rPr>
              <w:t>59,188</w:t>
            </w:r>
          </w:p>
        </w:tc>
        <w:tc>
          <w:tcPr>
            <w:tcW w:w="1247" w:type="dxa"/>
            <w:tcBorders>
              <w:top w:val="single" w:sz="4" w:space="0" w:color="auto"/>
              <w:left w:val="nil"/>
              <w:bottom w:val="single" w:sz="4" w:space="0" w:color="auto"/>
              <w:right w:val="nil"/>
            </w:tcBorders>
            <w:shd w:val="clear" w:color="auto" w:fill="E7F2F2"/>
          </w:tcPr>
          <w:p w14:paraId="447F613F" w14:textId="77777777" w:rsidR="00D06CB2" w:rsidRPr="005C5E32" w:rsidRDefault="00D06CB2">
            <w:pPr>
              <w:pStyle w:val="TableText"/>
              <w:spacing w:before="30" w:after="30"/>
              <w:jc w:val="right"/>
              <w:rPr>
                <w:b/>
                <w:bCs/>
              </w:rPr>
            </w:pPr>
            <w:r w:rsidRPr="005C5E32">
              <w:rPr>
                <w:b/>
                <w:bCs/>
              </w:rPr>
              <w:t>55,640</w:t>
            </w:r>
          </w:p>
        </w:tc>
      </w:tr>
      <w:tr w:rsidR="00D06CB2" w:rsidRPr="005C5E32" w14:paraId="094F7AAD" w14:textId="77777777" w:rsidTr="009264C0">
        <w:trPr>
          <w:trHeight w:val="20"/>
        </w:trPr>
        <w:tc>
          <w:tcPr>
            <w:tcW w:w="4766" w:type="dxa"/>
            <w:tcBorders>
              <w:top w:val="single" w:sz="4" w:space="0" w:color="auto"/>
              <w:left w:val="nil"/>
              <w:bottom w:val="single" w:sz="4" w:space="0" w:color="58595B"/>
              <w:right w:val="nil"/>
            </w:tcBorders>
          </w:tcPr>
          <w:p w14:paraId="74BAE6C5" w14:textId="77777777" w:rsidR="00D06CB2" w:rsidRPr="005C5E32" w:rsidRDefault="00D06CB2">
            <w:pPr>
              <w:pStyle w:val="TableTextbold"/>
              <w:spacing w:before="30" w:after="30"/>
            </w:pPr>
            <w:r w:rsidRPr="005C5E32">
              <w:t>Total payables – non-exchange</w:t>
            </w:r>
          </w:p>
        </w:tc>
        <w:tc>
          <w:tcPr>
            <w:tcW w:w="2423" w:type="dxa"/>
            <w:tcBorders>
              <w:top w:val="single" w:sz="4" w:space="0" w:color="auto"/>
              <w:left w:val="nil"/>
              <w:bottom w:val="single" w:sz="4" w:space="0" w:color="58595B"/>
              <w:right w:val="nil"/>
            </w:tcBorders>
          </w:tcPr>
          <w:p w14:paraId="413419C3" w14:textId="77777777" w:rsidR="00D06CB2" w:rsidRPr="005C5E32" w:rsidRDefault="00D06CB2">
            <w:pPr>
              <w:pStyle w:val="TableTextbold"/>
              <w:spacing w:before="30" w:after="30"/>
              <w:jc w:val="right"/>
            </w:pPr>
            <w:r w:rsidRPr="005C5E32">
              <w:t>149,094</w:t>
            </w:r>
          </w:p>
        </w:tc>
        <w:tc>
          <w:tcPr>
            <w:tcW w:w="1247" w:type="dxa"/>
            <w:tcBorders>
              <w:top w:val="single" w:sz="4" w:space="0" w:color="auto"/>
              <w:left w:val="nil"/>
              <w:bottom w:val="single" w:sz="4" w:space="0" w:color="58595B"/>
              <w:right w:val="nil"/>
            </w:tcBorders>
            <w:shd w:val="clear" w:color="auto" w:fill="E7F2F2"/>
          </w:tcPr>
          <w:p w14:paraId="06CD33F9" w14:textId="77777777" w:rsidR="00D06CB2" w:rsidRPr="005C5E32" w:rsidRDefault="00D06CB2">
            <w:pPr>
              <w:pStyle w:val="TableTextbold"/>
              <w:spacing w:before="30" w:after="30"/>
              <w:jc w:val="right"/>
            </w:pPr>
            <w:r w:rsidRPr="005C5E32">
              <w:t>144,943</w:t>
            </w:r>
          </w:p>
        </w:tc>
      </w:tr>
    </w:tbl>
    <w:p w14:paraId="4922008F" w14:textId="77777777" w:rsidR="00D06CB2" w:rsidRPr="005C5E32" w:rsidRDefault="00D06CB2" w:rsidP="00E06A19">
      <w:pPr>
        <w:pStyle w:val="BodyText"/>
        <w:spacing w:before="240" w:after="100"/>
      </w:pPr>
      <w:r w:rsidRPr="005C5E32">
        <w:t>Payables mainly relate to grants and settlements funding.</w:t>
      </w:r>
    </w:p>
    <w:p w14:paraId="387C5341" w14:textId="77777777" w:rsidR="00D06CB2" w:rsidRPr="005C5E32" w:rsidRDefault="00D06CB2" w:rsidP="00BB2CBF">
      <w:pPr>
        <w:pStyle w:val="BodyText"/>
        <w:spacing w:before="80" w:after="80"/>
      </w:pPr>
      <w:r w:rsidRPr="005C5E32">
        <w:t>The carrying value of payables approximates their fair value.</w:t>
      </w:r>
    </w:p>
    <w:p w14:paraId="1492AE45" w14:textId="77777777" w:rsidR="00D06CB2" w:rsidRPr="005C5E32" w:rsidRDefault="00D06CB2" w:rsidP="00BB2CBF">
      <w:pPr>
        <w:pStyle w:val="BodyText"/>
        <w:spacing w:before="100" w:after="80"/>
      </w:pPr>
      <w:r w:rsidRPr="005C5E32">
        <w:t>Payables are non-interest bearing and are normally settled within 30 days. The exceptions are the Waikato River Co-management and the Waikato River Clean-up Fund, for which payments are settled on the due dates.</w:t>
      </w:r>
    </w:p>
    <w:p w14:paraId="5A3455BF" w14:textId="77777777" w:rsidR="00D06CB2" w:rsidRPr="005C5E32" w:rsidRDefault="00D06CB2" w:rsidP="00226250">
      <w:pPr>
        <w:pStyle w:val="Heading4"/>
        <w:spacing w:before="180" w:after="180"/>
      </w:pPr>
      <w:r w:rsidRPr="005C5E32">
        <w:t xml:space="preserve">Recognition of future discounted cash flows for the </w:t>
      </w:r>
      <w:r w:rsidRPr="005C5E32">
        <w:br/>
        <w:t>Waikato River Clean-up Fund</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3746"/>
        <w:gridCol w:w="951"/>
        <w:gridCol w:w="952"/>
        <w:gridCol w:w="952"/>
        <w:gridCol w:w="952"/>
        <w:gridCol w:w="952"/>
      </w:tblGrid>
      <w:tr w:rsidR="00D06CB2" w:rsidRPr="005C5E32" w14:paraId="2169838F" w14:textId="77777777">
        <w:tc>
          <w:tcPr>
            <w:tcW w:w="3746" w:type="dxa"/>
            <w:tcBorders>
              <w:top w:val="single" w:sz="8" w:space="0" w:color="0E7C7E"/>
              <w:bottom w:val="single" w:sz="2" w:space="0" w:color="58595B"/>
            </w:tcBorders>
          </w:tcPr>
          <w:p w14:paraId="24CA6192" w14:textId="77777777" w:rsidR="00D06CB2" w:rsidRPr="005C5E32" w:rsidRDefault="00D06CB2" w:rsidP="00474A08">
            <w:pPr>
              <w:pStyle w:val="TableboldGreen"/>
              <w:spacing w:before="30" w:after="30" w:line="230" w:lineRule="atLeast"/>
              <w:jc w:val="center"/>
            </w:pPr>
          </w:p>
        </w:tc>
        <w:tc>
          <w:tcPr>
            <w:tcW w:w="951" w:type="dxa"/>
            <w:tcBorders>
              <w:top w:val="single" w:sz="8" w:space="0" w:color="0E7C7E"/>
              <w:bottom w:val="single" w:sz="2" w:space="0" w:color="58595B"/>
            </w:tcBorders>
          </w:tcPr>
          <w:p w14:paraId="030DE812" w14:textId="77777777" w:rsidR="00D06CB2" w:rsidRPr="005C5E32" w:rsidRDefault="00D06CB2" w:rsidP="00474A08">
            <w:pPr>
              <w:pStyle w:val="TableboldGreen"/>
              <w:spacing w:before="30" w:after="30" w:line="230" w:lineRule="atLeast"/>
              <w:jc w:val="center"/>
            </w:pPr>
          </w:p>
        </w:tc>
        <w:tc>
          <w:tcPr>
            <w:tcW w:w="952" w:type="dxa"/>
            <w:tcBorders>
              <w:top w:val="single" w:sz="8" w:space="0" w:color="0E7C7E"/>
              <w:bottom w:val="single" w:sz="2" w:space="0" w:color="58595B"/>
            </w:tcBorders>
          </w:tcPr>
          <w:p w14:paraId="478CBFB3" w14:textId="77777777" w:rsidR="00D06CB2" w:rsidRPr="005C5E32" w:rsidRDefault="00D06CB2" w:rsidP="00474A08">
            <w:pPr>
              <w:pStyle w:val="TableboldGreen"/>
              <w:spacing w:before="30" w:after="30" w:line="230" w:lineRule="atLeast"/>
              <w:jc w:val="center"/>
            </w:pPr>
          </w:p>
        </w:tc>
        <w:tc>
          <w:tcPr>
            <w:tcW w:w="952" w:type="dxa"/>
            <w:tcBorders>
              <w:top w:val="single" w:sz="8" w:space="0" w:color="0E7C7E"/>
              <w:bottom w:val="single" w:sz="2" w:space="0" w:color="58595B"/>
            </w:tcBorders>
          </w:tcPr>
          <w:p w14:paraId="7DA3029A" w14:textId="77777777" w:rsidR="00D06CB2" w:rsidRPr="005C5E32" w:rsidRDefault="00D06CB2" w:rsidP="00474A08">
            <w:pPr>
              <w:pStyle w:val="TableboldGreen"/>
              <w:spacing w:before="30" w:after="30" w:line="230" w:lineRule="atLeast"/>
              <w:jc w:val="center"/>
              <w:rPr>
                <w:rFonts w:eastAsia="Lato"/>
              </w:rPr>
            </w:pPr>
            <w:r w:rsidRPr="005C5E32">
              <w:rPr>
                <w:rFonts w:eastAsia="Lato"/>
                <w:color w:val="0E7C7E"/>
              </w:rPr>
              <w:t>Payables</w:t>
            </w:r>
          </w:p>
        </w:tc>
        <w:tc>
          <w:tcPr>
            <w:tcW w:w="952" w:type="dxa"/>
            <w:tcBorders>
              <w:top w:val="single" w:sz="8" w:space="0" w:color="0E7C7E"/>
              <w:bottom w:val="single" w:sz="2" w:space="0" w:color="58595B"/>
            </w:tcBorders>
          </w:tcPr>
          <w:p w14:paraId="71A7D736" w14:textId="77777777" w:rsidR="00D06CB2" w:rsidRPr="005C5E32" w:rsidRDefault="00D06CB2" w:rsidP="00474A08">
            <w:pPr>
              <w:pStyle w:val="TableboldGreen"/>
              <w:spacing w:before="30" w:after="30" w:line="230" w:lineRule="atLeast"/>
              <w:jc w:val="center"/>
            </w:pPr>
          </w:p>
        </w:tc>
        <w:tc>
          <w:tcPr>
            <w:tcW w:w="952" w:type="dxa"/>
            <w:tcBorders>
              <w:top w:val="single" w:sz="8" w:space="0" w:color="0E7C7E"/>
              <w:bottom w:val="single" w:sz="2" w:space="0" w:color="58595B"/>
            </w:tcBorders>
          </w:tcPr>
          <w:p w14:paraId="4EF829D4" w14:textId="77777777" w:rsidR="00D06CB2" w:rsidRPr="005C5E32" w:rsidRDefault="00D06CB2" w:rsidP="00474A08">
            <w:pPr>
              <w:pStyle w:val="TableboldGreen"/>
              <w:spacing w:before="30" w:after="30" w:line="230" w:lineRule="atLeast"/>
              <w:jc w:val="right"/>
              <w:rPr>
                <w:rFonts w:eastAsia="Lato"/>
              </w:rPr>
            </w:pPr>
            <w:r w:rsidRPr="005C5E32">
              <w:rPr>
                <w:rFonts w:eastAsia="Lato"/>
                <w:color w:val="0E7C7E"/>
              </w:rPr>
              <w:t>Total</w:t>
            </w:r>
          </w:p>
        </w:tc>
      </w:tr>
      <w:tr w:rsidR="00D06CB2" w:rsidRPr="005C5E32" w14:paraId="7B89DFAD" w14:textId="77777777">
        <w:tc>
          <w:tcPr>
            <w:tcW w:w="3746" w:type="dxa"/>
            <w:tcBorders>
              <w:top w:val="single" w:sz="2" w:space="0" w:color="58595B"/>
              <w:bottom w:val="single" w:sz="2" w:space="0" w:color="000000"/>
            </w:tcBorders>
            <w:vAlign w:val="bottom"/>
          </w:tcPr>
          <w:p w14:paraId="67E8BABF" w14:textId="77777777" w:rsidR="00D06CB2" w:rsidRPr="005C5E32" w:rsidRDefault="00D06CB2" w:rsidP="00474A08">
            <w:pPr>
              <w:pStyle w:val="TableboldGreen"/>
              <w:spacing w:before="30" w:after="30" w:line="230" w:lineRule="atLeast"/>
              <w:jc w:val="center"/>
            </w:pPr>
          </w:p>
        </w:tc>
        <w:tc>
          <w:tcPr>
            <w:tcW w:w="951" w:type="dxa"/>
            <w:tcBorders>
              <w:top w:val="single" w:sz="2" w:space="0" w:color="58595B"/>
              <w:bottom w:val="single" w:sz="2" w:space="0" w:color="000000"/>
            </w:tcBorders>
            <w:vAlign w:val="bottom"/>
          </w:tcPr>
          <w:p w14:paraId="66511B42" w14:textId="77777777" w:rsidR="00D06CB2" w:rsidRPr="005C5E32" w:rsidRDefault="00D06CB2" w:rsidP="00474A08">
            <w:pPr>
              <w:pStyle w:val="TableboldGreen"/>
              <w:spacing w:before="30" w:after="30" w:line="230" w:lineRule="atLeast"/>
              <w:jc w:val="right"/>
              <w:rPr>
                <w:rFonts w:eastAsia="Lato"/>
              </w:rPr>
            </w:pPr>
            <w:r w:rsidRPr="005C5E32">
              <w:rPr>
                <w:rFonts w:eastAsia="Lato"/>
                <w:color w:val="0E7C7E"/>
                <w:szCs w:val="18"/>
              </w:rPr>
              <w:t>2025–26</w:t>
            </w:r>
            <w:r w:rsidRPr="005C5E32">
              <w:rPr>
                <w:rFonts w:eastAsia="Lato"/>
                <w:color w:val="0E7C7E"/>
                <w:szCs w:val="18"/>
              </w:rPr>
              <w:br/>
            </w:r>
            <w:r w:rsidRPr="005C5E32">
              <w:rPr>
                <w:rFonts w:eastAsia="Lato"/>
                <w:color w:val="0E7C7E"/>
              </w:rPr>
              <w:t>$000</w:t>
            </w:r>
          </w:p>
        </w:tc>
        <w:tc>
          <w:tcPr>
            <w:tcW w:w="952" w:type="dxa"/>
            <w:tcBorders>
              <w:top w:val="single" w:sz="2" w:space="0" w:color="58595B"/>
              <w:bottom w:val="single" w:sz="2" w:space="0" w:color="000000"/>
            </w:tcBorders>
            <w:vAlign w:val="bottom"/>
          </w:tcPr>
          <w:p w14:paraId="508FA611" w14:textId="77777777" w:rsidR="00D06CB2" w:rsidRPr="005C5E32" w:rsidRDefault="00D06CB2" w:rsidP="00474A08">
            <w:pPr>
              <w:pStyle w:val="TableboldGreen"/>
              <w:spacing w:before="30" w:after="30" w:line="230" w:lineRule="atLeast"/>
              <w:jc w:val="right"/>
              <w:rPr>
                <w:rFonts w:eastAsia="Lato"/>
              </w:rPr>
            </w:pPr>
            <w:r w:rsidRPr="005C5E32">
              <w:rPr>
                <w:rFonts w:eastAsia="Lato"/>
                <w:color w:val="0E7C7E"/>
                <w:szCs w:val="18"/>
              </w:rPr>
              <w:t>2027–</w:t>
            </w:r>
            <w:r w:rsidRPr="005C5E32">
              <w:rPr>
                <w:rFonts w:eastAsia="Lato"/>
                <w:bCs/>
                <w:color w:val="0E7C7E"/>
                <w:szCs w:val="18"/>
              </w:rPr>
              <w:t>31</w:t>
            </w:r>
            <w:r w:rsidRPr="005C5E32">
              <w:rPr>
                <w:rFonts w:eastAsia="Lato"/>
                <w:bCs/>
                <w:color w:val="0E7C7E"/>
                <w:szCs w:val="18"/>
              </w:rPr>
              <w:br/>
            </w:r>
            <w:r w:rsidRPr="005C5E32">
              <w:rPr>
                <w:rFonts w:eastAsia="Lato"/>
                <w:color w:val="0E7C7E"/>
              </w:rPr>
              <w:t>$000</w:t>
            </w:r>
          </w:p>
        </w:tc>
        <w:tc>
          <w:tcPr>
            <w:tcW w:w="952" w:type="dxa"/>
            <w:tcBorders>
              <w:top w:val="single" w:sz="2" w:space="0" w:color="58595B"/>
              <w:bottom w:val="single" w:sz="2" w:space="0" w:color="000000"/>
            </w:tcBorders>
            <w:vAlign w:val="bottom"/>
          </w:tcPr>
          <w:p w14:paraId="31E2B404" w14:textId="77777777" w:rsidR="00D06CB2" w:rsidRPr="005C5E32" w:rsidRDefault="00D06CB2" w:rsidP="00474A08">
            <w:pPr>
              <w:pStyle w:val="TableboldGreen"/>
              <w:spacing w:before="30" w:after="30" w:line="230" w:lineRule="atLeast"/>
              <w:jc w:val="right"/>
              <w:rPr>
                <w:rFonts w:eastAsia="Lato"/>
              </w:rPr>
            </w:pPr>
            <w:r w:rsidRPr="005C5E32">
              <w:rPr>
                <w:rFonts w:eastAsia="Lato"/>
                <w:color w:val="0E7C7E"/>
                <w:szCs w:val="18"/>
              </w:rPr>
              <w:t>2032–36</w:t>
            </w:r>
            <w:r w:rsidRPr="005C5E32">
              <w:rPr>
                <w:rFonts w:eastAsia="Lato"/>
                <w:color w:val="0E7C7E"/>
                <w:szCs w:val="18"/>
              </w:rPr>
              <w:br/>
            </w:r>
            <w:r w:rsidRPr="005C5E32">
              <w:rPr>
                <w:rFonts w:eastAsia="Lato"/>
                <w:color w:val="0E7C7E"/>
              </w:rPr>
              <w:t>$000</w:t>
            </w:r>
          </w:p>
        </w:tc>
        <w:tc>
          <w:tcPr>
            <w:tcW w:w="952" w:type="dxa"/>
            <w:tcBorders>
              <w:top w:val="single" w:sz="2" w:space="0" w:color="58595B"/>
              <w:bottom w:val="single" w:sz="2" w:space="0" w:color="000000"/>
            </w:tcBorders>
            <w:vAlign w:val="bottom"/>
          </w:tcPr>
          <w:p w14:paraId="6120CF20" w14:textId="77777777" w:rsidR="00D06CB2" w:rsidRPr="005C5E32" w:rsidRDefault="00D06CB2" w:rsidP="00474A08">
            <w:pPr>
              <w:pStyle w:val="TableboldGreen"/>
              <w:spacing w:before="30" w:after="30" w:line="230" w:lineRule="atLeast"/>
              <w:jc w:val="right"/>
              <w:rPr>
                <w:rFonts w:eastAsia="Lato"/>
              </w:rPr>
            </w:pPr>
            <w:r w:rsidRPr="005C5E32">
              <w:rPr>
                <w:rFonts w:eastAsia="Lato"/>
                <w:color w:val="0E7C7E"/>
                <w:szCs w:val="18"/>
              </w:rPr>
              <w:t>2037–38</w:t>
            </w:r>
            <w:r w:rsidRPr="005C5E32">
              <w:rPr>
                <w:rFonts w:eastAsia="Lato"/>
                <w:color w:val="0E7C7E"/>
                <w:szCs w:val="18"/>
              </w:rPr>
              <w:br/>
            </w:r>
            <w:r w:rsidRPr="005C5E32">
              <w:rPr>
                <w:rFonts w:eastAsia="Lato"/>
                <w:color w:val="0E7C7E"/>
              </w:rPr>
              <w:t>$000</w:t>
            </w:r>
          </w:p>
        </w:tc>
        <w:tc>
          <w:tcPr>
            <w:tcW w:w="952" w:type="dxa"/>
            <w:tcBorders>
              <w:top w:val="single" w:sz="2" w:space="0" w:color="58595B"/>
              <w:bottom w:val="single" w:sz="2" w:space="0" w:color="000000"/>
            </w:tcBorders>
            <w:vAlign w:val="bottom"/>
          </w:tcPr>
          <w:p w14:paraId="42B6D804" w14:textId="77777777" w:rsidR="00D06CB2" w:rsidRPr="005C5E32" w:rsidRDefault="00D06CB2" w:rsidP="00474A08">
            <w:pPr>
              <w:pStyle w:val="TableboldGreen"/>
              <w:spacing w:before="30" w:after="30" w:line="230" w:lineRule="atLeast"/>
              <w:jc w:val="right"/>
              <w:rPr>
                <w:rFonts w:eastAsia="Lato"/>
              </w:rPr>
            </w:pPr>
            <w:r w:rsidRPr="005C5E32">
              <w:rPr>
                <w:rFonts w:eastAsia="Lato"/>
                <w:color w:val="0E7C7E"/>
              </w:rPr>
              <w:t>$000</w:t>
            </w:r>
          </w:p>
        </w:tc>
      </w:tr>
      <w:tr w:rsidR="00D06CB2" w:rsidRPr="005C5E32" w14:paraId="6D75BA67" w14:textId="77777777">
        <w:tc>
          <w:tcPr>
            <w:tcW w:w="3746" w:type="dxa"/>
            <w:tcBorders>
              <w:top w:val="single" w:sz="2" w:space="0" w:color="000000"/>
            </w:tcBorders>
          </w:tcPr>
          <w:p w14:paraId="7356E1F6" w14:textId="77777777" w:rsidR="00D06CB2" w:rsidRPr="005C5E32" w:rsidRDefault="00D06CB2" w:rsidP="00474A08">
            <w:pPr>
              <w:pStyle w:val="TableboldGreen"/>
              <w:spacing w:before="30" w:after="30" w:line="230" w:lineRule="atLeast"/>
            </w:pPr>
            <w:r w:rsidRPr="005C5E32">
              <w:t>Waikato River Clean-up Fund</w:t>
            </w:r>
          </w:p>
        </w:tc>
        <w:tc>
          <w:tcPr>
            <w:tcW w:w="951" w:type="dxa"/>
            <w:tcBorders>
              <w:top w:val="single" w:sz="2" w:space="0" w:color="000000"/>
            </w:tcBorders>
          </w:tcPr>
          <w:p w14:paraId="67278CC8" w14:textId="77777777" w:rsidR="00D06CB2" w:rsidRPr="005C5E32" w:rsidRDefault="00D06CB2" w:rsidP="00474A08">
            <w:pPr>
              <w:pStyle w:val="TableText"/>
              <w:spacing w:before="30" w:after="30" w:line="230" w:lineRule="atLeast"/>
            </w:pPr>
          </w:p>
        </w:tc>
        <w:tc>
          <w:tcPr>
            <w:tcW w:w="952" w:type="dxa"/>
            <w:tcBorders>
              <w:top w:val="single" w:sz="2" w:space="0" w:color="000000"/>
            </w:tcBorders>
          </w:tcPr>
          <w:p w14:paraId="7350BC94" w14:textId="77777777" w:rsidR="00D06CB2" w:rsidRPr="005C5E32" w:rsidRDefault="00D06CB2" w:rsidP="00474A08">
            <w:pPr>
              <w:pStyle w:val="TableText"/>
              <w:spacing w:before="30" w:after="30" w:line="230" w:lineRule="atLeast"/>
            </w:pPr>
          </w:p>
        </w:tc>
        <w:tc>
          <w:tcPr>
            <w:tcW w:w="952" w:type="dxa"/>
            <w:tcBorders>
              <w:top w:val="single" w:sz="2" w:space="0" w:color="000000"/>
            </w:tcBorders>
          </w:tcPr>
          <w:p w14:paraId="7B5F777E" w14:textId="77777777" w:rsidR="00D06CB2" w:rsidRPr="005C5E32" w:rsidRDefault="00D06CB2" w:rsidP="00474A08">
            <w:pPr>
              <w:pStyle w:val="TableText"/>
              <w:spacing w:before="30" w:after="30" w:line="230" w:lineRule="atLeast"/>
            </w:pPr>
          </w:p>
        </w:tc>
        <w:tc>
          <w:tcPr>
            <w:tcW w:w="952" w:type="dxa"/>
            <w:tcBorders>
              <w:top w:val="single" w:sz="2" w:space="0" w:color="000000"/>
            </w:tcBorders>
          </w:tcPr>
          <w:p w14:paraId="18781530" w14:textId="77777777" w:rsidR="00D06CB2" w:rsidRPr="005C5E32" w:rsidRDefault="00D06CB2" w:rsidP="00474A08">
            <w:pPr>
              <w:pStyle w:val="TableText"/>
              <w:spacing w:before="30" w:after="30" w:line="230" w:lineRule="atLeast"/>
            </w:pPr>
          </w:p>
        </w:tc>
        <w:tc>
          <w:tcPr>
            <w:tcW w:w="952" w:type="dxa"/>
            <w:tcBorders>
              <w:top w:val="single" w:sz="2" w:space="0" w:color="000000"/>
            </w:tcBorders>
          </w:tcPr>
          <w:p w14:paraId="51D18204" w14:textId="77777777" w:rsidR="00D06CB2" w:rsidRPr="005C5E32" w:rsidRDefault="00D06CB2" w:rsidP="00474A08">
            <w:pPr>
              <w:pStyle w:val="TableText"/>
              <w:spacing w:before="30" w:after="30" w:line="230" w:lineRule="atLeast"/>
            </w:pPr>
          </w:p>
        </w:tc>
      </w:tr>
      <w:tr w:rsidR="00D06CB2" w:rsidRPr="005C5E32" w14:paraId="69217A4D" w14:textId="77777777">
        <w:tc>
          <w:tcPr>
            <w:tcW w:w="3746" w:type="dxa"/>
            <w:tcBorders>
              <w:bottom w:val="single" w:sz="2" w:space="0" w:color="58595B"/>
            </w:tcBorders>
          </w:tcPr>
          <w:p w14:paraId="587CF149" w14:textId="77777777" w:rsidR="00D06CB2" w:rsidRPr="005C5E32" w:rsidRDefault="00D06CB2" w:rsidP="00474A08">
            <w:pPr>
              <w:pStyle w:val="TableText"/>
              <w:spacing w:before="30" w:after="30" w:line="230" w:lineRule="atLeast"/>
            </w:pPr>
            <w:r w:rsidRPr="005C5E32">
              <w:t>Nominal</w:t>
            </w:r>
          </w:p>
        </w:tc>
        <w:tc>
          <w:tcPr>
            <w:tcW w:w="951" w:type="dxa"/>
            <w:tcBorders>
              <w:bottom w:val="single" w:sz="2" w:space="0" w:color="58595B"/>
            </w:tcBorders>
          </w:tcPr>
          <w:p w14:paraId="4C415EB3" w14:textId="77777777" w:rsidR="00D06CB2" w:rsidRPr="005C5E32" w:rsidRDefault="00D06CB2" w:rsidP="00474A08">
            <w:pPr>
              <w:pStyle w:val="TableText"/>
              <w:spacing w:before="30" w:after="30" w:line="230" w:lineRule="atLeast"/>
              <w:jc w:val="right"/>
              <w:rPr>
                <w:szCs w:val="18"/>
              </w:rPr>
            </w:pPr>
            <w:r w:rsidRPr="005C5E32">
              <w:rPr>
                <w:szCs w:val="18"/>
              </w:rPr>
              <w:t>7,333</w:t>
            </w:r>
          </w:p>
        </w:tc>
        <w:tc>
          <w:tcPr>
            <w:tcW w:w="952" w:type="dxa"/>
            <w:tcBorders>
              <w:bottom w:val="single" w:sz="2" w:space="0" w:color="58595B"/>
            </w:tcBorders>
          </w:tcPr>
          <w:p w14:paraId="02DAE96D" w14:textId="77777777" w:rsidR="00D06CB2" w:rsidRPr="005C5E32" w:rsidRDefault="00D06CB2" w:rsidP="00474A08">
            <w:pPr>
              <w:pStyle w:val="TableText"/>
              <w:spacing w:before="30" w:after="30" w:line="230" w:lineRule="atLeast"/>
              <w:jc w:val="right"/>
              <w:rPr>
                <w:szCs w:val="18"/>
              </w:rPr>
            </w:pPr>
            <w:r w:rsidRPr="005C5E32">
              <w:rPr>
                <w:szCs w:val="18"/>
              </w:rPr>
              <w:t>36,665</w:t>
            </w:r>
          </w:p>
        </w:tc>
        <w:tc>
          <w:tcPr>
            <w:tcW w:w="952" w:type="dxa"/>
            <w:tcBorders>
              <w:bottom w:val="single" w:sz="2" w:space="0" w:color="58595B"/>
            </w:tcBorders>
          </w:tcPr>
          <w:p w14:paraId="23399965" w14:textId="77777777" w:rsidR="00D06CB2" w:rsidRPr="005C5E32" w:rsidRDefault="00D06CB2" w:rsidP="00474A08">
            <w:pPr>
              <w:pStyle w:val="TableText"/>
              <w:spacing w:before="30" w:after="30" w:line="230" w:lineRule="atLeast"/>
              <w:jc w:val="right"/>
            </w:pPr>
            <w:r w:rsidRPr="005C5E32">
              <w:t>36,665</w:t>
            </w:r>
          </w:p>
        </w:tc>
        <w:tc>
          <w:tcPr>
            <w:tcW w:w="952" w:type="dxa"/>
            <w:tcBorders>
              <w:bottom w:val="single" w:sz="2" w:space="0" w:color="58595B"/>
            </w:tcBorders>
          </w:tcPr>
          <w:p w14:paraId="73BE8445" w14:textId="77777777" w:rsidR="00D06CB2" w:rsidRPr="005C5E32" w:rsidRDefault="00D06CB2" w:rsidP="00474A08">
            <w:pPr>
              <w:pStyle w:val="TableText"/>
              <w:spacing w:before="30" w:after="30" w:line="230" w:lineRule="atLeast"/>
              <w:jc w:val="right"/>
              <w:rPr>
                <w:szCs w:val="18"/>
              </w:rPr>
            </w:pPr>
            <w:r w:rsidRPr="005C5E32">
              <w:rPr>
                <w:szCs w:val="18"/>
              </w:rPr>
              <w:t>7,342</w:t>
            </w:r>
          </w:p>
        </w:tc>
        <w:tc>
          <w:tcPr>
            <w:tcW w:w="952" w:type="dxa"/>
            <w:tcBorders>
              <w:bottom w:val="single" w:sz="2" w:space="0" w:color="58595B"/>
            </w:tcBorders>
          </w:tcPr>
          <w:p w14:paraId="6EE52DF8" w14:textId="77777777" w:rsidR="00D06CB2" w:rsidRPr="005C5E32" w:rsidRDefault="00D06CB2" w:rsidP="00474A08">
            <w:pPr>
              <w:pStyle w:val="TableText"/>
              <w:spacing w:before="30" w:after="30" w:line="230" w:lineRule="atLeast"/>
              <w:jc w:val="right"/>
            </w:pPr>
            <w:r w:rsidRPr="005C5E32">
              <w:t>88,005</w:t>
            </w:r>
          </w:p>
        </w:tc>
      </w:tr>
      <w:tr w:rsidR="00D06CB2" w:rsidRPr="005C5E32" w14:paraId="6EF0182B" w14:textId="77777777">
        <w:tc>
          <w:tcPr>
            <w:tcW w:w="3746" w:type="dxa"/>
            <w:tcBorders>
              <w:top w:val="single" w:sz="2" w:space="0" w:color="58595B"/>
              <w:left w:val="nil"/>
              <w:bottom w:val="single" w:sz="2" w:space="0" w:color="58595B"/>
              <w:right w:val="nil"/>
            </w:tcBorders>
          </w:tcPr>
          <w:p w14:paraId="445DDBE0" w14:textId="77777777" w:rsidR="00D06CB2" w:rsidRPr="005C5E32" w:rsidRDefault="00D06CB2" w:rsidP="00474A08">
            <w:pPr>
              <w:pStyle w:val="TableText"/>
              <w:spacing w:before="30" w:after="30" w:line="230" w:lineRule="atLeast"/>
            </w:pPr>
            <w:r w:rsidRPr="005C5E32">
              <w:t>Discount</w:t>
            </w:r>
          </w:p>
        </w:tc>
        <w:tc>
          <w:tcPr>
            <w:tcW w:w="951" w:type="dxa"/>
            <w:tcBorders>
              <w:top w:val="single" w:sz="2" w:space="0" w:color="58595B"/>
              <w:left w:val="nil"/>
              <w:bottom w:val="single" w:sz="2" w:space="0" w:color="58595B"/>
              <w:right w:val="nil"/>
            </w:tcBorders>
          </w:tcPr>
          <w:p w14:paraId="5FC8FC89" w14:textId="77777777" w:rsidR="00D06CB2" w:rsidRPr="005C5E32" w:rsidRDefault="00D06CB2" w:rsidP="00474A08">
            <w:pPr>
              <w:pStyle w:val="TableText"/>
              <w:spacing w:before="30" w:after="30" w:line="230" w:lineRule="atLeast"/>
              <w:jc w:val="right"/>
              <w:rPr>
                <w:szCs w:val="18"/>
              </w:rPr>
            </w:pPr>
            <w:r w:rsidRPr="005C5E32">
              <w:t>(</w:t>
            </w:r>
            <w:r w:rsidRPr="005C5E32">
              <w:rPr>
                <w:szCs w:val="18"/>
              </w:rPr>
              <w:t>415</w:t>
            </w:r>
            <w:r w:rsidRPr="005C5E32">
              <w:t>)</w:t>
            </w:r>
          </w:p>
        </w:tc>
        <w:tc>
          <w:tcPr>
            <w:tcW w:w="952" w:type="dxa"/>
            <w:tcBorders>
              <w:top w:val="single" w:sz="2" w:space="0" w:color="58595B"/>
              <w:left w:val="nil"/>
              <w:bottom w:val="single" w:sz="2" w:space="0" w:color="58595B"/>
              <w:right w:val="nil"/>
            </w:tcBorders>
          </w:tcPr>
          <w:p w14:paraId="3C8CFDA5" w14:textId="77777777" w:rsidR="00D06CB2" w:rsidRPr="005C5E32" w:rsidRDefault="00D06CB2" w:rsidP="00474A08">
            <w:pPr>
              <w:pStyle w:val="TableText"/>
              <w:spacing w:before="30" w:after="30" w:line="230" w:lineRule="atLeast"/>
              <w:jc w:val="right"/>
            </w:pPr>
            <w:r w:rsidRPr="005C5E32">
              <w:rPr>
                <w:szCs w:val="18"/>
              </w:rPr>
              <w:t>(7,525)</w:t>
            </w:r>
          </w:p>
        </w:tc>
        <w:tc>
          <w:tcPr>
            <w:tcW w:w="952" w:type="dxa"/>
            <w:tcBorders>
              <w:top w:val="single" w:sz="2" w:space="0" w:color="58595B"/>
              <w:left w:val="nil"/>
              <w:bottom w:val="single" w:sz="2" w:space="0" w:color="58595B"/>
              <w:right w:val="nil"/>
            </w:tcBorders>
          </w:tcPr>
          <w:p w14:paraId="07EB6FAC" w14:textId="77777777" w:rsidR="00D06CB2" w:rsidRPr="005C5E32" w:rsidRDefault="00D06CB2" w:rsidP="00474A08">
            <w:pPr>
              <w:pStyle w:val="TableText"/>
              <w:spacing w:before="30" w:after="30" w:line="230" w:lineRule="atLeast"/>
              <w:jc w:val="right"/>
              <w:rPr>
                <w:szCs w:val="18"/>
              </w:rPr>
            </w:pPr>
            <w:r w:rsidRPr="005C5E32">
              <w:rPr>
                <w:szCs w:val="18"/>
              </w:rPr>
              <w:t>(14,890)</w:t>
            </w:r>
          </w:p>
        </w:tc>
        <w:tc>
          <w:tcPr>
            <w:tcW w:w="952" w:type="dxa"/>
            <w:tcBorders>
              <w:top w:val="single" w:sz="2" w:space="0" w:color="58595B"/>
              <w:left w:val="nil"/>
              <w:bottom w:val="single" w:sz="2" w:space="0" w:color="58595B"/>
              <w:right w:val="nil"/>
            </w:tcBorders>
          </w:tcPr>
          <w:p w14:paraId="6E27CCF5" w14:textId="77777777" w:rsidR="00D06CB2" w:rsidRPr="005C5E32" w:rsidRDefault="00D06CB2" w:rsidP="00474A08">
            <w:pPr>
              <w:pStyle w:val="TableText"/>
              <w:spacing w:before="30" w:after="30" w:line="230" w:lineRule="atLeast"/>
              <w:jc w:val="right"/>
              <w:rPr>
                <w:szCs w:val="18"/>
              </w:rPr>
            </w:pPr>
            <w:r w:rsidRPr="005C5E32">
              <w:rPr>
                <w:szCs w:val="18"/>
              </w:rPr>
              <w:t>(3,693)</w:t>
            </w:r>
          </w:p>
        </w:tc>
        <w:tc>
          <w:tcPr>
            <w:tcW w:w="952" w:type="dxa"/>
            <w:tcBorders>
              <w:top w:val="single" w:sz="2" w:space="0" w:color="58595B"/>
              <w:left w:val="nil"/>
              <w:bottom w:val="single" w:sz="2" w:space="0" w:color="58595B"/>
              <w:right w:val="nil"/>
            </w:tcBorders>
          </w:tcPr>
          <w:p w14:paraId="07EECB0B" w14:textId="77777777" w:rsidR="00D06CB2" w:rsidRPr="005C5E32" w:rsidRDefault="00D06CB2" w:rsidP="00474A08">
            <w:pPr>
              <w:pStyle w:val="TableText"/>
              <w:spacing w:before="30" w:after="30" w:line="230" w:lineRule="atLeast"/>
              <w:jc w:val="right"/>
            </w:pPr>
            <w:r w:rsidRPr="005C5E32">
              <w:t>(26,523)</w:t>
            </w:r>
          </w:p>
        </w:tc>
      </w:tr>
      <w:tr w:rsidR="00D06CB2" w:rsidRPr="005C5E32" w14:paraId="0D3D5875" w14:textId="77777777">
        <w:tc>
          <w:tcPr>
            <w:tcW w:w="3746" w:type="dxa"/>
            <w:tcBorders>
              <w:top w:val="single" w:sz="2" w:space="0" w:color="58595B"/>
              <w:left w:val="nil"/>
              <w:bottom w:val="single" w:sz="2" w:space="0" w:color="58595B"/>
              <w:right w:val="nil"/>
            </w:tcBorders>
          </w:tcPr>
          <w:p w14:paraId="0BDC2C26" w14:textId="77777777" w:rsidR="00D06CB2" w:rsidRPr="005C5E32" w:rsidRDefault="00D06CB2" w:rsidP="00474A08">
            <w:pPr>
              <w:pStyle w:val="TableTextbold"/>
              <w:spacing w:before="30" w:after="30" w:line="230" w:lineRule="atLeast"/>
            </w:pPr>
            <w:r w:rsidRPr="005C5E32">
              <w:t>Recognised</w:t>
            </w:r>
          </w:p>
        </w:tc>
        <w:tc>
          <w:tcPr>
            <w:tcW w:w="951" w:type="dxa"/>
            <w:tcBorders>
              <w:top w:val="single" w:sz="2" w:space="0" w:color="58595B"/>
              <w:left w:val="nil"/>
              <w:bottom w:val="single" w:sz="2" w:space="0" w:color="58595B"/>
              <w:right w:val="nil"/>
            </w:tcBorders>
          </w:tcPr>
          <w:p w14:paraId="18967178" w14:textId="77777777" w:rsidR="00D06CB2" w:rsidRPr="005C5E32" w:rsidRDefault="00D06CB2" w:rsidP="00474A08">
            <w:pPr>
              <w:pStyle w:val="TableTextbold"/>
              <w:spacing w:before="30" w:after="30" w:line="230" w:lineRule="atLeast"/>
              <w:jc w:val="right"/>
              <w:rPr>
                <w:szCs w:val="18"/>
              </w:rPr>
            </w:pPr>
            <w:r w:rsidRPr="005C5E32">
              <w:rPr>
                <w:bCs/>
                <w:szCs w:val="18"/>
              </w:rPr>
              <w:t>6,918</w:t>
            </w:r>
          </w:p>
        </w:tc>
        <w:tc>
          <w:tcPr>
            <w:tcW w:w="952" w:type="dxa"/>
            <w:tcBorders>
              <w:top w:val="single" w:sz="2" w:space="0" w:color="58595B"/>
              <w:left w:val="nil"/>
              <w:bottom w:val="single" w:sz="2" w:space="0" w:color="58595B"/>
              <w:right w:val="nil"/>
            </w:tcBorders>
          </w:tcPr>
          <w:p w14:paraId="5E8BBCE4" w14:textId="77777777" w:rsidR="00D06CB2" w:rsidRPr="005C5E32" w:rsidRDefault="00D06CB2" w:rsidP="00474A08">
            <w:pPr>
              <w:pStyle w:val="TableTextbold"/>
              <w:spacing w:before="30" w:after="30" w:line="230" w:lineRule="atLeast"/>
              <w:jc w:val="right"/>
              <w:rPr>
                <w:szCs w:val="18"/>
              </w:rPr>
            </w:pPr>
            <w:r w:rsidRPr="005C5E32">
              <w:rPr>
                <w:bCs/>
                <w:szCs w:val="18"/>
              </w:rPr>
              <w:t>29,140</w:t>
            </w:r>
          </w:p>
        </w:tc>
        <w:tc>
          <w:tcPr>
            <w:tcW w:w="952" w:type="dxa"/>
            <w:tcBorders>
              <w:top w:val="single" w:sz="2" w:space="0" w:color="58595B"/>
              <w:left w:val="nil"/>
              <w:bottom w:val="single" w:sz="2" w:space="0" w:color="58595B"/>
              <w:right w:val="nil"/>
            </w:tcBorders>
          </w:tcPr>
          <w:p w14:paraId="31DA6ECA" w14:textId="77777777" w:rsidR="00D06CB2" w:rsidRPr="005C5E32" w:rsidRDefault="00D06CB2" w:rsidP="00474A08">
            <w:pPr>
              <w:pStyle w:val="TableTextbold"/>
              <w:spacing w:before="30" w:after="30" w:line="230" w:lineRule="atLeast"/>
              <w:jc w:val="right"/>
              <w:rPr>
                <w:szCs w:val="18"/>
              </w:rPr>
            </w:pPr>
            <w:r w:rsidRPr="005C5E32">
              <w:rPr>
                <w:bCs/>
                <w:szCs w:val="18"/>
              </w:rPr>
              <w:t>21,775</w:t>
            </w:r>
          </w:p>
        </w:tc>
        <w:tc>
          <w:tcPr>
            <w:tcW w:w="952" w:type="dxa"/>
            <w:tcBorders>
              <w:top w:val="single" w:sz="2" w:space="0" w:color="58595B"/>
              <w:left w:val="nil"/>
              <w:bottom w:val="single" w:sz="2" w:space="0" w:color="58595B"/>
              <w:right w:val="nil"/>
            </w:tcBorders>
          </w:tcPr>
          <w:p w14:paraId="23D90DCE" w14:textId="77777777" w:rsidR="00D06CB2" w:rsidRPr="005C5E32" w:rsidRDefault="00D06CB2" w:rsidP="00474A08">
            <w:pPr>
              <w:pStyle w:val="TableTextbold"/>
              <w:spacing w:before="30" w:after="30" w:line="230" w:lineRule="atLeast"/>
              <w:jc w:val="right"/>
              <w:rPr>
                <w:szCs w:val="18"/>
              </w:rPr>
            </w:pPr>
            <w:r w:rsidRPr="005C5E32">
              <w:rPr>
                <w:bCs/>
                <w:szCs w:val="18"/>
              </w:rPr>
              <w:t>3,649</w:t>
            </w:r>
          </w:p>
        </w:tc>
        <w:tc>
          <w:tcPr>
            <w:tcW w:w="952" w:type="dxa"/>
            <w:tcBorders>
              <w:top w:val="single" w:sz="2" w:space="0" w:color="58595B"/>
              <w:left w:val="nil"/>
              <w:bottom w:val="single" w:sz="2" w:space="0" w:color="58595B"/>
              <w:right w:val="nil"/>
            </w:tcBorders>
          </w:tcPr>
          <w:p w14:paraId="58F36A2E" w14:textId="77777777" w:rsidR="00D06CB2" w:rsidRPr="005C5E32" w:rsidRDefault="00D06CB2" w:rsidP="00474A08">
            <w:pPr>
              <w:pStyle w:val="TableTextbold"/>
              <w:spacing w:before="30" w:after="30" w:line="230" w:lineRule="atLeast"/>
              <w:jc w:val="right"/>
            </w:pPr>
            <w:r w:rsidRPr="005C5E32">
              <w:t>61,482</w:t>
            </w:r>
          </w:p>
        </w:tc>
      </w:tr>
    </w:tbl>
    <w:p w14:paraId="057729A5" w14:textId="77777777" w:rsidR="00D06CB2" w:rsidRPr="005C5E32" w:rsidRDefault="00D06CB2" w:rsidP="00226250">
      <w:pPr>
        <w:pStyle w:val="BodyText"/>
        <w:spacing w:before="180"/>
      </w:pPr>
      <w:bookmarkStart w:id="425" w:name="_Hlk205322032"/>
      <w:r w:rsidRPr="005C5E32">
        <w:t>The policy decision to pay $220 million over 30 years to the Waikato River Authority was recognised as an expense in 2009/10 and 2011/12 in net present value terms. This appropriation now represents the difference between the cash to be paid to the Trust in 2026/27 of $7.333 million and the value recognised in 2009/10 and 2011/12 at net present value for this payment.</w:t>
      </w:r>
    </w:p>
    <w:bookmarkEnd w:id="425"/>
    <w:p w14:paraId="478547B4" w14:textId="77777777" w:rsidR="00D06CB2" w:rsidRPr="005C5E32" w:rsidRDefault="00D06CB2" w:rsidP="00BB2CBF">
      <w:pPr>
        <w:pStyle w:val="BodyText"/>
        <w:spacing w:before="80"/>
      </w:pPr>
      <w:r w:rsidRPr="005C5E32">
        <w:t>The table above reconciles the cash outflows that will occur over the next 12 years.</w:t>
      </w:r>
    </w:p>
    <w:p w14:paraId="5F1C9709" w14:textId="77777777" w:rsidR="00D06CB2" w:rsidRPr="005C5E32" w:rsidRDefault="00D06CB2" w:rsidP="00474A08">
      <w:pPr>
        <w:pStyle w:val="Heading4"/>
        <w:spacing w:after="180"/>
      </w:pPr>
      <w:r w:rsidRPr="005C5E32">
        <w:lastRenderedPageBreak/>
        <w:t xml:space="preserve">Recognition of future discounted cash flows for </w:t>
      </w:r>
      <w:r w:rsidRPr="005C5E32">
        <w:br/>
        <w:t>Te Pou Tupua (Whanganui River Funds)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783"/>
        <w:gridCol w:w="927"/>
        <w:gridCol w:w="928"/>
        <w:gridCol w:w="928"/>
        <w:gridCol w:w="928"/>
        <w:gridCol w:w="11"/>
      </w:tblGrid>
      <w:tr w:rsidR="00D06CB2" w:rsidRPr="005C5E32" w14:paraId="3AEA7671" w14:textId="77777777" w:rsidTr="00E57C9B">
        <w:trPr>
          <w:gridAfter w:val="1"/>
          <w:wAfter w:w="11" w:type="dxa"/>
          <w:trHeight w:val="20"/>
        </w:trPr>
        <w:tc>
          <w:tcPr>
            <w:tcW w:w="4783" w:type="dxa"/>
            <w:tcBorders>
              <w:top w:val="single" w:sz="8" w:space="0" w:color="0E7C7E"/>
              <w:bottom w:val="single" w:sz="2" w:space="0" w:color="58595B"/>
              <w:right w:val="nil"/>
            </w:tcBorders>
          </w:tcPr>
          <w:p w14:paraId="66DB1B85" w14:textId="77777777" w:rsidR="00D06CB2" w:rsidRPr="005C5E32" w:rsidRDefault="00D06CB2" w:rsidP="00474A08">
            <w:pPr>
              <w:pStyle w:val="TableboldGreen"/>
              <w:spacing w:before="30" w:after="30" w:line="230" w:lineRule="atLeast"/>
              <w:jc w:val="center"/>
            </w:pPr>
          </w:p>
        </w:tc>
        <w:tc>
          <w:tcPr>
            <w:tcW w:w="2783" w:type="dxa"/>
            <w:gridSpan w:val="3"/>
            <w:tcBorders>
              <w:top w:val="single" w:sz="8" w:space="0" w:color="0E7C7E"/>
              <w:left w:val="nil"/>
              <w:bottom w:val="single" w:sz="2" w:space="0" w:color="58595B"/>
            </w:tcBorders>
          </w:tcPr>
          <w:p w14:paraId="7EBBA2B1" w14:textId="77777777" w:rsidR="00D06CB2" w:rsidRPr="005C5E32" w:rsidRDefault="00D06CB2" w:rsidP="00474A08">
            <w:pPr>
              <w:pStyle w:val="TableboldGreen"/>
              <w:spacing w:before="30" w:after="30" w:line="230" w:lineRule="atLeast"/>
              <w:jc w:val="center"/>
            </w:pPr>
            <w:r w:rsidRPr="005C5E32">
              <w:t>Payables</w:t>
            </w:r>
          </w:p>
        </w:tc>
        <w:tc>
          <w:tcPr>
            <w:tcW w:w="928" w:type="dxa"/>
            <w:tcBorders>
              <w:top w:val="single" w:sz="8" w:space="0" w:color="0E7C7E"/>
              <w:bottom w:val="single" w:sz="2" w:space="0" w:color="58595B"/>
            </w:tcBorders>
          </w:tcPr>
          <w:p w14:paraId="7F5D5749" w14:textId="77777777" w:rsidR="00D06CB2" w:rsidRPr="005C5E32" w:rsidRDefault="00D06CB2" w:rsidP="00474A08">
            <w:pPr>
              <w:pStyle w:val="TableboldGreen"/>
              <w:spacing w:before="30" w:after="30" w:line="230" w:lineRule="atLeast"/>
              <w:jc w:val="right"/>
            </w:pPr>
            <w:r w:rsidRPr="005C5E32">
              <w:t>Total</w:t>
            </w:r>
          </w:p>
        </w:tc>
      </w:tr>
      <w:tr w:rsidR="00D06CB2" w:rsidRPr="005C5E32" w14:paraId="3EBF146E" w14:textId="77777777">
        <w:trPr>
          <w:gridAfter w:val="1"/>
          <w:wAfter w:w="11" w:type="dxa"/>
          <w:trHeight w:val="20"/>
        </w:trPr>
        <w:tc>
          <w:tcPr>
            <w:tcW w:w="4783" w:type="dxa"/>
            <w:tcBorders>
              <w:top w:val="single" w:sz="2" w:space="0" w:color="58595B"/>
              <w:bottom w:val="single" w:sz="2" w:space="0" w:color="58595B"/>
            </w:tcBorders>
          </w:tcPr>
          <w:p w14:paraId="4FCEAEAF" w14:textId="77777777" w:rsidR="00D06CB2" w:rsidRPr="005C5E32" w:rsidRDefault="00D06CB2" w:rsidP="00474A08">
            <w:pPr>
              <w:pStyle w:val="TableboldGreen"/>
              <w:spacing w:before="30" w:after="30" w:line="230" w:lineRule="atLeast"/>
            </w:pPr>
          </w:p>
        </w:tc>
        <w:tc>
          <w:tcPr>
            <w:tcW w:w="927" w:type="dxa"/>
            <w:tcBorders>
              <w:top w:val="single" w:sz="2" w:space="0" w:color="58595B"/>
              <w:bottom w:val="single" w:sz="2" w:space="0" w:color="58595B"/>
            </w:tcBorders>
            <w:vAlign w:val="bottom"/>
          </w:tcPr>
          <w:p w14:paraId="47103D0D" w14:textId="77777777" w:rsidR="00D06CB2" w:rsidRPr="005C5E32" w:rsidRDefault="00D06CB2" w:rsidP="00474A08">
            <w:pPr>
              <w:pStyle w:val="TableboldGreen"/>
              <w:spacing w:before="30" w:after="30" w:line="230" w:lineRule="atLeast"/>
              <w:jc w:val="right"/>
              <w:rPr>
                <w:rFonts w:eastAsia="Lato"/>
                <w:szCs w:val="18"/>
              </w:rPr>
            </w:pPr>
            <w:r w:rsidRPr="005C5E32">
              <w:rPr>
                <w:rFonts w:eastAsia="Lato"/>
                <w:color w:val="0E7C7E"/>
                <w:szCs w:val="18"/>
              </w:rPr>
              <w:t>2025–26</w:t>
            </w:r>
            <w:r w:rsidRPr="005C5E32">
              <w:rPr>
                <w:rFonts w:eastAsia="Lato"/>
                <w:color w:val="0E7C7E"/>
                <w:szCs w:val="18"/>
              </w:rPr>
              <w:br/>
              <w:t>$000</w:t>
            </w:r>
          </w:p>
        </w:tc>
        <w:tc>
          <w:tcPr>
            <w:tcW w:w="928" w:type="dxa"/>
            <w:tcBorders>
              <w:top w:val="single" w:sz="2" w:space="0" w:color="58595B"/>
              <w:bottom w:val="single" w:sz="2" w:space="0" w:color="58595B"/>
            </w:tcBorders>
            <w:vAlign w:val="bottom"/>
          </w:tcPr>
          <w:p w14:paraId="5502EE84" w14:textId="77777777" w:rsidR="00D06CB2" w:rsidRPr="005C5E32" w:rsidRDefault="00D06CB2" w:rsidP="00474A08">
            <w:pPr>
              <w:pStyle w:val="TableboldGreen"/>
              <w:spacing w:before="30" w:after="30" w:line="230" w:lineRule="atLeast"/>
              <w:jc w:val="right"/>
              <w:rPr>
                <w:rFonts w:eastAsia="Lato"/>
                <w:szCs w:val="18"/>
              </w:rPr>
            </w:pPr>
            <w:r w:rsidRPr="005C5E32">
              <w:rPr>
                <w:rFonts w:eastAsia="Lato"/>
                <w:color w:val="0E7C7E"/>
                <w:szCs w:val="18"/>
              </w:rPr>
              <w:t>2027–31</w:t>
            </w:r>
            <w:r w:rsidRPr="005C5E32">
              <w:rPr>
                <w:rFonts w:eastAsia="Lato"/>
                <w:color w:val="0E7C7E"/>
                <w:szCs w:val="18"/>
              </w:rPr>
              <w:br/>
              <w:t>$000</w:t>
            </w:r>
          </w:p>
        </w:tc>
        <w:tc>
          <w:tcPr>
            <w:tcW w:w="928" w:type="dxa"/>
            <w:tcBorders>
              <w:top w:val="single" w:sz="2" w:space="0" w:color="58595B"/>
              <w:bottom w:val="single" w:sz="2" w:space="0" w:color="58595B"/>
            </w:tcBorders>
            <w:vAlign w:val="bottom"/>
          </w:tcPr>
          <w:p w14:paraId="6C853323" w14:textId="77777777" w:rsidR="00D06CB2" w:rsidRPr="005C5E32" w:rsidRDefault="00D06CB2" w:rsidP="00474A08">
            <w:pPr>
              <w:pStyle w:val="TableboldGreen"/>
              <w:spacing w:before="30" w:after="30" w:line="230" w:lineRule="atLeast"/>
              <w:jc w:val="right"/>
              <w:rPr>
                <w:rFonts w:eastAsia="Lato"/>
                <w:szCs w:val="18"/>
              </w:rPr>
            </w:pPr>
            <w:r w:rsidRPr="005C5E32">
              <w:rPr>
                <w:rFonts w:eastAsia="Lato"/>
                <w:color w:val="0E7C7E"/>
                <w:szCs w:val="18"/>
              </w:rPr>
              <w:t>2032–34</w:t>
            </w:r>
            <w:r w:rsidRPr="005C5E32">
              <w:rPr>
                <w:rFonts w:eastAsia="Lato"/>
                <w:color w:val="0E7C7E"/>
                <w:szCs w:val="18"/>
              </w:rPr>
              <w:br/>
              <w:t>$000</w:t>
            </w:r>
          </w:p>
        </w:tc>
        <w:tc>
          <w:tcPr>
            <w:tcW w:w="928" w:type="dxa"/>
            <w:tcBorders>
              <w:top w:val="single" w:sz="2" w:space="0" w:color="58595B"/>
              <w:bottom w:val="single" w:sz="2" w:space="0" w:color="58595B"/>
            </w:tcBorders>
            <w:vAlign w:val="bottom"/>
          </w:tcPr>
          <w:p w14:paraId="4D07C937" w14:textId="77777777" w:rsidR="00D06CB2" w:rsidRPr="005C5E32" w:rsidRDefault="00D06CB2" w:rsidP="00474A08">
            <w:pPr>
              <w:pStyle w:val="TableboldGreen"/>
              <w:spacing w:before="30" w:after="30" w:line="230" w:lineRule="atLeast"/>
              <w:jc w:val="right"/>
              <w:rPr>
                <w:rFonts w:eastAsia="Lato"/>
              </w:rPr>
            </w:pPr>
            <w:r w:rsidRPr="005C5E32">
              <w:rPr>
                <w:rFonts w:eastAsia="Lato"/>
                <w:color w:val="0E7C7E"/>
              </w:rPr>
              <w:t>$000</w:t>
            </w:r>
          </w:p>
        </w:tc>
      </w:tr>
      <w:tr w:rsidR="00D06CB2" w:rsidRPr="005C5E32" w14:paraId="0BED6775" w14:textId="77777777">
        <w:trPr>
          <w:gridAfter w:val="1"/>
          <w:wAfter w:w="11" w:type="dxa"/>
          <w:trHeight w:val="20"/>
        </w:trPr>
        <w:tc>
          <w:tcPr>
            <w:tcW w:w="4783" w:type="dxa"/>
            <w:tcBorders>
              <w:top w:val="single" w:sz="2" w:space="0" w:color="58595B"/>
              <w:bottom w:val="nil"/>
            </w:tcBorders>
          </w:tcPr>
          <w:p w14:paraId="437F8472" w14:textId="77777777" w:rsidR="00D06CB2" w:rsidRPr="005C5E32" w:rsidRDefault="00D06CB2" w:rsidP="00474A08">
            <w:pPr>
              <w:pStyle w:val="TableboldGreen"/>
              <w:spacing w:before="30" w:after="30" w:line="230" w:lineRule="atLeast"/>
            </w:pPr>
            <w:r w:rsidRPr="005C5E32">
              <w:t>Te Pou Tupua</w:t>
            </w:r>
          </w:p>
        </w:tc>
        <w:tc>
          <w:tcPr>
            <w:tcW w:w="927" w:type="dxa"/>
            <w:tcBorders>
              <w:top w:val="single" w:sz="2" w:space="0" w:color="58595B"/>
              <w:bottom w:val="nil"/>
            </w:tcBorders>
          </w:tcPr>
          <w:p w14:paraId="0E08E401" w14:textId="77777777" w:rsidR="00D06CB2" w:rsidRPr="005C5E32" w:rsidRDefault="00D06CB2" w:rsidP="00474A08">
            <w:pPr>
              <w:pStyle w:val="TableText"/>
              <w:spacing w:before="30" w:after="30" w:line="230" w:lineRule="atLeast"/>
            </w:pPr>
          </w:p>
        </w:tc>
        <w:tc>
          <w:tcPr>
            <w:tcW w:w="928" w:type="dxa"/>
            <w:tcBorders>
              <w:top w:val="single" w:sz="2" w:space="0" w:color="58595B"/>
              <w:bottom w:val="nil"/>
            </w:tcBorders>
          </w:tcPr>
          <w:p w14:paraId="061FC4FF" w14:textId="77777777" w:rsidR="00D06CB2" w:rsidRPr="005C5E32" w:rsidRDefault="00D06CB2" w:rsidP="00474A08">
            <w:pPr>
              <w:pStyle w:val="TableText"/>
              <w:spacing w:before="30" w:after="30" w:line="230" w:lineRule="atLeast"/>
            </w:pPr>
          </w:p>
        </w:tc>
        <w:tc>
          <w:tcPr>
            <w:tcW w:w="928" w:type="dxa"/>
            <w:tcBorders>
              <w:top w:val="single" w:sz="2" w:space="0" w:color="58595B"/>
              <w:bottom w:val="nil"/>
            </w:tcBorders>
          </w:tcPr>
          <w:p w14:paraId="0BD51AD2" w14:textId="77777777" w:rsidR="00D06CB2" w:rsidRPr="005C5E32" w:rsidRDefault="00D06CB2" w:rsidP="00474A08">
            <w:pPr>
              <w:pStyle w:val="TableText"/>
              <w:spacing w:before="30" w:after="30" w:line="230" w:lineRule="atLeast"/>
            </w:pPr>
          </w:p>
        </w:tc>
        <w:tc>
          <w:tcPr>
            <w:tcW w:w="928" w:type="dxa"/>
            <w:tcBorders>
              <w:top w:val="single" w:sz="2" w:space="0" w:color="58595B"/>
              <w:bottom w:val="nil"/>
            </w:tcBorders>
          </w:tcPr>
          <w:p w14:paraId="097295E7" w14:textId="77777777" w:rsidR="00D06CB2" w:rsidRPr="005C5E32" w:rsidRDefault="00D06CB2" w:rsidP="00474A08">
            <w:pPr>
              <w:pStyle w:val="TableText"/>
              <w:spacing w:before="30" w:after="30" w:line="230" w:lineRule="atLeast"/>
            </w:pPr>
          </w:p>
        </w:tc>
      </w:tr>
      <w:tr w:rsidR="00D06CB2" w:rsidRPr="005C5E32" w14:paraId="58258157" w14:textId="77777777">
        <w:trPr>
          <w:gridAfter w:val="1"/>
          <w:wAfter w:w="11" w:type="dxa"/>
          <w:trHeight w:val="20"/>
        </w:trPr>
        <w:tc>
          <w:tcPr>
            <w:tcW w:w="4783" w:type="dxa"/>
            <w:tcBorders>
              <w:top w:val="nil"/>
              <w:left w:val="nil"/>
              <w:bottom w:val="single" w:sz="4" w:space="0" w:color="58595B"/>
              <w:right w:val="nil"/>
            </w:tcBorders>
          </w:tcPr>
          <w:p w14:paraId="2DA6B13F" w14:textId="77777777" w:rsidR="00D06CB2" w:rsidRPr="005C5E32" w:rsidRDefault="00D06CB2" w:rsidP="00474A08">
            <w:pPr>
              <w:pStyle w:val="TableText"/>
              <w:spacing w:before="30" w:after="30" w:line="230" w:lineRule="atLeast"/>
            </w:pPr>
            <w:r w:rsidRPr="005C5E32">
              <w:t>Nominal</w:t>
            </w:r>
          </w:p>
        </w:tc>
        <w:tc>
          <w:tcPr>
            <w:tcW w:w="927" w:type="dxa"/>
            <w:tcBorders>
              <w:top w:val="nil"/>
              <w:left w:val="nil"/>
              <w:bottom w:val="single" w:sz="4" w:space="0" w:color="58595B"/>
              <w:right w:val="nil"/>
            </w:tcBorders>
          </w:tcPr>
          <w:p w14:paraId="6EEA8B23" w14:textId="77777777" w:rsidR="00D06CB2" w:rsidRPr="005C5E32" w:rsidRDefault="00D06CB2" w:rsidP="00474A08">
            <w:pPr>
              <w:pStyle w:val="TableText"/>
              <w:spacing w:before="30" w:after="30" w:line="230" w:lineRule="atLeast"/>
              <w:jc w:val="right"/>
              <w:rPr>
                <w:szCs w:val="18"/>
              </w:rPr>
            </w:pPr>
            <w:r w:rsidRPr="005C5E32">
              <w:rPr>
                <w:szCs w:val="18"/>
              </w:rPr>
              <w:t>600</w:t>
            </w:r>
          </w:p>
        </w:tc>
        <w:tc>
          <w:tcPr>
            <w:tcW w:w="928" w:type="dxa"/>
            <w:tcBorders>
              <w:top w:val="nil"/>
              <w:left w:val="nil"/>
              <w:bottom w:val="single" w:sz="4" w:space="0" w:color="58595B"/>
              <w:right w:val="nil"/>
            </w:tcBorders>
          </w:tcPr>
          <w:p w14:paraId="36E8A1F8" w14:textId="77777777" w:rsidR="00D06CB2" w:rsidRPr="005C5E32" w:rsidRDefault="00D06CB2" w:rsidP="00474A08">
            <w:pPr>
              <w:pStyle w:val="TableText"/>
              <w:spacing w:before="30" w:after="30" w:line="230" w:lineRule="atLeast"/>
              <w:jc w:val="right"/>
            </w:pPr>
            <w:r w:rsidRPr="005C5E32">
              <w:t>1,000</w:t>
            </w:r>
          </w:p>
        </w:tc>
        <w:tc>
          <w:tcPr>
            <w:tcW w:w="928" w:type="dxa"/>
            <w:tcBorders>
              <w:top w:val="nil"/>
              <w:left w:val="nil"/>
              <w:bottom w:val="single" w:sz="4" w:space="0" w:color="58595B"/>
              <w:right w:val="nil"/>
            </w:tcBorders>
          </w:tcPr>
          <w:p w14:paraId="159A826F" w14:textId="77777777" w:rsidR="00D06CB2" w:rsidRPr="005C5E32" w:rsidRDefault="00D06CB2" w:rsidP="00474A08">
            <w:pPr>
              <w:pStyle w:val="TableText"/>
              <w:spacing w:before="30" w:after="30" w:line="230" w:lineRule="atLeast"/>
              <w:jc w:val="right"/>
              <w:rPr>
                <w:szCs w:val="18"/>
              </w:rPr>
            </w:pPr>
            <w:r w:rsidRPr="005C5E32">
              <w:rPr>
                <w:szCs w:val="18"/>
              </w:rPr>
              <w:t>400</w:t>
            </w:r>
          </w:p>
        </w:tc>
        <w:tc>
          <w:tcPr>
            <w:tcW w:w="928" w:type="dxa"/>
            <w:tcBorders>
              <w:top w:val="nil"/>
              <w:left w:val="nil"/>
              <w:bottom w:val="single" w:sz="4" w:space="0" w:color="58595B"/>
              <w:right w:val="nil"/>
            </w:tcBorders>
          </w:tcPr>
          <w:p w14:paraId="638A9FE8" w14:textId="77777777" w:rsidR="00D06CB2" w:rsidRPr="005C5E32" w:rsidRDefault="00D06CB2" w:rsidP="00474A08">
            <w:pPr>
              <w:pStyle w:val="TableText"/>
              <w:spacing w:before="30" w:after="30" w:line="230" w:lineRule="atLeast"/>
              <w:jc w:val="right"/>
            </w:pPr>
            <w:r w:rsidRPr="005C5E32">
              <w:t>2,000</w:t>
            </w:r>
          </w:p>
        </w:tc>
      </w:tr>
      <w:tr w:rsidR="00D06CB2" w:rsidRPr="005C5E32" w14:paraId="68E54A78" w14:textId="77777777">
        <w:trPr>
          <w:trHeight w:val="20"/>
        </w:trPr>
        <w:tc>
          <w:tcPr>
            <w:tcW w:w="4783" w:type="dxa"/>
            <w:tcBorders>
              <w:top w:val="single" w:sz="4" w:space="0" w:color="58595B"/>
              <w:left w:val="nil"/>
              <w:bottom w:val="single" w:sz="4" w:space="0" w:color="58595B"/>
              <w:right w:val="nil"/>
            </w:tcBorders>
          </w:tcPr>
          <w:p w14:paraId="31DFBC53" w14:textId="77777777" w:rsidR="00D06CB2" w:rsidRPr="005C5E32" w:rsidRDefault="00D06CB2" w:rsidP="00474A08">
            <w:pPr>
              <w:pStyle w:val="TableText"/>
              <w:spacing w:before="30" w:after="30" w:line="230" w:lineRule="atLeast"/>
            </w:pPr>
            <w:r w:rsidRPr="005C5E32">
              <w:t>Discount</w:t>
            </w:r>
          </w:p>
        </w:tc>
        <w:tc>
          <w:tcPr>
            <w:tcW w:w="927" w:type="dxa"/>
            <w:tcBorders>
              <w:top w:val="single" w:sz="4" w:space="0" w:color="58595B"/>
              <w:left w:val="nil"/>
              <w:bottom w:val="single" w:sz="4" w:space="0" w:color="58595B"/>
              <w:right w:val="nil"/>
            </w:tcBorders>
          </w:tcPr>
          <w:p w14:paraId="6F488E32" w14:textId="77777777" w:rsidR="00D06CB2" w:rsidRPr="005C5E32" w:rsidRDefault="00D06CB2" w:rsidP="00474A08">
            <w:pPr>
              <w:pStyle w:val="TableText"/>
              <w:spacing w:before="30" w:after="30" w:line="230" w:lineRule="atLeast"/>
              <w:jc w:val="right"/>
              <w:rPr>
                <w:szCs w:val="18"/>
              </w:rPr>
            </w:pPr>
            <w:r w:rsidRPr="005C5E32">
              <w:rPr>
                <w:szCs w:val="18"/>
              </w:rPr>
              <w:t>(10)</w:t>
            </w:r>
          </w:p>
        </w:tc>
        <w:tc>
          <w:tcPr>
            <w:tcW w:w="928" w:type="dxa"/>
            <w:tcBorders>
              <w:top w:val="single" w:sz="4" w:space="0" w:color="58595B"/>
              <w:left w:val="nil"/>
              <w:bottom w:val="single" w:sz="4" w:space="0" w:color="58595B"/>
              <w:right w:val="nil"/>
            </w:tcBorders>
          </w:tcPr>
          <w:p w14:paraId="4D841065" w14:textId="77777777" w:rsidR="00D06CB2" w:rsidRPr="005C5E32" w:rsidRDefault="00D06CB2" w:rsidP="00474A08">
            <w:pPr>
              <w:pStyle w:val="TableText"/>
              <w:spacing w:before="30" w:after="30" w:line="230" w:lineRule="atLeast"/>
              <w:jc w:val="right"/>
              <w:rPr>
                <w:szCs w:val="18"/>
              </w:rPr>
            </w:pPr>
            <w:r w:rsidRPr="005C5E32">
              <w:rPr>
                <w:szCs w:val="18"/>
              </w:rPr>
              <w:t>(191)</w:t>
            </w:r>
          </w:p>
        </w:tc>
        <w:tc>
          <w:tcPr>
            <w:tcW w:w="928" w:type="dxa"/>
            <w:tcBorders>
              <w:top w:val="single" w:sz="4" w:space="0" w:color="58595B"/>
              <w:left w:val="nil"/>
              <w:bottom w:val="single" w:sz="4" w:space="0" w:color="58595B"/>
              <w:right w:val="nil"/>
            </w:tcBorders>
          </w:tcPr>
          <w:p w14:paraId="5E75D2D3" w14:textId="77777777" w:rsidR="00D06CB2" w:rsidRPr="005C5E32" w:rsidRDefault="00D06CB2" w:rsidP="00474A08">
            <w:pPr>
              <w:pStyle w:val="TableText"/>
              <w:spacing w:before="30" w:after="30" w:line="230" w:lineRule="atLeast"/>
              <w:jc w:val="right"/>
              <w:rPr>
                <w:szCs w:val="18"/>
              </w:rPr>
            </w:pPr>
            <w:r w:rsidRPr="005C5E32">
              <w:rPr>
                <w:szCs w:val="18"/>
              </w:rPr>
              <w:t>(132)</w:t>
            </w:r>
          </w:p>
        </w:tc>
        <w:tc>
          <w:tcPr>
            <w:tcW w:w="939" w:type="dxa"/>
            <w:gridSpan w:val="2"/>
            <w:tcBorders>
              <w:top w:val="single" w:sz="4" w:space="0" w:color="58595B"/>
              <w:left w:val="nil"/>
              <w:bottom w:val="single" w:sz="4" w:space="0" w:color="58595B"/>
              <w:right w:val="nil"/>
            </w:tcBorders>
          </w:tcPr>
          <w:p w14:paraId="6925C436" w14:textId="77777777" w:rsidR="00D06CB2" w:rsidRPr="005C5E32" w:rsidRDefault="00D06CB2" w:rsidP="00474A08">
            <w:pPr>
              <w:pStyle w:val="TableText"/>
              <w:spacing w:before="30" w:after="30" w:line="230" w:lineRule="atLeast"/>
              <w:jc w:val="right"/>
            </w:pPr>
            <w:r w:rsidRPr="005C5E32">
              <w:t>(333)</w:t>
            </w:r>
          </w:p>
        </w:tc>
      </w:tr>
      <w:tr w:rsidR="00D06CB2" w:rsidRPr="005C5E32" w14:paraId="4C768CF9" w14:textId="77777777">
        <w:trPr>
          <w:trHeight w:val="20"/>
        </w:trPr>
        <w:tc>
          <w:tcPr>
            <w:tcW w:w="4783" w:type="dxa"/>
            <w:tcBorders>
              <w:top w:val="single" w:sz="4" w:space="0" w:color="58595B"/>
              <w:left w:val="nil"/>
              <w:bottom w:val="single" w:sz="4" w:space="0" w:color="58595B"/>
              <w:right w:val="nil"/>
            </w:tcBorders>
          </w:tcPr>
          <w:p w14:paraId="3F66CB4A" w14:textId="77777777" w:rsidR="00D06CB2" w:rsidRPr="005C5E32" w:rsidRDefault="00D06CB2" w:rsidP="00474A08">
            <w:pPr>
              <w:pStyle w:val="TableTextbold"/>
              <w:spacing w:before="30" w:after="30" w:line="230" w:lineRule="atLeast"/>
            </w:pPr>
            <w:r w:rsidRPr="005C5E32">
              <w:t>Recognised</w:t>
            </w:r>
          </w:p>
        </w:tc>
        <w:tc>
          <w:tcPr>
            <w:tcW w:w="927" w:type="dxa"/>
            <w:tcBorders>
              <w:top w:val="single" w:sz="4" w:space="0" w:color="58595B"/>
              <w:left w:val="nil"/>
              <w:bottom w:val="single" w:sz="4" w:space="0" w:color="58595B"/>
              <w:right w:val="nil"/>
            </w:tcBorders>
          </w:tcPr>
          <w:p w14:paraId="6591ACB9" w14:textId="77777777" w:rsidR="00D06CB2" w:rsidRPr="005C5E32" w:rsidRDefault="00D06CB2" w:rsidP="00474A08">
            <w:pPr>
              <w:pStyle w:val="TableTextbold"/>
              <w:spacing w:before="30" w:after="30" w:line="230" w:lineRule="atLeast"/>
              <w:jc w:val="right"/>
              <w:rPr>
                <w:szCs w:val="18"/>
              </w:rPr>
            </w:pPr>
            <w:r w:rsidRPr="005C5E32">
              <w:rPr>
                <w:bCs/>
                <w:szCs w:val="18"/>
              </w:rPr>
              <w:t>590</w:t>
            </w:r>
          </w:p>
        </w:tc>
        <w:tc>
          <w:tcPr>
            <w:tcW w:w="928" w:type="dxa"/>
            <w:tcBorders>
              <w:top w:val="single" w:sz="4" w:space="0" w:color="58595B"/>
              <w:left w:val="nil"/>
              <w:bottom w:val="single" w:sz="4" w:space="0" w:color="58595B"/>
              <w:right w:val="nil"/>
            </w:tcBorders>
          </w:tcPr>
          <w:p w14:paraId="209C230E" w14:textId="77777777" w:rsidR="00D06CB2" w:rsidRPr="005C5E32" w:rsidRDefault="00D06CB2" w:rsidP="00474A08">
            <w:pPr>
              <w:pStyle w:val="TableTextbold"/>
              <w:spacing w:before="30" w:after="30" w:line="230" w:lineRule="atLeast"/>
              <w:jc w:val="right"/>
              <w:rPr>
                <w:szCs w:val="18"/>
              </w:rPr>
            </w:pPr>
            <w:r w:rsidRPr="005C5E32">
              <w:rPr>
                <w:bCs/>
                <w:szCs w:val="18"/>
              </w:rPr>
              <w:t>809</w:t>
            </w:r>
          </w:p>
        </w:tc>
        <w:tc>
          <w:tcPr>
            <w:tcW w:w="928" w:type="dxa"/>
            <w:tcBorders>
              <w:top w:val="single" w:sz="4" w:space="0" w:color="58595B"/>
              <w:left w:val="nil"/>
              <w:bottom w:val="single" w:sz="4" w:space="0" w:color="58595B"/>
              <w:right w:val="nil"/>
            </w:tcBorders>
          </w:tcPr>
          <w:p w14:paraId="20F98E81" w14:textId="77777777" w:rsidR="00D06CB2" w:rsidRPr="005C5E32" w:rsidRDefault="00D06CB2" w:rsidP="00474A08">
            <w:pPr>
              <w:pStyle w:val="TableTextbold"/>
              <w:spacing w:before="30" w:after="30" w:line="230" w:lineRule="atLeast"/>
              <w:jc w:val="right"/>
              <w:rPr>
                <w:szCs w:val="18"/>
              </w:rPr>
            </w:pPr>
            <w:r w:rsidRPr="005C5E32">
              <w:rPr>
                <w:szCs w:val="18"/>
              </w:rPr>
              <w:t>268</w:t>
            </w:r>
          </w:p>
        </w:tc>
        <w:tc>
          <w:tcPr>
            <w:tcW w:w="939" w:type="dxa"/>
            <w:gridSpan w:val="2"/>
            <w:tcBorders>
              <w:top w:val="single" w:sz="4" w:space="0" w:color="58595B"/>
              <w:left w:val="nil"/>
              <w:bottom w:val="single" w:sz="4" w:space="0" w:color="58595B"/>
              <w:right w:val="nil"/>
            </w:tcBorders>
          </w:tcPr>
          <w:p w14:paraId="20DCAA1B" w14:textId="77777777" w:rsidR="00D06CB2" w:rsidRPr="005C5E32" w:rsidRDefault="00D06CB2" w:rsidP="00474A08">
            <w:pPr>
              <w:pStyle w:val="TableTextbold"/>
              <w:spacing w:before="30" w:after="30" w:line="230" w:lineRule="atLeast"/>
              <w:jc w:val="right"/>
            </w:pPr>
            <w:r w:rsidRPr="005C5E32">
              <w:t>1,667</w:t>
            </w:r>
          </w:p>
        </w:tc>
      </w:tr>
    </w:tbl>
    <w:p w14:paraId="7B0B0B03" w14:textId="240526D0" w:rsidR="00D06CB2" w:rsidRPr="005C5E32" w:rsidRDefault="00D06CB2" w:rsidP="00474A08">
      <w:pPr>
        <w:keepLines/>
        <w:spacing w:before="240" w:after="100" w:line="276" w:lineRule="atLeast"/>
        <w:jc w:val="left"/>
      </w:pPr>
      <w:r w:rsidRPr="005C5E32">
        <w:t>The policy decision to pay $4 million over 20 years to Te Pou Tupua to support the governance and operational costs related to the Whanganui River Te Awa Tupua Putea. This has been recognised as an expense in 2013/14 in net present value terms. This appropriation now represents the difference between the cash to be paid to the Trust in 2026/27 of $600,000 (including arrears for two years, 2014/15 and 2015/16) and the value recognised in 2013/14 at</w:t>
      </w:r>
      <w:r w:rsidR="00474A08" w:rsidRPr="005C5E32">
        <w:t> </w:t>
      </w:r>
      <w:r w:rsidRPr="005C5E32">
        <w:t>net present value for this payment.</w:t>
      </w:r>
    </w:p>
    <w:p w14:paraId="71B27B22" w14:textId="77777777" w:rsidR="00D06CB2" w:rsidRPr="005C5E32" w:rsidRDefault="00D06CB2" w:rsidP="00474A08">
      <w:pPr>
        <w:pStyle w:val="BodyText"/>
        <w:spacing w:after="100" w:line="276" w:lineRule="atLeast"/>
      </w:pPr>
      <w:r w:rsidRPr="005C5E32">
        <w:t>The table above reconciles the cash outflows that will occur over the next eight years.</w:t>
      </w:r>
    </w:p>
    <w:p w14:paraId="672AA9BB" w14:textId="77777777" w:rsidR="00D06CB2" w:rsidRPr="005C5E32" w:rsidRDefault="00D06CB2">
      <w:pPr>
        <w:pStyle w:val="Heading3"/>
        <w:spacing w:before="240"/>
      </w:pPr>
      <w:r w:rsidRPr="005C5E32">
        <w:t>9.</w:t>
      </w:r>
      <w:r w:rsidRPr="005C5E32">
        <w:tab/>
        <w:t>Financial instruments</w:t>
      </w:r>
    </w:p>
    <w:p w14:paraId="6ABE57CD" w14:textId="77777777" w:rsidR="00D06CB2" w:rsidRPr="005C5E32" w:rsidRDefault="00D06CB2" w:rsidP="00474A08">
      <w:pPr>
        <w:pStyle w:val="BodyText"/>
        <w:spacing w:before="80"/>
      </w:pPr>
      <w:r w:rsidRPr="005C5E32">
        <w:t>The carrying amounts of financial assets and financial liabilities in each of the categories are as follows: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6292"/>
        <w:gridCol w:w="981"/>
        <w:gridCol w:w="1232"/>
      </w:tblGrid>
      <w:tr w:rsidR="00D06CB2" w:rsidRPr="005C5E32" w14:paraId="4E88D6F8" w14:textId="77777777" w:rsidTr="009264C0">
        <w:trPr>
          <w:trHeight w:val="20"/>
        </w:trPr>
        <w:tc>
          <w:tcPr>
            <w:tcW w:w="7371" w:type="dxa"/>
            <w:gridSpan w:val="2"/>
            <w:tcBorders>
              <w:top w:val="single" w:sz="8" w:space="0" w:color="0E7C7E"/>
              <w:bottom w:val="single" w:sz="2" w:space="0" w:color="58595B"/>
            </w:tcBorders>
          </w:tcPr>
          <w:p w14:paraId="233B50C1" w14:textId="77777777" w:rsidR="00D06CB2" w:rsidRPr="005C5E32" w:rsidRDefault="00D06CB2" w:rsidP="00474A08">
            <w:pPr>
              <w:pStyle w:val="TableboldGreen"/>
              <w:spacing w:before="30" w:after="30" w:line="230" w:lineRule="atLeast"/>
              <w:jc w:val="right"/>
            </w:pPr>
            <w:r w:rsidRPr="005C5E32">
              <w:t>2024/25</w:t>
            </w:r>
            <w:r w:rsidRPr="005C5E32">
              <w:br/>
              <w:t>Actual</w:t>
            </w:r>
            <w:r w:rsidRPr="005C5E32">
              <w:br/>
              <w:t>$000</w:t>
            </w:r>
          </w:p>
        </w:tc>
        <w:tc>
          <w:tcPr>
            <w:tcW w:w="1247" w:type="dxa"/>
            <w:tcBorders>
              <w:top w:val="single" w:sz="8" w:space="0" w:color="0E7C7E"/>
              <w:bottom w:val="single" w:sz="2" w:space="0" w:color="58595B"/>
            </w:tcBorders>
            <w:shd w:val="clear" w:color="auto" w:fill="E7F2F2"/>
          </w:tcPr>
          <w:p w14:paraId="3595CA90" w14:textId="77777777" w:rsidR="00D06CB2" w:rsidRPr="005C5E32" w:rsidRDefault="00D06CB2" w:rsidP="00474A08">
            <w:pPr>
              <w:pStyle w:val="TableboldGreen"/>
              <w:spacing w:before="30" w:after="30" w:line="230" w:lineRule="atLeast"/>
              <w:jc w:val="right"/>
            </w:pPr>
            <w:r w:rsidRPr="005C5E32">
              <w:t>2025/26</w:t>
            </w:r>
            <w:r w:rsidRPr="005C5E32">
              <w:br/>
              <w:t>Actual</w:t>
            </w:r>
            <w:r w:rsidRPr="005C5E32">
              <w:br/>
              <w:t>$000</w:t>
            </w:r>
          </w:p>
        </w:tc>
      </w:tr>
      <w:tr w:rsidR="00D06CB2" w:rsidRPr="005C5E32" w14:paraId="65527E1D" w14:textId="77777777" w:rsidTr="009264C0">
        <w:trPr>
          <w:trHeight w:val="20"/>
        </w:trPr>
        <w:tc>
          <w:tcPr>
            <w:tcW w:w="6379" w:type="dxa"/>
            <w:tcBorders>
              <w:top w:val="single" w:sz="2" w:space="0" w:color="58595B"/>
              <w:bottom w:val="nil"/>
            </w:tcBorders>
          </w:tcPr>
          <w:p w14:paraId="72ABCE12" w14:textId="77777777" w:rsidR="00D06CB2" w:rsidRPr="005C5E32" w:rsidRDefault="00D06CB2" w:rsidP="00474A08">
            <w:pPr>
              <w:pStyle w:val="TableboldGreen"/>
              <w:spacing w:before="30" w:after="30" w:line="230" w:lineRule="atLeast"/>
            </w:pPr>
            <w:r w:rsidRPr="005C5E32">
              <w:t>Financial assets measured at amortised cost</w:t>
            </w:r>
          </w:p>
        </w:tc>
        <w:tc>
          <w:tcPr>
            <w:tcW w:w="992" w:type="dxa"/>
            <w:tcBorders>
              <w:top w:val="single" w:sz="2" w:space="0" w:color="58595B"/>
              <w:bottom w:val="nil"/>
            </w:tcBorders>
          </w:tcPr>
          <w:p w14:paraId="440D6A8C" w14:textId="77777777" w:rsidR="00D06CB2" w:rsidRPr="005C5E32" w:rsidRDefault="00D06CB2" w:rsidP="00474A08">
            <w:pPr>
              <w:pStyle w:val="TableText"/>
              <w:spacing w:before="30" w:after="30" w:line="230" w:lineRule="atLeast"/>
            </w:pPr>
          </w:p>
        </w:tc>
        <w:tc>
          <w:tcPr>
            <w:tcW w:w="1247" w:type="dxa"/>
            <w:tcBorders>
              <w:top w:val="single" w:sz="2" w:space="0" w:color="58595B"/>
              <w:bottom w:val="nil"/>
            </w:tcBorders>
            <w:shd w:val="clear" w:color="auto" w:fill="E7F2F2"/>
          </w:tcPr>
          <w:p w14:paraId="51BD46D0" w14:textId="77777777" w:rsidR="00D06CB2" w:rsidRPr="005C5E32" w:rsidRDefault="00D06CB2" w:rsidP="00474A08">
            <w:pPr>
              <w:pStyle w:val="TableText"/>
              <w:spacing w:before="30" w:after="30" w:line="230" w:lineRule="atLeast"/>
              <w:jc w:val="right"/>
              <w:rPr>
                <w:highlight w:val="yellow"/>
              </w:rPr>
            </w:pPr>
          </w:p>
        </w:tc>
      </w:tr>
      <w:tr w:rsidR="00D06CB2" w:rsidRPr="005C5E32" w14:paraId="014B44A2" w14:textId="77777777" w:rsidTr="009264C0">
        <w:trPr>
          <w:trHeight w:val="20"/>
        </w:trPr>
        <w:tc>
          <w:tcPr>
            <w:tcW w:w="6379" w:type="dxa"/>
            <w:tcBorders>
              <w:top w:val="nil"/>
              <w:left w:val="nil"/>
              <w:bottom w:val="single" w:sz="4" w:space="0" w:color="58595B"/>
              <w:right w:val="nil"/>
            </w:tcBorders>
          </w:tcPr>
          <w:p w14:paraId="28BD1599" w14:textId="77777777" w:rsidR="00D06CB2" w:rsidRPr="005C5E32" w:rsidRDefault="00D06CB2" w:rsidP="00474A08">
            <w:pPr>
              <w:pStyle w:val="TableText"/>
              <w:spacing w:before="30" w:after="30" w:line="230" w:lineRule="atLeast"/>
            </w:pPr>
            <w:r w:rsidRPr="005C5E32">
              <w:t>Cash and cash equivalents</w:t>
            </w:r>
          </w:p>
        </w:tc>
        <w:tc>
          <w:tcPr>
            <w:tcW w:w="992" w:type="dxa"/>
            <w:tcBorders>
              <w:top w:val="nil"/>
              <w:left w:val="nil"/>
              <w:bottom w:val="single" w:sz="4" w:space="0" w:color="58595B"/>
              <w:right w:val="nil"/>
            </w:tcBorders>
          </w:tcPr>
          <w:p w14:paraId="78F25A1B" w14:textId="77777777" w:rsidR="00D06CB2" w:rsidRPr="005C5E32" w:rsidRDefault="00D06CB2" w:rsidP="00474A08">
            <w:pPr>
              <w:pStyle w:val="TableText"/>
              <w:spacing w:before="30" w:after="30" w:line="230" w:lineRule="atLeast"/>
              <w:jc w:val="right"/>
            </w:pPr>
            <w:r w:rsidRPr="005C5E32">
              <w:t>34,953</w:t>
            </w:r>
          </w:p>
        </w:tc>
        <w:tc>
          <w:tcPr>
            <w:tcW w:w="1247" w:type="dxa"/>
            <w:tcBorders>
              <w:top w:val="nil"/>
              <w:left w:val="nil"/>
              <w:bottom w:val="single" w:sz="4" w:space="0" w:color="58595B"/>
              <w:right w:val="nil"/>
            </w:tcBorders>
            <w:shd w:val="clear" w:color="auto" w:fill="E7F2F2"/>
          </w:tcPr>
          <w:p w14:paraId="0477C19D" w14:textId="77777777" w:rsidR="00D06CB2" w:rsidRPr="005C5E32" w:rsidRDefault="00D06CB2" w:rsidP="00474A08">
            <w:pPr>
              <w:pStyle w:val="TableText"/>
              <w:spacing w:before="30" w:after="30" w:line="230" w:lineRule="atLeast"/>
              <w:jc w:val="right"/>
            </w:pPr>
            <w:r w:rsidRPr="005C5E32">
              <w:t>30,962</w:t>
            </w:r>
          </w:p>
        </w:tc>
      </w:tr>
      <w:tr w:rsidR="00D06CB2" w:rsidRPr="005C5E32" w14:paraId="745040DF" w14:textId="77777777" w:rsidTr="00F510BD">
        <w:trPr>
          <w:trHeight w:val="20"/>
        </w:trPr>
        <w:tc>
          <w:tcPr>
            <w:tcW w:w="6379" w:type="dxa"/>
            <w:tcBorders>
              <w:top w:val="single" w:sz="4" w:space="0" w:color="58595B"/>
              <w:bottom w:val="single" w:sz="4" w:space="0" w:color="58595B"/>
            </w:tcBorders>
          </w:tcPr>
          <w:p w14:paraId="3F94AEDA" w14:textId="77777777" w:rsidR="00D06CB2" w:rsidRPr="005C5E32" w:rsidRDefault="00D06CB2" w:rsidP="00474A08">
            <w:pPr>
              <w:pStyle w:val="TableText"/>
              <w:spacing w:before="30" w:after="30" w:line="230" w:lineRule="atLeast"/>
            </w:pPr>
            <w:r w:rsidRPr="005C5E32">
              <w:t>Receivables (excludes fines and penalties receivable)</w:t>
            </w:r>
          </w:p>
        </w:tc>
        <w:tc>
          <w:tcPr>
            <w:tcW w:w="992" w:type="dxa"/>
            <w:tcBorders>
              <w:top w:val="single" w:sz="4" w:space="0" w:color="58595B"/>
              <w:bottom w:val="single" w:sz="4" w:space="0" w:color="58595B"/>
            </w:tcBorders>
          </w:tcPr>
          <w:p w14:paraId="4604BD49" w14:textId="77777777" w:rsidR="00D06CB2" w:rsidRPr="005C5E32" w:rsidRDefault="00D06CB2" w:rsidP="00474A08">
            <w:pPr>
              <w:pStyle w:val="TableText"/>
              <w:spacing w:before="30" w:after="30" w:line="230" w:lineRule="atLeast"/>
              <w:jc w:val="right"/>
            </w:pPr>
            <w:r w:rsidRPr="005C5E32">
              <w:t>64,421</w:t>
            </w:r>
          </w:p>
        </w:tc>
        <w:tc>
          <w:tcPr>
            <w:tcW w:w="1247" w:type="dxa"/>
            <w:tcBorders>
              <w:top w:val="single" w:sz="4" w:space="0" w:color="58595B"/>
              <w:bottom w:val="single" w:sz="4" w:space="0" w:color="58595B"/>
            </w:tcBorders>
            <w:shd w:val="clear" w:color="auto" w:fill="E7F2F2"/>
          </w:tcPr>
          <w:p w14:paraId="3EDE6187" w14:textId="77777777" w:rsidR="00D06CB2" w:rsidRPr="005C5E32" w:rsidRDefault="00D06CB2" w:rsidP="00474A08">
            <w:pPr>
              <w:pStyle w:val="TableText"/>
              <w:spacing w:before="30" w:after="30" w:line="230" w:lineRule="atLeast"/>
              <w:jc w:val="right"/>
            </w:pPr>
            <w:r w:rsidRPr="005C5E32">
              <w:t>70,299</w:t>
            </w:r>
          </w:p>
        </w:tc>
      </w:tr>
      <w:tr w:rsidR="00D06CB2" w:rsidRPr="005C5E32" w14:paraId="51C08755" w14:textId="77777777" w:rsidTr="00F510BD">
        <w:trPr>
          <w:trHeight w:val="20"/>
        </w:trPr>
        <w:tc>
          <w:tcPr>
            <w:tcW w:w="6379" w:type="dxa"/>
            <w:tcBorders>
              <w:top w:val="single" w:sz="4" w:space="0" w:color="58595B"/>
              <w:bottom w:val="single" w:sz="4" w:space="0" w:color="58595B"/>
            </w:tcBorders>
          </w:tcPr>
          <w:p w14:paraId="45D59A21" w14:textId="77777777" w:rsidR="00D06CB2" w:rsidRPr="000B2FA4" w:rsidRDefault="00D06CB2" w:rsidP="00474A08">
            <w:pPr>
              <w:pStyle w:val="TableText"/>
              <w:spacing w:before="30" w:after="30" w:line="230" w:lineRule="atLeast"/>
              <w:rPr>
                <w:b/>
              </w:rPr>
            </w:pPr>
            <w:r w:rsidRPr="000B2FA4">
              <w:rPr>
                <w:b/>
              </w:rPr>
              <w:t>Total financial assets measured at amortised cost</w:t>
            </w:r>
          </w:p>
        </w:tc>
        <w:tc>
          <w:tcPr>
            <w:tcW w:w="992" w:type="dxa"/>
            <w:tcBorders>
              <w:top w:val="single" w:sz="4" w:space="0" w:color="58595B"/>
              <w:bottom w:val="single" w:sz="4" w:space="0" w:color="58595B"/>
            </w:tcBorders>
          </w:tcPr>
          <w:p w14:paraId="2E86CC37" w14:textId="77777777" w:rsidR="00D06CB2" w:rsidRPr="000B2FA4" w:rsidRDefault="00D06CB2" w:rsidP="00474A08">
            <w:pPr>
              <w:pStyle w:val="TableText"/>
              <w:spacing w:before="30" w:after="30" w:line="230" w:lineRule="atLeast"/>
              <w:jc w:val="right"/>
              <w:rPr>
                <w:b/>
              </w:rPr>
            </w:pPr>
            <w:r w:rsidRPr="000B2FA4">
              <w:rPr>
                <w:b/>
              </w:rPr>
              <w:t>99,374</w:t>
            </w:r>
          </w:p>
        </w:tc>
        <w:tc>
          <w:tcPr>
            <w:tcW w:w="1247" w:type="dxa"/>
            <w:tcBorders>
              <w:top w:val="single" w:sz="4" w:space="0" w:color="58595B"/>
              <w:bottom w:val="single" w:sz="4" w:space="0" w:color="58595B"/>
            </w:tcBorders>
            <w:shd w:val="clear" w:color="auto" w:fill="E7F2F2"/>
          </w:tcPr>
          <w:p w14:paraId="045526DC" w14:textId="77777777" w:rsidR="00D06CB2" w:rsidRPr="000B2FA4" w:rsidRDefault="00D06CB2" w:rsidP="00474A08">
            <w:pPr>
              <w:pStyle w:val="TableText"/>
              <w:spacing w:before="30" w:after="30" w:line="230" w:lineRule="atLeast"/>
              <w:jc w:val="right"/>
              <w:rPr>
                <w:b/>
              </w:rPr>
            </w:pPr>
            <w:r w:rsidRPr="000B2FA4">
              <w:rPr>
                <w:b/>
              </w:rPr>
              <w:t>101,261</w:t>
            </w:r>
          </w:p>
        </w:tc>
      </w:tr>
      <w:tr w:rsidR="00D06CB2" w:rsidRPr="005C5E32" w14:paraId="0FEBEF9C" w14:textId="77777777" w:rsidTr="00F510BD">
        <w:trPr>
          <w:trHeight w:val="20"/>
        </w:trPr>
        <w:tc>
          <w:tcPr>
            <w:tcW w:w="6379" w:type="dxa"/>
            <w:tcBorders>
              <w:top w:val="single" w:sz="4" w:space="0" w:color="58595B"/>
              <w:bottom w:val="nil"/>
            </w:tcBorders>
          </w:tcPr>
          <w:p w14:paraId="6214B7AC" w14:textId="77777777" w:rsidR="00D06CB2" w:rsidRPr="005C5E32" w:rsidRDefault="00D06CB2" w:rsidP="00474A08">
            <w:pPr>
              <w:pStyle w:val="TableboldGreen"/>
              <w:spacing w:before="30" w:after="30" w:line="230" w:lineRule="atLeast"/>
            </w:pPr>
            <w:r w:rsidRPr="005C5E32">
              <w:t>Financial liabilities measured at amortised cost</w:t>
            </w:r>
          </w:p>
        </w:tc>
        <w:tc>
          <w:tcPr>
            <w:tcW w:w="992" w:type="dxa"/>
            <w:tcBorders>
              <w:top w:val="single" w:sz="4" w:space="0" w:color="58595B"/>
              <w:bottom w:val="nil"/>
              <w:right w:val="nil"/>
            </w:tcBorders>
          </w:tcPr>
          <w:p w14:paraId="4FD71B9F" w14:textId="77777777" w:rsidR="00D06CB2" w:rsidRPr="005C5E32" w:rsidRDefault="00D06CB2" w:rsidP="00474A08">
            <w:pPr>
              <w:pStyle w:val="TableText"/>
              <w:spacing w:before="30" w:after="30" w:line="230" w:lineRule="atLeast"/>
              <w:jc w:val="right"/>
            </w:pPr>
          </w:p>
        </w:tc>
        <w:tc>
          <w:tcPr>
            <w:tcW w:w="1247" w:type="dxa"/>
            <w:vMerge w:val="restart"/>
            <w:tcBorders>
              <w:top w:val="single" w:sz="4" w:space="0" w:color="58595B"/>
              <w:left w:val="nil"/>
              <w:bottom w:val="single" w:sz="2" w:space="0" w:color="000000" w:themeColor="text1"/>
              <w:right w:val="nil"/>
            </w:tcBorders>
            <w:shd w:val="clear" w:color="auto" w:fill="E7F2F2"/>
            <w:vAlign w:val="bottom"/>
          </w:tcPr>
          <w:p w14:paraId="0A4B904F" w14:textId="77777777" w:rsidR="00D06CB2" w:rsidRPr="005C5E32" w:rsidRDefault="00D06CB2" w:rsidP="00474A08">
            <w:pPr>
              <w:pStyle w:val="TableText"/>
              <w:spacing w:before="30" w:after="30" w:line="230" w:lineRule="atLeast"/>
              <w:jc w:val="right"/>
            </w:pPr>
            <w:r w:rsidRPr="005C5E32">
              <w:rPr>
                <w:rFonts w:asciiTheme="minorHAnsi" w:hAnsiTheme="minorHAnsi"/>
                <w:szCs w:val="18"/>
              </w:rPr>
              <w:t>141,332</w:t>
            </w:r>
          </w:p>
        </w:tc>
      </w:tr>
      <w:tr w:rsidR="00D06CB2" w:rsidRPr="005C5E32" w14:paraId="007A23F9" w14:textId="77777777" w:rsidTr="009264C0">
        <w:trPr>
          <w:trHeight w:val="20"/>
        </w:trPr>
        <w:tc>
          <w:tcPr>
            <w:tcW w:w="6379" w:type="dxa"/>
            <w:tcBorders>
              <w:top w:val="nil"/>
              <w:left w:val="nil"/>
              <w:bottom w:val="single" w:sz="4" w:space="0" w:color="000000" w:themeColor="text1"/>
              <w:right w:val="nil"/>
            </w:tcBorders>
          </w:tcPr>
          <w:p w14:paraId="6953DD08" w14:textId="77777777" w:rsidR="00D06CB2" w:rsidRPr="005C5E32" w:rsidRDefault="00D06CB2" w:rsidP="00474A08">
            <w:pPr>
              <w:pStyle w:val="TableText"/>
              <w:spacing w:before="30" w:after="30" w:line="230" w:lineRule="atLeast"/>
            </w:pPr>
            <w:r w:rsidRPr="005C5E32">
              <w:t>Payables (excluding GST payable)</w:t>
            </w:r>
          </w:p>
        </w:tc>
        <w:tc>
          <w:tcPr>
            <w:tcW w:w="992" w:type="dxa"/>
            <w:tcBorders>
              <w:top w:val="nil"/>
              <w:left w:val="nil"/>
              <w:bottom w:val="single" w:sz="4" w:space="0" w:color="000000" w:themeColor="text1"/>
              <w:right w:val="nil"/>
            </w:tcBorders>
          </w:tcPr>
          <w:p w14:paraId="51535FEF" w14:textId="77777777" w:rsidR="00D06CB2" w:rsidRPr="005C5E32" w:rsidRDefault="00D06CB2" w:rsidP="00474A08">
            <w:pPr>
              <w:pStyle w:val="TableText"/>
              <w:spacing w:before="30" w:after="30" w:line="230" w:lineRule="atLeast"/>
              <w:jc w:val="right"/>
            </w:pPr>
            <w:r w:rsidRPr="005C5E32">
              <w:t>145,698</w:t>
            </w:r>
          </w:p>
        </w:tc>
        <w:tc>
          <w:tcPr>
            <w:tcW w:w="1247" w:type="dxa"/>
            <w:vMerge/>
            <w:tcBorders>
              <w:top w:val="single" w:sz="2" w:space="0" w:color="000000" w:themeColor="text1"/>
              <w:left w:val="nil"/>
              <w:bottom w:val="single" w:sz="2" w:space="0" w:color="000000" w:themeColor="text1"/>
              <w:right w:val="nil"/>
            </w:tcBorders>
          </w:tcPr>
          <w:p w14:paraId="06944079" w14:textId="77777777" w:rsidR="00D06CB2" w:rsidRPr="005C5E32" w:rsidRDefault="00D06CB2" w:rsidP="00474A08">
            <w:pPr>
              <w:pStyle w:val="TableText"/>
              <w:spacing w:before="30" w:after="30" w:line="230" w:lineRule="atLeast"/>
              <w:jc w:val="right"/>
            </w:pPr>
          </w:p>
        </w:tc>
      </w:tr>
    </w:tbl>
    <w:p w14:paraId="68C2BBE8" w14:textId="77777777" w:rsidR="00D06CB2" w:rsidRPr="005C5E32" w:rsidRDefault="00D06CB2" w:rsidP="00474A08">
      <w:pPr>
        <w:pStyle w:val="Heading4"/>
        <w:spacing w:before="320"/>
      </w:pPr>
      <w:r w:rsidRPr="005C5E32">
        <w:t>Credit risk</w:t>
      </w:r>
    </w:p>
    <w:p w14:paraId="11AF92D2" w14:textId="77777777" w:rsidR="00D06CB2" w:rsidRPr="005C5E32" w:rsidRDefault="00D06CB2" w:rsidP="00474A08">
      <w:pPr>
        <w:pStyle w:val="BodyText"/>
        <w:spacing w:before="80" w:after="100" w:line="276" w:lineRule="atLeast"/>
      </w:pPr>
      <w:r w:rsidRPr="005C5E32">
        <w:t>Credit risk is the risk that a third party will default on its obligation, causing a loss to be incurred. Credit risk arises from deposits with banks and receivables.</w:t>
      </w:r>
    </w:p>
    <w:p w14:paraId="17A03192" w14:textId="77777777" w:rsidR="00D06CB2" w:rsidRPr="005C5E32" w:rsidRDefault="00D06CB2" w:rsidP="00474A08">
      <w:pPr>
        <w:pStyle w:val="BodyText"/>
        <w:spacing w:before="100" w:after="100" w:line="276" w:lineRule="atLeast"/>
      </w:pPr>
      <w:r w:rsidRPr="005C5E32">
        <w:t>The Ministry is permitted to deposit funds only with Westpac, a registered bank. Westpac bank has a high credit rating of AA– (Standard and Poor’s credit rating). For its other financial instruments, the Ministry does not have significant concentrations of credit risk.</w:t>
      </w:r>
    </w:p>
    <w:p w14:paraId="779A791D" w14:textId="77777777" w:rsidR="00D06CB2" w:rsidRPr="005C5E32" w:rsidRDefault="00D06CB2" w:rsidP="00474A08">
      <w:pPr>
        <w:pStyle w:val="BodyText"/>
        <w:spacing w:before="100" w:after="100" w:line="276" w:lineRule="atLeast"/>
      </w:pPr>
      <w:r w:rsidRPr="005C5E32">
        <w:t>The maximum credit exposure for each class of financial instrument is represented by the total carrying amount of cash and cash equivalents, and receivables. There is no collateral held as security against these financial instruments, including those instruments that are overdue or impaired. Other than with Westpac bank, the Ministry has no significant concentrations of credit risk.</w:t>
      </w:r>
    </w:p>
    <w:p w14:paraId="7C254DE2" w14:textId="77777777" w:rsidR="00D06CB2" w:rsidRPr="005C5E32" w:rsidRDefault="00D06CB2" w:rsidP="00474A08">
      <w:pPr>
        <w:pStyle w:val="BodyText"/>
        <w:spacing w:before="100" w:after="100" w:line="276" w:lineRule="atLeast"/>
      </w:pPr>
      <w:r w:rsidRPr="005C5E32">
        <w:t>Cash and cash equivalents as at 30 June 2026 and receivables (</w:t>
      </w:r>
      <w:r w:rsidRPr="005C5E32" w:rsidDel="00D83D71">
        <w:t>N</w:t>
      </w:r>
      <w:r w:rsidRPr="005C5E32">
        <w:t>ote 7) are subject to the expected credit loss model. No loss allowance has been recognised because the estimated loss allowance for credit losses is not applicable. The note on receivables provides relevant information on impairment.</w:t>
      </w:r>
    </w:p>
    <w:p w14:paraId="3E29DD26" w14:textId="77777777" w:rsidR="00D06CB2" w:rsidRPr="005C5E32" w:rsidRDefault="00D06CB2">
      <w:pPr>
        <w:pStyle w:val="Heading3"/>
        <w:tabs>
          <w:tab w:val="clear" w:pos="851"/>
          <w:tab w:val="left" w:pos="567"/>
        </w:tabs>
      </w:pPr>
      <w:bookmarkStart w:id="426" w:name="_Toc112144661"/>
      <w:r w:rsidRPr="005C5E32">
        <w:lastRenderedPageBreak/>
        <w:t>10.</w:t>
      </w:r>
      <w:r w:rsidRPr="005C5E32">
        <w:tab/>
        <w:t>Provisions</w:t>
      </w:r>
      <w:bookmarkEnd w:id="426"/>
    </w:p>
    <w:p w14:paraId="6715D2FE" w14:textId="77777777" w:rsidR="00D06CB2" w:rsidRPr="005C5E32" w:rsidRDefault="00D06CB2">
      <w:pPr>
        <w:pStyle w:val="Heading4"/>
        <w:spacing w:before="120"/>
      </w:pPr>
      <w:r w:rsidRPr="005C5E32">
        <w:t>Accounting policy</w:t>
      </w:r>
    </w:p>
    <w:p w14:paraId="4B4C5275" w14:textId="77777777" w:rsidR="00D06CB2" w:rsidRPr="005C5E32" w:rsidRDefault="00D06CB2">
      <w:pPr>
        <w:pStyle w:val="BodyText"/>
        <w:keepNext/>
        <w:spacing w:before="100" w:after="100"/>
      </w:pPr>
      <w:r w:rsidRPr="005C5E32">
        <w:t xml:space="preserve">A provision is recognised for future expenditure of uncertain amount or timing when: </w:t>
      </w:r>
    </w:p>
    <w:p w14:paraId="4A0439D4" w14:textId="77777777" w:rsidR="00D06CB2" w:rsidRPr="005C5E32" w:rsidRDefault="00D06CB2">
      <w:pPr>
        <w:pStyle w:val="Bullet"/>
        <w:keepNext/>
        <w:spacing w:after="100"/>
      </w:pPr>
      <w:r w:rsidRPr="005C5E32">
        <w:t xml:space="preserve">there is a present obligation (either legal or constructive) as a result of a past event </w:t>
      </w:r>
    </w:p>
    <w:p w14:paraId="1F2B665D" w14:textId="77777777" w:rsidR="00D06CB2" w:rsidRPr="005C5E32" w:rsidRDefault="00D06CB2">
      <w:pPr>
        <w:pStyle w:val="Bullet"/>
        <w:keepNext/>
        <w:spacing w:after="100"/>
      </w:pPr>
      <w:r w:rsidRPr="005C5E32">
        <w:t>it is probable that an outflow of future economic benefits will be required to settle the obligation</w:t>
      </w:r>
    </w:p>
    <w:p w14:paraId="5F02CA49" w14:textId="77777777" w:rsidR="00D06CB2" w:rsidRPr="005C5E32" w:rsidRDefault="00D06CB2">
      <w:pPr>
        <w:pStyle w:val="Bullet"/>
      </w:pPr>
      <w:r w:rsidRPr="005C5E32">
        <w:t xml:space="preserve">a reliable estimate of the amount of the obligation can be made. </w:t>
      </w:r>
    </w:p>
    <w:p w14:paraId="09173DD2" w14:textId="77777777" w:rsidR="00D06CB2" w:rsidRPr="005C5E32" w:rsidRDefault="00D06CB2">
      <w:pPr>
        <w:pStyle w:val="BodyText"/>
      </w:pPr>
      <w:r w:rsidRPr="005C5E32">
        <w:t>Provisions are not recognised for future operating losses.</w:t>
      </w:r>
    </w:p>
    <w:p w14:paraId="5BAB58F6" w14:textId="77777777" w:rsidR="00D06CB2" w:rsidRPr="005C5E32" w:rsidRDefault="00D06CB2">
      <w:pPr>
        <w:pStyle w:val="BodyText"/>
        <w:spacing w:before="100"/>
      </w:pPr>
      <w:r w:rsidRPr="005C5E32">
        <w:t>Provisions are measured at the present value of the expenditure expected to be required to settle the obligation using a pre-tax discount rate that reflects current market assessments of the time value of money and the risks specific to the obligation. The increase in the provision due to the passage of time is recognised as revaluation gains/(losses).</w:t>
      </w:r>
    </w:p>
    <w:p w14:paraId="5780ADA2" w14:textId="77777777" w:rsidR="00D06CB2" w:rsidRPr="005C5E32" w:rsidRDefault="00D06CB2">
      <w:pPr>
        <w:pStyle w:val="Heading4"/>
        <w:spacing w:before="240" w:after="120"/>
      </w:pPr>
      <w:r w:rsidRPr="005C5E32">
        <w:t xml:space="preserve">Provision for New Zealand Emissions Trading Scheme </w:t>
      </w:r>
    </w:p>
    <w:p w14:paraId="7E91F8A3" w14:textId="031A0E18" w:rsidR="00D06CB2" w:rsidRPr="005C5E32" w:rsidRDefault="00D06CB2">
      <w:pPr>
        <w:pStyle w:val="BodyText"/>
        <w:spacing w:before="100"/>
        <w:rPr>
          <w:rFonts w:asciiTheme="minorHAnsi" w:hAnsiTheme="minorHAnsi" w:cstheme="minorHAnsi"/>
        </w:rPr>
      </w:pPr>
      <w:r w:rsidRPr="005C5E32">
        <w:rPr>
          <w:rFonts w:asciiTheme="minorHAnsi" w:hAnsiTheme="minorHAnsi" w:cstheme="minorHAnsi"/>
        </w:rPr>
        <w:t>The non-departmental provision represents the liability for New Zealand Emissions Trading Scheme (NZ ETS) units that have been allocated or issued to participants but have not yet been</w:t>
      </w:r>
      <w:r w:rsidR="00662BC2" w:rsidRPr="005C5E32">
        <w:rPr>
          <w:rFonts w:asciiTheme="minorHAnsi" w:hAnsiTheme="minorHAnsi" w:cstheme="minorHAnsi"/>
        </w:rPr>
        <w:t> </w:t>
      </w:r>
      <w:r w:rsidRPr="005C5E32">
        <w:rPr>
          <w:rFonts w:asciiTheme="minorHAnsi" w:hAnsiTheme="minorHAnsi" w:cstheme="minorHAnsi"/>
        </w:rPr>
        <w:t>surrendered.</w:t>
      </w:r>
    </w:p>
    <w:p w14:paraId="40FC8EC9" w14:textId="0A4DA7A2" w:rsidR="00D06CB2" w:rsidRPr="005C5E32" w:rsidRDefault="00D06CB2" w:rsidP="00662BC2">
      <w:pPr>
        <w:pStyle w:val="BodyText"/>
      </w:pPr>
      <w:r w:rsidRPr="005C5E32">
        <w:t>The allocation of New Zealand Unit (NZUs) creates a provision because the Government has</w:t>
      </w:r>
      <w:r w:rsidR="00662BC2" w:rsidRPr="005C5E32">
        <w:t> </w:t>
      </w:r>
      <w:r w:rsidRPr="005C5E32">
        <w:t>issued NZUs that can ultimately be used to satisfy emitters' emission obligations under the</w:t>
      </w:r>
      <w:r w:rsidR="00662BC2" w:rsidRPr="005C5E32">
        <w:t> </w:t>
      </w:r>
      <w:r w:rsidRPr="005C5E32">
        <w:t xml:space="preserve">NZ ETS. </w:t>
      </w:r>
    </w:p>
    <w:p w14:paraId="33FE7B61" w14:textId="77777777" w:rsidR="00D06CB2" w:rsidRPr="005C5E32" w:rsidRDefault="00D06CB2" w:rsidP="00662BC2">
      <w:pPr>
        <w:pStyle w:val="Heading5"/>
        <w:spacing w:after="240"/>
      </w:pPr>
      <w:r w:rsidRPr="005C5E32">
        <w:t xml:space="preserve">Classification </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5860"/>
        <w:gridCol w:w="1388"/>
        <w:gridCol w:w="1257"/>
      </w:tblGrid>
      <w:tr w:rsidR="00D06CB2" w:rsidRPr="005C5E32" w14:paraId="6F94712D" w14:textId="77777777" w:rsidTr="009264C0">
        <w:trPr>
          <w:trHeight w:val="20"/>
        </w:trPr>
        <w:tc>
          <w:tcPr>
            <w:tcW w:w="7189" w:type="dxa"/>
            <w:gridSpan w:val="2"/>
            <w:tcBorders>
              <w:top w:val="single" w:sz="8" w:space="0" w:color="0E7C7E"/>
              <w:bottom w:val="single" w:sz="2" w:space="0" w:color="000000" w:themeColor="text1"/>
            </w:tcBorders>
          </w:tcPr>
          <w:p w14:paraId="44D00138" w14:textId="77777777" w:rsidR="00D06CB2" w:rsidRPr="005C5E32" w:rsidRDefault="00D06CB2">
            <w:pPr>
              <w:pStyle w:val="TableboldGreen"/>
              <w:keepNext/>
              <w:spacing w:before="30" w:after="30" w:line="220" w:lineRule="atLeast"/>
              <w:jc w:val="right"/>
            </w:pPr>
            <w:r w:rsidRPr="005C5E32">
              <w:t>2024/25</w:t>
            </w:r>
            <w:r w:rsidRPr="005C5E32">
              <w:br/>
              <w:t>Actual</w:t>
            </w:r>
            <w:r w:rsidRPr="005C5E32">
              <w:br/>
              <w:t>$000</w:t>
            </w:r>
          </w:p>
        </w:tc>
        <w:tc>
          <w:tcPr>
            <w:tcW w:w="1247" w:type="dxa"/>
            <w:tcBorders>
              <w:top w:val="single" w:sz="8" w:space="0" w:color="0E7C7E"/>
              <w:bottom w:val="single" w:sz="2" w:space="0" w:color="000000" w:themeColor="text1"/>
            </w:tcBorders>
            <w:shd w:val="clear" w:color="auto" w:fill="E7F2F2"/>
          </w:tcPr>
          <w:p w14:paraId="7ACB9808" w14:textId="77777777" w:rsidR="00D06CB2" w:rsidRPr="005C5E32" w:rsidRDefault="00D06CB2">
            <w:pPr>
              <w:pStyle w:val="TableboldGreen"/>
              <w:keepNext/>
              <w:spacing w:before="30" w:after="30" w:line="220" w:lineRule="atLeast"/>
              <w:jc w:val="right"/>
            </w:pPr>
            <w:r w:rsidRPr="005C5E32">
              <w:t>2025/26</w:t>
            </w:r>
            <w:r w:rsidRPr="005C5E32">
              <w:br/>
              <w:t>Actual</w:t>
            </w:r>
            <w:r w:rsidRPr="005C5E32">
              <w:br/>
              <w:t>$000</w:t>
            </w:r>
          </w:p>
        </w:tc>
      </w:tr>
      <w:tr w:rsidR="00D06CB2" w:rsidRPr="005C5E32" w14:paraId="08429357" w14:textId="77777777" w:rsidTr="009264C0">
        <w:trPr>
          <w:trHeight w:val="20"/>
        </w:trPr>
        <w:tc>
          <w:tcPr>
            <w:tcW w:w="5812" w:type="dxa"/>
            <w:tcBorders>
              <w:top w:val="single" w:sz="2" w:space="0" w:color="000000" w:themeColor="text1"/>
              <w:bottom w:val="nil"/>
            </w:tcBorders>
          </w:tcPr>
          <w:p w14:paraId="2CC6B85F" w14:textId="77777777" w:rsidR="00D06CB2" w:rsidRPr="005C5E32" w:rsidRDefault="00D06CB2">
            <w:pPr>
              <w:pStyle w:val="TableboldGreen"/>
              <w:spacing w:before="30" w:after="0" w:line="220" w:lineRule="atLeast"/>
            </w:pPr>
            <w:r w:rsidRPr="005C5E32">
              <w:t>Current portion</w:t>
            </w:r>
          </w:p>
        </w:tc>
        <w:tc>
          <w:tcPr>
            <w:tcW w:w="1377" w:type="dxa"/>
            <w:tcBorders>
              <w:top w:val="single" w:sz="2" w:space="0" w:color="000000" w:themeColor="text1"/>
              <w:bottom w:val="nil"/>
            </w:tcBorders>
          </w:tcPr>
          <w:p w14:paraId="5E9BD313" w14:textId="77777777" w:rsidR="00D06CB2" w:rsidRPr="005C5E32" w:rsidRDefault="00D06CB2">
            <w:pPr>
              <w:pStyle w:val="TableText"/>
              <w:spacing w:before="30" w:after="0" w:line="220" w:lineRule="atLeast"/>
            </w:pPr>
          </w:p>
        </w:tc>
        <w:tc>
          <w:tcPr>
            <w:tcW w:w="1247" w:type="dxa"/>
            <w:vMerge w:val="restart"/>
            <w:tcBorders>
              <w:top w:val="single" w:sz="2" w:space="0" w:color="000000" w:themeColor="text1"/>
              <w:bottom w:val="nil"/>
            </w:tcBorders>
            <w:shd w:val="clear" w:color="auto" w:fill="E7F2F2"/>
            <w:vAlign w:val="bottom"/>
          </w:tcPr>
          <w:p w14:paraId="1AFD7372" w14:textId="77777777" w:rsidR="00D06CB2" w:rsidRPr="005C5E32" w:rsidRDefault="00D06CB2">
            <w:pPr>
              <w:pStyle w:val="TableText"/>
              <w:spacing w:before="30" w:after="0" w:line="220" w:lineRule="atLeast"/>
              <w:jc w:val="right"/>
            </w:pPr>
            <w:r w:rsidRPr="005C5E32">
              <w:t>6,406,501</w:t>
            </w:r>
          </w:p>
        </w:tc>
      </w:tr>
      <w:tr w:rsidR="00D06CB2" w:rsidRPr="005C5E32" w14:paraId="25FA16AF" w14:textId="77777777" w:rsidTr="009264C0">
        <w:trPr>
          <w:trHeight w:val="20"/>
        </w:trPr>
        <w:tc>
          <w:tcPr>
            <w:tcW w:w="5812" w:type="dxa"/>
            <w:tcBorders>
              <w:top w:val="nil"/>
              <w:left w:val="nil"/>
              <w:bottom w:val="single" w:sz="2" w:space="0" w:color="58595B"/>
            </w:tcBorders>
          </w:tcPr>
          <w:p w14:paraId="7D1B298C" w14:textId="77777777" w:rsidR="00D06CB2" w:rsidRPr="005C5E32" w:rsidRDefault="00D06CB2">
            <w:pPr>
              <w:pStyle w:val="TableText"/>
              <w:spacing w:before="30" w:after="30" w:line="220" w:lineRule="atLeast"/>
            </w:pPr>
            <w:r w:rsidRPr="005C5E32">
              <w:t>Allocation of New Zealand Units</w:t>
            </w:r>
          </w:p>
        </w:tc>
        <w:tc>
          <w:tcPr>
            <w:tcW w:w="1377" w:type="dxa"/>
            <w:tcBorders>
              <w:top w:val="nil"/>
              <w:bottom w:val="single" w:sz="2" w:space="0" w:color="58595B"/>
            </w:tcBorders>
          </w:tcPr>
          <w:p w14:paraId="1615E1DD" w14:textId="77777777" w:rsidR="00D06CB2" w:rsidRPr="005C5E32" w:rsidRDefault="00D06CB2">
            <w:pPr>
              <w:pStyle w:val="TableText"/>
              <w:spacing w:before="30" w:after="30" w:line="220" w:lineRule="atLeast"/>
              <w:jc w:val="right"/>
            </w:pPr>
            <w:r w:rsidRPr="005C5E32">
              <w:t>7,385,943</w:t>
            </w:r>
          </w:p>
        </w:tc>
        <w:tc>
          <w:tcPr>
            <w:tcW w:w="1247" w:type="dxa"/>
            <w:vMerge/>
            <w:tcBorders>
              <w:top w:val="nil"/>
              <w:bottom w:val="single" w:sz="2" w:space="0" w:color="58595B"/>
            </w:tcBorders>
            <w:shd w:val="clear" w:color="auto" w:fill="E7F2F2"/>
          </w:tcPr>
          <w:p w14:paraId="60869474" w14:textId="77777777" w:rsidR="00D06CB2" w:rsidRPr="005C5E32" w:rsidRDefault="00D06CB2">
            <w:pPr>
              <w:pStyle w:val="TableText"/>
              <w:spacing w:before="30" w:after="30" w:line="220" w:lineRule="atLeast"/>
              <w:jc w:val="right"/>
              <w:rPr>
                <w:rFonts w:eastAsia="MS Mincho"/>
              </w:rPr>
            </w:pPr>
          </w:p>
        </w:tc>
      </w:tr>
      <w:tr w:rsidR="00D06CB2" w:rsidRPr="005C5E32" w14:paraId="14AB306D" w14:textId="77777777" w:rsidTr="00696FC0">
        <w:trPr>
          <w:trHeight w:val="20"/>
        </w:trPr>
        <w:tc>
          <w:tcPr>
            <w:tcW w:w="5812" w:type="dxa"/>
            <w:tcBorders>
              <w:top w:val="single" w:sz="2" w:space="0" w:color="58595B"/>
              <w:left w:val="nil"/>
              <w:bottom w:val="single" w:sz="2" w:space="0" w:color="58595B"/>
            </w:tcBorders>
          </w:tcPr>
          <w:p w14:paraId="06450AAC" w14:textId="77777777" w:rsidR="00D06CB2" w:rsidRPr="005C5E32" w:rsidRDefault="00D06CB2">
            <w:pPr>
              <w:pStyle w:val="TableTextbold"/>
              <w:spacing w:before="30" w:after="30" w:line="220" w:lineRule="atLeast"/>
            </w:pPr>
            <w:r w:rsidRPr="005C5E32">
              <w:t>Total current portion</w:t>
            </w:r>
          </w:p>
        </w:tc>
        <w:tc>
          <w:tcPr>
            <w:tcW w:w="1377" w:type="dxa"/>
            <w:tcBorders>
              <w:top w:val="single" w:sz="2" w:space="0" w:color="58595B"/>
              <w:bottom w:val="single" w:sz="2" w:space="0" w:color="58595B"/>
            </w:tcBorders>
          </w:tcPr>
          <w:p w14:paraId="21B72CD2" w14:textId="77777777" w:rsidR="00D06CB2" w:rsidRPr="005C5E32" w:rsidRDefault="00D06CB2">
            <w:pPr>
              <w:pStyle w:val="TableTextbold"/>
              <w:spacing w:before="30" w:after="30" w:line="220" w:lineRule="atLeast"/>
              <w:jc w:val="right"/>
            </w:pPr>
            <w:r w:rsidRPr="005C5E32">
              <w:t>7,385,943</w:t>
            </w:r>
          </w:p>
        </w:tc>
        <w:tc>
          <w:tcPr>
            <w:tcW w:w="1247" w:type="dxa"/>
            <w:tcBorders>
              <w:top w:val="single" w:sz="2" w:space="0" w:color="58595B"/>
              <w:bottom w:val="single" w:sz="2" w:space="0" w:color="58595B"/>
            </w:tcBorders>
            <w:shd w:val="clear" w:color="auto" w:fill="E7F2F2"/>
          </w:tcPr>
          <w:p w14:paraId="0B3F40F2" w14:textId="77777777" w:rsidR="00D06CB2" w:rsidRPr="005C5E32" w:rsidRDefault="00D06CB2">
            <w:pPr>
              <w:pStyle w:val="TableTextbold"/>
              <w:spacing w:before="30" w:after="30" w:line="220" w:lineRule="atLeast"/>
              <w:jc w:val="right"/>
            </w:pPr>
            <w:r w:rsidRPr="005C5E32">
              <w:t>6,406,501</w:t>
            </w:r>
          </w:p>
        </w:tc>
      </w:tr>
      <w:tr w:rsidR="00D06CB2" w:rsidRPr="005C5E32" w14:paraId="79778605" w14:textId="77777777" w:rsidTr="00696FC0">
        <w:trPr>
          <w:trHeight w:val="20"/>
        </w:trPr>
        <w:tc>
          <w:tcPr>
            <w:tcW w:w="5812" w:type="dxa"/>
            <w:tcBorders>
              <w:top w:val="single" w:sz="2" w:space="0" w:color="58595B"/>
              <w:bottom w:val="single" w:sz="4" w:space="0" w:color="auto"/>
            </w:tcBorders>
          </w:tcPr>
          <w:p w14:paraId="066D7508" w14:textId="77777777" w:rsidR="00D06CB2" w:rsidRPr="005C5E32" w:rsidRDefault="00D06CB2">
            <w:pPr>
              <w:pStyle w:val="TableboldGreen"/>
              <w:spacing w:before="30" w:after="0" w:line="220" w:lineRule="atLeast"/>
            </w:pPr>
            <w:r w:rsidRPr="005C5E32">
              <w:t>Non-current portion</w:t>
            </w:r>
          </w:p>
        </w:tc>
        <w:tc>
          <w:tcPr>
            <w:tcW w:w="1377" w:type="dxa"/>
            <w:tcBorders>
              <w:top w:val="single" w:sz="2" w:space="0" w:color="58595B"/>
              <w:bottom w:val="single" w:sz="4" w:space="0" w:color="auto"/>
            </w:tcBorders>
          </w:tcPr>
          <w:p w14:paraId="302F668F" w14:textId="411AD39D" w:rsidR="00D06CB2" w:rsidRPr="000B2FA4" w:rsidRDefault="000B2FA4">
            <w:pPr>
              <w:pStyle w:val="TableText"/>
              <w:spacing w:before="30" w:after="0" w:line="220" w:lineRule="atLeast"/>
              <w:jc w:val="right"/>
              <w:rPr>
                <w:b/>
              </w:rPr>
            </w:pPr>
            <w:r w:rsidRPr="000B2FA4">
              <w:rPr>
                <w:b/>
                <w:bCs/>
              </w:rPr>
              <w:t>–</w:t>
            </w:r>
          </w:p>
        </w:tc>
        <w:tc>
          <w:tcPr>
            <w:tcW w:w="1247" w:type="dxa"/>
            <w:tcBorders>
              <w:top w:val="single" w:sz="2" w:space="0" w:color="58595B"/>
              <w:bottom w:val="single" w:sz="4" w:space="0" w:color="auto"/>
            </w:tcBorders>
            <w:shd w:val="clear" w:color="auto" w:fill="E7F2F2"/>
          </w:tcPr>
          <w:p w14:paraId="257E4DB3" w14:textId="3D350B2C" w:rsidR="00D06CB2" w:rsidRPr="000B2FA4" w:rsidRDefault="000B2FA4">
            <w:pPr>
              <w:pStyle w:val="TableText"/>
              <w:spacing w:before="30" w:after="0" w:line="220" w:lineRule="atLeast"/>
              <w:jc w:val="right"/>
              <w:rPr>
                <w:b/>
              </w:rPr>
            </w:pPr>
            <w:r w:rsidRPr="000B2FA4">
              <w:rPr>
                <w:b/>
                <w:bCs/>
              </w:rPr>
              <w:t>–</w:t>
            </w:r>
          </w:p>
        </w:tc>
      </w:tr>
      <w:tr w:rsidR="00D06CB2" w:rsidRPr="005C5E32" w14:paraId="56C2C8E1" w14:textId="77777777" w:rsidTr="00696FC0">
        <w:trPr>
          <w:trHeight w:val="20"/>
        </w:trPr>
        <w:tc>
          <w:tcPr>
            <w:tcW w:w="5812" w:type="dxa"/>
            <w:tcBorders>
              <w:top w:val="single" w:sz="4" w:space="0" w:color="auto"/>
              <w:bottom w:val="single" w:sz="4" w:space="0" w:color="58595B"/>
            </w:tcBorders>
          </w:tcPr>
          <w:p w14:paraId="795D5E48" w14:textId="77777777" w:rsidR="00D06CB2" w:rsidRPr="005C5E32" w:rsidRDefault="00D06CB2">
            <w:pPr>
              <w:pStyle w:val="TableTextbold"/>
              <w:spacing w:before="30" w:after="30" w:line="220" w:lineRule="atLeast"/>
            </w:pPr>
            <w:r w:rsidRPr="005C5E32">
              <w:t>Total provisions</w:t>
            </w:r>
          </w:p>
        </w:tc>
        <w:tc>
          <w:tcPr>
            <w:tcW w:w="1377" w:type="dxa"/>
            <w:tcBorders>
              <w:top w:val="single" w:sz="4" w:space="0" w:color="auto"/>
              <w:bottom w:val="single" w:sz="4" w:space="0" w:color="58595B"/>
            </w:tcBorders>
          </w:tcPr>
          <w:p w14:paraId="0DF6E2BA" w14:textId="77777777" w:rsidR="00D06CB2" w:rsidRPr="005C5E32" w:rsidRDefault="00D06CB2">
            <w:pPr>
              <w:pStyle w:val="TableTextbold"/>
              <w:spacing w:before="30" w:after="30" w:line="220" w:lineRule="atLeast"/>
              <w:jc w:val="right"/>
            </w:pPr>
            <w:r w:rsidRPr="005C5E32">
              <w:t>7,385,943</w:t>
            </w:r>
          </w:p>
        </w:tc>
        <w:tc>
          <w:tcPr>
            <w:tcW w:w="1247" w:type="dxa"/>
            <w:tcBorders>
              <w:top w:val="single" w:sz="4" w:space="0" w:color="auto"/>
              <w:bottom w:val="single" w:sz="4" w:space="0" w:color="58595B"/>
            </w:tcBorders>
            <w:shd w:val="clear" w:color="auto" w:fill="E7F2F2"/>
          </w:tcPr>
          <w:p w14:paraId="5364A2B5" w14:textId="77777777" w:rsidR="00D06CB2" w:rsidRPr="005C5E32" w:rsidRDefault="00D06CB2">
            <w:pPr>
              <w:pStyle w:val="TableTextbold"/>
              <w:spacing w:before="30" w:after="30" w:line="220" w:lineRule="atLeast"/>
              <w:jc w:val="right"/>
            </w:pPr>
            <w:r w:rsidRPr="005C5E32">
              <w:t>6,406,501</w:t>
            </w:r>
          </w:p>
        </w:tc>
      </w:tr>
    </w:tbl>
    <w:p w14:paraId="0816C0DB" w14:textId="77777777" w:rsidR="00D06CB2" w:rsidRPr="005C5E32" w:rsidRDefault="00D06CB2" w:rsidP="00662BC2">
      <w:pPr>
        <w:pStyle w:val="BodyText"/>
        <w:spacing w:before="240"/>
        <w:rPr>
          <w:lang w:eastAsia="en-GB"/>
        </w:rPr>
      </w:pPr>
      <w:r w:rsidRPr="005C5E32">
        <w:rPr>
          <w:lang w:eastAsia="en-GB"/>
        </w:rPr>
        <w:t xml:space="preserve">The Ministry has classified the provision as a current liability because it does not have an unconditional right to defer settlement of the liability for at least 12 months after the reporting date. </w:t>
      </w:r>
    </w:p>
    <w:p w14:paraId="6BF15092" w14:textId="0F6C25B1" w:rsidR="00D06CB2" w:rsidRPr="005C5E32" w:rsidRDefault="00D06CB2" w:rsidP="00662BC2">
      <w:pPr>
        <w:pStyle w:val="BodyText"/>
      </w:pPr>
      <w:r w:rsidRPr="005C5E32">
        <w:t xml:space="preserve">Based on forecasts of NZ ETS activity, </w:t>
      </w:r>
      <w:r w:rsidRPr="005C5E32" w:rsidDel="00CD19FD">
        <w:t xml:space="preserve">expected </w:t>
      </w:r>
      <w:r w:rsidRPr="005C5E32">
        <w:t>recovery</w:t>
      </w:r>
      <w:r w:rsidRPr="005C5E32" w:rsidDel="009C6588">
        <w:t>/</w:t>
      </w:r>
      <w:r w:rsidRPr="005C5E32">
        <w:t>settlement is expected to occur as</w:t>
      </w:r>
      <w:r w:rsidR="009264C0" w:rsidRPr="005C5E32">
        <w:t> </w:t>
      </w:r>
      <w:r w:rsidRPr="005C5E32">
        <w:t>follows:</w:t>
      </w:r>
    </w:p>
    <w:p w14:paraId="23ACE807" w14:textId="77777777" w:rsidR="00D06CB2" w:rsidRPr="005C5E32" w:rsidRDefault="00D06CB2" w:rsidP="00662BC2">
      <w:pPr>
        <w:pStyle w:val="Bullet"/>
      </w:pPr>
      <w:r w:rsidRPr="005C5E32">
        <w:t>within 12 months: $1,504.630 million (2024/25: $2,299.616 million)</w:t>
      </w:r>
    </w:p>
    <w:p w14:paraId="3B4E191A" w14:textId="77777777" w:rsidR="00D06CB2" w:rsidRPr="005C5E32" w:rsidRDefault="00D06CB2" w:rsidP="00662BC2">
      <w:pPr>
        <w:pStyle w:val="Bullet"/>
      </w:pPr>
      <w:r w:rsidRPr="005C5E32">
        <w:t>after more than 12 months: $4,901.871 million (2024/25: $5,086.327 million).</w:t>
      </w:r>
    </w:p>
    <w:p w14:paraId="3E25DC01" w14:textId="77777777" w:rsidR="00D06CB2" w:rsidRPr="005C5E32" w:rsidRDefault="00D06CB2" w:rsidP="00662BC2">
      <w:pPr>
        <w:pStyle w:val="Heading5"/>
        <w:spacing w:after="240"/>
      </w:pPr>
      <w:r w:rsidRPr="005C5E32">
        <w:lastRenderedPageBreak/>
        <w:t>Movement in provision</w:t>
      </w:r>
    </w:p>
    <w:tbl>
      <w:tblPr>
        <w:tblW w:w="8503"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3352"/>
        <w:gridCol w:w="1751"/>
        <w:gridCol w:w="1134"/>
        <w:gridCol w:w="1134"/>
        <w:gridCol w:w="1132"/>
      </w:tblGrid>
      <w:tr w:rsidR="00D06CB2" w:rsidRPr="005C5E32" w14:paraId="75466348" w14:textId="77777777">
        <w:trPr>
          <w:tblHeader/>
        </w:trPr>
        <w:tc>
          <w:tcPr>
            <w:tcW w:w="3352" w:type="dxa"/>
            <w:tcBorders>
              <w:top w:val="single" w:sz="8" w:space="0" w:color="0E7C7E"/>
              <w:bottom w:val="single" w:sz="2" w:space="0" w:color="58595B"/>
            </w:tcBorders>
            <w:vAlign w:val="bottom"/>
          </w:tcPr>
          <w:p w14:paraId="4D75D8DF" w14:textId="77777777" w:rsidR="00D06CB2" w:rsidRPr="005C5E32" w:rsidRDefault="00D06CB2">
            <w:pPr>
              <w:pStyle w:val="TableboldGreen"/>
              <w:spacing w:before="40" w:after="40" w:line="220" w:lineRule="atLeast"/>
              <w:jc w:val="right"/>
            </w:pPr>
          </w:p>
        </w:tc>
        <w:tc>
          <w:tcPr>
            <w:tcW w:w="1751" w:type="dxa"/>
            <w:tcBorders>
              <w:top w:val="single" w:sz="8" w:space="0" w:color="0E7C7E"/>
              <w:bottom w:val="single" w:sz="2" w:space="0" w:color="58595B"/>
            </w:tcBorders>
            <w:vAlign w:val="bottom"/>
          </w:tcPr>
          <w:p w14:paraId="3D0DB9EE" w14:textId="77777777" w:rsidR="00D06CB2" w:rsidRPr="005C5E32" w:rsidRDefault="00D06CB2">
            <w:pPr>
              <w:pStyle w:val="TableboldGreen"/>
              <w:spacing w:before="40" w:after="40" w:line="220" w:lineRule="atLeast"/>
              <w:jc w:val="right"/>
              <w:rPr>
                <w:rFonts w:eastAsia="Lato"/>
              </w:rPr>
            </w:pPr>
            <w:r w:rsidRPr="005C5E32">
              <w:rPr>
                <w:rFonts w:eastAsia="Lato"/>
                <w:color w:val="0E7C7E"/>
              </w:rPr>
              <w:t>2024/25</w:t>
            </w:r>
            <w:r w:rsidRPr="005C5E32">
              <w:rPr>
                <w:rFonts w:eastAsia="Lato"/>
                <w:color w:val="0E7C7E"/>
              </w:rPr>
              <w:br/>
              <w:t xml:space="preserve">Units in </w:t>
            </w:r>
            <w:r w:rsidRPr="005C5E32">
              <w:rPr>
                <w:rFonts w:eastAsia="Lato"/>
                <w:color w:val="0E7C7E"/>
              </w:rPr>
              <w:br/>
              <w:t>millions</w:t>
            </w:r>
          </w:p>
        </w:tc>
        <w:tc>
          <w:tcPr>
            <w:tcW w:w="1134" w:type="dxa"/>
            <w:tcBorders>
              <w:top w:val="single" w:sz="8" w:space="0" w:color="0E7C7E"/>
              <w:bottom w:val="single" w:sz="2" w:space="0" w:color="58595B"/>
            </w:tcBorders>
            <w:shd w:val="clear" w:color="auto" w:fill="E7F2F2"/>
            <w:vAlign w:val="bottom"/>
          </w:tcPr>
          <w:p w14:paraId="52A2ADE9" w14:textId="77777777" w:rsidR="00D06CB2" w:rsidRPr="005C5E32" w:rsidRDefault="00D06CB2">
            <w:pPr>
              <w:pStyle w:val="TableboldGreen"/>
              <w:spacing w:before="40" w:after="40" w:line="220" w:lineRule="atLeast"/>
              <w:jc w:val="right"/>
              <w:rPr>
                <w:rFonts w:eastAsia="Lato"/>
                <w:color w:val="0E7C7E"/>
              </w:rPr>
            </w:pPr>
            <w:r w:rsidRPr="005C5E32">
              <w:rPr>
                <w:rFonts w:eastAsia="Lato"/>
                <w:color w:val="0E7C7E"/>
              </w:rPr>
              <w:t>2025/26</w:t>
            </w:r>
            <w:r w:rsidRPr="005C5E32">
              <w:rPr>
                <w:rFonts w:eastAsia="Lato"/>
                <w:color w:val="0E7C7E"/>
              </w:rPr>
              <w:br/>
              <w:t>Units in millions</w:t>
            </w:r>
          </w:p>
        </w:tc>
        <w:tc>
          <w:tcPr>
            <w:tcW w:w="1134" w:type="dxa"/>
            <w:tcBorders>
              <w:top w:val="single" w:sz="8" w:space="0" w:color="0E7C7E"/>
              <w:bottom w:val="single" w:sz="2" w:space="0" w:color="58595B"/>
            </w:tcBorders>
            <w:vAlign w:val="bottom"/>
          </w:tcPr>
          <w:p w14:paraId="45F6A44D" w14:textId="77777777" w:rsidR="00D06CB2" w:rsidRPr="005C5E32" w:rsidRDefault="00D06CB2">
            <w:pPr>
              <w:pStyle w:val="TableboldGreen"/>
              <w:spacing w:before="40" w:after="40" w:line="220" w:lineRule="atLeast"/>
              <w:jc w:val="right"/>
              <w:rPr>
                <w:rFonts w:eastAsia="Lato"/>
              </w:rPr>
            </w:pPr>
            <w:r w:rsidRPr="005C5E32">
              <w:rPr>
                <w:rFonts w:eastAsia="Lato"/>
                <w:color w:val="0E7C7E"/>
              </w:rPr>
              <w:t>2024/25</w:t>
            </w:r>
            <w:r w:rsidRPr="005C5E32">
              <w:rPr>
                <w:rFonts w:eastAsia="Lato"/>
                <w:color w:val="0E7C7E"/>
              </w:rPr>
              <w:br/>
              <w:t>Amount in</w:t>
            </w:r>
            <w:r w:rsidRPr="005C5E32">
              <w:rPr>
                <w:rFonts w:eastAsia="Lato"/>
                <w:color w:val="0E7C7E"/>
              </w:rPr>
              <w:br/>
              <w:t>$000</w:t>
            </w:r>
          </w:p>
        </w:tc>
        <w:tc>
          <w:tcPr>
            <w:tcW w:w="1132" w:type="dxa"/>
            <w:tcBorders>
              <w:top w:val="single" w:sz="8" w:space="0" w:color="0E7C7E"/>
              <w:bottom w:val="single" w:sz="2" w:space="0" w:color="58595B"/>
            </w:tcBorders>
            <w:shd w:val="clear" w:color="auto" w:fill="E7F2F2"/>
            <w:vAlign w:val="bottom"/>
          </w:tcPr>
          <w:p w14:paraId="220A03F4" w14:textId="77777777" w:rsidR="00D06CB2" w:rsidRPr="005C5E32" w:rsidRDefault="00D06CB2">
            <w:pPr>
              <w:pStyle w:val="TableboldGreen"/>
              <w:spacing w:before="40" w:after="40" w:line="220" w:lineRule="atLeast"/>
              <w:jc w:val="right"/>
              <w:rPr>
                <w:rFonts w:eastAsia="Lato"/>
              </w:rPr>
            </w:pPr>
            <w:r w:rsidRPr="005C5E32">
              <w:rPr>
                <w:rFonts w:eastAsia="Lato"/>
                <w:color w:val="0E7C7E"/>
              </w:rPr>
              <w:t>2025/26</w:t>
            </w:r>
            <w:r w:rsidRPr="005C5E32">
              <w:rPr>
                <w:rFonts w:eastAsia="Lato"/>
                <w:color w:val="0E7C7E"/>
              </w:rPr>
              <w:br/>
              <w:t>Amount in</w:t>
            </w:r>
            <w:r w:rsidRPr="005C5E32">
              <w:rPr>
                <w:rFonts w:eastAsia="Lato"/>
                <w:color w:val="0E7C7E"/>
              </w:rPr>
              <w:br/>
              <w:t>$000</w:t>
            </w:r>
          </w:p>
        </w:tc>
      </w:tr>
      <w:tr w:rsidR="00D06CB2" w:rsidRPr="005C5E32" w14:paraId="76C701E1" w14:textId="77777777">
        <w:tc>
          <w:tcPr>
            <w:tcW w:w="3352" w:type="dxa"/>
            <w:tcBorders>
              <w:top w:val="single" w:sz="2" w:space="0" w:color="58595B"/>
              <w:bottom w:val="single" w:sz="2" w:space="0" w:color="58595B"/>
            </w:tcBorders>
          </w:tcPr>
          <w:p w14:paraId="285BB17A" w14:textId="77777777" w:rsidR="00D06CB2" w:rsidRPr="005C5E32" w:rsidRDefault="00D06CB2">
            <w:pPr>
              <w:pStyle w:val="TableText"/>
              <w:spacing w:before="40" w:after="40" w:line="220" w:lineRule="atLeast"/>
            </w:pPr>
            <w:r w:rsidRPr="005C5E32">
              <w:t>Balance 1 July</w:t>
            </w:r>
          </w:p>
        </w:tc>
        <w:tc>
          <w:tcPr>
            <w:tcW w:w="1751" w:type="dxa"/>
            <w:tcBorders>
              <w:top w:val="single" w:sz="2" w:space="0" w:color="58595B"/>
              <w:bottom w:val="single" w:sz="2" w:space="0" w:color="58595B"/>
            </w:tcBorders>
          </w:tcPr>
          <w:p w14:paraId="60B45396" w14:textId="77777777" w:rsidR="00D06CB2" w:rsidRPr="005C5E32" w:rsidRDefault="00D06CB2">
            <w:pPr>
              <w:pStyle w:val="TableText"/>
              <w:spacing w:before="40" w:after="40" w:line="220" w:lineRule="atLeast"/>
              <w:jc w:val="right"/>
            </w:pPr>
            <w:r w:rsidRPr="005C5E32">
              <w:t>136.0</w:t>
            </w:r>
          </w:p>
        </w:tc>
        <w:tc>
          <w:tcPr>
            <w:tcW w:w="1134" w:type="dxa"/>
            <w:tcBorders>
              <w:top w:val="single" w:sz="2" w:space="0" w:color="58595B"/>
              <w:bottom w:val="single" w:sz="2" w:space="0" w:color="58595B"/>
            </w:tcBorders>
            <w:shd w:val="clear" w:color="auto" w:fill="E7F2F2"/>
          </w:tcPr>
          <w:p w14:paraId="00F7792A" w14:textId="77777777" w:rsidR="00D06CB2" w:rsidRPr="005C5E32" w:rsidRDefault="00D06CB2">
            <w:pPr>
              <w:pStyle w:val="TableText"/>
              <w:spacing w:before="40" w:after="40" w:line="220" w:lineRule="atLeast"/>
              <w:jc w:val="right"/>
            </w:pPr>
            <w:r w:rsidRPr="005C5E32">
              <w:t>125.9</w:t>
            </w:r>
          </w:p>
        </w:tc>
        <w:tc>
          <w:tcPr>
            <w:tcW w:w="1134" w:type="dxa"/>
            <w:tcBorders>
              <w:top w:val="single" w:sz="2" w:space="0" w:color="58595B"/>
              <w:bottom w:val="single" w:sz="2" w:space="0" w:color="58595B"/>
            </w:tcBorders>
          </w:tcPr>
          <w:p w14:paraId="30EFE14D" w14:textId="77777777" w:rsidR="00D06CB2" w:rsidRPr="005C5E32" w:rsidRDefault="00D06CB2">
            <w:pPr>
              <w:pStyle w:val="TableText"/>
              <w:spacing w:before="40" w:after="40" w:line="220" w:lineRule="atLeast"/>
              <w:jc w:val="right"/>
            </w:pPr>
            <w:r w:rsidRPr="005C5E32">
              <w:t>6,866,186</w:t>
            </w:r>
          </w:p>
        </w:tc>
        <w:tc>
          <w:tcPr>
            <w:tcW w:w="1132" w:type="dxa"/>
            <w:tcBorders>
              <w:top w:val="single" w:sz="2" w:space="0" w:color="58595B"/>
              <w:bottom w:val="single" w:sz="2" w:space="0" w:color="58595B"/>
            </w:tcBorders>
            <w:shd w:val="clear" w:color="auto" w:fill="E7F2F2"/>
          </w:tcPr>
          <w:p w14:paraId="7DA324C8" w14:textId="77777777" w:rsidR="00D06CB2" w:rsidRPr="005C5E32" w:rsidRDefault="00D06CB2">
            <w:pPr>
              <w:pStyle w:val="TableText"/>
              <w:spacing w:before="40" w:after="40" w:line="220" w:lineRule="atLeast"/>
              <w:jc w:val="right"/>
            </w:pPr>
            <w:r w:rsidRPr="005C5E32">
              <w:t>7,385,943</w:t>
            </w:r>
          </w:p>
        </w:tc>
      </w:tr>
      <w:tr w:rsidR="00D06CB2" w:rsidRPr="005C5E32" w14:paraId="01DC4ED6" w14:textId="77777777">
        <w:tc>
          <w:tcPr>
            <w:tcW w:w="3352" w:type="dxa"/>
            <w:tcBorders>
              <w:top w:val="single" w:sz="2" w:space="0" w:color="58595B"/>
              <w:bottom w:val="single" w:sz="2" w:space="0" w:color="58595B"/>
            </w:tcBorders>
          </w:tcPr>
          <w:p w14:paraId="4BA008A7" w14:textId="77777777" w:rsidR="00D06CB2" w:rsidRPr="005C5E32" w:rsidRDefault="00D06CB2">
            <w:pPr>
              <w:pStyle w:val="TableText"/>
              <w:spacing w:before="40" w:after="40" w:line="220" w:lineRule="atLeast"/>
            </w:pPr>
            <w:r w:rsidRPr="005C5E32">
              <w:t>Allocation of units</w:t>
            </w:r>
          </w:p>
        </w:tc>
        <w:tc>
          <w:tcPr>
            <w:tcW w:w="1751" w:type="dxa"/>
            <w:tcBorders>
              <w:top w:val="single" w:sz="2" w:space="0" w:color="58595B"/>
              <w:bottom w:val="single" w:sz="2" w:space="0" w:color="58595B"/>
            </w:tcBorders>
          </w:tcPr>
          <w:p w14:paraId="5578C882" w14:textId="77777777" w:rsidR="00D06CB2" w:rsidRPr="005C5E32" w:rsidRDefault="00D06CB2">
            <w:pPr>
              <w:pStyle w:val="TableText"/>
              <w:spacing w:before="40" w:after="40" w:line="220" w:lineRule="atLeast"/>
              <w:jc w:val="right"/>
            </w:pPr>
            <w:r w:rsidRPr="005C5E32">
              <w:t>18.8</w:t>
            </w:r>
          </w:p>
        </w:tc>
        <w:tc>
          <w:tcPr>
            <w:tcW w:w="1134" w:type="dxa"/>
            <w:tcBorders>
              <w:top w:val="single" w:sz="2" w:space="0" w:color="58595B"/>
              <w:bottom w:val="single" w:sz="2" w:space="0" w:color="58595B"/>
            </w:tcBorders>
            <w:shd w:val="clear" w:color="auto" w:fill="E7F2F2"/>
          </w:tcPr>
          <w:p w14:paraId="15B0F4E7" w14:textId="77777777" w:rsidR="00D06CB2" w:rsidRPr="005C5E32" w:rsidRDefault="00D06CB2">
            <w:pPr>
              <w:pStyle w:val="TableText"/>
              <w:spacing w:before="40" w:after="40" w:line="220" w:lineRule="atLeast"/>
              <w:jc w:val="right"/>
            </w:pPr>
            <w:r w:rsidRPr="005C5E32">
              <w:t>25.0</w:t>
            </w:r>
          </w:p>
        </w:tc>
        <w:tc>
          <w:tcPr>
            <w:tcW w:w="1134" w:type="dxa"/>
            <w:tcBorders>
              <w:top w:val="single" w:sz="2" w:space="0" w:color="58595B"/>
              <w:bottom w:val="single" w:sz="2" w:space="0" w:color="58595B"/>
            </w:tcBorders>
          </w:tcPr>
          <w:p w14:paraId="40AFF4F2" w14:textId="77777777" w:rsidR="00D06CB2" w:rsidRPr="005C5E32" w:rsidRDefault="00D06CB2">
            <w:pPr>
              <w:pStyle w:val="TableText"/>
              <w:spacing w:before="40" w:after="40" w:line="220" w:lineRule="atLeast"/>
              <w:jc w:val="right"/>
            </w:pPr>
            <w:r w:rsidRPr="005C5E32">
              <w:t>1,093,489</w:t>
            </w:r>
          </w:p>
        </w:tc>
        <w:tc>
          <w:tcPr>
            <w:tcW w:w="1132" w:type="dxa"/>
            <w:tcBorders>
              <w:top w:val="single" w:sz="2" w:space="0" w:color="58595B"/>
              <w:bottom w:val="single" w:sz="2" w:space="0" w:color="58595B"/>
            </w:tcBorders>
            <w:shd w:val="clear" w:color="auto" w:fill="E7F2F2"/>
          </w:tcPr>
          <w:p w14:paraId="3954B624" w14:textId="77777777" w:rsidR="00D06CB2" w:rsidRPr="005C5E32" w:rsidRDefault="00D06CB2">
            <w:pPr>
              <w:pStyle w:val="TableText"/>
              <w:spacing w:before="40" w:after="40" w:line="220" w:lineRule="atLeast"/>
              <w:jc w:val="right"/>
            </w:pPr>
            <w:r w:rsidRPr="005C5E32">
              <w:t>1,325,212</w:t>
            </w:r>
          </w:p>
        </w:tc>
      </w:tr>
      <w:tr w:rsidR="00D06CB2" w:rsidRPr="005C5E32" w14:paraId="6F7B864B" w14:textId="77777777">
        <w:tc>
          <w:tcPr>
            <w:tcW w:w="3352" w:type="dxa"/>
            <w:tcBorders>
              <w:top w:val="single" w:sz="2" w:space="0" w:color="58595B"/>
              <w:bottom w:val="single" w:sz="2" w:space="0" w:color="58595B"/>
            </w:tcBorders>
          </w:tcPr>
          <w:p w14:paraId="7BC90D5A" w14:textId="77777777" w:rsidR="00D06CB2" w:rsidRPr="005C5E32" w:rsidRDefault="00D06CB2">
            <w:pPr>
              <w:pStyle w:val="TableText"/>
              <w:spacing w:before="40" w:after="40" w:line="220" w:lineRule="atLeast"/>
            </w:pPr>
            <w:r w:rsidRPr="005C5E32">
              <w:t>Auctioned units</w:t>
            </w:r>
          </w:p>
        </w:tc>
        <w:tc>
          <w:tcPr>
            <w:tcW w:w="1751" w:type="dxa"/>
            <w:tcBorders>
              <w:top w:val="single" w:sz="2" w:space="0" w:color="58595B"/>
              <w:bottom w:val="single" w:sz="2" w:space="0" w:color="58595B"/>
            </w:tcBorders>
          </w:tcPr>
          <w:p w14:paraId="6B123CF1" w14:textId="77777777" w:rsidR="00D06CB2" w:rsidRPr="005C5E32" w:rsidRDefault="00D06CB2">
            <w:pPr>
              <w:pStyle w:val="TableText"/>
              <w:spacing w:before="40" w:after="40" w:line="220" w:lineRule="atLeast"/>
              <w:jc w:val="right"/>
            </w:pPr>
            <w:r w:rsidRPr="005C5E32">
              <w:t>4.0</w:t>
            </w:r>
          </w:p>
        </w:tc>
        <w:tc>
          <w:tcPr>
            <w:tcW w:w="1134" w:type="dxa"/>
            <w:tcBorders>
              <w:top w:val="single" w:sz="2" w:space="0" w:color="58595B"/>
              <w:bottom w:val="single" w:sz="2" w:space="0" w:color="58595B"/>
            </w:tcBorders>
            <w:shd w:val="clear" w:color="auto" w:fill="E7F2F2"/>
          </w:tcPr>
          <w:p w14:paraId="35B8D513" w14:textId="77777777" w:rsidR="00D06CB2" w:rsidRPr="005C5E32" w:rsidRDefault="00D06CB2">
            <w:pPr>
              <w:pStyle w:val="TableText"/>
              <w:spacing w:before="40" w:after="40" w:line="220" w:lineRule="atLeast"/>
              <w:jc w:val="right"/>
            </w:pPr>
            <w:r w:rsidRPr="005C5E32">
              <w:t>–</w:t>
            </w:r>
          </w:p>
        </w:tc>
        <w:tc>
          <w:tcPr>
            <w:tcW w:w="1134" w:type="dxa"/>
            <w:tcBorders>
              <w:top w:val="single" w:sz="2" w:space="0" w:color="58595B"/>
              <w:bottom w:val="single" w:sz="2" w:space="0" w:color="58595B"/>
            </w:tcBorders>
          </w:tcPr>
          <w:p w14:paraId="0ED3068F" w14:textId="77777777" w:rsidR="00D06CB2" w:rsidRPr="005C5E32" w:rsidRDefault="00D06CB2">
            <w:pPr>
              <w:pStyle w:val="TableText"/>
              <w:spacing w:before="40" w:after="40" w:line="220" w:lineRule="atLeast"/>
              <w:jc w:val="right"/>
            </w:pPr>
            <w:r w:rsidRPr="005C5E32">
              <w:t>258,080</w:t>
            </w:r>
          </w:p>
        </w:tc>
        <w:tc>
          <w:tcPr>
            <w:tcW w:w="1132" w:type="dxa"/>
            <w:tcBorders>
              <w:top w:val="single" w:sz="2" w:space="0" w:color="58595B"/>
              <w:bottom w:val="single" w:sz="2" w:space="0" w:color="58595B"/>
            </w:tcBorders>
            <w:shd w:val="clear" w:color="auto" w:fill="E7F2F2"/>
          </w:tcPr>
          <w:p w14:paraId="50AF4875" w14:textId="77777777" w:rsidR="00D06CB2" w:rsidRPr="005C5E32" w:rsidRDefault="00D06CB2">
            <w:pPr>
              <w:pStyle w:val="TableText"/>
              <w:spacing w:before="40" w:after="40" w:line="220" w:lineRule="atLeast"/>
              <w:jc w:val="right"/>
            </w:pPr>
            <w:r w:rsidRPr="005C5E32">
              <w:t>–</w:t>
            </w:r>
          </w:p>
        </w:tc>
      </w:tr>
      <w:tr w:rsidR="00D06CB2" w:rsidRPr="005C5E32" w14:paraId="7BF49270" w14:textId="77777777">
        <w:tc>
          <w:tcPr>
            <w:tcW w:w="3352" w:type="dxa"/>
            <w:tcBorders>
              <w:top w:val="single" w:sz="2" w:space="0" w:color="58595B"/>
              <w:bottom w:val="single" w:sz="2" w:space="0" w:color="58595B"/>
            </w:tcBorders>
          </w:tcPr>
          <w:p w14:paraId="70DBEA9F" w14:textId="77777777" w:rsidR="00D06CB2" w:rsidRPr="005C5E32" w:rsidRDefault="00D06CB2">
            <w:pPr>
              <w:pStyle w:val="TableText"/>
              <w:spacing w:before="40" w:after="40" w:line="220" w:lineRule="atLeast"/>
            </w:pPr>
            <w:r w:rsidRPr="005C5E32">
              <w:t>Use of fixed price options</w:t>
            </w:r>
          </w:p>
        </w:tc>
        <w:tc>
          <w:tcPr>
            <w:tcW w:w="1751" w:type="dxa"/>
            <w:tcBorders>
              <w:top w:val="single" w:sz="2" w:space="0" w:color="58595B"/>
              <w:bottom w:val="single" w:sz="2" w:space="0" w:color="58595B"/>
            </w:tcBorders>
          </w:tcPr>
          <w:p w14:paraId="3FC4CDDF" w14:textId="77777777" w:rsidR="00D06CB2" w:rsidRPr="005C5E32" w:rsidRDefault="00D06CB2">
            <w:pPr>
              <w:pStyle w:val="TableText"/>
              <w:spacing w:before="40" w:after="40" w:line="220" w:lineRule="atLeast"/>
              <w:jc w:val="right"/>
            </w:pPr>
            <w:r w:rsidRPr="005C5E32">
              <w:t>0.6</w:t>
            </w:r>
          </w:p>
        </w:tc>
        <w:tc>
          <w:tcPr>
            <w:tcW w:w="1134" w:type="dxa"/>
            <w:tcBorders>
              <w:top w:val="single" w:sz="2" w:space="0" w:color="58595B"/>
              <w:bottom w:val="single" w:sz="2" w:space="0" w:color="58595B"/>
            </w:tcBorders>
            <w:shd w:val="clear" w:color="auto" w:fill="E7F2F2"/>
          </w:tcPr>
          <w:p w14:paraId="7C1AC471" w14:textId="77777777" w:rsidR="00D06CB2" w:rsidRPr="005C5E32" w:rsidRDefault="00D06CB2">
            <w:pPr>
              <w:pStyle w:val="TableText"/>
              <w:spacing w:before="40" w:after="40" w:line="220" w:lineRule="atLeast"/>
              <w:jc w:val="right"/>
            </w:pPr>
            <w:r w:rsidRPr="005C5E32">
              <w:t>0.2</w:t>
            </w:r>
          </w:p>
        </w:tc>
        <w:tc>
          <w:tcPr>
            <w:tcW w:w="1134" w:type="dxa"/>
            <w:tcBorders>
              <w:top w:val="single" w:sz="2" w:space="0" w:color="58595B"/>
              <w:bottom w:val="single" w:sz="2" w:space="0" w:color="58595B"/>
            </w:tcBorders>
          </w:tcPr>
          <w:p w14:paraId="29EF1A7D" w14:textId="77777777" w:rsidR="00D06CB2" w:rsidRPr="005C5E32" w:rsidRDefault="00D06CB2">
            <w:pPr>
              <w:pStyle w:val="TableText"/>
              <w:spacing w:before="40" w:after="40" w:line="220" w:lineRule="atLeast"/>
              <w:jc w:val="right"/>
            </w:pPr>
            <w:r w:rsidRPr="005C5E32">
              <w:t>16,527</w:t>
            </w:r>
          </w:p>
        </w:tc>
        <w:tc>
          <w:tcPr>
            <w:tcW w:w="1132" w:type="dxa"/>
            <w:tcBorders>
              <w:top w:val="single" w:sz="2" w:space="0" w:color="58595B"/>
              <w:bottom w:val="single" w:sz="2" w:space="0" w:color="58595B"/>
            </w:tcBorders>
            <w:shd w:val="clear" w:color="auto" w:fill="E7F2F2"/>
          </w:tcPr>
          <w:p w14:paraId="54D7F591" w14:textId="77777777" w:rsidR="00D06CB2" w:rsidRPr="005C5E32" w:rsidRDefault="00D06CB2">
            <w:pPr>
              <w:pStyle w:val="TableText"/>
              <w:spacing w:before="40" w:after="40" w:line="220" w:lineRule="atLeast"/>
              <w:jc w:val="right"/>
            </w:pPr>
            <w:r w:rsidRPr="005C5E32">
              <w:t>4,452</w:t>
            </w:r>
          </w:p>
        </w:tc>
      </w:tr>
      <w:tr w:rsidR="00D06CB2" w:rsidRPr="005C5E32" w14:paraId="315F4374" w14:textId="77777777">
        <w:tc>
          <w:tcPr>
            <w:tcW w:w="3352" w:type="dxa"/>
            <w:tcBorders>
              <w:top w:val="single" w:sz="2" w:space="0" w:color="58595B"/>
              <w:bottom w:val="single" w:sz="2" w:space="0" w:color="58595B"/>
            </w:tcBorders>
          </w:tcPr>
          <w:p w14:paraId="70A2DFED" w14:textId="77777777" w:rsidR="00D06CB2" w:rsidRPr="005C5E32" w:rsidRDefault="00D06CB2">
            <w:pPr>
              <w:pStyle w:val="TableText"/>
              <w:spacing w:before="40" w:after="40" w:line="220" w:lineRule="atLeast"/>
            </w:pPr>
            <w:r w:rsidRPr="005C5E32">
              <w:t>Surrendered units</w:t>
            </w:r>
          </w:p>
        </w:tc>
        <w:tc>
          <w:tcPr>
            <w:tcW w:w="1751" w:type="dxa"/>
            <w:tcBorders>
              <w:top w:val="single" w:sz="2" w:space="0" w:color="58595B"/>
              <w:bottom w:val="single" w:sz="2" w:space="0" w:color="58595B"/>
            </w:tcBorders>
          </w:tcPr>
          <w:p w14:paraId="33757013" w14:textId="77777777" w:rsidR="00D06CB2" w:rsidRPr="005C5E32" w:rsidRDefault="00D06CB2">
            <w:pPr>
              <w:pStyle w:val="TableText"/>
              <w:spacing w:before="40" w:after="40" w:line="220" w:lineRule="atLeast"/>
              <w:jc w:val="right"/>
            </w:pPr>
            <w:r w:rsidRPr="005C5E32">
              <w:t>(33.5)</w:t>
            </w:r>
          </w:p>
        </w:tc>
        <w:tc>
          <w:tcPr>
            <w:tcW w:w="1134" w:type="dxa"/>
            <w:tcBorders>
              <w:top w:val="single" w:sz="2" w:space="0" w:color="58595B"/>
              <w:bottom w:val="single" w:sz="2" w:space="0" w:color="58595B"/>
            </w:tcBorders>
            <w:shd w:val="clear" w:color="auto" w:fill="E7F2F2"/>
          </w:tcPr>
          <w:p w14:paraId="3B594ED0" w14:textId="77777777" w:rsidR="00D06CB2" w:rsidRPr="005C5E32" w:rsidRDefault="00D06CB2">
            <w:pPr>
              <w:pStyle w:val="TableText"/>
              <w:spacing w:before="40" w:after="40" w:line="220" w:lineRule="atLeast"/>
              <w:jc w:val="right"/>
            </w:pPr>
            <w:r w:rsidRPr="005C5E32">
              <w:t>(34.1)</w:t>
            </w:r>
          </w:p>
        </w:tc>
        <w:tc>
          <w:tcPr>
            <w:tcW w:w="1134" w:type="dxa"/>
            <w:tcBorders>
              <w:top w:val="single" w:sz="2" w:space="0" w:color="58595B"/>
              <w:bottom w:val="single" w:sz="2" w:space="0" w:color="58595B"/>
            </w:tcBorders>
          </w:tcPr>
          <w:p w14:paraId="6C314718" w14:textId="77777777" w:rsidR="00D06CB2" w:rsidRPr="005C5E32" w:rsidRDefault="00D06CB2">
            <w:pPr>
              <w:pStyle w:val="TableText"/>
              <w:spacing w:before="40" w:after="40" w:line="220" w:lineRule="atLeast"/>
              <w:jc w:val="right"/>
            </w:pPr>
            <w:r w:rsidRPr="005C5E32">
              <w:t>(1,892,805)</w:t>
            </w:r>
          </w:p>
        </w:tc>
        <w:tc>
          <w:tcPr>
            <w:tcW w:w="1132" w:type="dxa"/>
            <w:tcBorders>
              <w:top w:val="single" w:sz="2" w:space="0" w:color="58595B"/>
              <w:bottom w:val="single" w:sz="2" w:space="0" w:color="58595B"/>
            </w:tcBorders>
            <w:shd w:val="clear" w:color="auto" w:fill="E7F2F2"/>
          </w:tcPr>
          <w:p w14:paraId="39815323" w14:textId="77777777" w:rsidR="00D06CB2" w:rsidRPr="005C5E32" w:rsidRDefault="00D06CB2">
            <w:pPr>
              <w:pStyle w:val="TableText"/>
              <w:spacing w:before="40" w:after="40" w:line="220" w:lineRule="atLeast"/>
              <w:jc w:val="right"/>
            </w:pPr>
            <w:r w:rsidRPr="005C5E32">
              <w:t xml:space="preserve"> (1,805,337)</w:t>
            </w:r>
          </w:p>
        </w:tc>
      </w:tr>
      <w:tr w:rsidR="00D06CB2" w:rsidRPr="005C5E32" w14:paraId="12331D72" w14:textId="77777777">
        <w:tc>
          <w:tcPr>
            <w:tcW w:w="3352" w:type="dxa"/>
            <w:tcBorders>
              <w:top w:val="single" w:sz="2" w:space="0" w:color="58595B"/>
              <w:bottom w:val="single" w:sz="2" w:space="0" w:color="58595B"/>
            </w:tcBorders>
          </w:tcPr>
          <w:p w14:paraId="2EAB7589" w14:textId="77777777" w:rsidR="00D06CB2" w:rsidRPr="005C5E32" w:rsidRDefault="00D06CB2">
            <w:pPr>
              <w:pStyle w:val="TableText"/>
              <w:spacing w:before="40" w:after="40" w:line="220" w:lineRule="atLeast"/>
            </w:pPr>
            <w:r w:rsidRPr="005C5E32">
              <w:rPr>
                <w:rFonts w:asciiTheme="minorHAnsi" w:hAnsiTheme="minorHAnsi" w:cstheme="minorHAnsi"/>
              </w:rPr>
              <w:t>Net changes in carbon price</w:t>
            </w:r>
          </w:p>
        </w:tc>
        <w:tc>
          <w:tcPr>
            <w:tcW w:w="1751" w:type="dxa"/>
            <w:tcBorders>
              <w:top w:val="single" w:sz="2" w:space="0" w:color="58595B"/>
              <w:bottom w:val="single" w:sz="2" w:space="0" w:color="58595B"/>
            </w:tcBorders>
          </w:tcPr>
          <w:p w14:paraId="02C8CBAF" w14:textId="65AE4D0A" w:rsidR="00D06CB2" w:rsidRPr="005C5E32" w:rsidRDefault="009B0221">
            <w:pPr>
              <w:pStyle w:val="TableText"/>
              <w:spacing w:before="40" w:after="40" w:line="220" w:lineRule="atLeast"/>
              <w:jc w:val="right"/>
            </w:pPr>
            <w:r w:rsidRPr="005C5E32">
              <w:t>–</w:t>
            </w:r>
          </w:p>
        </w:tc>
        <w:tc>
          <w:tcPr>
            <w:tcW w:w="1134" w:type="dxa"/>
            <w:tcBorders>
              <w:top w:val="single" w:sz="2" w:space="0" w:color="58595B"/>
              <w:bottom w:val="single" w:sz="2" w:space="0" w:color="58595B"/>
            </w:tcBorders>
            <w:shd w:val="clear" w:color="auto" w:fill="E7F2F2"/>
          </w:tcPr>
          <w:p w14:paraId="6C3AB3EA" w14:textId="0A020954" w:rsidR="00D06CB2" w:rsidRPr="005C5E32" w:rsidRDefault="009B0221">
            <w:pPr>
              <w:pStyle w:val="TableText"/>
              <w:spacing w:before="40" w:after="40" w:line="220" w:lineRule="atLeast"/>
              <w:jc w:val="right"/>
            </w:pPr>
            <w:r w:rsidRPr="005C5E32">
              <w:t>–</w:t>
            </w:r>
          </w:p>
        </w:tc>
        <w:tc>
          <w:tcPr>
            <w:tcW w:w="1134" w:type="dxa"/>
            <w:tcBorders>
              <w:top w:val="single" w:sz="2" w:space="0" w:color="58595B"/>
              <w:bottom w:val="single" w:sz="2" w:space="0" w:color="58595B"/>
            </w:tcBorders>
          </w:tcPr>
          <w:p w14:paraId="231512D2" w14:textId="77777777" w:rsidR="00D06CB2" w:rsidRPr="005C5E32" w:rsidRDefault="00D06CB2">
            <w:pPr>
              <w:pStyle w:val="TableText"/>
              <w:spacing w:before="40" w:after="40" w:line="220" w:lineRule="atLeast"/>
              <w:jc w:val="right"/>
            </w:pPr>
            <w:r w:rsidRPr="005C5E32">
              <w:t>1,026,907</w:t>
            </w:r>
          </w:p>
        </w:tc>
        <w:tc>
          <w:tcPr>
            <w:tcW w:w="1132" w:type="dxa"/>
            <w:tcBorders>
              <w:top w:val="single" w:sz="2" w:space="0" w:color="58595B"/>
              <w:bottom w:val="single" w:sz="2" w:space="0" w:color="58595B"/>
            </w:tcBorders>
            <w:shd w:val="clear" w:color="auto" w:fill="E7F2F2"/>
          </w:tcPr>
          <w:p w14:paraId="7A7FC19A" w14:textId="77777777" w:rsidR="00D06CB2" w:rsidRPr="005C5E32" w:rsidRDefault="00D06CB2">
            <w:pPr>
              <w:pStyle w:val="TableText"/>
              <w:spacing w:before="40" w:after="40" w:line="220" w:lineRule="atLeast"/>
              <w:jc w:val="right"/>
            </w:pPr>
            <w:r w:rsidRPr="005C5E32">
              <w:t>(508,590)</w:t>
            </w:r>
          </w:p>
        </w:tc>
      </w:tr>
      <w:tr w:rsidR="00D06CB2" w:rsidRPr="005C5E32" w14:paraId="692E4C55" w14:textId="77777777">
        <w:trPr>
          <w:trHeight w:val="300"/>
        </w:trPr>
        <w:tc>
          <w:tcPr>
            <w:tcW w:w="3352" w:type="dxa"/>
            <w:tcBorders>
              <w:top w:val="single" w:sz="2" w:space="0" w:color="58595B"/>
              <w:bottom w:val="single" w:sz="2" w:space="0" w:color="58595B"/>
            </w:tcBorders>
          </w:tcPr>
          <w:p w14:paraId="4DFD527D" w14:textId="77777777" w:rsidR="00D06CB2" w:rsidRPr="005C5E32" w:rsidRDefault="00D06CB2">
            <w:pPr>
              <w:pStyle w:val="TableText"/>
              <w:spacing w:before="40" w:after="40" w:line="220" w:lineRule="atLeast"/>
            </w:pPr>
            <w:r w:rsidRPr="005C5E32">
              <w:t>Loss/(gain) on sale of units</w:t>
            </w:r>
          </w:p>
        </w:tc>
        <w:tc>
          <w:tcPr>
            <w:tcW w:w="1751" w:type="dxa"/>
            <w:tcBorders>
              <w:top w:val="single" w:sz="2" w:space="0" w:color="58595B"/>
              <w:bottom w:val="single" w:sz="2" w:space="0" w:color="58595B"/>
            </w:tcBorders>
          </w:tcPr>
          <w:p w14:paraId="0A526878" w14:textId="77777777" w:rsidR="00D06CB2" w:rsidRPr="005C5E32" w:rsidRDefault="00D06CB2">
            <w:pPr>
              <w:pStyle w:val="TableText"/>
              <w:spacing w:before="40" w:after="40" w:line="220" w:lineRule="atLeast"/>
              <w:jc w:val="right"/>
            </w:pPr>
            <w:r w:rsidRPr="005C5E32">
              <w:t>–</w:t>
            </w:r>
          </w:p>
        </w:tc>
        <w:tc>
          <w:tcPr>
            <w:tcW w:w="1134" w:type="dxa"/>
            <w:tcBorders>
              <w:top w:val="single" w:sz="2" w:space="0" w:color="58595B"/>
              <w:bottom w:val="single" w:sz="2" w:space="0" w:color="58595B"/>
            </w:tcBorders>
            <w:shd w:val="clear" w:color="auto" w:fill="E7F2F2"/>
          </w:tcPr>
          <w:p w14:paraId="167E7C05" w14:textId="77777777" w:rsidR="00D06CB2" w:rsidRPr="005C5E32" w:rsidRDefault="00D06CB2">
            <w:pPr>
              <w:pStyle w:val="TableText"/>
              <w:spacing w:before="40" w:after="40" w:line="220" w:lineRule="atLeast"/>
              <w:jc w:val="right"/>
            </w:pPr>
            <w:r w:rsidRPr="005C5E32">
              <w:t>–</w:t>
            </w:r>
          </w:p>
        </w:tc>
        <w:tc>
          <w:tcPr>
            <w:tcW w:w="1134" w:type="dxa"/>
            <w:tcBorders>
              <w:top w:val="single" w:sz="2" w:space="0" w:color="58595B"/>
              <w:bottom w:val="single" w:sz="2" w:space="0" w:color="58595B"/>
            </w:tcBorders>
          </w:tcPr>
          <w:p w14:paraId="0D6876AE" w14:textId="77777777" w:rsidR="00D06CB2" w:rsidRPr="005C5E32" w:rsidRDefault="00D06CB2">
            <w:pPr>
              <w:pStyle w:val="TableText"/>
              <w:spacing w:before="40" w:after="40" w:line="220" w:lineRule="atLeast"/>
              <w:jc w:val="right"/>
            </w:pPr>
            <w:r w:rsidRPr="005C5E32">
              <w:t>17,559</w:t>
            </w:r>
          </w:p>
        </w:tc>
        <w:tc>
          <w:tcPr>
            <w:tcW w:w="1132" w:type="dxa"/>
            <w:tcBorders>
              <w:top w:val="single" w:sz="2" w:space="0" w:color="58595B"/>
              <w:bottom w:val="single" w:sz="2" w:space="0" w:color="58595B"/>
            </w:tcBorders>
            <w:shd w:val="clear" w:color="auto" w:fill="E7F2F2"/>
          </w:tcPr>
          <w:p w14:paraId="7B9DA0C9" w14:textId="77777777" w:rsidR="00D06CB2" w:rsidRPr="005C5E32" w:rsidRDefault="00D06CB2">
            <w:pPr>
              <w:pStyle w:val="TableText"/>
              <w:spacing w:before="40" w:after="40" w:line="220" w:lineRule="atLeast"/>
              <w:jc w:val="right"/>
            </w:pPr>
            <w:r w:rsidRPr="005C5E32">
              <w:t>4,821</w:t>
            </w:r>
          </w:p>
        </w:tc>
      </w:tr>
      <w:tr w:rsidR="00D06CB2" w:rsidRPr="005C5E32" w14:paraId="7D4E65A7" w14:textId="77777777">
        <w:tc>
          <w:tcPr>
            <w:tcW w:w="3352" w:type="dxa"/>
            <w:tcBorders>
              <w:top w:val="single" w:sz="2" w:space="0" w:color="58595B"/>
              <w:bottom w:val="single" w:sz="2" w:space="0" w:color="58595B"/>
            </w:tcBorders>
          </w:tcPr>
          <w:p w14:paraId="303348E6" w14:textId="77777777" w:rsidR="00D06CB2" w:rsidRPr="005C5E32" w:rsidRDefault="00D06CB2">
            <w:pPr>
              <w:pStyle w:val="TableTextbold"/>
              <w:spacing w:before="40" w:after="40" w:line="220" w:lineRule="atLeast"/>
            </w:pPr>
            <w:r w:rsidRPr="005C5E32">
              <w:t>Balance as at 30 June 2026</w:t>
            </w:r>
          </w:p>
        </w:tc>
        <w:tc>
          <w:tcPr>
            <w:tcW w:w="1751" w:type="dxa"/>
            <w:tcBorders>
              <w:top w:val="single" w:sz="2" w:space="0" w:color="58595B"/>
              <w:bottom w:val="single" w:sz="2" w:space="0" w:color="58595B"/>
            </w:tcBorders>
          </w:tcPr>
          <w:p w14:paraId="3A80683C" w14:textId="77777777" w:rsidR="00D06CB2" w:rsidRPr="005C5E32" w:rsidRDefault="00D06CB2">
            <w:pPr>
              <w:pStyle w:val="TableTextbold"/>
              <w:spacing w:before="40" w:after="40" w:line="220" w:lineRule="atLeast"/>
              <w:jc w:val="right"/>
              <w:rPr>
                <w:bCs/>
                <w:szCs w:val="18"/>
              </w:rPr>
            </w:pPr>
            <w:r w:rsidRPr="005C5E32">
              <w:rPr>
                <w:bCs/>
                <w:szCs w:val="18"/>
              </w:rPr>
              <w:t>125.9</w:t>
            </w:r>
          </w:p>
        </w:tc>
        <w:tc>
          <w:tcPr>
            <w:tcW w:w="1134" w:type="dxa"/>
            <w:tcBorders>
              <w:top w:val="single" w:sz="2" w:space="0" w:color="58595B"/>
              <w:bottom w:val="single" w:sz="2" w:space="0" w:color="58595B"/>
            </w:tcBorders>
            <w:shd w:val="clear" w:color="auto" w:fill="E7F2F2"/>
          </w:tcPr>
          <w:p w14:paraId="6B2BA6FA" w14:textId="77777777" w:rsidR="00D06CB2" w:rsidRPr="005C5E32" w:rsidRDefault="00D06CB2">
            <w:pPr>
              <w:pStyle w:val="TableTextbold"/>
              <w:spacing w:before="40" w:after="40" w:line="220" w:lineRule="atLeast"/>
              <w:jc w:val="right"/>
            </w:pPr>
            <w:r w:rsidRPr="005C5E32">
              <w:t>117.0</w:t>
            </w:r>
          </w:p>
        </w:tc>
        <w:tc>
          <w:tcPr>
            <w:tcW w:w="1134" w:type="dxa"/>
            <w:tcBorders>
              <w:top w:val="single" w:sz="2" w:space="0" w:color="58595B"/>
              <w:bottom w:val="single" w:sz="2" w:space="0" w:color="58595B"/>
            </w:tcBorders>
          </w:tcPr>
          <w:p w14:paraId="04B1B537" w14:textId="77777777" w:rsidR="00D06CB2" w:rsidRPr="005C5E32" w:rsidRDefault="00D06CB2">
            <w:pPr>
              <w:pStyle w:val="TableTextbold"/>
              <w:spacing w:before="40" w:after="40" w:line="220" w:lineRule="atLeast"/>
              <w:jc w:val="right"/>
            </w:pPr>
            <w:r w:rsidRPr="005C5E32">
              <w:t>7,385,943</w:t>
            </w:r>
          </w:p>
        </w:tc>
        <w:tc>
          <w:tcPr>
            <w:tcW w:w="1132" w:type="dxa"/>
            <w:tcBorders>
              <w:top w:val="single" w:sz="2" w:space="0" w:color="58595B"/>
              <w:bottom w:val="single" w:sz="2" w:space="0" w:color="58595B"/>
            </w:tcBorders>
            <w:shd w:val="clear" w:color="auto" w:fill="E7F2F2"/>
          </w:tcPr>
          <w:p w14:paraId="3081C424" w14:textId="77777777" w:rsidR="00D06CB2" w:rsidRPr="005C5E32" w:rsidRDefault="00D06CB2">
            <w:pPr>
              <w:pStyle w:val="TableTextbold"/>
              <w:spacing w:before="40" w:after="40" w:line="220" w:lineRule="atLeast"/>
              <w:jc w:val="right"/>
            </w:pPr>
            <w:r w:rsidRPr="005C5E32">
              <w:t>6,406,501</w:t>
            </w:r>
          </w:p>
        </w:tc>
      </w:tr>
    </w:tbl>
    <w:p w14:paraId="066D7E2D" w14:textId="5DF5C8AA" w:rsidR="00D06CB2" w:rsidRPr="005C5E32" w:rsidRDefault="00D06CB2" w:rsidP="00662BC2">
      <w:pPr>
        <w:pStyle w:val="BodyText"/>
        <w:spacing w:before="240" w:after="100"/>
      </w:pPr>
      <w:r w:rsidRPr="005C5E32">
        <w:t>The value of the outstanding NZUs at 30 June 2026 has decreased by $980 million to $6,</w:t>
      </w:r>
      <w:r w:rsidR="00A64643" w:rsidRPr="005C5E32">
        <w:t>406</w:t>
      </w:r>
      <w:r w:rsidR="00662BC2" w:rsidRPr="005C5E32">
        <w:t> </w:t>
      </w:r>
      <w:r w:rsidRPr="005C5E32">
        <w:t xml:space="preserve">million compared with the previous year. There were fewer units in circulation at 30 June 2026, as the units surrendered back to the Crown exceeded units allocated during 2025/26. Further, the carbon price used to value the outstanding units </w:t>
      </w:r>
      <w:r w:rsidR="00356233" w:rsidRPr="005C5E32">
        <w:t xml:space="preserve">also </w:t>
      </w:r>
      <w:r w:rsidRPr="005C5E32">
        <w:t>decreased.</w:t>
      </w:r>
      <w:r w:rsidR="005B7E42" w:rsidRPr="005C5E32">
        <w:t xml:space="preserve"> </w:t>
      </w:r>
    </w:p>
    <w:p w14:paraId="318E2F22" w14:textId="36EA9706" w:rsidR="00D06CB2" w:rsidRPr="005C5E32" w:rsidRDefault="00D06CB2">
      <w:pPr>
        <w:pStyle w:val="BodyText"/>
        <w:spacing w:after="100"/>
      </w:pPr>
      <w:r w:rsidRPr="005C5E32">
        <w:t xml:space="preserve">The carbon price used to calculate the value of the Crown’s liability of 117 million outstanding NZUs at 30 June 2026 (2024/25: 125.9 million) </w:t>
      </w:r>
      <w:r w:rsidR="005E5A08" w:rsidRPr="005C5E32">
        <w:t>was</w:t>
      </w:r>
      <w:r w:rsidRPr="005C5E32">
        <w:t xml:space="preserve"> $54.75 (2024/25: $58.70).</w:t>
      </w:r>
    </w:p>
    <w:p w14:paraId="36B2FA54" w14:textId="77777777" w:rsidR="00D06CB2" w:rsidRPr="005C5E32" w:rsidRDefault="00D06CB2">
      <w:pPr>
        <w:pStyle w:val="BodyText"/>
        <w:spacing w:before="360" w:after="180"/>
        <w:rPr>
          <w:i/>
          <w:iCs/>
        </w:rPr>
      </w:pPr>
      <w:r w:rsidRPr="005C5E32">
        <w:rPr>
          <w:i/>
          <w:iCs/>
        </w:rPr>
        <w:t>Source of ETS revenue and expenses</w:t>
      </w: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4A0" w:firstRow="1" w:lastRow="0" w:firstColumn="1" w:lastColumn="0" w:noHBand="0" w:noVBand="1"/>
      </w:tblPr>
      <w:tblGrid>
        <w:gridCol w:w="1560"/>
        <w:gridCol w:w="868"/>
        <w:gridCol w:w="868"/>
        <w:gridCol w:w="868"/>
        <w:gridCol w:w="868"/>
        <w:gridCol w:w="868"/>
        <w:gridCol w:w="868"/>
        <w:gridCol w:w="868"/>
        <w:gridCol w:w="869"/>
      </w:tblGrid>
      <w:tr w:rsidR="00D06CB2" w:rsidRPr="005C5E32" w14:paraId="65184632" w14:textId="77777777">
        <w:tc>
          <w:tcPr>
            <w:tcW w:w="1560" w:type="dxa"/>
            <w:tcBorders>
              <w:top w:val="single" w:sz="8" w:space="0" w:color="0E7B7E"/>
            </w:tcBorders>
          </w:tcPr>
          <w:p w14:paraId="0B3A2D3A" w14:textId="77777777" w:rsidR="00D06CB2" w:rsidRPr="005C5E32" w:rsidRDefault="00D06CB2">
            <w:pPr>
              <w:pStyle w:val="TableboldGreen"/>
              <w:spacing w:before="40" w:after="0" w:line="220" w:lineRule="atLeast"/>
              <w:jc w:val="right"/>
            </w:pPr>
            <w:bookmarkStart w:id="427" w:name="_Hlk111196081"/>
          </w:p>
        </w:tc>
        <w:tc>
          <w:tcPr>
            <w:tcW w:w="3472" w:type="dxa"/>
            <w:gridSpan w:val="4"/>
            <w:tcBorders>
              <w:top w:val="single" w:sz="8" w:space="0" w:color="0E7B7E"/>
            </w:tcBorders>
          </w:tcPr>
          <w:p w14:paraId="51E5D333" w14:textId="77777777" w:rsidR="00D06CB2" w:rsidRPr="005C5E32" w:rsidRDefault="00D06CB2">
            <w:pPr>
              <w:pStyle w:val="TableboldGreen"/>
              <w:spacing w:before="40" w:after="0" w:line="220" w:lineRule="atLeast"/>
              <w:jc w:val="center"/>
              <w:rPr>
                <w:bCs/>
              </w:rPr>
            </w:pPr>
            <w:r w:rsidRPr="005C5E32">
              <w:rPr>
                <w:bCs/>
              </w:rPr>
              <w:t>Revenue: Units surrendered</w:t>
            </w:r>
          </w:p>
        </w:tc>
        <w:tc>
          <w:tcPr>
            <w:tcW w:w="3473" w:type="dxa"/>
            <w:gridSpan w:val="4"/>
            <w:tcBorders>
              <w:top w:val="single" w:sz="8" w:space="0" w:color="0E7B7E"/>
            </w:tcBorders>
          </w:tcPr>
          <w:p w14:paraId="78E43027" w14:textId="77777777" w:rsidR="00D06CB2" w:rsidRPr="005C5E32" w:rsidRDefault="00D06CB2">
            <w:pPr>
              <w:pStyle w:val="TableboldGreen"/>
              <w:spacing w:before="40" w:after="0" w:line="220" w:lineRule="atLeast"/>
              <w:jc w:val="center"/>
              <w:rPr>
                <w:bCs/>
              </w:rPr>
            </w:pPr>
            <w:r w:rsidRPr="005C5E32">
              <w:rPr>
                <w:bCs/>
              </w:rPr>
              <w:t>Expenses: Units allocated</w:t>
            </w:r>
          </w:p>
        </w:tc>
      </w:tr>
      <w:tr w:rsidR="00D06CB2" w:rsidRPr="005C5E32" w14:paraId="27AC1528" w14:textId="77777777">
        <w:tc>
          <w:tcPr>
            <w:tcW w:w="1560" w:type="dxa"/>
          </w:tcPr>
          <w:p w14:paraId="6F49DA15" w14:textId="77777777" w:rsidR="00D06CB2" w:rsidRPr="005C5E32" w:rsidRDefault="00D06CB2">
            <w:pPr>
              <w:pStyle w:val="TableboldGreen"/>
              <w:spacing w:before="40" w:after="0" w:line="220" w:lineRule="atLeast"/>
              <w:jc w:val="right"/>
            </w:pPr>
          </w:p>
        </w:tc>
        <w:tc>
          <w:tcPr>
            <w:tcW w:w="1736" w:type="dxa"/>
            <w:gridSpan w:val="2"/>
          </w:tcPr>
          <w:p w14:paraId="7F40435F" w14:textId="77777777" w:rsidR="00D06CB2" w:rsidRPr="005C5E32" w:rsidRDefault="00D06CB2">
            <w:pPr>
              <w:pStyle w:val="TableboldGreen"/>
              <w:spacing w:before="40" w:after="0" w:line="220" w:lineRule="atLeast"/>
              <w:jc w:val="center"/>
              <w:rPr>
                <w:bCs/>
              </w:rPr>
            </w:pPr>
            <w:r w:rsidRPr="005C5E32">
              <w:rPr>
                <w:bCs/>
              </w:rPr>
              <w:t>2024/25</w:t>
            </w:r>
          </w:p>
        </w:tc>
        <w:tc>
          <w:tcPr>
            <w:tcW w:w="1736" w:type="dxa"/>
            <w:gridSpan w:val="2"/>
            <w:shd w:val="clear" w:color="auto" w:fill="E7F2F2"/>
          </w:tcPr>
          <w:p w14:paraId="5F659B81" w14:textId="77777777" w:rsidR="00D06CB2" w:rsidRPr="005C5E32" w:rsidRDefault="00D06CB2">
            <w:pPr>
              <w:pStyle w:val="TableboldGreen"/>
              <w:spacing w:before="40" w:after="0" w:line="220" w:lineRule="atLeast"/>
              <w:jc w:val="center"/>
              <w:rPr>
                <w:bCs/>
              </w:rPr>
            </w:pPr>
            <w:r w:rsidRPr="005C5E32">
              <w:rPr>
                <w:bCs/>
              </w:rPr>
              <w:t>2025/26</w:t>
            </w:r>
          </w:p>
        </w:tc>
        <w:tc>
          <w:tcPr>
            <w:tcW w:w="1736" w:type="dxa"/>
            <w:gridSpan w:val="2"/>
          </w:tcPr>
          <w:p w14:paraId="580B97C7" w14:textId="77777777" w:rsidR="00D06CB2" w:rsidRPr="005C5E32" w:rsidRDefault="00D06CB2">
            <w:pPr>
              <w:pStyle w:val="TableboldGreen"/>
              <w:spacing w:before="40" w:after="0" w:line="220" w:lineRule="atLeast"/>
              <w:jc w:val="center"/>
              <w:rPr>
                <w:bCs/>
              </w:rPr>
            </w:pPr>
            <w:r w:rsidRPr="005C5E32">
              <w:rPr>
                <w:bCs/>
              </w:rPr>
              <w:t>2024/25</w:t>
            </w:r>
          </w:p>
        </w:tc>
        <w:tc>
          <w:tcPr>
            <w:tcW w:w="1737" w:type="dxa"/>
            <w:gridSpan w:val="2"/>
            <w:shd w:val="clear" w:color="auto" w:fill="E7F2F2"/>
          </w:tcPr>
          <w:p w14:paraId="4FCA870E" w14:textId="77777777" w:rsidR="00D06CB2" w:rsidRPr="005C5E32" w:rsidRDefault="00D06CB2">
            <w:pPr>
              <w:pStyle w:val="TableboldGreen"/>
              <w:spacing w:before="40" w:after="0" w:line="220" w:lineRule="atLeast"/>
              <w:jc w:val="center"/>
              <w:rPr>
                <w:bCs/>
              </w:rPr>
            </w:pPr>
            <w:r w:rsidRPr="005C5E32">
              <w:rPr>
                <w:bCs/>
              </w:rPr>
              <w:t>2025/26</w:t>
            </w:r>
          </w:p>
        </w:tc>
      </w:tr>
      <w:tr w:rsidR="00D06CB2" w:rsidRPr="005C5E32" w14:paraId="0C1F0FE6" w14:textId="77777777">
        <w:tc>
          <w:tcPr>
            <w:tcW w:w="1560" w:type="dxa"/>
            <w:tcBorders>
              <w:bottom w:val="single" w:sz="4" w:space="0" w:color="auto"/>
            </w:tcBorders>
            <w:vAlign w:val="bottom"/>
          </w:tcPr>
          <w:p w14:paraId="0FB456AF" w14:textId="77777777" w:rsidR="00D06CB2" w:rsidRPr="005C5E32" w:rsidRDefault="00D06CB2">
            <w:pPr>
              <w:pStyle w:val="TableboldGreen"/>
              <w:spacing w:before="40" w:after="40" w:line="220" w:lineRule="atLeast"/>
              <w:jc w:val="right"/>
            </w:pPr>
          </w:p>
        </w:tc>
        <w:tc>
          <w:tcPr>
            <w:tcW w:w="868" w:type="dxa"/>
            <w:tcBorders>
              <w:bottom w:val="single" w:sz="4" w:space="0" w:color="auto"/>
            </w:tcBorders>
            <w:vAlign w:val="bottom"/>
          </w:tcPr>
          <w:p w14:paraId="146E1F10" w14:textId="77777777" w:rsidR="00D06CB2" w:rsidRPr="005C5E32" w:rsidRDefault="00D06CB2">
            <w:pPr>
              <w:pStyle w:val="TableboldGreen"/>
              <w:spacing w:before="0" w:after="40" w:line="220" w:lineRule="atLeast"/>
              <w:jc w:val="right"/>
              <w:rPr>
                <w:bCs/>
              </w:rPr>
            </w:pPr>
            <w:r w:rsidRPr="005C5E32">
              <w:rPr>
                <w:bCs/>
              </w:rPr>
              <w:t>Units in millions</w:t>
            </w:r>
          </w:p>
        </w:tc>
        <w:tc>
          <w:tcPr>
            <w:tcW w:w="868" w:type="dxa"/>
            <w:tcBorders>
              <w:bottom w:val="single" w:sz="4" w:space="0" w:color="auto"/>
            </w:tcBorders>
            <w:vAlign w:val="bottom"/>
          </w:tcPr>
          <w:p w14:paraId="5FAA7816" w14:textId="77777777" w:rsidR="00D06CB2" w:rsidRPr="005C5E32" w:rsidRDefault="00D06CB2">
            <w:pPr>
              <w:pStyle w:val="TableboldGreen"/>
              <w:spacing w:before="0" w:after="40" w:line="220" w:lineRule="atLeast"/>
              <w:jc w:val="right"/>
              <w:rPr>
                <w:bCs/>
              </w:rPr>
            </w:pPr>
            <w:r w:rsidRPr="005C5E32">
              <w:t xml:space="preserve">Amount in </w:t>
            </w:r>
            <w:r w:rsidRPr="005C5E32">
              <w:rPr>
                <w:bCs/>
              </w:rPr>
              <w:t>$millions</w:t>
            </w:r>
          </w:p>
        </w:tc>
        <w:tc>
          <w:tcPr>
            <w:tcW w:w="868" w:type="dxa"/>
            <w:tcBorders>
              <w:bottom w:val="single" w:sz="4" w:space="0" w:color="auto"/>
            </w:tcBorders>
            <w:shd w:val="clear" w:color="auto" w:fill="E7F2F2"/>
            <w:vAlign w:val="bottom"/>
          </w:tcPr>
          <w:p w14:paraId="29CDC494" w14:textId="77777777" w:rsidR="00D06CB2" w:rsidRPr="005C5E32" w:rsidRDefault="00D06CB2">
            <w:pPr>
              <w:pStyle w:val="TableboldGreen"/>
              <w:spacing w:before="0" w:after="40" w:line="220" w:lineRule="atLeast"/>
              <w:jc w:val="right"/>
              <w:rPr>
                <w:bCs/>
              </w:rPr>
            </w:pPr>
            <w:r w:rsidRPr="005C5E32">
              <w:rPr>
                <w:bCs/>
              </w:rPr>
              <w:t>Units in millions</w:t>
            </w:r>
          </w:p>
        </w:tc>
        <w:tc>
          <w:tcPr>
            <w:tcW w:w="868" w:type="dxa"/>
            <w:tcBorders>
              <w:bottom w:val="single" w:sz="4" w:space="0" w:color="auto"/>
            </w:tcBorders>
            <w:shd w:val="clear" w:color="auto" w:fill="E7F2F2"/>
            <w:vAlign w:val="bottom"/>
          </w:tcPr>
          <w:p w14:paraId="55FB1A69" w14:textId="77777777" w:rsidR="00D06CB2" w:rsidRPr="005C5E32" w:rsidRDefault="00D06CB2">
            <w:pPr>
              <w:pStyle w:val="TableboldGreen"/>
              <w:spacing w:before="0" w:after="40" w:line="220" w:lineRule="atLeast"/>
              <w:jc w:val="right"/>
              <w:rPr>
                <w:bCs/>
              </w:rPr>
            </w:pPr>
            <w:r w:rsidRPr="005C5E32">
              <w:rPr>
                <w:bCs/>
              </w:rPr>
              <w:t>Amount in</w:t>
            </w:r>
            <w:r w:rsidRPr="005C5E32">
              <w:rPr>
                <w:bCs/>
              </w:rPr>
              <w:br/>
              <w:t>$millions</w:t>
            </w:r>
          </w:p>
        </w:tc>
        <w:tc>
          <w:tcPr>
            <w:tcW w:w="868" w:type="dxa"/>
            <w:tcBorders>
              <w:bottom w:val="single" w:sz="4" w:space="0" w:color="auto"/>
            </w:tcBorders>
            <w:vAlign w:val="bottom"/>
          </w:tcPr>
          <w:p w14:paraId="1D311446" w14:textId="77777777" w:rsidR="00D06CB2" w:rsidRPr="005C5E32" w:rsidRDefault="00D06CB2">
            <w:pPr>
              <w:pStyle w:val="TableboldGreen"/>
              <w:spacing w:before="0" w:after="40" w:line="220" w:lineRule="atLeast"/>
              <w:jc w:val="right"/>
              <w:rPr>
                <w:bCs/>
              </w:rPr>
            </w:pPr>
            <w:r w:rsidRPr="005C5E32">
              <w:rPr>
                <w:bCs/>
              </w:rPr>
              <w:t>Units in millions</w:t>
            </w:r>
          </w:p>
        </w:tc>
        <w:tc>
          <w:tcPr>
            <w:tcW w:w="868" w:type="dxa"/>
            <w:tcBorders>
              <w:bottom w:val="single" w:sz="4" w:space="0" w:color="auto"/>
            </w:tcBorders>
            <w:vAlign w:val="bottom"/>
          </w:tcPr>
          <w:p w14:paraId="7EE38B01" w14:textId="77777777" w:rsidR="00D06CB2" w:rsidRPr="005C5E32" w:rsidRDefault="00D06CB2">
            <w:pPr>
              <w:pStyle w:val="TableboldGreen"/>
              <w:spacing w:before="0" w:after="40" w:line="220" w:lineRule="atLeast"/>
              <w:jc w:val="right"/>
              <w:rPr>
                <w:bCs/>
              </w:rPr>
            </w:pPr>
            <w:r w:rsidRPr="005C5E32">
              <w:rPr>
                <w:bCs/>
              </w:rPr>
              <w:t xml:space="preserve">Amount </w:t>
            </w:r>
            <w:r w:rsidRPr="005C5E32">
              <w:rPr>
                <w:bCs/>
              </w:rPr>
              <w:br/>
              <w:t xml:space="preserve">in </w:t>
            </w:r>
            <w:r w:rsidRPr="005C5E32">
              <w:rPr>
                <w:bCs/>
              </w:rPr>
              <w:br/>
              <w:t>$millions</w:t>
            </w:r>
          </w:p>
        </w:tc>
        <w:tc>
          <w:tcPr>
            <w:tcW w:w="868" w:type="dxa"/>
            <w:tcBorders>
              <w:bottom w:val="single" w:sz="4" w:space="0" w:color="auto"/>
            </w:tcBorders>
            <w:shd w:val="clear" w:color="auto" w:fill="E7F2F2"/>
            <w:vAlign w:val="bottom"/>
          </w:tcPr>
          <w:p w14:paraId="7A58B3CC" w14:textId="77777777" w:rsidR="00D06CB2" w:rsidRPr="005C5E32" w:rsidRDefault="00D06CB2">
            <w:pPr>
              <w:pStyle w:val="TableboldGreen"/>
              <w:spacing w:before="0" w:after="40" w:line="220" w:lineRule="atLeast"/>
              <w:jc w:val="right"/>
              <w:rPr>
                <w:bCs/>
              </w:rPr>
            </w:pPr>
            <w:r w:rsidRPr="005C5E32">
              <w:rPr>
                <w:bCs/>
              </w:rPr>
              <w:t>Units in millions</w:t>
            </w:r>
          </w:p>
        </w:tc>
        <w:tc>
          <w:tcPr>
            <w:tcW w:w="869" w:type="dxa"/>
            <w:tcBorders>
              <w:bottom w:val="single" w:sz="4" w:space="0" w:color="auto"/>
            </w:tcBorders>
            <w:shd w:val="clear" w:color="auto" w:fill="E7F2F2"/>
            <w:vAlign w:val="bottom"/>
          </w:tcPr>
          <w:p w14:paraId="37F6A4DA" w14:textId="77777777" w:rsidR="00D06CB2" w:rsidRPr="005C5E32" w:rsidRDefault="00D06CB2">
            <w:pPr>
              <w:pStyle w:val="TableboldGreen"/>
              <w:spacing w:before="0" w:after="40" w:line="220" w:lineRule="atLeast"/>
              <w:jc w:val="right"/>
              <w:rPr>
                <w:bCs/>
              </w:rPr>
            </w:pPr>
            <w:r w:rsidRPr="005C5E32">
              <w:rPr>
                <w:bCs/>
              </w:rPr>
              <w:t xml:space="preserve">Amount </w:t>
            </w:r>
            <w:r w:rsidRPr="005C5E32">
              <w:rPr>
                <w:bCs/>
              </w:rPr>
              <w:br/>
              <w:t xml:space="preserve">in </w:t>
            </w:r>
            <w:r w:rsidRPr="005C5E32">
              <w:rPr>
                <w:bCs/>
              </w:rPr>
              <w:br/>
              <w:t>$millions</w:t>
            </w:r>
          </w:p>
        </w:tc>
      </w:tr>
      <w:tr w:rsidR="00D06CB2" w:rsidRPr="005C5E32" w14:paraId="7807AFC7" w14:textId="77777777">
        <w:tc>
          <w:tcPr>
            <w:tcW w:w="1560" w:type="dxa"/>
            <w:tcBorders>
              <w:top w:val="single" w:sz="4" w:space="0" w:color="auto"/>
              <w:bottom w:val="single" w:sz="4" w:space="0" w:color="auto"/>
            </w:tcBorders>
          </w:tcPr>
          <w:p w14:paraId="1EB18FB9" w14:textId="77777777" w:rsidR="00D06CB2" w:rsidRPr="005C5E32" w:rsidRDefault="00D06CB2">
            <w:pPr>
              <w:pStyle w:val="TableText"/>
              <w:spacing w:before="40" w:after="40"/>
            </w:pPr>
            <w:r w:rsidRPr="005C5E32">
              <w:t>Liquid fossil fuels</w:t>
            </w:r>
          </w:p>
        </w:tc>
        <w:tc>
          <w:tcPr>
            <w:tcW w:w="868" w:type="dxa"/>
            <w:tcBorders>
              <w:top w:val="single" w:sz="4" w:space="0" w:color="auto"/>
              <w:bottom w:val="single" w:sz="4" w:space="0" w:color="auto"/>
            </w:tcBorders>
          </w:tcPr>
          <w:p w14:paraId="1CE36348" w14:textId="77777777" w:rsidR="00D06CB2" w:rsidRPr="005C5E32" w:rsidRDefault="00D06CB2">
            <w:pPr>
              <w:pStyle w:val="TableText"/>
              <w:spacing w:before="40" w:after="40"/>
              <w:jc w:val="right"/>
            </w:pPr>
            <w:r w:rsidRPr="005C5E32">
              <w:t>18.6</w:t>
            </w:r>
          </w:p>
        </w:tc>
        <w:tc>
          <w:tcPr>
            <w:tcW w:w="868" w:type="dxa"/>
            <w:tcBorders>
              <w:top w:val="single" w:sz="4" w:space="0" w:color="auto"/>
              <w:bottom w:val="single" w:sz="4" w:space="0" w:color="auto"/>
            </w:tcBorders>
          </w:tcPr>
          <w:p w14:paraId="5A64880A" w14:textId="77777777" w:rsidR="00D06CB2" w:rsidRPr="005C5E32" w:rsidRDefault="00D06CB2">
            <w:pPr>
              <w:pStyle w:val="TableText"/>
              <w:spacing w:before="40" w:after="40"/>
              <w:jc w:val="right"/>
            </w:pPr>
            <w:r w:rsidRPr="005C5E32">
              <w:t>1,048</w:t>
            </w:r>
          </w:p>
        </w:tc>
        <w:tc>
          <w:tcPr>
            <w:tcW w:w="868" w:type="dxa"/>
            <w:tcBorders>
              <w:top w:val="single" w:sz="4" w:space="0" w:color="auto"/>
              <w:bottom w:val="single" w:sz="4" w:space="0" w:color="auto"/>
            </w:tcBorders>
            <w:shd w:val="clear" w:color="auto" w:fill="E7F2F2"/>
          </w:tcPr>
          <w:p w14:paraId="5DC3BB07" w14:textId="77777777" w:rsidR="00D06CB2" w:rsidRPr="005C5E32" w:rsidRDefault="00D06CB2">
            <w:pPr>
              <w:pStyle w:val="TableText"/>
              <w:spacing w:before="40" w:after="40"/>
              <w:jc w:val="right"/>
            </w:pPr>
            <w:r w:rsidRPr="005C5E32">
              <w:t>18.5</w:t>
            </w:r>
          </w:p>
        </w:tc>
        <w:tc>
          <w:tcPr>
            <w:tcW w:w="868" w:type="dxa"/>
            <w:tcBorders>
              <w:top w:val="single" w:sz="4" w:space="0" w:color="auto"/>
              <w:bottom w:val="single" w:sz="4" w:space="0" w:color="auto"/>
            </w:tcBorders>
            <w:shd w:val="clear" w:color="auto" w:fill="E7F2F2"/>
          </w:tcPr>
          <w:p w14:paraId="38EADBC0" w14:textId="77777777" w:rsidR="00D06CB2" w:rsidRPr="005C5E32" w:rsidRDefault="00D06CB2">
            <w:pPr>
              <w:pStyle w:val="TableText"/>
              <w:spacing w:before="40" w:after="40"/>
              <w:jc w:val="right"/>
            </w:pPr>
            <w:r w:rsidRPr="005C5E32">
              <w:t>978</w:t>
            </w:r>
          </w:p>
        </w:tc>
        <w:tc>
          <w:tcPr>
            <w:tcW w:w="868" w:type="dxa"/>
            <w:tcBorders>
              <w:top w:val="single" w:sz="4" w:space="0" w:color="auto"/>
              <w:bottom w:val="single" w:sz="4" w:space="0" w:color="auto"/>
            </w:tcBorders>
          </w:tcPr>
          <w:p w14:paraId="24FD3748" w14:textId="77777777" w:rsidR="00D06CB2" w:rsidRPr="005C5E32" w:rsidRDefault="00D06CB2">
            <w:pPr>
              <w:pStyle w:val="TableText"/>
              <w:spacing w:before="40" w:after="40"/>
              <w:jc w:val="right"/>
            </w:pPr>
            <w:r w:rsidRPr="005C5E32">
              <w:t>–</w:t>
            </w:r>
          </w:p>
        </w:tc>
        <w:tc>
          <w:tcPr>
            <w:tcW w:w="868" w:type="dxa"/>
            <w:tcBorders>
              <w:top w:val="single" w:sz="4" w:space="0" w:color="auto"/>
              <w:bottom w:val="single" w:sz="4" w:space="0" w:color="auto"/>
            </w:tcBorders>
          </w:tcPr>
          <w:p w14:paraId="213E9987" w14:textId="77777777" w:rsidR="00D06CB2" w:rsidRPr="005C5E32" w:rsidRDefault="00D06CB2">
            <w:pPr>
              <w:pStyle w:val="TableText"/>
              <w:spacing w:before="40" w:after="40"/>
              <w:jc w:val="right"/>
            </w:pPr>
            <w:r w:rsidRPr="005C5E32">
              <w:t>–</w:t>
            </w:r>
          </w:p>
        </w:tc>
        <w:tc>
          <w:tcPr>
            <w:tcW w:w="868" w:type="dxa"/>
            <w:tcBorders>
              <w:top w:val="single" w:sz="4" w:space="0" w:color="auto"/>
              <w:bottom w:val="single" w:sz="4" w:space="0" w:color="auto"/>
            </w:tcBorders>
            <w:shd w:val="clear" w:color="auto" w:fill="E7F2F2"/>
          </w:tcPr>
          <w:p w14:paraId="799497BF" w14:textId="77777777" w:rsidR="00D06CB2" w:rsidRPr="005C5E32" w:rsidRDefault="00D06CB2">
            <w:pPr>
              <w:pStyle w:val="TableText"/>
              <w:spacing w:before="40" w:after="40"/>
              <w:jc w:val="right"/>
            </w:pPr>
            <w:r w:rsidRPr="005C5E32">
              <w:t>–</w:t>
            </w:r>
          </w:p>
        </w:tc>
        <w:tc>
          <w:tcPr>
            <w:tcW w:w="869" w:type="dxa"/>
            <w:tcBorders>
              <w:top w:val="single" w:sz="4" w:space="0" w:color="auto"/>
              <w:bottom w:val="single" w:sz="4" w:space="0" w:color="auto"/>
            </w:tcBorders>
            <w:shd w:val="clear" w:color="auto" w:fill="E7F2F2"/>
          </w:tcPr>
          <w:p w14:paraId="548E7412" w14:textId="77777777" w:rsidR="00D06CB2" w:rsidRPr="005C5E32" w:rsidRDefault="00D06CB2">
            <w:pPr>
              <w:pStyle w:val="TableText"/>
              <w:spacing w:before="40" w:after="40"/>
              <w:jc w:val="right"/>
            </w:pPr>
            <w:r w:rsidRPr="005C5E32">
              <w:t>–</w:t>
            </w:r>
          </w:p>
        </w:tc>
      </w:tr>
      <w:tr w:rsidR="00D06CB2" w:rsidRPr="005C5E32" w14:paraId="5ECFFF73" w14:textId="77777777">
        <w:tc>
          <w:tcPr>
            <w:tcW w:w="1560" w:type="dxa"/>
            <w:tcBorders>
              <w:top w:val="single" w:sz="4" w:space="0" w:color="auto"/>
              <w:bottom w:val="single" w:sz="4" w:space="0" w:color="auto"/>
            </w:tcBorders>
          </w:tcPr>
          <w:p w14:paraId="59EF4BF2" w14:textId="77777777" w:rsidR="00D06CB2" w:rsidRPr="005C5E32" w:rsidRDefault="00D06CB2">
            <w:pPr>
              <w:pStyle w:val="TableText"/>
              <w:spacing w:before="40" w:after="40"/>
            </w:pPr>
            <w:r w:rsidRPr="005C5E32">
              <w:t>Stationary energy and industrial processes</w:t>
            </w:r>
          </w:p>
        </w:tc>
        <w:tc>
          <w:tcPr>
            <w:tcW w:w="868" w:type="dxa"/>
            <w:tcBorders>
              <w:top w:val="single" w:sz="4" w:space="0" w:color="auto"/>
              <w:bottom w:val="single" w:sz="4" w:space="0" w:color="auto"/>
            </w:tcBorders>
            <w:vAlign w:val="bottom"/>
          </w:tcPr>
          <w:p w14:paraId="4C41570F" w14:textId="77777777" w:rsidR="00D06CB2" w:rsidRPr="005C5E32" w:rsidRDefault="00D06CB2">
            <w:pPr>
              <w:pStyle w:val="TableText"/>
              <w:spacing w:before="40" w:after="40"/>
              <w:jc w:val="right"/>
            </w:pPr>
            <w:r w:rsidRPr="005C5E32">
              <w:t>13.3</w:t>
            </w:r>
          </w:p>
        </w:tc>
        <w:tc>
          <w:tcPr>
            <w:tcW w:w="868" w:type="dxa"/>
            <w:tcBorders>
              <w:top w:val="single" w:sz="4" w:space="0" w:color="auto"/>
              <w:bottom w:val="single" w:sz="4" w:space="0" w:color="auto"/>
            </w:tcBorders>
            <w:vAlign w:val="bottom"/>
          </w:tcPr>
          <w:p w14:paraId="01B5B39E" w14:textId="77777777" w:rsidR="00D06CB2" w:rsidRPr="005C5E32" w:rsidRDefault="00D06CB2">
            <w:pPr>
              <w:pStyle w:val="TableText"/>
              <w:spacing w:before="40" w:after="40"/>
              <w:jc w:val="right"/>
            </w:pPr>
            <w:r w:rsidRPr="005C5E32">
              <w:t>754</w:t>
            </w:r>
          </w:p>
        </w:tc>
        <w:tc>
          <w:tcPr>
            <w:tcW w:w="868" w:type="dxa"/>
            <w:tcBorders>
              <w:top w:val="single" w:sz="4" w:space="0" w:color="auto"/>
              <w:bottom w:val="single" w:sz="4" w:space="0" w:color="auto"/>
            </w:tcBorders>
            <w:shd w:val="clear" w:color="auto" w:fill="E7F2F2"/>
            <w:vAlign w:val="bottom"/>
          </w:tcPr>
          <w:p w14:paraId="32B86DB8" w14:textId="77777777" w:rsidR="00D06CB2" w:rsidRPr="005C5E32" w:rsidRDefault="00D06CB2">
            <w:pPr>
              <w:pStyle w:val="TableText"/>
              <w:spacing w:before="40" w:after="40"/>
              <w:jc w:val="right"/>
            </w:pPr>
            <w:r w:rsidRPr="005C5E32">
              <w:t>11.9</w:t>
            </w:r>
          </w:p>
        </w:tc>
        <w:tc>
          <w:tcPr>
            <w:tcW w:w="868" w:type="dxa"/>
            <w:tcBorders>
              <w:top w:val="single" w:sz="4" w:space="0" w:color="auto"/>
              <w:bottom w:val="single" w:sz="4" w:space="0" w:color="auto"/>
            </w:tcBorders>
            <w:shd w:val="clear" w:color="auto" w:fill="E7F2F2"/>
            <w:vAlign w:val="bottom"/>
          </w:tcPr>
          <w:p w14:paraId="685603F6" w14:textId="77777777" w:rsidR="00D06CB2" w:rsidRPr="005C5E32" w:rsidRDefault="00D06CB2">
            <w:pPr>
              <w:pStyle w:val="TableText"/>
              <w:spacing w:before="40" w:after="40"/>
              <w:jc w:val="right"/>
            </w:pPr>
            <w:r w:rsidRPr="005C5E32">
              <w:t>630</w:t>
            </w:r>
          </w:p>
        </w:tc>
        <w:tc>
          <w:tcPr>
            <w:tcW w:w="868" w:type="dxa"/>
            <w:tcBorders>
              <w:top w:val="single" w:sz="4" w:space="0" w:color="auto"/>
              <w:bottom w:val="single" w:sz="4" w:space="0" w:color="auto"/>
            </w:tcBorders>
            <w:vAlign w:val="bottom"/>
          </w:tcPr>
          <w:p w14:paraId="46E2D639" w14:textId="77777777" w:rsidR="00D06CB2" w:rsidRPr="005C5E32" w:rsidRDefault="00D06CB2">
            <w:pPr>
              <w:pStyle w:val="TableText"/>
              <w:spacing w:before="40" w:after="40"/>
              <w:jc w:val="right"/>
            </w:pPr>
            <w:r w:rsidRPr="005C5E32">
              <w:t>5.9</w:t>
            </w:r>
          </w:p>
        </w:tc>
        <w:tc>
          <w:tcPr>
            <w:tcW w:w="868" w:type="dxa"/>
            <w:tcBorders>
              <w:top w:val="single" w:sz="4" w:space="0" w:color="auto"/>
              <w:bottom w:val="single" w:sz="4" w:space="0" w:color="auto"/>
            </w:tcBorders>
            <w:vAlign w:val="bottom"/>
          </w:tcPr>
          <w:p w14:paraId="07412B17" w14:textId="77777777" w:rsidR="00D06CB2" w:rsidRPr="005C5E32" w:rsidRDefault="00D06CB2">
            <w:pPr>
              <w:pStyle w:val="TableText"/>
              <w:spacing w:before="40" w:after="40"/>
              <w:jc w:val="right"/>
            </w:pPr>
            <w:r w:rsidRPr="005C5E32">
              <w:t>345</w:t>
            </w:r>
          </w:p>
        </w:tc>
        <w:tc>
          <w:tcPr>
            <w:tcW w:w="868" w:type="dxa"/>
            <w:tcBorders>
              <w:top w:val="single" w:sz="4" w:space="0" w:color="auto"/>
              <w:bottom w:val="single" w:sz="4" w:space="0" w:color="auto"/>
            </w:tcBorders>
            <w:shd w:val="clear" w:color="auto" w:fill="E7F2F2"/>
            <w:vAlign w:val="bottom"/>
          </w:tcPr>
          <w:p w14:paraId="6A1ED7C9" w14:textId="77777777" w:rsidR="00D06CB2" w:rsidRPr="005C5E32" w:rsidRDefault="00D06CB2">
            <w:pPr>
              <w:pStyle w:val="TableText"/>
              <w:spacing w:before="40" w:after="40"/>
              <w:jc w:val="right"/>
            </w:pPr>
            <w:r w:rsidRPr="005C5E32">
              <w:t>5.1</w:t>
            </w:r>
          </w:p>
        </w:tc>
        <w:tc>
          <w:tcPr>
            <w:tcW w:w="869" w:type="dxa"/>
            <w:tcBorders>
              <w:top w:val="single" w:sz="4" w:space="0" w:color="auto"/>
              <w:bottom w:val="single" w:sz="4" w:space="0" w:color="auto"/>
            </w:tcBorders>
            <w:shd w:val="clear" w:color="auto" w:fill="E7F2F2"/>
            <w:vAlign w:val="bottom"/>
          </w:tcPr>
          <w:p w14:paraId="3C493055" w14:textId="77777777" w:rsidR="00D06CB2" w:rsidRPr="005C5E32" w:rsidRDefault="00D06CB2">
            <w:pPr>
              <w:pStyle w:val="TableText"/>
              <w:spacing w:before="40" w:after="40"/>
              <w:jc w:val="right"/>
            </w:pPr>
            <w:r w:rsidRPr="005C5E32">
              <w:t>270</w:t>
            </w:r>
          </w:p>
        </w:tc>
      </w:tr>
      <w:tr w:rsidR="00D06CB2" w:rsidRPr="005C5E32" w14:paraId="4F6864C0" w14:textId="77777777">
        <w:tc>
          <w:tcPr>
            <w:tcW w:w="1560" w:type="dxa"/>
            <w:tcBorders>
              <w:top w:val="single" w:sz="4" w:space="0" w:color="auto"/>
              <w:bottom w:val="single" w:sz="4" w:space="0" w:color="58595B"/>
            </w:tcBorders>
          </w:tcPr>
          <w:p w14:paraId="6C87BF0F" w14:textId="77777777" w:rsidR="00D06CB2" w:rsidRPr="005C5E32" w:rsidRDefault="00D06CB2">
            <w:pPr>
              <w:pStyle w:val="TableText"/>
              <w:spacing w:before="40" w:after="40"/>
            </w:pPr>
            <w:r w:rsidRPr="005C5E32">
              <w:t>Waste</w:t>
            </w:r>
          </w:p>
        </w:tc>
        <w:tc>
          <w:tcPr>
            <w:tcW w:w="868" w:type="dxa"/>
            <w:tcBorders>
              <w:top w:val="single" w:sz="4" w:space="0" w:color="auto"/>
              <w:bottom w:val="single" w:sz="4" w:space="0" w:color="58595B"/>
            </w:tcBorders>
          </w:tcPr>
          <w:p w14:paraId="2EB98BF3" w14:textId="77777777" w:rsidR="00D06CB2" w:rsidRPr="005C5E32" w:rsidRDefault="00D06CB2">
            <w:pPr>
              <w:pStyle w:val="TableText"/>
              <w:spacing w:before="40" w:after="40"/>
              <w:jc w:val="right"/>
            </w:pPr>
            <w:r w:rsidRPr="005C5E32">
              <w:t>0.4</w:t>
            </w:r>
          </w:p>
        </w:tc>
        <w:tc>
          <w:tcPr>
            <w:tcW w:w="868" w:type="dxa"/>
            <w:tcBorders>
              <w:top w:val="single" w:sz="4" w:space="0" w:color="auto"/>
              <w:bottom w:val="single" w:sz="4" w:space="0" w:color="58595B"/>
            </w:tcBorders>
          </w:tcPr>
          <w:p w14:paraId="1F3AB987" w14:textId="77777777" w:rsidR="00D06CB2" w:rsidRPr="005C5E32" w:rsidRDefault="00D06CB2">
            <w:pPr>
              <w:pStyle w:val="TableText"/>
              <w:spacing w:before="40" w:after="40"/>
              <w:jc w:val="right"/>
            </w:pPr>
            <w:r w:rsidRPr="005C5E32">
              <w:t>25</w:t>
            </w:r>
          </w:p>
        </w:tc>
        <w:tc>
          <w:tcPr>
            <w:tcW w:w="868" w:type="dxa"/>
            <w:tcBorders>
              <w:top w:val="single" w:sz="4" w:space="0" w:color="auto"/>
              <w:bottom w:val="single" w:sz="4" w:space="0" w:color="58595B"/>
            </w:tcBorders>
            <w:shd w:val="clear" w:color="auto" w:fill="E7F2F2"/>
          </w:tcPr>
          <w:p w14:paraId="2AEC3820" w14:textId="77777777" w:rsidR="00D06CB2" w:rsidRPr="005C5E32" w:rsidRDefault="00D06CB2">
            <w:pPr>
              <w:pStyle w:val="TableText"/>
              <w:spacing w:before="40" w:after="40"/>
              <w:jc w:val="right"/>
            </w:pPr>
            <w:r w:rsidRPr="005C5E32">
              <w:t>0.5</w:t>
            </w:r>
          </w:p>
        </w:tc>
        <w:tc>
          <w:tcPr>
            <w:tcW w:w="868" w:type="dxa"/>
            <w:tcBorders>
              <w:top w:val="single" w:sz="4" w:space="0" w:color="auto"/>
              <w:bottom w:val="single" w:sz="4" w:space="0" w:color="58595B"/>
            </w:tcBorders>
            <w:shd w:val="clear" w:color="auto" w:fill="E7F2F2"/>
          </w:tcPr>
          <w:p w14:paraId="4331F36C" w14:textId="77777777" w:rsidR="00D06CB2" w:rsidRPr="005C5E32" w:rsidRDefault="00D06CB2">
            <w:pPr>
              <w:pStyle w:val="TableText"/>
              <w:spacing w:before="40" w:after="40"/>
              <w:jc w:val="right"/>
            </w:pPr>
            <w:r w:rsidRPr="005C5E32">
              <w:t>27</w:t>
            </w:r>
          </w:p>
        </w:tc>
        <w:tc>
          <w:tcPr>
            <w:tcW w:w="868" w:type="dxa"/>
            <w:tcBorders>
              <w:top w:val="single" w:sz="4" w:space="0" w:color="auto"/>
              <w:bottom w:val="single" w:sz="4" w:space="0" w:color="58595B"/>
            </w:tcBorders>
          </w:tcPr>
          <w:p w14:paraId="6E54613B" w14:textId="77777777" w:rsidR="00D06CB2" w:rsidRPr="005C5E32" w:rsidRDefault="00D06CB2">
            <w:pPr>
              <w:pStyle w:val="TableText"/>
              <w:spacing w:before="40" w:after="40"/>
              <w:jc w:val="right"/>
            </w:pPr>
            <w:r w:rsidRPr="005C5E32">
              <w:t>–</w:t>
            </w:r>
          </w:p>
        </w:tc>
        <w:tc>
          <w:tcPr>
            <w:tcW w:w="868" w:type="dxa"/>
            <w:tcBorders>
              <w:top w:val="single" w:sz="4" w:space="0" w:color="auto"/>
              <w:bottom w:val="single" w:sz="4" w:space="0" w:color="58595B"/>
            </w:tcBorders>
          </w:tcPr>
          <w:p w14:paraId="3622FCF6" w14:textId="77777777" w:rsidR="00D06CB2" w:rsidRPr="005C5E32" w:rsidRDefault="00D06CB2">
            <w:pPr>
              <w:pStyle w:val="TableText"/>
              <w:spacing w:before="40" w:after="40"/>
              <w:jc w:val="right"/>
            </w:pPr>
            <w:r w:rsidRPr="005C5E32">
              <w:t>–</w:t>
            </w:r>
          </w:p>
        </w:tc>
        <w:tc>
          <w:tcPr>
            <w:tcW w:w="868" w:type="dxa"/>
            <w:tcBorders>
              <w:top w:val="single" w:sz="4" w:space="0" w:color="auto"/>
              <w:bottom w:val="single" w:sz="4" w:space="0" w:color="58595B"/>
            </w:tcBorders>
            <w:shd w:val="clear" w:color="auto" w:fill="E7F2F2"/>
          </w:tcPr>
          <w:p w14:paraId="774F2BD3" w14:textId="77777777" w:rsidR="00D06CB2" w:rsidRPr="005C5E32" w:rsidRDefault="00D06CB2">
            <w:pPr>
              <w:pStyle w:val="TableText"/>
              <w:spacing w:before="40" w:after="40"/>
              <w:jc w:val="right"/>
            </w:pPr>
            <w:r w:rsidRPr="005C5E32">
              <w:t>–</w:t>
            </w:r>
          </w:p>
        </w:tc>
        <w:tc>
          <w:tcPr>
            <w:tcW w:w="869" w:type="dxa"/>
            <w:tcBorders>
              <w:top w:val="single" w:sz="4" w:space="0" w:color="auto"/>
              <w:bottom w:val="single" w:sz="4" w:space="0" w:color="58595B"/>
            </w:tcBorders>
            <w:shd w:val="clear" w:color="auto" w:fill="E7F2F2"/>
          </w:tcPr>
          <w:p w14:paraId="33514247" w14:textId="77777777" w:rsidR="00D06CB2" w:rsidRPr="005C5E32" w:rsidRDefault="00D06CB2">
            <w:pPr>
              <w:pStyle w:val="TableText"/>
              <w:spacing w:before="40" w:after="40"/>
              <w:jc w:val="right"/>
            </w:pPr>
            <w:r w:rsidRPr="005C5E32">
              <w:t>–</w:t>
            </w:r>
          </w:p>
        </w:tc>
      </w:tr>
      <w:tr w:rsidR="00D06CB2" w:rsidRPr="005C5E32" w14:paraId="29601491" w14:textId="77777777">
        <w:tc>
          <w:tcPr>
            <w:tcW w:w="1560" w:type="dxa"/>
            <w:tcBorders>
              <w:top w:val="single" w:sz="4" w:space="0" w:color="58595B"/>
              <w:bottom w:val="single" w:sz="4" w:space="0" w:color="58595B"/>
            </w:tcBorders>
          </w:tcPr>
          <w:p w14:paraId="72EDF41C" w14:textId="77777777" w:rsidR="00D06CB2" w:rsidRPr="005C5E32" w:rsidRDefault="00D06CB2">
            <w:pPr>
              <w:pStyle w:val="TableText"/>
              <w:spacing w:before="40" w:after="40"/>
            </w:pPr>
            <w:r w:rsidRPr="005C5E32">
              <w:t>Forestry</w:t>
            </w:r>
          </w:p>
        </w:tc>
        <w:tc>
          <w:tcPr>
            <w:tcW w:w="868" w:type="dxa"/>
            <w:tcBorders>
              <w:top w:val="single" w:sz="4" w:space="0" w:color="58595B"/>
              <w:bottom w:val="single" w:sz="4" w:space="0" w:color="58595B"/>
            </w:tcBorders>
          </w:tcPr>
          <w:p w14:paraId="2DBAD8A0" w14:textId="77777777" w:rsidR="00D06CB2" w:rsidRPr="005C5E32" w:rsidRDefault="00D06CB2">
            <w:pPr>
              <w:pStyle w:val="TableText"/>
              <w:spacing w:before="40" w:after="40"/>
              <w:jc w:val="right"/>
            </w:pPr>
            <w:r w:rsidRPr="005C5E32">
              <w:t>1.2</w:t>
            </w:r>
          </w:p>
        </w:tc>
        <w:tc>
          <w:tcPr>
            <w:tcW w:w="868" w:type="dxa"/>
            <w:tcBorders>
              <w:top w:val="single" w:sz="4" w:space="0" w:color="58595B"/>
              <w:bottom w:val="single" w:sz="4" w:space="0" w:color="58595B"/>
            </w:tcBorders>
          </w:tcPr>
          <w:p w14:paraId="74152EBD" w14:textId="77777777" w:rsidR="00D06CB2" w:rsidRPr="005C5E32" w:rsidRDefault="00D06CB2">
            <w:pPr>
              <w:pStyle w:val="TableText"/>
              <w:spacing w:before="40" w:after="40"/>
              <w:jc w:val="right"/>
            </w:pPr>
            <w:r w:rsidRPr="005C5E32">
              <w:t>66</w:t>
            </w:r>
          </w:p>
        </w:tc>
        <w:tc>
          <w:tcPr>
            <w:tcW w:w="868" w:type="dxa"/>
            <w:tcBorders>
              <w:top w:val="single" w:sz="4" w:space="0" w:color="58595B"/>
              <w:bottom w:val="single" w:sz="4" w:space="0" w:color="58595B"/>
            </w:tcBorders>
            <w:shd w:val="clear" w:color="auto" w:fill="E7F2F2"/>
          </w:tcPr>
          <w:p w14:paraId="6BAF06D6" w14:textId="77777777" w:rsidR="00D06CB2" w:rsidRPr="005C5E32" w:rsidRDefault="00D06CB2">
            <w:pPr>
              <w:pStyle w:val="TableText"/>
              <w:spacing w:before="40" w:after="40"/>
              <w:jc w:val="right"/>
            </w:pPr>
            <w:r w:rsidRPr="005C5E32">
              <w:t>3.2</w:t>
            </w:r>
          </w:p>
        </w:tc>
        <w:tc>
          <w:tcPr>
            <w:tcW w:w="868" w:type="dxa"/>
            <w:tcBorders>
              <w:top w:val="single" w:sz="4" w:space="0" w:color="58595B"/>
              <w:bottom w:val="single" w:sz="4" w:space="0" w:color="58595B"/>
            </w:tcBorders>
            <w:shd w:val="clear" w:color="auto" w:fill="E7F2F2"/>
          </w:tcPr>
          <w:p w14:paraId="34A63B73" w14:textId="77777777" w:rsidR="00D06CB2" w:rsidRPr="005C5E32" w:rsidRDefault="00D06CB2">
            <w:pPr>
              <w:pStyle w:val="TableText"/>
              <w:spacing w:before="40" w:after="40"/>
              <w:jc w:val="right"/>
            </w:pPr>
            <w:r w:rsidRPr="005C5E32">
              <w:t>170</w:t>
            </w:r>
          </w:p>
        </w:tc>
        <w:tc>
          <w:tcPr>
            <w:tcW w:w="868" w:type="dxa"/>
            <w:tcBorders>
              <w:top w:val="single" w:sz="4" w:space="0" w:color="58595B"/>
              <w:bottom w:val="single" w:sz="4" w:space="0" w:color="58595B"/>
            </w:tcBorders>
          </w:tcPr>
          <w:p w14:paraId="6843806B" w14:textId="77777777" w:rsidR="00D06CB2" w:rsidRPr="005C5E32" w:rsidRDefault="00D06CB2">
            <w:pPr>
              <w:pStyle w:val="TableText"/>
              <w:spacing w:before="40" w:after="40"/>
              <w:jc w:val="right"/>
            </w:pPr>
            <w:r w:rsidRPr="005C5E32">
              <w:t>12.9</w:t>
            </w:r>
          </w:p>
        </w:tc>
        <w:tc>
          <w:tcPr>
            <w:tcW w:w="868" w:type="dxa"/>
            <w:tcBorders>
              <w:top w:val="single" w:sz="4" w:space="0" w:color="58595B"/>
              <w:bottom w:val="single" w:sz="4" w:space="0" w:color="58595B"/>
            </w:tcBorders>
          </w:tcPr>
          <w:p w14:paraId="00A27A51" w14:textId="77777777" w:rsidR="00D06CB2" w:rsidRPr="005C5E32" w:rsidRDefault="00D06CB2">
            <w:pPr>
              <w:pStyle w:val="TableText"/>
              <w:spacing w:before="40" w:after="40"/>
              <w:jc w:val="right"/>
            </w:pPr>
            <w:r w:rsidRPr="005C5E32">
              <w:t>748</w:t>
            </w:r>
          </w:p>
        </w:tc>
        <w:tc>
          <w:tcPr>
            <w:tcW w:w="868" w:type="dxa"/>
            <w:tcBorders>
              <w:top w:val="single" w:sz="4" w:space="0" w:color="58595B"/>
              <w:bottom w:val="single" w:sz="4" w:space="0" w:color="58595B"/>
            </w:tcBorders>
            <w:shd w:val="clear" w:color="auto" w:fill="E7F2F2"/>
          </w:tcPr>
          <w:p w14:paraId="743B290C" w14:textId="77777777" w:rsidR="00D06CB2" w:rsidRPr="005C5E32" w:rsidRDefault="00D06CB2">
            <w:pPr>
              <w:pStyle w:val="TableText"/>
              <w:spacing w:before="40" w:after="40"/>
              <w:jc w:val="right"/>
            </w:pPr>
            <w:r w:rsidRPr="005C5E32">
              <w:t>20.0</w:t>
            </w:r>
          </w:p>
        </w:tc>
        <w:tc>
          <w:tcPr>
            <w:tcW w:w="869" w:type="dxa"/>
            <w:tcBorders>
              <w:top w:val="single" w:sz="4" w:space="0" w:color="58595B"/>
              <w:bottom w:val="single" w:sz="4" w:space="0" w:color="58595B"/>
            </w:tcBorders>
            <w:shd w:val="clear" w:color="auto" w:fill="E7F2F2"/>
          </w:tcPr>
          <w:p w14:paraId="1CA2B756" w14:textId="77777777" w:rsidR="00D06CB2" w:rsidRPr="005C5E32" w:rsidRDefault="00D06CB2">
            <w:pPr>
              <w:pStyle w:val="TableText"/>
              <w:spacing w:before="40" w:after="40"/>
              <w:jc w:val="right"/>
            </w:pPr>
            <w:r w:rsidRPr="005C5E32">
              <w:t>1,055</w:t>
            </w:r>
          </w:p>
        </w:tc>
      </w:tr>
      <w:tr w:rsidR="00D06CB2" w:rsidRPr="005C5E32" w14:paraId="234B30C2" w14:textId="77777777">
        <w:tc>
          <w:tcPr>
            <w:tcW w:w="1560" w:type="dxa"/>
            <w:tcBorders>
              <w:top w:val="single" w:sz="4" w:space="0" w:color="58595B"/>
              <w:bottom w:val="single" w:sz="4" w:space="0" w:color="58595B"/>
            </w:tcBorders>
          </w:tcPr>
          <w:p w14:paraId="6601CC99" w14:textId="77777777" w:rsidR="00D06CB2" w:rsidRPr="005C5E32" w:rsidRDefault="00D06CB2">
            <w:pPr>
              <w:pStyle w:val="TableTextbold"/>
              <w:spacing w:before="40" w:after="40"/>
            </w:pPr>
            <w:r w:rsidRPr="005C5E32">
              <w:t>Total</w:t>
            </w:r>
          </w:p>
        </w:tc>
        <w:tc>
          <w:tcPr>
            <w:tcW w:w="868" w:type="dxa"/>
            <w:tcBorders>
              <w:top w:val="single" w:sz="4" w:space="0" w:color="58595B"/>
              <w:bottom w:val="single" w:sz="4" w:space="0" w:color="58595B"/>
            </w:tcBorders>
          </w:tcPr>
          <w:p w14:paraId="6E13062F" w14:textId="77777777" w:rsidR="00D06CB2" w:rsidRPr="005C5E32" w:rsidRDefault="00D06CB2">
            <w:pPr>
              <w:pStyle w:val="TableTextbold"/>
              <w:spacing w:before="40" w:after="40"/>
              <w:jc w:val="right"/>
            </w:pPr>
            <w:r w:rsidRPr="005C5E32">
              <w:t>33.5</w:t>
            </w:r>
          </w:p>
        </w:tc>
        <w:tc>
          <w:tcPr>
            <w:tcW w:w="868" w:type="dxa"/>
            <w:tcBorders>
              <w:top w:val="single" w:sz="4" w:space="0" w:color="58595B"/>
              <w:bottom w:val="single" w:sz="4" w:space="0" w:color="58595B"/>
            </w:tcBorders>
          </w:tcPr>
          <w:p w14:paraId="6AE13BE6" w14:textId="77777777" w:rsidR="00D06CB2" w:rsidRPr="005C5E32" w:rsidRDefault="00D06CB2">
            <w:pPr>
              <w:pStyle w:val="TableTextbold"/>
              <w:spacing w:before="40" w:after="40"/>
              <w:jc w:val="right"/>
            </w:pPr>
            <w:r w:rsidRPr="005C5E32">
              <w:t>1,893</w:t>
            </w:r>
          </w:p>
        </w:tc>
        <w:tc>
          <w:tcPr>
            <w:tcW w:w="868" w:type="dxa"/>
            <w:tcBorders>
              <w:top w:val="single" w:sz="4" w:space="0" w:color="58595B"/>
              <w:bottom w:val="single" w:sz="4" w:space="0" w:color="58595B"/>
            </w:tcBorders>
            <w:shd w:val="clear" w:color="auto" w:fill="E7F2F2"/>
          </w:tcPr>
          <w:p w14:paraId="5DC3C616" w14:textId="77777777" w:rsidR="00D06CB2" w:rsidRPr="005C5E32" w:rsidRDefault="00D06CB2">
            <w:pPr>
              <w:pStyle w:val="TableTextbold"/>
              <w:spacing w:before="40" w:after="40"/>
              <w:jc w:val="right"/>
            </w:pPr>
            <w:r w:rsidRPr="005C5E32">
              <w:t>34.1</w:t>
            </w:r>
          </w:p>
        </w:tc>
        <w:tc>
          <w:tcPr>
            <w:tcW w:w="868" w:type="dxa"/>
            <w:tcBorders>
              <w:top w:val="single" w:sz="4" w:space="0" w:color="58595B"/>
              <w:bottom w:val="single" w:sz="4" w:space="0" w:color="58595B"/>
            </w:tcBorders>
            <w:shd w:val="clear" w:color="auto" w:fill="E7F2F2"/>
          </w:tcPr>
          <w:p w14:paraId="3A932A9C" w14:textId="77777777" w:rsidR="00D06CB2" w:rsidRPr="005C5E32" w:rsidRDefault="00D06CB2">
            <w:pPr>
              <w:pStyle w:val="TableTextbold"/>
              <w:spacing w:before="40" w:after="40"/>
              <w:jc w:val="right"/>
            </w:pPr>
            <w:r w:rsidRPr="005C5E32">
              <w:t>1,805</w:t>
            </w:r>
          </w:p>
        </w:tc>
        <w:tc>
          <w:tcPr>
            <w:tcW w:w="868" w:type="dxa"/>
            <w:tcBorders>
              <w:top w:val="single" w:sz="4" w:space="0" w:color="58595B"/>
              <w:bottom w:val="single" w:sz="4" w:space="0" w:color="58595B"/>
            </w:tcBorders>
          </w:tcPr>
          <w:p w14:paraId="3AD67CBC" w14:textId="77777777" w:rsidR="00D06CB2" w:rsidRPr="005C5E32" w:rsidRDefault="00D06CB2">
            <w:pPr>
              <w:pStyle w:val="TableTextbold"/>
              <w:spacing w:before="40" w:after="40"/>
              <w:jc w:val="right"/>
            </w:pPr>
            <w:r w:rsidRPr="005C5E32">
              <w:t>18.8</w:t>
            </w:r>
          </w:p>
        </w:tc>
        <w:tc>
          <w:tcPr>
            <w:tcW w:w="868" w:type="dxa"/>
            <w:tcBorders>
              <w:top w:val="single" w:sz="4" w:space="0" w:color="58595B"/>
              <w:bottom w:val="single" w:sz="4" w:space="0" w:color="58595B"/>
            </w:tcBorders>
          </w:tcPr>
          <w:p w14:paraId="517C1EDF" w14:textId="77777777" w:rsidR="00D06CB2" w:rsidRPr="005C5E32" w:rsidRDefault="00D06CB2">
            <w:pPr>
              <w:pStyle w:val="TableTextbold"/>
              <w:spacing w:before="40" w:after="40"/>
              <w:jc w:val="right"/>
            </w:pPr>
            <w:r w:rsidRPr="005C5E32">
              <w:t>1,093</w:t>
            </w:r>
          </w:p>
        </w:tc>
        <w:tc>
          <w:tcPr>
            <w:tcW w:w="868" w:type="dxa"/>
            <w:tcBorders>
              <w:top w:val="single" w:sz="4" w:space="0" w:color="58595B"/>
              <w:bottom w:val="single" w:sz="4" w:space="0" w:color="58595B"/>
            </w:tcBorders>
            <w:shd w:val="clear" w:color="auto" w:fill="E7F2F2"/>
          </w:tcPr>
          <w:p w14:paraId="21B94467" w14:textId="77777777" w:rsidR="00D06CB2" w:rsidRPr="005C5E32" w:rsidRDefault="00D06CB2">
            <w:pPr>
              <w:pStyle w:val="TableTextbold"/>
              <w:spacing w:before="40" w:after="40"/>
              <w:jc w:val="right"/>
            </w:pPr>
            <w:r w:rsidRPr="005C5E32">
              <w:t>25.1</w:t>
            </w:r>
          </w:p>
        </w:tc>
        <w:tc>
          <w:tcPr>
            <w:tcW w:w="869" w:type="dxa"/>
            <w:tcBorders>
              <w:top w:val="single" w:sz="4" w:space="0" w:color="58595B"/>
              <w:bottom w:val="single" w:sz="4" w:space="0" w:color="58595B"/>
            </w:tcBorders>
            <w:shd w:val="clear" w:color="auto" w:fill="E7F2F2"/>
          </w:tcPr>
          <w:p w14:paraId="5B81F2C4" w14:textId="77777777" w:rsidR="00D06CB2" w:rsidRPr="005C5E32" w:rsidRDefault="00D06CB2">
            <w:pPr>
              <w:pStyle w:val="TableTextbold"/>
              <w:spacing w:before="40" w:after="40"/>
              <w:jc w:val="right"/>
            </w:pPr>
            <w:r w:rsidRPr="005C5E32">
              <w:t>1,325</w:t>
            </w:r>
          </w:p>
        </w:tc>
      </w:tr>
    </w:tbl>
    <w:bookmarkEnd w:id="427"/>
    <w:p w14:paraId="169A3701" w14:textId="77777777" w:rsidR="00D06CB2" w:rsidRPr="005C5E32" w:rsidRDefault="00D06CB2">
      <w:pPr>
        <w:pStyle w:val="Heading4"/>
        <w:spacing w:before="360"/>
      </w:pPr>
      <w:r w:rsidRPr="005C5E32">
        <w:t>Additional information</w:t>
      </w:r>
    </w:p>
    <w:p w14:paraId="353CE181" w14:textId="77777777" w:rsidR="00D06CB2" w:rsidRPr="005C5E32" w:rsidRDefault="00D06CB2">
      <w:pPr>
        <w:pStyle w:val="Heading5"/>
      </w:pPr>
      <w:r w:rsidRPr="005C5E32">
        <w:t xml:space="preserve">Provision for New Zealand Emissions Trading Scheme </w:t>
      </w:r>
    </w:p>
    <w:p w14:paraId="7BA3D7EB" w14:textId="2AA74BC1" w:rsidR="00D06CB2" w:rsidRPr="005C5E32" w:rsidRDefault="00D06CB2">
      <w:pPr>
        <w:pStyle w:val="BodyText"/>
      </w:pPr>
      <w:r w:rsidRPr="005C5E32">
        <w:rPr>
          <w:spacing w:val="-2"/>
        </w:rPr>
        <w:t>The New Zealand Emissions Trading Scheme (NZ ETS) was established to encourage a reduction</w:t>
      </w:r>
      <w:r w:rsidRPr="005C5E32">
        <w:t xml:space="preserve"> in greenhouse gas emissions. The NZ ETS creates a limited number of tradable units (</w:t>
      </w:r>
      <w:r w:rsidRPr="005C5E32" w:rsidDel="009C6588">
        <w:t xml:space="preserve">the </w:t>
      </w:r>
      <w:r w:rsidRPr="005C5E32">
        <w:t>New</w:t>
      </w:r>
      <w:r w:rsidR="009A0299" w:rsidRPr="005C5E32">
        <w:t> </w:t>
      </w:r>
      <w:r w:rsidRPr="005C5E32">
        <w:t xml:space="preserve">Zealand Unit), which the Government can allocate freely or sell to entities. </w:t>
      </w:r>
    </w:p>
    <w:p w14:paraId="579F4C34" w14:textId="77777777" w:rsidR="00D06CB2" w:rsidRPr="005C5E32" w:rsidRDefault="00D06CB2">
      <w:pPr>
        <w:pStyle w:val="BodyText"/>
      </w:pPr>
      <w:r w:rsidRPr="005C5E32">
        <w:t>The provision represents the Government's obligation associated with NZUs that have been allocated or sold and remain held by ETS participants at the end of the reporting period. These units can be used by participants to offset future emissions obligations through surrender to the Government under the NZ ETS.</w:t>
      </w:r>
    </w:p>
    <w:p w14:paraId="153B4E38" w14:textId="77777777" w:rsidR="00D06CB2" w:rsidRPr="005C5E32" w:rsidRDefault="00D06CB2" w:rsidP="009A0299">
      <w:pPr>
        <w:pStyle w:val="Heading5"/>
      </w:pPr>
      <w:r w:rsidRPr="005C5E32">
        <w:lastRenderedPageBreak/>
        <w:t xml:space="preserve">Measurement </w:t>
      </w:r>
    </w:p>
    <w:p w14:paraId="1F348054" w14:textId="77777777" w:rsidR="00D06CB2" w:rsidRPr="005C5E32" w:rsidRDefault="00D06CB2" w:rsidP="008A0967">
      <w:pPr>
        <w:pStyle w:val="BodyText"/>
        <w:spacing w:before="100" w:after="100"/>
      </w:pPr>
      <w:r w:rsidRPr="005C5E32">
        <w:t>Remeasurement gains or losses arise from fluctuations in the market price of NZUs. An increase in the NZU price results in a higher NZ ETS liability, leading to a recognised loss. Conversely, a decrease in price results in a remeasurement gain.</w:t>
      </w:r>
    </w:p>
    <w:p w14:paraId="3C2BE305" w14:textId="77777777" w:rsidR="00D06CB2" w:rsidRPr="005C5E32" w:rsidRDefault="00D06CB2" w:rsidP="008A0967">
      <w:pPr>
        <w:pStyle w:val="BodyText"/>
        <w:spacing w:before="100" w:after="100"/>
      </w:pPr>
      <w:r w:rsidRPr="005C5E32">
        <w:t>The carbon price used to calculate the value of the provision is based on the current quoted NZU spot price at the end of the at the end of the reporting period, as published by Jarden Securities Limited and reported on its Jarden CommTrade carbon website.</w:t>
      </w:r>
    </w:p>
    <w:p w14:paraId="7AB0FBBF" w14:textId="77777777" w:rsidR="00D06CB2" w:rsidRPr="005C5E32" w:rsidRDefault="00D06CB2" w:rsidP="009A0299">
      <w:pPr>
        <w:pStyle w:val="Heading5"/>
      </w:pPr>
      <w:r w:rsidRPr="005C5E32">
        <w:t xml:space="preserve">Classification </w:t>
      </w:r>
    </w:p>
    <w:p w14:paraId="72B6D2C8" w14:textId="77777777" w:rsidR="00D06CB2" w:rsidRPr="005C5E32" w:rsidRDefault="00D06CB2" w:rsidP="008A0967">
      <w:pPr>
        <w:pStyle w:val="BodyText"/>
        <w:spacing w:before="100" w:after="100"/>
      </w:pPr>
      <w:r w:rsidRPr="005C5E32">
        <w:t xml:space="preserve">The Ministry has classified the provision as a current liability because it does not have an unconditional right to defer settlement of the liability for at least 12 months after the reporting date. </w:t>
      </w:r>
    </w:p>
    <w:p w14:paraId="6AC1415C" w14:textId="77777777" w:rsidR="00D06CB2" w:rsidRPr="005C5E32" w:rsidRDefault="00D06CB2" w:rsidP="009A0299">
      <w:pPr>
        <w:pStyle w:val="Heading5"/>
      </w:pPr>
      <w:r w:rsidRPr="005C5E32">
        <w:t xml:space="preserve">Allocation of New Zealand Units </w:t>
      </w:r>
    </w:p>
    <w:p w14:paraId="12F54642" w14:textId="77777777" w:rsidR="00D06CB2" w:rsidRPr="005C5E32" w:rsidRDefault="00D06CB2" w:rsidP="008A0967">
      <w:pPr>
        <w:pStyle w:val="BodyText"/>
        <w:spacing w:after="100"/>
      </w:pPr>
      <w:r w:rsidRPr="005C5E32">
        <w:t>There are three main mechanisms in which the Governments creates NZUs:</w:t>
      </w:r>
    </w:p>
    <w:p w14:paraId="669511AA" w14:textId="77777777" w:rsidR="00D06CB2" w:rsidRPr="005C5E32" w:rsidRDefault="00D06CB2" w:rsidP="008A0967">
      <w:pPr>
        <w:pStyle w:val="BodyText"/>
        <w:spacing w:before="0" w:after="100"/>
        <w:ind w:left="397" w:hanging="397"/>
      </w:pPr>
      <w:r w:rsidRPr="005C5E32">
        <w:t>(a)</w:t>
      </w:r>
      <w:r w:rsidRPr="005C5E32">
        <w:tab/>
        <w:t>Free allocation — provided to certain businesses that compete internationally and would be disadvantaged if they faced the full carbon cost while overseas competitors did not;</w:t>
      </w:r>
    </w:p>
    <w:p w14:paraId="7FD38FBB" w14:textId="77777777" w:rsidR="00D06CB2" w:rsidRPr="005C5E32" w:rsidRDefault="00D06CB2" w:rsidP="008A0967">
      <w:pPr>
        <w:pStyle w:val="BodyText"/>
        <w:spacing w:before="0" w:after="100"/>
        <w:ind w:left="397" w:hanging="397"/>
      </w:pPr>
      <w:r w:rsidRPr="005C5E32">
        <w:t>(b)</w:t>
      </w:r>
      <w:r w:rsidRPr="005C5E32">
        <w:tab/>
        <w:t>Allocation to forestry participants — following emission returns that demonstrate the removal of carbon from the atmosphere; and</w:t>
      </w:r>
    </w:p>
    <w:p w14:paraId="723DE521" w14:textId="77777777" w:rsidR="00D06CB2" w:rsidRPr="005C5E32" w:rsidRDefault="00D06CB2" w:rsidP="008A0967">
      <w:pPr>
        <w:pStyle w:val="BodyText"/>
        <w:spacing w:before="0" w:after="100"/>
        <w:ind w:left="397" w:hanging="397"/>
      </w:pPr>
      <w:r w:rsidRPr="005C5E32">
        <w:t>(c)</w:t>
      </w:r>
      <w:r w:rsidRPr="005C5E32">
        <w:tab/>
        <w:t>Auctioning of NZUs — the Government creates and sells NZUs through quarterly auctions.</w:t>
      </w:r>
    </w:p>
    <w:p w14:paraId="4B8C07EB" w14:textId="77777777" w:rsidR="00D06CB2" w:rsidRPr="005C5E32" w:rsidRDefault="00D06CB2" w:rsidP="008A0967">
      <w:pPr>
        <w:pStyle w:val="BodyText"/>
        <w:spacing w:after="100"/>
      </w:pPr>
      <w:r w:rsidRPr="005C5E32">
        <w:t>The volume of NZUs offered at auction is largely determined by emissions budgets and climate policy settings as set by the Government.</w:t>
      </w:r>
    </w:p>
    <w:p w14:paraId="56188F9F" w14:textId="77777777" w:rsidR="00D06CB2" w:rsidRPr="005C5E32" w:rsidRDefault="00D06CB2" w:rsidP="008A0967">
      <w:pPr>
        <w:pStyle w:val="BodyText"/>
        <w:spacing w:after="100"/>
      </w:pPr>
      <w:r w:rsidRPr="005C5E32">
        <w:t>For the allocation of NZUs the market price per carbon unit is used to measure the value of the units. This value is measured using the lower of the monthly average NZU price and the spot NZU price at the end of each month. For the auctioning of units, the Government sets the volume of units available for sale, while the auction clearing price is determined by market demand, represented by bids submitted by participants. The final clearing price reflects the lowest successful bid required to allocate the available units.</w:t>
      </w:r>
    </w:p>
    <w:p w14:paraId="074AAB05" w14:textId="77777777" w:rsidR="00D06CB2" w:rsidRPr="005C5E32" w:rsidRDefault="00D06CB2" w:rsidP="008A0967">
      <w:pPr>
        <w:pStyle w:val="BodyText"/>
        <w:spacing w:after="100"/>
        <w:rPr>
          <w:spacing w:val="-2"/>
        </w:rPr>
      </w:pPr>
      <w:r w:rsidRPr="005C5E32">
        <w:rPr>
          <w:spacing w:val="-2"/>
        </w:rPr>
        <w:t>An expense is recognised for the allocation of free units (refer to Note 6 for further information).</w:t>
      </w:r>
    </w:p>
    <w:p w14:paraId="568F93A4" w14:textId="77777777" w:rsidR="00D06CB2" w:rsidRPr="005C5E32" w:rsidRDefault="00D06CB2" w:rsidP="009A0299">
      <w:pPr>
        <w:pStyle w:val="Heading5"/>
      </w:pPr>
      <w:r w:rsidRPr="005C5E32">
        <w:t xml:space="preserve">Surrender of New Zealand Units </w:t>
      </w:r>
    </w:p>
    <w:p w14:paraId="5D1FD697" w14:textId="77777777" w:rsidR="00D06CB2" w:rsidRPr="005C5E32" w:rsidRDefault="00D06CB2" w:rsidP="008A0967">
      <w:pPr>
        <w:pStyle w:val="BodyText"/>
        <w:spacing w:before="100" w:after="100"/>
      </w:pPr>
      <w:r w:rsidRPr="005C5E32">
        <w:t>The ETS provision is reduced, and revenue recognised, as NZUs are surrendered to the Crown by emitters. Emitters can also use the fixed price option of $25 per unit for emissions that occurred up to 2019 and $35 per unit for emissions that occurred in 2020 to settle their emission obligation.</w:t>
      </w:r>
    </w:p>
    <w:p w14:paraId="29783ACB" w14:textId="77777777" w:rsidR="00D06CB2" w:rsidRPr="005C5E32" w:rsidRDefault="00D06CB2" w:rsidP="008A0967">
      <w:pPr>
        <w:pStyle w:val="BodyText"/>
        <w:spacing w:before="100" w:after="100"/>
      </w:pPr>
      <w:r w:rsidRPr="005C5E32">
        <w:t>Under the Climate Change Response Act 2002, NZ ETS participants are generally required to surrender one NZU for each tonne of eligible greenhouse gas emissions for which they are liable. ETS participants use methodologies and regulations prescribed by the Act to determine their emission obligations.</w:t>
      </w:r>
    </w:p>
    <w:p w14:paraId="047452B8" w14:textId="77777777" w:rsidR="00D06CB2" w:rsidRPr="005C5E32" w:rsidRDefault="00D06CB2" w:rsidP="008A0967">
      <w:pPr>
        <w:pStyle w:val="BodyText"/>
        <w:spacing w:before="100" w:after="100"/>
      </w:pPr>
      <w:r w:rsidRPr="005C5E32">
        <w:t>Participants report their emissions for a calendar year through an annual emissions return and subsequently surrender NZUs to settle those obligations. Emission returns are subject to regulatory oversight, verification activities, and compliance monitoring undertaken primarily by the Environmental Protection Authority (EPA) and, for forestry participants, the Ministry for Primary Industries (MPI).</w:t>
      </w:r>
    </w:p>
    <w:p w14:paraId="7D960F91" w14:textId="77777777" w:rsidR="00D06CB2" w:rsidRPr="005C5E32" w:rsidRDefault="00D06CB2">
      <w:pPr>
        <w:pStyle w:val="BodyText"/>
      </w:pPr>
      <w:r w:rsidRPr="005C5E32">
        <w:lastRenderedPageBreak/>
        <w:t xml:space="preserve">Because emission returns and surrender obligations are determined on a calendar-year basis, the ETS provision includes an estimate of NZUs expected to be surrendered for emissions incurred up to the end of the reporting period. The estimate is updated annually using the latest emissions information, sector forecasts and observed surrender patterns. </w:t>
      </w:r>
    </w:p>
    <w:p w14:paraId="3321C45A" w14:textId="2F21A761" w:rsidR="00D06CB2" w:rsidRPr="005C5E32" w:rsidRDefault="00D06CB2">
      <w:pPr>
        <w:pStyle w:val="BodyText"/>
      </w:pPr>
      <w:r w:rsidRPr="005C5E32">
        <w:t>For the surrender of NZUs the market price per carbon unit is used to measure the value of the units. This value is measured using the lower of the monthly average NZU price and the spot NZU price at the end of each month.</w:t>
      </w:r>
    </w:p>
    <w:p w14:paraId="31767B2D" w14:textId="246EDB7F" w:rsidR="00D06CB2" w:rsidRPr="005C5E32" w:rsidRDefault="00D06CB2">
      <w:pPr>
        <w:pStyle w:val="Heading4"/>
      </w:pPr>
      <w:r w:rsidRPr="005C5E32">
        <w:t>Additional information on New Zealand’s Climate Change commitments (targets) under various agreements (past and current)</w:t>
      </w:r>
    </w:p>
    <w:p w14:paraId="05CE1512" w14:textId="77777777" w:rsidR="00204F30" w:rsidRPr="005C5E32" w:rsidRDefault="00F97A43" w:rsidP="003F2CD1">
      <w:pPr>
        <w:pStyle w:val="BodyText"/>
      </w:pPr>
      <w:r w:rsidRPr="005C5E32">
        <w:t xml:space="preserve">To date, a liability has not been recognised for New Zealand’s Nationally Determined Contributions (NDCs) under the Paris Agreement. This judgement (to not recognise a liability) has been formed on the view that there is no legal obligation to achieve the NDCs, nor has there been a constructive obligation to meet the targets. </w:t>
      </w:r>
    </w:p>
    <w:p w14:paraId="6CBBE800" w14:textId="18EE3759" w:rsidR="00D06CB2" w:rsidRPr="005C5E32" w:rsidRDefault="00D06CB2" w:rsidP="00A908C0">
      <w:pPr>
        <w:pStyle w:val="Heading5"/>
      </w:pPr>
      <w:r w:rsidRPr="005C5E32">
        <w:t>New Zealand’s 2012 target under the Kyoto Protocol</w:t>
      </w:r>
    </w:p>
    <w:p w14:paraId="7FC03CEC" w14:textId="77777777" w:rsidR="00D06CB2" w:rsidRPr="005C5E32" w:rsidRDefault="00D06CB2" w:rsidP="003F2CD1">
      <w:pPr>
        <w:pStyle w:val="BodyText"/>
      </w:pPr>
      <w:r w:rsidRPr="005C5E32">
        <w:t>New Zealand met its 2012 emissions reduction target for the first commitment period of the Kyoto Protocol.</w:t>
      </w:r>
    </w:p>
    <w:p w14:paraId="0CEE2824" w14:textId="77777777" w:rsidR="00D06CB2" w:rsidRPr="005C5E32" w:rsidRDefault="00D06CB2">
      <w:pPr>
        <w:pStyle w:val="Heading5"/>
      </w:pPr>
      <w:r w:rsidRPr="005C5E32">
        <w:t>New Zealand’s 2020 target under the UNFCCC</w:t>
      </w:r>
    </w:p>
    <w:p w14:paraId="2786B10A" w14:textId="77777777" w:rsidR="00D06CB2" w:rsidRPr="005C5E32" w:rsidRDefault="00D06CB2">
      <w:pPr>
        <w:pStyle w:val="BodyText"/>
      </w:pPr>
      <w:r w:rsidRPr="005C5E32">
        <w:t>New Zealand chose to take its 2020 emissions reduction target under the</w:t>
      </w:r>
      <w:r w:rsidRPr="005C5E32" w:rsidDel="002D6A32">
        <w:t xml:space="preserve"> </w:t>
      </w:r>
      <w:r w:rsidRPr="005C5E32">
        <w:t xml:space="preserve">UNFCCC rather than the Kyoto Protocol, while applying the Kyoto Protocol rules to account for it. </w:t>
      </w:r>
    </w:p>
    <w:p w14:paraId="75429CCE" w14:textId="77777777" w:rsidR="00D06CB2" w:rsidRPr="005C5E32" w:rsidRDefault="00D06CB2">
      <w:pPr>
        <w:pStyle w:val="BodyText"/>
      </w:pPr>
      <w:r w:rsidRPr="005C5E32">
        <w:t>New Zealand’s 2020 target was to reduce net greenhouse gas emissions to 5 percent below 1990 levels for the period 2013–2020. New Zealand met this target.</w:t>
      </w:r>
    </w:p>
    <w:p w14:paraId="17867251" w14:textId="77777777" w:rsidR="00D06CB2" w:rsidRPr="005C5E32" w:rsidRDefault="00D06CB2">
      <w:pPr>
        <w:pStyle w:val="Heading5"/>
      </w:pPr>
      <w:r w:rsidRPr="005C5E32">
        <w:t>New Zealand’s 2030 target under the Paris Agreement</w:t>
      </w:r>
    </w:p>
    <w:p w14:paraId="1BDC3B0F" w14:textId="6B4A821F" w:rsidR="00D06CB2" w:rsidRPr="005C5E32" w:rsidRDefault="00D06CB2">
      <w:pPr>
        <w:pStyle w:val="BodyText"/>
        <w:spacing w:before="100" w:after="100"/>
      </w:pPr>
      <w:r w:rsidRPr="005C5E32">
        <w:t>New Zealand’s first Nationally Determined Contribution (NDC1) under the Paris Agreement is</w:t>
      </w:r>
      <w:r w:rsidR="001200FC" w:rsidRPr="005C5E32">
        <w:t xml:space="preserve"> </w:t>
      </w:r>
      <w:r w:rsidRPr="005C5E32">
        <w:t>for the period 2021–2030. Our NDC1 is to reduce net greenhouse gas emissions by 50 percent below gross 2005 levels by 2030 and is managed using a multi-year emissions budget. This target corresponds to a provisional NDC1 emissions budget of 571 megatonnes of carbon dioxide equivalent (Mt CO</w:t>
      </w:r>
      <w:r w:rsidRPr="005C5E32">
        <w:rPr>
          <w:vertAlign w:val="subscript"/>
        </w:rPr>
        <w:t>2</w:t>
      </w:r>
      <w:r w:rsidRPr="005C5E32">
        <w:t>e) over the period 2021–2030.</w:t>
      </w:r>
    </w:p>
    <w:p w14:paraId="6AD279AD" w14:textId="77777777" w:rsidR="00D06CB2" w:rsidRPr="005C5E32" w:rsidRDefault="00D06CB2">
      <w:pPr>
        <w:pStyle w:val="BodyText"/>
        <w:spacing w:after="100"/>
      </w:pPr>
      <w:r w:rsidRPr="005C5E32">
        <w:t>The progress towards meeting NDC1 is tracked in our Biennial Transparency Reports under the Paris Agreement. Projections that include the impact of second emissions reduction plan policies show a gap of 85 Mt CO</w:t>
      </w:r>
      <w:r w:rsidRPr="005C5E32">
        <w:rPr>
          <w:vertAlign w:val="subscript"/>
        </w:rPr>
        <w:t>2</w:t>
      </w:r>
      <w:r w:rsidRPr="005C5E32">
        <w:t xml:space="preserve">e. </w:t>
      </w:r>
    </w:p>
    <w:p w14:paraId="2792C9C6" w14:textId="77777777" w:rsidR="00D06CB2" w:rsidRPr="005C5E32" w:rsidRDefault="00D06CB2">
      <w:pPr>
        <w:pStyle w:val="Heading5"/>
        <w:rPr>
          <w:rFonts w:eastAsiaTheme="minorEastAsia" w:cstheme="minorBidi"/>
          <w:i w:val="0"/>
          <w:sz w:val="22"/>
        </w:rPr>
      </w:pPr>
      <w:r w:rsidRPr="005C5E32">
        <w:rPr>
          <w:rFonts w:eastAsiaTheme="minorEastAsia" w:cstheme="minorBidi"/>
          <w:i w:val="0"/>
          <w:sz w:val="22"/>
        </w:rPr>
        <w:t xml:space="preserve">The Government is prioritising domestic emissions reductions to meet our NDC1. The Government has also developed climate partnerships with other countries that may offer pathways for future offshore purchasing should we decide to do so. </w:t>
      </w:r>
    </w:p>
    <w:p w14:paraId="4553885F" w14:textId="77777777" w:rsidR="00D06CB2" w:rsidRPr="005C5E32" w:rsidRDefault="00D06CB2">
      <w:pPr>
        <w:pStyle w:val="Heading5"/>
      </w:pPr>
      <w:r w:rsidRPr="005C5E32">
        <w:t>New Zealand’s 2035 target under the Paris Agreement</w:t>
      </w:r>
    </w:p>
    <w:p w14:paraId="30A37D61" w14:textId="77777777" w:rsidR="00D06CB2" w:rsidRPr="005C5E32" w:rsidRDefault="00D06CB2" w:rsidP="001200FC">
      <w:pPr>
        <w:pStyle w:val="BodyText"/>
      </w:pPr>
      <w:r w:rsidRPr="005C5E32">
        <w:t>New Zealand’s second Nationally Determined Contribution (NDC2) under the Paris Agreement is for the period 2031–2035. Our NDC2 is to reduce net greenhouse gas emissions by 51 to 55 percent below gross 2005 levels by 2035. NDC2 is presented and managed as a target range to reflect what we believe is achievable with ambitious domestic emissions reductions, which supports the delivery of both our domestic emissions budget and NDC2.</w:t>
      </w:r>
    </w:p>
    <w:p w14:paraId="0B0DB60D" w14:textId="77777777" w:rsidR="00D06CB2" w:rsidRPr="005C5E32" w:rsidRDefault="00D06CB2">
      <w:pPr>
        <w:pStyle w:val="Heading5"/>
      </w:pPr>
      <w:r w:rsidRPr="005C5E32">
        <w:lastRenderedPageBreak/>
        <w:t>New Zealand’s 2050 target</w:t>
      </w:r>
    </w:p>
    <w:p w14:paraId="280DD2F6" w14:textId="77777777" w:rsidR="00D06CB2" w:rsidRPr="005C5E32" w:rsidRDefault="00D06CB2">
      <w:pPr>
        <w:pStyle w:val="BodyText"/>
        <w:spacing w:before="100" w:after="100"/>
      </w:pPr>
      <w:r w:rsidRPr="005C5E32">
        <w:t>New Zealand’s domestic target under the Climate Change Response Act 2002 is to achieve:</w:t>
      </w:r>
    </w:p>
    <w:p w14:paraId="3562F0B9" w14:textId="77777777" w:rsidR="00D06CB2" w:rsidRPr="005C5E32" w:rsidRDefault="00D06CB2">
      <w:pPr>
        <w:pStyle w:val="Bullet"/>
        <w:spacing w:after="100"/>
      </w:pPr>
      <w:r w:rsidRPr="005C5E32">
        <w:t>net zero emissions of all greenhouse gas emissions other than biogenic methane by 2050</w:t>
      </w:r>
    </w:p>
    <w:p w14:paraId="2FB9BC61" w14:textId="77777777" w:rsidR="00D06CB2" w:rsidRPr="005C5E32" w:rsidRDefault="00D06CB2">
      <w:pPr>
        <w:pStyle w:val="Bullet"/>
        <w:spacing w:after="100"/>
      </w:pPr>
      <w:r w:rsidRPr="005C5E32">
        <w:t>a 14 to 24 percent reduction below 2017 biogenic methane emissions by 2050, including a 10 percent reduction below 2017 biogenic methane emissions by 2030.</w:t>
      </w:r>
    </w:p>
    <w:p w14:paraId="037CA08C" w14:textId="77777777" w:rsidR="00D06CB2" w:rsidRPr="005C5E32" w:rsidRDefault="00D06CB2">
      <w:pPr>
        <w:pStyle w:val="BodyText"/>
        <w:spacing w:after="100"/>
      </w:pPr>
      <w:r w:rsidRPr="005C5E32">
        <w:t>New Zealand</w:t>
      </w:r>
      <w:r w:rsidRPr="005C5E32" w:rsidDel="00662B89">
        <w:t xml:space="preserve"> </w:t>
      </w:r>
      <w:r w:rsidRPr="005C5E32">
        <w:t xml:space="preserve">is using a system of emissions budgets to meet our 2050 target. </w:t>
      </w:r>
      <w:hyperlink r:id="rId102" w:history="1">
        <w:r w:rsidRPr="005C5E32">
          <w:t>Emissions budgets</w:t>
        </w:r>
      </w:hyperlink>
      <w:r w:rsidRPr="005C5E32">
        <w:t xml:space="preserve"> are stepping stones along the path to the 2050 target. Meeting each of our emissions budgets will make it more likely that we will ultimately achieve this target.</w:t>
      </w:r>
    </w:p>
    <w:p w14:paraId="5F27BD06" w14:textId="77777777" w:rsidR="00D06CB2" w:rsidRPr="005C5E32" w:rsidRDefault="00D06CB2">
      <w:pPr>
        <w:pStyle w:val="Heading5"/>
      </w:pPr>
      <w:bookmarkStart w:id="428" w:name="_Toc112144662"/>
      <w:r w:rsidRPr="005C5E32">
        <w:t>New Zealand’s first and second emissions budgets</w:t>
      </w:r>
    </w:p>
    <w:p w14:paraId="128B88CB" w14:textId="77777777" w:rsidR="00D06CB2" w:rsidRPr="005C5E32" w:rsidRDefault="00D06CB2">
      <w:pPr>
        <w:pStyle w:val="BodyText"/>
        <w:spacing w:before="100" w:after="100"/>
      </w:pPr>
      <w:r w:rsidRPr="005C5E32">
        <w:t>The first emissions budget (2022–2025) is 290 Mt CO</w:t>
      </w:r>
      <w:r w:rsidRPr="005C5E32">
        <w:rPr>
          <w:vertAlign w:val="subscript"/>
        </w:rPr>
        <w:t>2</w:t>
      </w:r>
      <w:r w:rsidRPr="005C5E32">
        <w:t>e. Target accounting emissions for the first emissions budget period are projected to be 282 Mt CO</w:t>
      </w:r>
      <w:r w:rsidRPr="005C5E32">
        <w:rPr>
          <w:vertAlign w:val="subscript"/>
        </w:rPr>
        <w:t>2</w:t>
      </w:r>
      <w:r w:rsidRPr="005C5E32">
        <w:t>e (low estimate 280 Mt CO</w:t>
      </w:r>
      <w:r w:rsidRPr="005C5E32">
        <w:rPr>
          <w:vertAlign w:val="subscript"/>
        </w:rPr>
        <w:t>2</w:t>
      </w:r>
      <w:r w:rsidRPr="005C5E32">
        <w:t>e, high estimate 288 Mt CO</w:t>
      </w:r>
      <w:r w:rsidRPr="005C5E32">
        <w:rPr>
          <w:vertAlign w:val="subscript"/>
        </w:rPr>
        <w:t>2</w:t>
      </w:r>
      <w:r w:rsidRPr="005C5E32">
        <w:t>e).</w:t>
      </w:r>
    </w:p>
    <w:p w14:paraId="0E0B7FA8" w14:textId="77777777" w:rsidR="00D06CB2" w:rsidRPr="005C5E32" w:rsidRDefault="00D06CB2">
      <w:pPr>
        <w:pStyle w:val="BodyText"/>
        <w:spacing w:after="100"/>
      </w:pPr>
      <w:r w:rsidRPr="005C5E32">
        <w:t>The second emissions budget (2026–2030) is 305 Mt CO</w:t>
      </w:r>
      <w:r w:rsidRPr="005C5E32">
        <w:rPr>
          <w:vertAlign w:val="subscript"/>
        </w:rPr>
        <w:t>2</w:t>
      </w:r>
      <w:r w:rsidRPr="005C5E32">
        <w:t>e. Target accounting emissions for the second emissions budget period are projected to be 301 Mt CO</w:t>
      </w:r>
      <w:r w:rsidRPr="005C5E32">
        <w:rPr>
          <w:vertAlign w:val="subscript"/>
        </w:rPr>
        <w:t>2</w:t>
      </w:r>
      <w:r w:rsidRPr="005C5E32">
        <w:t>e (low estimate 286 Mt CO</w:t>
      </w:r>
      <w:r w:rsidRPr="005C5E32">
        <w:rPr>
          <w:vertAlign w:val="subscript"/>
        </w:rPr>
        <w:t>2</w:t>
      </w:r>
      <w:r w:rsidRPr="005C5E32">
        <w:t>e, high estimate 327 Mt CO</w:t>
      </w:r>
      <w:r w:rsidRPr="005C5E32">
        <w:rPr>
          <w:vertAlign w:val="subscript"/>
        </w:rPr>
        <w:t>2</w:t>
      </w:r>
      <w:r w:rsidRPr="005C5E32">
        <w:t>e).</w:t>
      </w:r>
    </w:p>
    <w:p w14:paraId="6A2D1470" w14:textId="77777777" w:rsidR="00D06CB2" w:rsidRPr="005C5E32" w:rsidRDefault="00D06CB2">
      <w:pPr>
        <w:pStyle w:val="Heading5"/>
      </w:pPr>
      <w:r w:rsidRPr="005C5E32">
        <w:t>Target 9</w:t>
      </w:r>
    </w:p>
    <w:p w14:paraId="5E7606AB" w14:textId="77777777" w:rsidR="00D06CB2" w:rsidRPr="005C5E32" w:rsidRDefault="00D06CB2">
      <w:pPr>
        <w:pStyle w:val="BodyText"/>
        <w:spacing w:before="100"/>
        <w:rPr>
          <w:spacing w:val="-2"/>
        </w:rPr>
      </w:pPr>
      <w:r w:rsidRPr="005C5E32">
        <w:t>In 2024, Cabinet set nine government targets to focus the public sector on achieving improved results in health, law and order, work, housing and the environment. Target 9 is focused on making sure New Zealand is on track to meet its 2050 net zero climate change commitments, with total net greenhouse gas emissions of no more than 290 Mt CO</w:t>
      </w:r>
      <w:r w:rsidRPr="005C5E32">
        <w:rPr>
          <w:vertAlign w:val="subscript"/>
        </w:rPr>
        <w:t>2</w:t>
      </w:r>
      <w:r w:rsidRPr="005C5E32">
        <w:t>e from 2022 to 2025 and </w:t>
      </w:r>
      <w:r w:rsidRPr="005C5E32">
        <w:rPr>
          <w:spacing w:val="-2"/>
        </w:rPr>
        <w:t>305 Mt CO</w:t>
      </w:r>
      <w:r w:rsidRPr="005C5E32">
        <w:rPr>
          <w:spacing w:val="-2"/>
          <w:vertAlign w:val="subscript"/>
        </w:rPr>
        <w:t>2</w:t>
      </w:r>
      <w:r w:rsidRPr="005C5E32">
        <w:rPr>
          <w:spacing w:val="-2"/>
        </w:rPr>
        <w:t xml:space="preserve">e from 2026 to 2030. </w:t>
      </w:r>
    </w:p>
    <w:p w14:paraId="70EAC33B" w14:textId="77777777" w:rsidR="00D06CB2" w:rsidRPr="005C5E32" w:rsidRDefault="00D06CB2">
      <w:pPr>
        <w:pStyle w:val="BodyText"/>
        <w:spacing w:before="100"/>
      </w:pPr>
      <w:r w:rsidRPr="005C5E32">
        <w:rPr>
          <w:spacing w:val="-2"/>
        </w:rPr>
        <w:t>Target 9 is in line with New Zealand’s first and second emissions budgets.</w:t>
      </w:r>
      <w:r w:rsidRPr="005C5E32">
        <w:t xml:space="preserve"> The first and second emissions budgets are projected to be achieved, which gives confidence that Target 9 can be achieved as well.</w:t>
      </w:r>
    </w:p>
    <w:p w14:paraId="7950AAF6" w14:textId="77777777" w:rsidR="00D06CB2" w:rsidRPr="005C5E32" w:rsidRDefault="00D06CB2">
      <w:pPr>
        <w:pStyle w:val="Heading3"/>
        <w:tabs>
          <w:tab w:val="clear" w:pos="851"/>
          <w:tab w:val="left" w:pos="567"/>
        </w:tabs>
      </w:pPr>
      <w:r w:rsidRPr="005C5E32">
        <w:t>11.</w:t>
      </w:r>
      <w:r w:rsidRPr="005C5E32">
        <w:tab/>
        <w:t>Events after the balance sheet date</w:t>
      </w:r>
      <w:bookmarkEnd w:id="428"/>
    </w:p>
    <w:p w14:paraId="26BB9B60" w14:textId="77777777" w:rsidR="00D06CB2" w:rsidRPr="005C5E32" w:rsidRDefault="00D06CB2" w:rsidP="001200FC">
      <w:pPr>
        <w:pStyle w:val="Heading5"/>
      </w:pPr>
      <w:r w:rsidRPr="005C5E32">
        <w:t>Price of New Zealand ETS Units</w:t>
      </w:r>
    </w:p>
    <w:p w14:paraId="06447D08" w14:textId="1457B365" w:rsidR="00D06CB2" w:rsidRPr="005C5E32" w:rsidRDefault="00D06CB2">
      <w:pPr>
        <w:pStyle w:val="BodyText"/>
      </w:pPr>
      <w:r w:rsidRPr="005C5E32">
        <w:t xml:space="preserve">The price of the New Zealand Unit has </w:t>
      </w:r>
      <w:r w:rsidR="00E211E2" w:rsidRPr="005C5E32">
        <w:t>de</w:t>
      </w:r>
      <w:r w:rsidRPr="005C5E32">
        <w:t>creased to $</w:t>
      </w:r>
      <w:r w:rsidR="00E211E2" w:rsidRPr="005C5E32">
        <w:t xml:space="preserve">52.09 </w:t>
      </w:r>
      <w:r w:rsidRPr="005C5E32">
        <w:t xml:space="preserve">per carbon unit as at 31 August </w:t>
      </w:r>
      <w:r w:rsidR="00E211E2" w:rsidRPr="005C5E32">
        <w:t>2026</w:t>
      </w:r>
      <w:r w:rsidRPr="005C5E32">
        <w:t>. This decrease has an effect on the Allocation of New Zealand Units provision, which has decreased to $</w:t>
      </w:r>
      <w:r w:rsidR="00C12FF1" w:rsidRPr="005C5E32">
        <w:t>6,095</w:t>
      </w:r>
      <w:r w:rsidRPr="005C5E32">
        <w:t xml:space="preserve"> million from $</w:t>
      </w:r>
      <w:r w:rsidR="00C12FF1" w:rsidRPr="005C5E32">
        <w:t>6,406</w:t>
      </w:r>
      <w:r w:rsidRPr="005C5E32">
        <w:t xml:space="preserve"> million.</w:t>
      </w:r>
    </w:p>
    <w:p w14:paraId="0C7D5681" w14:textId="77777777" w:rsidR="00D06CB2" w:rsidRPr="005C5E32" w:rsidRDefault="00D06CB2" w:rsidP="001200FC">
      <w:pPr>
        <w:pStyle w:val="Heading5"/>
      </w:pPr>
      <w:r w:rsidRPr="005C5E32">
        <w:t xml:space="preserve">Disestablishment of the Ministry for the Environment </w:t>
      </w:r>
    </w:p>
    <w:p w14:paraId="3F6C47FD" w14:textId="71E67B09" w:rsidR="00D06CB2" w:rsidRPr="005C5E32" w:rsidRDefault="00D06CB2">
      <w:pPr>
        <w:pStyle w:val="BodyText"/>
      </w:pPr>
      <w:r w:rsidRPr="005C5E32">
        <w:t>On 1 July 2026, the Ministry for the Environment was disestablished pursuant to legislation establishing the Ministry for Cities, Environment, Regions and Transport (MCERT). The Ministry</w:t>
      </w:r>
      <w:r w:rsidR="001200FC" w:rsidRPr="005C5E32">
        <w:t>’</w:t>
      </w:r>
      <w:r w:rsidRPr="005C5E32">
        <w:t xml:space="preserve">s functions, powers, responsibilities, assets, liabilities, appropriations, commitments, and contingent liabilities transferred to MCERT on that date. </w:t>
      </w:r>
    </w:p>
    <w:p w14:paraId="3812866F" w14:textId="3CDF0121" w:rsidR="00D06CB2" w:rsidRPr="005C5E32" w:rsidRDefault="00D06CB2">
      <w:pPr>
        <w:pStyle w:val="BodyText"/>
      </w:pPr>
      <w:r w:rsidRPr="005C5E32">
        <w:t>The Ministry</w:t>
      </w:r>
      <w:r w:rsidR="001200FC" w:rsidRPr="005C5E32">
        <w:t>’</w:t>
      </w:r>
      <w:r w:rsidRPr="005C5E32">
        <w:t>s activities undertaken on behalf Crown, as reported in these non-departmental schedules will continue to be undertaken by MCERT from 1 July 2026. The disestablishment does not affect the financial results as reported in the non-departmental statements and schedules reported as at 30 June 2026.</w:t>
      </w:r>
    </w:p>
    <w:p w14:paraId="39BC1BC7" w14:textId="77777777" w:rsidR="00D06CB2" w:rsidRPr="005C5E32" w:rsidRDefault="00D06CB2" w:rsidP="001200FC">
      <w:pPr>
        <w:pStyle w:val="Heading5"/>
      </w:pPr>
      <w:r w:rsidRPr="005C5E32">
        <w:lastRenderedPageBreak/>
        <w:t>Other events</w:t>
      </w:r>
    </w:p>
    <w:p w14:paraId="008277C4" w14:textId="77777777" w:rsidR="00D06CB2" w:rsidRPr="005C5E32" w:rsidRDefault="00D06CB2">
      <w:pPr>
        <w:pStyle w:val="BodyText"/>
      </w:pPr>
      <w:r w:rsidRPr="005C5E32">
        <w:t>No other events after the reporting date that would require adjustment to, or disclosure in, these financial statements.</w:t>
      </w:r>
    </w:p>
    <w:p w14:paraId="28393ED8" w14:textId="77777777" w:rsidR="00D06CB2" w:rsidRPr="005C5E32" w:rsidRDefault="00D06CB2">
      <w:pPr>
        <w:pStyle w:val="Heading3"/>
        <w:spacing w:before="120"/>
      </w:pPr>
      <w:bookmarkStart w:id="429" w:name="_12._Memorandum_accounts"/>
      <w:bookmarkStart w:id="430" w:name="_Toc112144663"/>
      <w:bookmarkEnd w:id="429"/>
      <w:r w:rsidRPr="005C5E32">
        <w:t>12.</w:t>
      </w:r>
      <w:r w:rsidRPr="005C5E32">
        <w:tab/>
        <w:t>Memorandum accounts</w:t>
      </w:r>
    </w:p>
    <w:p w14:paraId="372CB77E" w14:textId="523B1CC3" w:rsidR="00D06CB2" w:rsidRPr="005C5E32" w:rsidRDefault="00D06CB2">
      <w:pPr>
        <w:pStyle w:val="Heading4"/>
        <w:spacing w:before="180" w:after="120"/>
        <w:rPr>
          <w:rStyle w:val="Heading3Char"/>
          <w:b/>
          <w:bCs/>
          <w:sz w:val="24"/>
        </w:rPr>
      </w:pPr>
      <w:r w:rsidRPr="005C5E32">
        <w:t>Waste Minimisation</w:t>
      </w:r>
      <w:bookmarkEnd w:id="430"/>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6096"/>
        <w:gridCol w:w="1093"/>
        <w:gridCol w:w="1316"/>
      </w:tblGrid>
      <w:tr w:rsidR="00D06CB2" w:rsidRPr="005C5E32" w14:paraId="60F116D8" w14:textId="77777777">
        <w:tc>
          <w:tcPr>
            <w:tcW w:w="7189" w:type="dxa"/>
            <w:gridSpan w:val="2"/>
            <w:tcBorders>
              <w:top w:val="single" w:sz="8" w:space="0" w:color="0E7C7E"/>
              <w:bottom w:val="single" w:sz="2" w:space="0" w:color="58595B"/>
            </w:tcBorders>
            <w:vAlign w:val="bottom"/>
          </w:tcPr>
          <w:p w14:paraId="498825A4" w14:textId="77777777" w:rsidR="00D06CB2" w:rsidRPr="005C5E32" w:rsidRDefault="00D06CB2">
            <w:pPr>
              <w:pStyle w:val="TableboldGreen"/>
              <w:spacing w:before="30" w:after="30"/>
              <w:jc w:val="right"/>
            </w:pPr>
            <w:r w:rsidRPr="005C5E32">
              <w:t>2024/25</w:t>
            </w:r>
            <w:r w:rsidRPr="005C5E32">
              <w:br/>
              <w:t>Actual</w:t>
            </w:r>
            <w:r w:rsidRPr="005C5E32">
              <w:br/>
              <w:t>$000</w:t>
            </w:r>
          </w:p>
        </w:tc>
        <w:tc>
          <w:tcPr>
            <w:tcW w:w="1316" w:type="dxa"/>
            <w:tcBorders>
              <w:top w:val="single" w:sz="8" w:space="0" w:color="0E7C7E"/>
              <w:bottom w:val="single" w:sz="2" w:space="0" w:color="58595B"/>
            </w:tcBorders>
            <w:shd w:val="clear" w:color="auto" w:fill="E7F2F2"/>
            <w:vAlign w:val="bottom"/>
          </w:tcPr>
          <w:p w14:paraId="0718E40A" w14:textId="77777777" w:rsidR="00D06CB2" w:rsidRPr="005C5E32" w:rsidRDefault="00D06CB2">
            <w:pPr>
              <w:pStyle w:val="TableboldGreen"/>
              <w:spacing w:before="30" w:after="30"/>
              <w:jc w:val="right"/>
            </w:pPr>
            <w:r w:rsidRPr="005C5E32">
              <w:t>2025/26</w:t>
            </w:r>
            <w:r w:rsidRPr="005C5E32">
              <w:br/>
              <w:t>Actual</w:t>
            </w:r>
            <w:r w:rsidRPr="005C5E32">
              <w:br/>
              <w:t>$000</w:t>
            </w:r>
          </w:p>
        </w:tc>
      </w:tr>
      <w:tr w:rsidR="00D06CB2" w:rsidRPr="005C5E32" w14:paraId="40680C0C" w14:textId="77777777">
        <w:tc>
          <w:tcPr>
            <w:tcW w:w="6096" w:type="dxa"/>
            <w:tcBorders>
              <w:top w:val="single" w:sz="2" w:space="0" w:color="58595B"/>
              <w:left w:val="nil"/>
              <w:bottom w:val="single" w:sz="4" w:space="0" w:color="58595B"/>
              <w:right w:val="nil"/>
            </w:tcBorders>
          </w:tcPr>
          <w:p w14:paraId="1C0633B0" w14:textId="77777777" w:rsidR="00D06CB2" w:rsidRPr="005C5E32" w:rsidRDefault="00D06CB2">
            <w:pPr>
              <w:pStyle w:val="TableText"/>
              <w:spacing w:before="30" w:after="30"/>
            </w:pPr>
            <w:r w:rsidRPr="005C5E32">
              <w:t>Balance as at 1 July</w:t>
            </w:r>
          </w:p>
        </w:tc>
        <w:tc>
          <w:tcPr>
            <w:tcW w:w="1093" w:type="dxa"/>
            <w:tcBorders>
              <w:top w:val="single" w:sz="2" w:space="0" w:color="58595B"/>
              <w:left w:val="nil"/>
              <w:bottom w:val="single" w:sz="4" w:space="0" w:color="58595B"/>
              <w:right w:val="nil"/>
            </w:tcBorders>
          </w:tcPr>
          <w:p w14:paraId="34F9AAE6" w14:textId="77777777" w:rsidR="00D06CB2" w:rsidRPr="005C5E32" w:rsidRDefault="00D06CB2">
            <w:pPr>
              <w:pStyle w:val="TableText"/>
              <w:spacing w:before="30" w:after="30"/>
              <w:jc w:val="right"/>
            </w:pPr>
            <w:r w:rsidRPr="005C5E32">
              <w:t>170,475</w:t>
            </w:r>
          </w:p>
        </w:tc>
        <w:tc>
          <w:tcPr>
            <w:tcW w:w="1316" w:type="dxa"/>
            <w:tcBorders>
              <w:top w:val="single" w:sz="2" w:space="0" w:color="58595B"/>
              <w:left w:val="nil"/>
              <w:bottom w:val="single" w:sz="4" w:space="0" w:color="58595B"/>
              <w:right w:val="nil"/>
            </w:tcBorders>
            <w:shd w:val="clear" w:color="auto" w:fill="E7F2F2"/>
          </w:tcPr>
          <w:p w14:paraId="691E09BA" w14:textId="77777777" w:rsidR="00D06CB2" w:rsidRPr="005C5E32" w:rsidRDefault="00D06CB2">
            <w:pPr>
              <w:pStyle w:val="TableText"/>
              <w:spacing w:before="30" w:after="30"/>
              <w:jc w:val="right"/>
            </w:pPr>
            <w:r w:rsidRPr="005C5E32">
              <w:t>205,463</w:t>
            </w:r>
          </w:p>
        </w:tc>
      </w:tr>
      <w:tr w:rsidR="00D06CB2" w:rsidRPr="005C5E32" w14:paraId="1C933E87" w14:textId="77777777">
        <w:tc>
          <w:tcPr>
            <w:tcW w:w="6096" w:type="dxa"/>
            <w:tcBorders>
              <w:top w:val="single" w:sz="4" w:space="0" w:color="58595B"/>
              <w:bottom w:val="single" w:sz="4" w:space="0" w:color="58595B"/>
            </w:tcBorders>
          </w:tcPr>
          <w:p w14:paraId="72A2FC47" w14:textId="77777777" w:rsidR="00D06CB2" w:rsidRPr="005C5E32" w:rsidRDefault="00D06CB2">
            <w:pPr>
              <w:pStyle w:val="TableText"/>
              <w:spacing w:before="30" w:after="30"/>
            </w:pPr>
            <w:r w:rsidRPr="005C5E32">
              <w:t>Revenue from Waste Disposal Levy collection</w:t>
            </w:r>
          </w:p>
        </w:tc>
        <w:tc>
          <w:tcPr>
            <w:tcW w:w="1093" w:type="dxa"/>
            <w:tcBorders>
              <w:top w:val="single" w:sz="4" w:space="0" w:color="58595B"/>
              <w:bottom w:val="single" w:sz="4" w:space="0" w:color="58595B"/>
            </w:tcBorders>
          </w:tcPr>
          <w:p w14:paraId="71B51A6A" w14:textId="77777777" w:rsidR="00D06CB2" w:rsidRPr="005C5E32" w:rsidRDefault="00D06CB2">
            <w:pPr>
              <w:pStyle w:val="TableText"/>
              <w:spacing w:before="30" w:after="30"/>
              <w:jc w:val="right"/>
            </w:pPr>
            <w:r w:rsidRPr="005C5E32">
              <w:t>199,884</w:t>
            </w:r>
          </w:p>
        </w:tc>
        <w:tc>
          <w:tcPr>
            <w:tcW w:w="1316" w:type="dxa"/>
            <w:tcBorders>
              <w:top w:val="single" w:sz="4" w:space="0" w:color="58595B"/>
              <w:bottom w:val="single" w:sz="4" w:space="0" w:color="58595B"/>
            </w:tcBorders>
            <w:shd w:val="clear" w:color="auto" w:fill="E7F2F2"/>
          </w:tcPr>
          <w:p w14:paraId="4BC340A1" w14:textId="77777777" w:rsidR="00D06CB2" w:rsidRPr="005C5E32" w:rsidRDefault="00D06CB2">
            <w:pPr>
              <w:pStyle w:val="TableText"/>
              <w:spacing w:before="30" w:after="30"/>
              <w:jc w:val="right"/>
            </w:pPr>
            <w:r w:rsidRPr="005C5E32">
              <w:t>217,544</w:t>
            </w:r>
          </w:p>
        </w:tc>
      </w:tr>
      <w:tr w:rsidR="00D06CB2" w:rsidRPr="005C5E32" w14:paraId="78ADD5F0" w14:textId="77777777">
        <w:tc>
          <w:tcPr>
            <w:tcW w:w="6096" w:type="dxa"/>
            <w:tcBorders>
              <w:top w:val="single" w:sz="4" w:space="0" w:color="58595B"/>
              <w:bottom w:val="single" w:sz="4" w:space="0" w:color="58595B"/>
            </w:tcBorders>
          </w:tcPr>
          <w:p w14:paraId="57D272F2" w14:textId="77777777" w:rsidR="00D06CB2" w:rsidRPr="005C5E32" w:rsidRDefault="00D06CB2">
            <w:pPr>
              <w:pStyle w:val="TableText"/>
              <w:spacing w:before="30" w:after="30"/>
            </w:pPr>
            <w:r w:rsidRPr="005C5E32">
              <w:t>Expenses</w:t>
            </w:r>
          </w:p>
        </w:tc>
        <w:tc>
          <w:tcPr>
            <w:tcW w:w="1093" w:type="dxa"/>
            <w:tcBorders>
              <w:top w:val="single" w:sz="4" w:space="0" w:color="58595B"/>
              <w:bottom w:val="single" w:sz="4" w:space="0" w:color="58595B"/>
            </w:tcBorders>
          </w:tcPr>
          <w:p w14:paraId="3F9086B4" w14:textId="77777777" w:rsidR="00D06CB2" w:rsidRPr="005C5E32" w:rsidRDefault="00D06CB2">
            <w:pPr>
              <w:pStyle w:val="TableText"/>
              <w:spacing w:before="30" w:after="30"/>
              <w:jc w:val="right"/>
            </w:pPr>
            <w:r w:rsidRPr="005C5E32">
              <w:t>(164,896)</w:t>
            </w:r>
          </w:p>
        </w:tc>
        <w:tc>
          <w:tcPr>
            <w:tcW w:w="1316" w:type="dxa"/>
            <w:tcBorders>
              <w:top w:val="single" w:sz="4" w:space="0" w:color="58595B"/>
              <w:bottom w:val="single" w:sz="4" w:space="0" w:color="58595B"/>
            </w:tcBorders>
            <w:shd w:val="clear" w:color="auto" w:fill="E7F2F2"/>
          </w:tcPr>
          <w:p w14:paraId="268C8A99" w14:textId="77777777" w:rsidR="00D06CB2" w:rsidRPr="005C5E32" w:rsidRDefault="00D06CB2">
            <w:pPr>
              <w:pStyle w:val="TableText"/>
              <w:spacing w:before="30" w:after="30"/>
              <w:jc w:val="right"/>
            </w:pPr>
            <w:r w:rsidRPr="005C5E32">
              <w:t>(190,063)</w:t>
            </w:r>
          </w:p>
        </w:tc>
      </w:tr>
      <w:tr w:rsidR="00ED4E1E" w:rsidRPr="005C5E32" w14:paraId="25DBB020" w14:textId="77777777">
        <w:tc>
          <w:tcPr>
            <w:tcW w:w="6096" w:type="dxa"/>
            <w:tcBorders>
              <w:top w:val="single" w:sz="4" w:space="0" w:color="58595B"/>
              <w:bottom w:val="single" w:sz="4" w:space="0" w:color="58595B"/>
            </w:tcBorders>
          </w:tcPr>
          <w:p w14:paraId="449B642A" w14:textId="44225D05" w:rsidR="00ED4E1E" w:rsidRPr="005C5E32" w:rsidRDefault="0099081E">
            <w:pPr>
              <w:pStyle w:val="TableText"/>
              <w:spacing w:before="30" w:after="30"/>
            </w:pPr>
            <w:r w:rsidRPr="005C5E32">
              <w:t>Expenses incurred by other agencies (refer details below)</w:t>
            </w:r>
          </w:p>
        </w:tc>
        <w:tc>
          <w:tcPr>
            <w:tcW w:w="1093" w:type="dxa"/>
            <w:tcBorders>
              <w:top w:val="single" w:sz="4" w:space="0" w:color="58595B"/>
              <w:bottom w:val="single" w:sz="4" w:space="0" w:color="58595B"/>
            </w:tcBorders>
          </w:tcPr>
          <w:p w14:paraId="185E7282" w14:textId="4358C70B" w:rsidR="00ED4E1E" w:rsidRPr="005C5E32" w:rsidRDefault="0099081E">
            <w:pPr>
              <w:pStyle w:val="TableText"/>
              <w:spacing w:before="30" w:after="30"/>
              <w:jc w:val="right"/>
            </w:pPr>
            <w:r w:rsidRPr="005C5E32">
              <w:t>–</w:t>
            </w:r>
          </w:p>
        </w:tc>
        <w:tc>
          <w:tcPr>
            <w:tcW w:w="1316" w:type="dxa"/>
            <w:tcBorders>
              <w:top w:val="single" w:sz="4" w:space="0" w:color="58595B"/>
              <w:bottom w:val="single" w:sz="4" w:space="0" w:color="58595B"/>
            </w:tcBorders>
            <w:shd w:val="clear" w:color="auto" w:fill="E7F2F2"/>
          </w:tcPr>
          <w:p w14:paraId="7A5B9122" w14:textId="03710E6C" w:rsidR="00ED4E1E" w:rsidRPr="005C5E32" w:rsidRDefault="0099081E">
            <w:pPr>
              <w:pStyle w:val="TableText"/>
              <w:spacing w:before="30" w:after="30"/>
              <w:jc w:val="right"/>
            </w:pPr>
            <w:r w:rsidRPr="005C5E32">
              <w:t>(49,058)</w:t>
            </w:r>
          </w:p>
        </w:tc>
      </w:tr>
      <w:tr w:rsidR="00D06CB2" w:rsidRPr="005C5E32" w14:paraId="43EC6BB6" w14:textId="77777777">
        <w:tc>
          <w:tcPr>
            <w:tcW w:w="6096" w:type="dxa"/>
            <w:tcBorders>
              <w:top w:val="single" w:sz="4" w:space="0" w:color="58595B"/>
              <w:bottom w:val="single" w:sz="4" w:space="0" w:color="58595B"/>
            </w:tcBorders>
          </w:tcPr>
          <w:p w14:paraId="3FF54788" w14:textId="5115EE70" w:rsidR="00D06CB2" w:rsidRPr="005C5E32" w:rsidRDefault="00D06CB2">
            <w:pPr>
              <w:pStyle w:val="TableTextbold"/>
              <w:spacing w:before="30" w:after="30"/>
            </w:pPr>
            <w:r w:rsidRPr="005C5E32">
              <w:t>Balance as at 30 June</w:t>
            </w:r>
            <w:r w:rsidR="003A4BB5" w:rsidRPr="005C5E32">
              <w:t>*</w:t>
            </w:r>
          </w:p>
        </w:tc>
        <w:tc>
          <w:tcPr>
            <w:tcW w:w="1093" w:type="dxa"/>
            <w:tcBorders>
              <w:top w:val="single" w:sz="4" w:space="0" w:color="58595B"/>
              <w:bottom w:val="single" w:sz="4" w:space="0" w:color="58595B"/>
            </w:tcBorders>
          </w:tcPr>
          <w:p w14:paraId="3FC60340" w14:textId="77777777" w:rsidR="00D06CB2" w:rsidRPr="005C5E32" w:rsidRDefault="00D06CB2">
            <w:pPr>
              <w:pStyle w:val="TableTextbold"/>
              <w:spacing w:before="30" w:after="30"/>
              <w:jc w:val="right"/>
            </w:pPr>
            <w:r w:rsidRPr="005C5E32">
              <w:t>205,463</w:t>
            </w:r>
          </w:p>
        </w:tc>
        <w:tc>
          <w:tcPr>
            <w:tcW w:w="1316" w:type="dxa"/>
            <w:tcBorders>
              <w:top w:val="single" w:sz="4" w:space="0" w:color="58595B"/>
              <w:bottom w:val="single" w:sz="4" w:space="0" w:color="58595B"/>
            </w:tcBorders>
            <w:shd w:val="clear" w:color="auto" w:fill="E7F2F2"/>
          </w:tcPr>
          <w:p w14:paraId="2A7775BC" w14:textId="35D9CD07" w:rsidR="00D06CB2" w:rsidRPr="005C5E32" w:rsidRDefault="0099081E">
            <w:pPr>
              <w:pStyle w:val="TableTextbold"/>
              <w:spacing w:before="30" w:after="30"/>
              <w:jc w:val="right"/>
            </w:pPr>
            <w:r w:rsidRPr="005C5E32">
              <w:t>183,886</w:t>
            </w:r>
          </w:p>
        </w:tc>
      </w:tr>
    </w:tbl>
    <w:p w14:paraId="7777734A" w14:textId="70494AB3" w:rsidR="00FC6E0B" w:rsidRPr="005C5E32" w:rsidRDefault="003A4BB5" w:rsidP="001200FC">
      <w:pPr>
        <w:pStyle w:val="Note"/>
        <w:rPr>
          <w:rFonts w:ascii="Segoe UI" w:hAnsi="Segoe UI" w:cs="Segoe UI"/>
        </w:rPr>
      </w:pPr>
      <w:r w:rsidRPr="005C5E32">
        <w:t>*</w:t>
      </w:r>
      <w:r w:rsidR="00ED4E1E" w:rsidRPr="005C5E32">
        <w:t>T</w:t>
      </w:r>
      <w:r w:rsidR="00FC6E0B" w:rsidRPr="005C5E32">
        <w:t>his includes surplus of $11.801 million held by other agencies</w:t>
      </w:r>
      <w:r w:rsidR="00322F41" w:rsidRPr="005C5E32">
        <w:t>.</w:t>
      </w:r>
    </w:p>
    <w:p w14:paraId="3C8EDC5D" w14:textId="5CE216EB" w:rsidR="00FC6E0B" w:rsidRPr="005C5E32" w:rsidRDefault="00D06CB2" w:rsidP="00D34D1F">
      <w:pPr>
        <w:pStyle w:val="BodyText"/>
      </w:pPr>
      <w:r w:rsidRPr="005C5E32">
        <w:rPr>
          <w:rFonts w:eastAsia="Times New Roman" w:cs="Calibri"/>
          <w:spacing w:val="-2"/>
        </w:rPr>
        <w:t xml:space="preserve">The memorandum account records the Waste Disposal Levy accumulated surpluses and deficits as at 30 June 2026. </w:t>
      </w:r>
      <w:r w:rsidR="00FC6E0B" w:rsidRPr="005C5E32">
        <w:rPr>
          <w:rFonts w:eastAsia="Times New Roman" w:cs="Calibri"/>
          <w:spacing w:val="-2"/>
        </w:rPr>
        <w:t>The revenue represents the levy that is collected by waste disposal facilities</w:t>
      </w:r>
      <w:r w:rsidR="00FC6E0B" w:rsidRPr="005C5E32">
        <w:rPr>
          <w:rFonts w:eastAsia="Times New Roman" w:cs="Calibri"/>
        </w:rPr>
        <w:t>.</w:t>
      </w:r>
    </w:p>
    <w:p w14:paraId="4FA8A6A3" w14:textId="55B70F2C" w:rsidR="00FC6E0B" w:rsidRPr="005C5E32" w:rsidRDefault="00FC6E0B" w:rsidP="00D34D1F">
      <w:pPr>
        <w:pStyle w:val="BodyText"/>
        <w:rPr>
          <w:rFonts w:eastAsia="Times New Roman" w:cs="Calibri"/>
        </w:rPr>
      </w:pPr>
      <w:r w:rsidRPr="005C5E32">
        <w:rPr>
          <w:rFonts w:eastAsia="Times New Roman" w:cs="Calibri"/>
        </w:rPr>
        <w:t>The expenses represent the disbursement of the received levy to territorial local authorities,</w:t>
      </w:r>
      <w:r w:rsidRPr="005C5E32">
        <w:t xml:space="preserve"> investment programmes including</w:t>
      </w:r>
      <w:r w:rsidRPr="005C5E32">
        <w:rPr>
          <w:rFonts w:eastAsia="Times New Roman" w:cs="Calibri"/>
        </w:rPr>
        <w:t xml:space="preserve"> the Waste Minimisation</w:t>
      </w:r>
      <w:r w:rsidR="00EF683E" w:rsidRPr="005C5E32">
        <w:rPr>
          <w:rFonts w:eastAsia="Times New Roman" w:cs="Calibri"/>
        </w:rPr>
        <w:t xml:space="preserve"> </w:t>
      </w:r>
      <w:r w:rsidRPr="005C5E32" w:rsidDel="00206468">
        <w:rPr>
          <w:rFonts w:eastAsia="Times New Roman" w:cs="Calibri"/>
        </w:rPr>
        <w:t>Fund</w:t>
      </w:r>
      <w:r w:rsidR="003F5F4E" w:rsidRPr="005C5E32">
        <w:rPr>
          <w:rFonts w:eastAsia="Times New Roman" w:cs="Calibri"/>
        </w:rPr>
        <w:t>,</w:t>
      </w:r>
      <w:r w:rsidRPr="005C5E32">
        <w:rPr>
          <w:rFonts w:eastAsia="Times New Roman" w:cs="Calibri"/>
        </w:rPr>
        <w:t xml:space="preserve"> and </w:t>
      </w:r>
      <w:r w:rsidRPr="005C5E32">
        <w:t xml:space="preserve">relevant </w:t>
      </w:r>
      <w:r w:rsidRPr="005C5E32">
        <w:rPr>
          <w:rFonts w:eastAsia="Times New Roman" w:cs="Calibri"/>
        </w:rPr>
        <w:t>administration cost</w:t>
      </w:r>
      <w:r w:rsidRPr="005C5E32">
        <w:t>s</w:t>
      </w:r>
      <w:r w:rsidRPr="005C5E32">
        <w:rPr>
          <w:rFonts w:eastAsia="Times New Roman" w:cs="Calibri"/>
        </w:rPr>
        <w:t xml:space="preserve"> incurred by the Ministry. Expenses incurred by other agencies are disclosed separately in the table</w:t>
      </w:r>
      <w:r w:rsidRPr="005C5E32">
        <w:t> below</w:t>
      </w:r>
      <w:r w:rsidR="004D29AD" w:rsidRPr="005C5E32">
        <w:t>.</w:t>
      </w:r>
    </w:p>
    <w:p w14:paraId="519F1F2C" w14:textId="259D51E1" w:rsidR="00FC6E0B" w:rsidRPr="005C5E32" w:rsidRDefault="00FC6E0B" w:rsidP="00344175">
      <w:pPr>
        <w:pStyle w:val="BodyText"/>
      </w:pPr>
      <w:r w:rsidRPr="005C5E32">
        <w:rPr>
          <w:rFonts w:eastAsia="Times New Roman" w:cs="Calibri"/>
        </w:rPr>
        <w:t xml:space="preserve">As part of Budget 2025, the Crown allocated $227.828 million over four years from Waste Disposal Levy revenue primarily to fund activities across </w:t>
      </w:r>
      <w:r w:rsidR="00116C17" w:rsidRPr="005C5E32">
        <w:rPr>
          <w:rFonts w:eastAsia="Times New Roman" w:cs="Calibri"/>
        </w:rPr>
        <w:t>g</w:t>
      </w:r>
      <w:r w:rsidRPr="005C5E32">
        <w:rPr>
          <w:rFonts w:eastAsia="Times New Roman" w:cs="Calibri"/>
        </w:rPr>
        <w:t>overnment that reduce environmental harm or deliver environmental benefits and were previously funded by Crown.</w:t>
      </w:r>
      <w:r w:rsidRPr="005C5E32">
        <w:t xml:space="preserve"> </w:t>
      </w:r>
      <w:r w:rsidRPr="005C5E32">
        <w:rPr>
          <w:rFonts w:eastAsia="Times New Roman" w:cs="Calibri"/>
        </w:rPr>
        <w:t xml:space="preserve">Any unspent funding held by other agencies at the conclusion of these programmes is required to be returned to the Waste Minimisation </w:t>
      </w:r>
      <w:r w:rsidRPr="005C5E32">
        <w:t>appropriation.</w:t>
      </w:r>
    </w:p>
    <w:p w14:paraId="607BB486" w14:textId="37CA8F7D" w:rsidR="00FC6E0B" w:rsidRPr="005C5E32" w:rsidRDefault="00FC6E0B" w:rsidP="00344175">
      <w:pPr>
        <w:pStyle w:val="BodyText"/>
      </w:pPr>
      <w:r w:rsidRPr="005C5E32">
        <w:t xml:space="preserve">In 2025/26, </w:t>
      </w:r>
      <w:r w:rsidRPr="005C5E32">
        <w:rPr>
          <w:rFonts w:eastAsia="Times New Roman" w:cs="Calibri"/>
        </w:rPr>
        <w:t xml:space="preserve">$60.859 million </w:t>
      </w:r>
      <w:r w:rsidRPr="005C5E32">
        <w:t xml:space="preserve">was appropriated </w:t>
      </w:r>
      <w:r w:rsidRPr="005C5E32">
        <w:rPr>
          <w:rFonts w:eastAsia="Times New Roman" w:cs="Calibri"/>
        </w:rPr>
        <w:t>to other agencies. The actual expenditure incurred by these agencies is reported below. Further information on these expenses can be found in the respective annual reports of the relevant agencies</w:t>
      </w:r>
      <w:r w:rsidRPr="005C5E32">
        <w:t xml:space="preserve"> noting levy funding has been utilised as follows:</w:t>
      </w:r>
    </w:p>
    <w:p w14:paraId="04C954D8" w14:textId="3118A8EE" w:rsidR="00FC6E0B" w:rsidRPr="005C5E32" w:rsidRDefault="00FC6E0B" w:rsidP="00344175">
      <w:pPr>
        <w:pStyle w:val="Bullet"/>
      </w:pPr>
      <w:r w:rsidRPr="005C5E32">
        <w:t xml:space="preserve">Department of Conservation </w:t>
      </w:r>
      <w:r w:rsidR="00285C0F" w:rsidRPr="005C5E32">
        <w:t>–</w:t>
      </w:r>
      <w:r w:rsidR="00AA1974" w:rsidRPr="005C5E32">
        <w:t xml:space="preserve"> </w:t>
      </w:r>
      <w:r w:rsidR="008551CC" w:rsidRPr="005C5E32">
        <w:t>L</w:t>
      </w:r>
      <w:r w:rsidRPr="005C5E32">
        <w:t xml:space="preserve">andscape </w:t>
      </w:r>
      <w:r w:rsidR="008551CC" w:rsidRPr="005C5E32">
        <w:t>S</w:t>
      </w:r>
      <w:r w:rsidRPr="005C5E32">
        <w:t xml:space="preserve">cale </w:t>
      </w:r>
      <w:r w:rsidR="008551CC" w:rsidRPr="005C5E32">
        <w:t>E</w:t>
      </w:r>
      <w:r w:rsidRPr="005C5E32">
        <w:t xml:space="preserve">radication and </w:t>
      </w:r>
      <w:r w:rsidR="008551CC" w:rsidRPr="005C5E32">
        <w:t>R</w:t>
      </w:r>
      <w:r w:rsidRPr="005C5E32">
        <w:t xml:space="preserve">esearch </w:t>
      </w:r>
      <w:r w:rsidR="008551CC" w:rsidRPr="005C5E32">
        <w:t>I</w:t>
      </w:r>
      <w:r w:rsidRPr="005C5E32">
        <w:t>nvestment (</w:t>
      </w:r>
      <w:r w:rsidR="00992B8D" w:rsidRPr="005C5E32">
        <w:t>Z</w:t>
      </w:r>
      <w:r w:rsidRPr="005C5E32">
        <w:t>ero</w:t>
      </w:r>
      <w:r w:rsidR="001200FC" w:rsidRPr="005C5E32">
        <w:t> </w:t>
      </w:r>
      <w:r w:rsidRPr="005C5E32">
        <w:t>Invasive Predator), Community Conservation Funds and Ngā Whenua Rāhui</w:t>
      </w:r>
    </w:p>
    <w:p w14:paraId="3AC8A5FB" w14:textId="215E73EC" w:rsidR="00FC6E0B" w:rsidRPr="005C5E32" w:rsidRDefault="00FC6E0B" w:rsidP="00344175">
      <w:pPr>
        <w:pStyle w:val="Bullet"/>
        <w:rPr>
          <w:rFonts w:cs="Calibri"/>
        </w:rPr>
      </w:pPr>
      <w:r w:rsidRPr="005C5E32">
        <w:t xml:space="preserve">Environmental Protection Authority </w:t>
      </w:r>
      <w:r w:rsidR="00285C0F" w:rsidRPr="005C5E32">
        <w:t>–</w:t>
      </w:r>
      <w:r w:rsidRPr="005C5E32">
        <w:t xml:space="preserve"> </w:t>
      </w:r>
      <w:r w:rsidR="00961EED" w:rsidRPr="005C5E32">
        <w:t>u</w:t>
      </w:r>
      <w:r w:rsidRPr="005C5E32">
        <w:t>pgrading ecotoxicology and toxicology models</w:t>
      </w:r>
    </w:p>
    <w:p w14:paraId="3E945AE9" w14:textId="1ADE7A17" w:rsidR="00FC6E0B" w:rsidRPr="005C5E32" w:rsidRDefault="00FC6E0B" w:rsidP="00344175">
      <w:pPr>
        <w:pStyle w:val="Bullet"/>
        <w:rPr>
          <w:rFonts w:cs="Calibri"/>
        </w:rPr>
      </w:pPr>
      <w:r w:rsidRPr="005C5E32">
        <w:t xml:space="preserve">Land Information New Zealand </w:t>
      </w:r>
      <w:r w:rsidR="00285C0F" w:rsidRPr="005C5E32">
        <w:t>–</w:t>
      </w:r>
      <w:r w:rsidRPr="005C5E32">
        <w:t xml:space="preserve"> </w:t>
      </w:r>
      <w:r w:rsidR="00285C0F" w:rsidRPr="005C5E32">
        <w:t>managing</w:t>
      </w:r>
      <w:r w:rsidRPr="005C5E32">
        <w:t xml:space="preserve"> Acid Mine Drainage </w:t>
      </w:r>
      <w:r w:rsidR="00CF1F5B" w:rsidRPr="005C5E32">
        <w:t>(AMD)</w:t>
      </w:r>
      <w:r w:rsidRPr="005C5E32">
        <w:t xml:space="preserve"> at the Stockton Plateau</w:t>
      </w:r>
    </w:p>
    <w:p w14:paraId="617E44B8" w14:textId="4483DC60" w:rsidR="00FC6E0B" w:rsidRPr="005C5E32" w:rsidRDefault="00FC6E0B" w:rsidP="00344175">
      <w:pPr>
        <w:pStyle w:val="Bullet"/>
      </w:pPr>
      <w:r w:rsidRPr="005C5E32">
        <w:t>Ministry for Primary Industries – Hill Country Erosion</w:t>
      </w:r>
      <w:r w:rsidR="00506D82" w:rsidRPr="005C5E32">
        <w:t xml:space="preserve"> (HCE)</w:t>
      </w:r>
      <w:r w:rsidRPr="005C5E32">
        <w:t xml:space="preserve"> and Accelerating New Mitigations (ANM). Note: ANM is only partially levy funded and waste levy funding is targeted towards grants and investments in science excluding Agrizero, </w:t>
      </w:r>
      <w:r w:rsidR="008C545C" w:rsidRPr="005C5E32">
        <w:t>international</w:t>
      </w:r>
      <w:r w:rsidRPr="005C5E32">
        <w:t xml:space="preserve"> and</w:t>
      </w:r>
      <w:r w:rsidR="001200FC" w:rsidRPr="005C5E32">
        <w:t> </w:t>
      </w:r>
      <w:r w:rsidR="00D57F7D" w:rsidRPr="005C5E32">
        <w:t>C</w:t>
      </w:r>
      <w:r w:rsidRPr="005C5E32">
        <w:t>rown</w:t>
      </w:r>
      <w:r w:rsidR="00D57F7D" w:rsidRPr="005C5E32">
        <w:t>–</w:t>
      </w:r>
      <w:r w:rsidRPr="005C5E32">
        <w:t>Māori aspects of the programme.</w:t>
      </w:r>
    </w:p>
    <w:p w14:paraId="441F203C" w14:textId="35A51234" w:rsidR="00FC6E0B" w:rsidRPr="005C5E32" w:rsidRDefault="00FC6E0B" w:rsidP="001200FC">
      <w:pPr>
        <w:pStyle w:val="Heading4"/>
        <w:spacing w:after="180"/>
      </w:pPr>
      <w:r w:rsidRPr="005C5E32">
        <w:lastRenderedPageBreak/>
        <w:t>Levy funding provided to other agencies</w:t>
      </w:r>
    </w:p>
    <w:tbl>
      <w:tblPr>
        <w:tblW w:w="8505" w:type="dxa"/>
        <w:tblBorders>
          <w:top w:val="outset" w:sz="6" w:space="0" w:color="auto"/>
          <w:left w:val="outset" w:sz="6" w:space="0" w:color="auto"/>
          <w:bottom w:val="outset" w:sz="6" w:space="0" w:color="auto"/>
          <w:right w:val="outset" w:sz="6" w:space="0" w:color="auto"/>
        </w:tblBorders>
        <w:tblLayout w:type="fixed"/>
        <w:tblCellMar>
          <w:left w:w="57" w:type="dxa"/>
          <w:right w:w="57" w:type="dxa"/>
        </w:tblCellMar>
        <w:tblLook w:val="04A0" w:firstRow="1" w:lastRow="0" w:firstColumn="1" w:lastColumn="0" w:noHBand="0" w:noVBand="1"/>
      </w:tblPr>
      <w:tblGrid>
        <w:gridCol w:w="1736"/>
        <w:gridCol w:w="1198"/>
        <w:gridCol w:w="1737"/>
        <w:gridCol w:w="1438"/>
        <w:gridCol w:w="1557"/>
        <w:gridCol w:w="839"/>
      </w:tblGrid>
      <w:tr w:rsidR="00FC6E0B" w:rsidRPr="005C5E32" w14:paraId="2E598677" w14:textId="77777777" w:rsidTr="00D10178">
        <w:tc>
          <w:tcPr>
            <w:tcW w:w="1644" w:type="dxa"/>
            <w:tcBorders>
              <w:top w:val="single" w:sz="8" w:space="0" w:color="0E7C7E"/>
              <w:left w:val="nil"/>
              <w:bottom w:val="single" w:sz="2" w:space="0" w:color="58595B"/>
              <w:right w:val="nil"/>
            </w:tcBorders>
            <w:shd w:val="clear" w:color="auto" w:fill="FFFFFF"/>
            <w:vAlign w:val="bottom"/>
            <w:hideMark/>
          </w:tcPr>
          <w:p w14:paraId="79246C05" w14:textId="77777777" w:rsidR="00FC6E0B" w:rsidRPr="005C5E32" w:rsidRDefault="00FC6E0B" w:rsidP="003E6778">
            <w:pPr>
              <w:pStyle w:val="TableboldGreen"/>
              <w:spacing w:before="30" w:after="30"/>
              <w:jc w:val="right"/>
              <w:rPr>
                <w:rFonts w:ascii="Times New Roman" w:hAnsi="Times New Roman"/>
                <w:sz w:val="24"/>
                <w:szCs w:val="24"/>
              </w:rPr>
            </w:pPr>
            <w:r w:rsidRPr="005C5E32">
              <w:t> </w:t>
            </w:r>
          </w:p>
        </w:tc>
        <w:tc>
          <w:tcPr>
            <w:tcW w:w="1134" w:type="dxa"/>
            <w:tcBorders>
              <w:top w:val="single" w:sz="8" w:space="0" w:color="0E7C7E"/>
              <w:left w:val="nil"/>
              <w:bottom w:val="single" w:sz="2" w:space="0" w:color="58595B"/>
              <w:right w:val="nil"/>
            </w:tcBorders>
            <w:shd w:val="clear" w:color="auto" w:fill="FFFFFF"/>
            <w:vAlign w:val="bottom"/>
            <w:hideMark/>
          </w:tcPr>
          <w:p w14:paraId="0550EDF0" w14:textId="4D6EDE17" w:rsidR="00FC6E0B" w:rsidRPr="005C5E32" w:rsidRDefault="00FC6E0B" w:rsidP="003E6778">
            <w:pPr>
              <w:pStyle w:val="TableboldGreen"/>
              <w:spacing w:before="30" w:after="30"/>
              <w:jc w:val="right"/>
              <w:rPr>
                <w:rFonts w:ascii="Times New Roman" w:hAnsi="Times New Roman"/>
                <w:sz w:val="24"/>
                <w:szCs w:val="24"/>
              </w:rPr>
            </w:pPr>
            <w:r w:rsidRPr="005C5E32">
              <w:rPr>
                <w:bCs/>
                <w:spacing w:val="-2"/>
              </w:rPr>
              <w:t>Department of</w:t>
            </w:r>
            <w:r w:rsidRPr="005C5E32">
              <w:rPr>
                <w:bCs/>
              </w:rPr>
              <w:t xml:space="preserve"> Conservation</w:t>
            </w:r>
          </w:p>
        </w:tc>
        <w:tc>
          <w:tcPr>
            <w:tcW w:w="1644" w:type="dxa"/>
            <w:tcBorders>
              <w:top w:val="single" w:sz="8" w:space="0" w:color="0E7C7E"/>
              <w:left w:val="nil"/>
              <w:bottom w:val="single" w:sz="2" w:space="0" w:color="58595B"/>
              <w:right w:val="nil"/>
            </w:tcBorders>
            <w:shd w:val="clear" w:color="auto" w:fill="FFFFFF"/>
            <w:vAlign w:val="bottom"/>
            <w:hideMark/>
          </w:tcPr>
          <w:p w14:paraId="0CC4B5E1" w14:textId="314AF079" w:rsidR="00FC6E0B" w:rsidRPr="005C5E32" w:rsidRDefault="00FC6E0B" w:rsidP="003E6778">
            <w:pPr>
              <w:pStyle w:val="TableboldGreen"/>
              <w:spacing w:before="30" w:after="30"/>
              <w:jc w:val="right"/>
              <w:rPr>
                <w:rFonts w:ascii="Times New Roman" w:hAnsi="Times New Roman"/>
                <w:sz w:val="24"/>
                <w:szCs w:val="24"/>
              </w:rPr>
            </w:pPr>
            <w:r w:rsidRPr="005C5E32">
              <w:rPr>
                <w:bCs/>
              </w:rPr>
              <w:t>Environmental Protection Authority</w:t>
            </w:r>
          </w:p>
        </w:tc>
        <w:tc>
          <w:tcPr>
            <w:tcW w:w="1361" w:type="dxa"/>
            <w:tcBorders>
              <w:top w:val="single" w:sz="8" w:space="0" w:color="0E7C7E"/>
              <w:left w:val="nil"/>
              <w:bottom w:val="single" w:sz="2" w:space="0" w:color="58595B"/>
              <w:right w:val="nil"/>
            </w:tcBorders>
            <w:shd w:val="clear" w:color="auto" w:fill="FFFFFF"/>
            <w:vAlign w:val="bottom"/>
            <w:hideMark/>
          </w:tcPr>
          <w:p w14:paraId="71823A39" w14:textId="27498575" w:rsidR="00FC6E0B" w:rsidRPr="005C5E32" w:rsidRDefault="00FC6E0B" w:rsidP="003E6778">
            <w:pPr>
              <w:pStyle w:val="TableboldGreen"/>
              <w:spacing w:before="30" w:after="30"/>
              <w:jc w:val="right"/>
              <w:rPr>
                <w:rFonts w:ascii="Times New Roman" w:hAnsi="Times New Roman"/>
                <w:sz w:val="24"/>
                <w:szCs w:val="24"/>
              </w:rPr>
            </w:pPr>
            <w:r w:rsidRPr="005C5E32">
              <w:rPr>
                <w:bCs/>
              </w:rPr>
              <w:t>Land Information New Zealand</w:t>
            </w:r>
          </w:p>
        </w:tc>
        <w:tc>
          <w:tcPr>
            <w:tcW w:w="1474" w:type="dxa"/>
            <w:tcBorders>
              <w:top w:val="single" w:sz="8" w:space="0" w:color="0E7C7E"/>
              <w:left w:val="nil"/>
              <w:bottom w:val="single" w:sz="2" w:space="0" w:color="58595B"/>
              <w:right w:val="nil"/>
            </w:tcBorders>
            <w:shd w:val="clear" w:color="auto" w:fill="FFFFFF"/>
            <w:vAlign w:val="bottom"/>
            <w:hideMark/>
          </w:tcPr>
          <w:p w14:paraId="2C009378" w14:textId="3DC66EB7" w:rsidR="00FC6E0B" w:rsidRPr="005C5E32" w:rsidRDefault="00FC6E0B" w:rsidP="003E6778">
            <w:pPr>
              <w:pStyle w:val="TableboldGreen"/>
              <w:spacing w:before="30" w:after="30"/>
              <w:jc w:val="right"/>
              <w:rPr>
                <w:rFonts w:ascii="Times New Roman" w:hAnsi="Times New Roman"/>
                <w:sz w:val="24"/>
                <w:szCs w:val="24"/>
              </w:rPr>
            </w:pPr>
            <w:r w:rsidRPr="005C5E32">
              <w:rPr>
                <w:bCs/>
              </w:rPr>
              <w:t>Ministry for Primary Industries</w:t>
            </w:r>
          </w:p>
        </w:tc>
        <w:tc>
          <w:tcPr>
            <w:tcW w:w="794" w:type="dxa"/>
            <w:tcBorders>
              <w:top w:val="single" w:sz="8" w:space="0" w:color="0E7C7E"/>
              <w:left w:val="nil"/>
              <w:bottom w:val="single" w:sz="2" w:space="0" w:color="58595B"/>
              <w:right w:val="nil"/>
            </w:tcBorders>
            <w:shd w:val="clear" w:color="auto" w:fill="E7F2F2"/>
            <w:vAlign w:val="bottom"/>
            <w:hideMark/>
          </w:tcPr>
          <w:p w14:paraId="2D2638B0" w14:textId="4006D898" w:rsidR="00FC6E0B" w:rsidRPr="005C5E32" w:rsidRDefault="00FC6E0B" w:rsidP="003E6778">
            <w:pPr>
              <w:pStyle w:val="TableboldGreen"/>
              <w:spacing w:before="30" w:after="30"/>
              <w:jc w:val="right"/>
              <w:rPr>
                <w:rFonts w:ascii="Times New Roman" w:hAnsi="Times New Roman"/>
                <w:sz w:val="24"/>
                <w:szCs w:val="24"/>
              </w:rPr>
            </w:pPr>
            <w:r w:rsidRPr="005C5E32">
              <w:rPr>
                <w:bCs/>
              </w:rPr>
              <w:t>Total</w:t>
            </w:r>
          </w:p>
        </w:tc>
      </w:tr>
      <w:tr w:rsidR="00FC6E0B" w:rsidRPr="005C5E32" w14:paraId="4AD2DC9E" w14:textId="77777777" w:rsidTr="000B2FA4">
        <w:tc>
          <w:tcPr>
            <w:tcW w:w="1644" w:type="dxa"/>
            <w:tcBorders>
              <w:top w:val="single" w:sz="2" w:space="0" w:color="58595B"/>
              <w:left w:val="nil"/>
              <w:bottom w:val="single" w:sz="2" w:space="0" w:color="58595B"/>
              <w:right w:val="nil"/>
            </w:tcBorders>
            <w:shd w:val="clear" w:color="auto" w:fill="FFFFFF"/>
            <w:vAlign w:val="bottom"/>
            <w:hideMark/>
          </w:tcPr>
          <w:p w14:paraId="3B88447E" w14:textId="77777777" w:rsidR="00FC6E0B" w:rsidRPr="005C5E32" w:rsidRDefault="00FC6E0B" w:rsidP="003E6778">
            <w:pPr>
              <w:pStyle w:val="TableboldGreen"/>
              <w:spacing w:before="30" w:after="30"/>
              <w:jc w:val="right"/>
              <w:rPr>
                <w:rFonts w:ascii="Times New Roman" w:hAnsi="Times New Roman"/>
                <w:sz w:val="24"/>
                <w:szCs w:val="24"/>
              </w:rPr>
            </w:pPr>
            <w:r w:rsidRPr="005C5E32">
              <w:t> </w:t>
            </w:r>
          </w:p>
        </w:tc>
        <w:tc>
          <w:tcPr>
            <w:tcW w:w="1134" w:type="dxa"/>
            <w:tcBorders>
              <w:top w:val="single" w:sz="2" w:space="0" w:color="58595B"/>
              <w:left w:val="nil"/>
              <w:bottom w:val="single" w:sz="2" w:space="0" w:color="58595B"/>
              <w:right w:val="nil"/>
            </w:tcBorders>
            <w:shd w:val="clear" w:color="auto" w:fill="FFFFFF"/>
            <w:vAlign w:val="bottom"/>
            <w:hideMark/>
          </w:tcPr>
          <w:p w14:paraId="75B877A0" w14:textId="77777777" w:rsidR="00FC6E0B" w:rsidRPr="005C5E32" w:rsidRDefault="00FC6E0B" w:rsidP="003E6778">
            <w:pPr>
              <w:pStyle w:val="TableboldGreen"/>
              <w:spacing w:before="30" w:after="30"/>
              <w:jc w:val="right"/>
              <w:rPr>
                <w:rFonts w:ascii="Times New Roman" w:hAnsi="Times New Roman"/>
                <w:sz w:val="24"/>
                <w:szCs w:val="24"/>
              </w:rPr>
            </w:pPr>
            <w:r w:rsidRPr="005C5E32">
              <w:rPr>
                <w:bCs/>
              </w:rPr>
              <w:t>2025/26</w:t>
            </w:r>
            <w:r w:rsidRPr="005C5E32">
              <w:t> </w:t>
            </w:r>
            <w:r w:rsidRPr="005C5E32">
              <w:br/>
            </w:r>
            <w:r w:rsidRPr="005C5E32">
              <w:rPr>
                <w:bCs/>
              </w:rPr>
              <w:t>$000</w:t>
            </w:r>
            <w:r w:rsidRPr="005C5E32">
              <w:t> </w:t>
            </w:r>
          </w:p>
        </w:tc>
        <w:tc>
          <w:tcPr>
            <w:tcW w:w="1644" w:type="dxa"/>
            <w:tcBorders>
              <w:top w:val="single" w:sz="2" w:space="0" w:color="58595B"/>
              <w:left w:val="nil"/>
              <w:bottom w:val="single" w:sz="2" w:space="0" w:color="58595B"/>
              <w:right w:val="nil"/>
            </w:tcBorders>
            <w:shd w:val="clear" w:color="auto" w:fill="FFFFFF"/>
            <w:vAlign w:val="bottom"/>
            <w:hideMark/>
          </w:tcPr>
          <w:p w14:paraId="40D23DDF" w14:textId="77777777" w:rsidR="00FC6E0B" w:rsidRPr="005C5E32" w:rsidRDefault="00FC6E0B" w:rsidP="003E6778">
            <w:pPr>
              <w:pStyle w:val="TableboldGreen"/>
              <w:spacing w:before="30" w:after="30"/>
              <w:jc w:val="right"/>
              <w:rPr>
                <w:rFonts w:ascii="Times New Roman" w:hAnsi="Times New Roman"/>
                <w:sz w:val="24"/>
                <w:szCs w:val="24"/>
              </w:rPr>
            </w:pPr>
            <w:r w:rsidRPr="005C5E32">
              <w:rPr>
                <w:bCs/>
              </w:rPr>
              <w:t>2025/26</w:t>
            </w:r>
            <w:r w:rsidRPr="005C5E32">
              <w:t> </w:t>
            </w:r>
            <w:r w:rsidRPr="005C5E32">
              <w:br/>
            </w:r>
            <w:r w:rsidRPr="005C5E32">
              <w:rPr>
                <w:bCs/>
              </w:rPr>
              <w:t>$000</w:t>
            </w:r>
            <w:r w:rsidRPr="005C5E32">
              <w:t> </w:t>
            </w:r>
          </w:p>
        </w:tc>
        <w:tc>
          <w:tcPr>
            <w:tcW w:w="1361" w:type="dxa"/>
            <w:tcBorders>
              <w:top w:val="single" w:sz="2" w:space="0" w:color="58595B"/>
              <w:left w:val="nil"/>
              <w:bottom w:val="single" w:sz="2" w:space="0" w:color="58595B"/>
              <w:right w:val="nil"/>
            </w:tcBorders>
            <w:shd w:val="clear" w:color="auto" w:fill="FFFFFF"/>
            <w:vAlign w:val="bottom"/>
            <w:hideMark/>
          </w:tcPr>
          <w:p w14:paraId="5C9C5A85" w14:textId="7C4612BB" w:rsidR="00FC6E0B" w:rsidRPr="005C5E32" w:rsidRDefault="00FC6E0B" w:rsidP="003E6778">
            <w:pPr>
              <w:pStyle w:val="TableboldGreen"/>
              <w:spacing w:before="30" w:after="30"/>
              <w:jc w:val="right"/>
              <w:rPr>
                <w:rFonts w:ascii="Times New Roman" w:hAnsi="Times New Roman"/>
                <w:sz w:val="24"/>
                <w:szCs w:val="24"/>
              </w:rPr>
            </w:pPr>
            <w:r w:rsidRPr="005C5E32">
              <w:rPr>
                <w:bCs/>
              </w:rPr>
              <w:t>2025/26</w:t>
            </w:r>
            <w:r w:rsidRPr="005C5E32">
              <w:br/>
            </w:r>
            <w:r w:rsidRPr="005C5E32">
              <w:rPr>
                <w:bCs/>
              </w:rPr>
              <w:t>$000</w:t>
            </w:r>
          </w:p>
        </w:tc>
        <w:tc>
          <w:tcPr>
            <w:tcW w:w="1474" w:type="dxa"/>
            <w:tcBorders>
              <w:top w:val="single" w:sz="2" w:space="0" w:color="58595B"/>
              <w:left w:val="nil"/>
              <w:bottom w:val="single" w:sz="2" w:space="0" w:color="58595B"/>
              <w:right w:val="nil"/>
            </w:tcBorders>
            <w:shd w:val="clear" w:color="auto" w:fill="FFFFFF"/>
            <w:vAlign w:val="bottom"/>
            <w:hideMark/>
          </w:tcPr>
          <w:p w14:paraId="7549773B" w14:textId="00922ADE" w:rsidR="00FC6E0B" w:rsidRPr="005C5E32" w:rsidRDefault="00FC6E0B" w:rsidP="003E6778">
            <w:pPr>
              <w:pStyle w:val="TableboldGreen"/>
              <w:spacing w:before="30" w:after="30"/>
              <w:jc w:val="right"/>
              <w:rPr>
                <w:rFonts w:ascii="Times New Roman" w:hAnsi="Times New Roman"/>
                <w:sz w:val="24"/>
                <w:szCs w:val="24"/>
              </w:rPr>
            </w:pPr>
            <w:r w:rsidRPr="005C5E32">
              <w:rPr>
                <w:bCs/>
              </w:rPr>
              <w:t>2025/26</w:t>
            </w:r>
            <w:r w:rsidRPr="005C5E32">
              <w:br/>
            </w:r>
            <w:r w:rsidRPr="005C5E32">
              <w:rPr>
                <w:bCs/>
              </w:rPr>
              <w:t>$000</w:t>
            </w:r>
            <w:r w:rsidRPr="005C5E32">
              <w:t> </w:t>
            </w:r>
          </w:p>
        </w:tc>
        <w:tc>
          <w:tcPr>
            <w:tcW w:w="794" w:type="dxa"/>
            <w:tcBorders>
              <w:top w:val="single" w:sz="2" w:space="0" w:color="58595B"/>
              <w:left w:val="nil"/>
              <w:bottom w:val="single" w:sz="2" w:space="0" w:color="58595B"/>
              <w:right w:val="nil"/>
            </w:tcBorders>
            <w:shd w:val="clear" w:color="auto" w:fill="E7F2F2"/>
            <w:vAlign w:val="bottom"/>
            <w:hideMark/>
          </w:tcPr>
          <w:p w14:paraId="1E700740" w14:textId="04515A6E" w:rsidR="00FC6E0B" w:rsidRPr="005C5E32" w:rsidRDefault="00FC6E0B" w:rsidP="003E6778">
            <w:pPr>
              <w:pStyle w:val="TableboldGreen"/>
              <w:spacing w:before="30" w:after="30"/>
              <w:jc w:val="right"/>
              <w:rPr>
                <w:rFonts w:ascii="Times New Roman" w:hAnsi="Times New Roman"/>
                <w:sz w:val="24"/>
                <w:szCs w:val="24"/>
              </w:rPr>
            </w:pPr>
            <w:r w:rsidRPr="005C5E32">
              <w:rPr>
                <w:bCs/>
              </w:rPr>
              <w:t>2025/26</w:t>
            </w:r>
            <w:r w:rsidRPr="005C5E32">
              <w:br/>
            </w:r>
            <w:r w:rsidRPr="005C5E32">
              <w:rPr>
                <w:bCs/>
              </w:rPr>
              <w:t>$000</w:t>
            </w:r>
          </w:p>
        </w:tc>
      </w:tr>
      <w:tr w:rsidR="00FC6E0B" w:rsidRPr="005C5E32" w14:paraId="2DD80068" w14:textId="77777777" w:rsidTr="000B2FA4">
        <w:tc>
          <w:tcPr>
            <w:tcW w:w="1644" w:type="dxa"/>
            <w:tcBorders>
              <w:top w:val="single" w:sz="2" w:space="0" w:color="58595B"/>
              <w:left w:val="nil"/>
              <w:bottom w:val="single" w:sz="2" w:space="0" w:color="58595B"/>
              <w:right w:val="nil"/>
            </w:tcBorders>
            <w:shd w:val="clear" w:color="auto" w:fill="FFFFFF"/>
            <w:hideMark/>
          </w:tcPr>
          <w:p w14:paraId="16668659" w14:textId="22F81CD0" w:rsidR="00FC6E0B" w:rsidRPr="005C5E32" w:rsidRDefault="00FC6E0B" w:rsidP="003E6778">
            <w:pPr>
              <w:pStyle w:val="TableText"/>
              <w:spacing w:before="30" w:after="30"/>
              <w:rPr>
                <w:rFonts w:ascii="Times New Roman" w:hAnsi="Times New Roman" w:cs="Times New Roman"/>
                <w:sz w:val="24"/>
                <w:szCs w:val="24"/>
              </w:rPr>
            </w:pPr>
            <w:r w:rsidRPr="005C5E32">
              <w:t>Funding appropriated</w:t>
            </w:r>
          </w:p>
        </w:tc>
        <w:tc>
          <w:tcPr>
            <w:tcW w:w="1134" w:type="dxa"/>
            <w:tcBorders>
              <w:top w:val="single" w:sz="2" w:space="0" w:color="58595B"/>
              <w:left w:val="nil"/>
              <w:bottom w:val="single" w:sz="2" w:space="0" w:color="58595B"/>
              <w:right w:val="nil"/>
            </w:tcBorders>
            <w:shd w:val="clear" w:color="auto" w:fill="FFFFFF"/>
            <w:vAlign w:val="bottom"/>
            <w:hideMark/>
          </w:tcPr>
          <w:p w14:paraId="763CBBDA" w14:textId="2B5C7255" w:rsidR="00FC6E0B" w:rsidRPr="005C5E32" w:rsidRDefault="00FC6E0B" w:rsidP="003E6778">
            <w:pPr>
              <w:pStyle w:val="TableText"/>
              <w:spacing w:before="30" w:after="30"/>
              <w:jc w:val="right"/>
              <w:rPr>
                <w:rFonts w:ascii="Times New Roman" w:hAnsi="Times New Roman" w:cs="Times New Roman"/>
                <w:sz w:val="24"/>
                <w:szCs w:val="24"/>
              </w:rPr>
            </w:pPr>
            <w:r w:rsidRPr="005C5E32">
              <w:t>18,423</w:t>
            </w:r>
          </w:p>
        </w:tc>
        <w:tc>
          <w:tcPr>
            <w:tcW w:w="1644" w:type="dxa"/>
            <w:tcBorders>
              <w:top w:val="single" w:sz="2" w:space="0" w:color="58595B"/>
              <w:left w:val="nil"/>
              <w:bottom w:val="single" w:sz="2" w:space="0" w:color="58595B"/>
              <w:right w:val="nil"/>
            </w:tcBorders>
            <w:shd w:val="clear" w:color="auto" w:fill="FFFFFF"/>
            <w:vAlign w:val="bottom"/>
            <w:hideMark/>
          </w:tcPr>
          <w:p w14:paraId="12FF8AE4" w14:textId="18802FA4" w:rsidR="00FC6E0B" w:rsidRPr="005C5E32" w:rsidRDefault="00FC6E0B" w:rsidP="003E6778">
            <w:pPr>
              <w:pStyle w:val="TableText"/>
              <w:spacing w:before="30" w:after="30"/>
              <w:jc w:val="right"/>
              <w:rPr>
                <w:rFonts w:ascii="Times New Roman" w:hAnsi="Times New Roman" w:cs="Times New Roman"/>
                <w:sz w:val="24"/>
                <w:szCs w:val="24"/>
              </w:rPr>
            </w:pPr>
            <w:r w:rsidRPr="005C5E32">
              <w:t>5,000</w:t>
            </w:r>
          </w:p>
        </w:tc>
        <w:tc>
          <w:tcPr>
            <w:tcW w:w="1361" w:type="dxa"/>
            <w:tcBorders>
              <w:top w:val="single" w:sz="2" w:space="0" w:color="58595B"/>
              <w:left w:val="nil"/>
              <w:bottom w:val="single" w:sz="2" w:space="0" w:color="58595B"/>
              <w:right w:val="nil"/>
            </w:tcBorders>
            <w:shd w:val="clear" w:color="auto" w:fill="FFFFFF"/>
            <w:vAlign w:val="bottom"/>
            <w:hideMark/>
          </w:tcPr>
          <w:p w14:paraId="7080077F" w14:textId="4921932F" w:rsidR="00FC6E0B" w:rsidRPr="005C5E32" w:rsidRDefault="00FC6E0B" w:rsidP="003E6778">
            <w:pPr>
              <w:pStyle w:val="TableText"/>
              <w:spacing w:before="30" w:after="30"/>
              <w:jc w:val="right"/>
              <w:rPr>
                <w:rFonts w:ascii="Times New Roman" w:hAnsi="Times New Roman" w:cs="Times New Roman"/>
                <w:sz w:val="24"/>
                <w:szCs w:val="24"/>
              </w:rPr>
            </w:pPr>
            <w:r w:rsidRPr="005C5E32">
              <w:t>9,007</w:t>
            </w:r>
            <w:r w:rsidRPr="00C65B5C">
              <w:rPr>
                <w:color w:val="000000" w:themeColor="text1"/>
              </w:rPr>
              <w:t>*</w:t>
            </w:r>
          </w:p>
        </w:tc>
        <w:tc>
          <w:tcPr>
            <w:tcW w:w="1474" w:type="dxa"/>
            <w:tcBorders>
              <w:top w:val="single" w:sz="2" w:space="0" w:color="58595B"/>
              <w:left w:val="nil"/>
              <w:bottom w:val="single" w:sz="2" w:space="0" w:color="58595B"/>
              <w:right w:val="nil"/>
            </w:tcBorders>
            <w:shd w:val="clear" w:color="auto" w:fill="FFFFFF"/>
            <w:vAlign w:val="bottom"/>
            <w:hideMark/>
          </w:tcPr>
          <w:p w14:paraId="7AAC7597" w14:textId="28184579" w:rsidR="00FC6E0B" w:rsidRPr="005C5E32" w:rsidRDefault="00FC6E0B" w:rsidP="003E6778">
            <w:pPr>
              <w:pStyle w:val="TableText"/>
              <w:spacing w:before="30" w:after="30"/>
              <w:jc w:val="right"/>
              <w:rPr>
                <w:rFonts w:ascii="Times New Roman" w:hAnsi="Times New Roman" w:cs="Times New Roman"/>
                <w:sz w:val="24"/>
                <w:szCs w:val="24"/>
              </w:rPr>
            </w:pPr>
            <w:r w:rsidRPr="005C5E32">
              <w:t>28,429</w:t>
            </w:r>
          </w:p>
        </w:tc>
        <w:tc>
          <w:tcPr>
            <w:tcW w:w="794" w:type="dxa"/>
            <w:tcBorders>
              <w:top w:val="single" w:sz="2" w:space="0" w:color="58595B"/>
              <w:left w:val="nil"/>
              <w:bottom w:val="single" w:sz="2" w:space="0" w:color="58595B"/>
              <w:right w:val="nil"/>
            </w:tcBorders>
            <w:shd w:val="clear" w:color="auto" w:fill="E7F2F2"/>
            <w:vAlign w:val="bottom"/>
            <w:hideMark/>
          </w:tcPr>
          <w:p w14:paraId="452815C5" w14:textId="083095BC" w:rsidR="00FC6E0B" w:rsidRPr="005C5E32" w:rsidRDefault="00FC6E0B" w:rsidP="003E6778">
            <w:pPr>
              <w:pStyle w:val="TableText"/>
              <w:spacing w:before="30" w:after="30"/>
              <w:jc w:val="right"/>
              <w:rPr>
                <w:rFonts w:ascii="Times New Roman" w:hAnsi="Times New Roman" w:cs="Times New Roman"/>
                <w:sz w:val="24"/>
                <w:szCs w:val="24"/>
              </w:rPr>
            </w:pPr>
            <w:r w:rsidRPr="005C5E32">
              <w:t>60,859</w:t>
            </w:r>
          </w:p>
        </w:tc>
      </w:tr>
      <w:tr w:rsidR="00FC6E0B" w:rsidRPr="005C5E32" w14:paraId="20CE0DAE" w14:textId="77777777" w:rsidTr="000B2FA4">
        <w:tc>
          <w:tcPr>
            <w:tcW w:w="1644" w:type="dxa"/>
            <w:tcBorders>
              <w:top w:val="single" w:sz="2" w:space="0" w:color="58595B"/>
              <w:left w:val="nil"/>
              <w:bottom w:val="single" w:sz="2" w:space="0" w:color="58595B"/>
              <w:right w:val="nil"/>
            </w:tcBorders>
            <w:shd w:val="clear" w:color="auto" w:fill="FFFFFF"/>
            <w:vAlign w:val="center"/>
            <w:hideMark/>
          </w:tcPr>
          <w:p w14:paraId="52946774" w14:textId="56CAF4D7" w:rsidR="00FC6E0B" w:rsidRPr="005C5E32" w:rsidRDefault="00FC6E0B" w:rsidP="003E6778">
            <w:pPr>
              <w:pStyle w:val="TableText"/>
              <w:spacing w:before="30" w:after="30"/>
              <w:rPr>
                <w:rFonts w:ascii="Times New Roman" w:hAnsi="Times New Roman" w:cs="Times New Roman"/>
                <w:sz w:val="24"/>
                <w:szCs w:val="24"/>
              </w:rPr>
            </w:pPr>
            <w:r w:rsidRPr="005C5E32">
              <w:t>Actual expenses</w:t>
            </w:r>
          </w:p>
        </w:tc>
        <w:tc>
          <w:tcPr>
            <w:tcW w:w="1134" w:type="dxa"/>
            <w:tcBorders>
              <w:top w:val="single" w:sz="2" w:space="0" w:color="58595B"/>
              <w:left w:val="nil"/>
              <w:bottom w:val="single" w:sz="2" w:space="0" w:color="58595B"/>
              <w:right w:val="nil"/>
            </w:tcBorders>
            <w:shd w:val="clear" w:color="auto" w:fill="FFFFFF"/>
            <w:vAlign w:val="bottom"/>
            <w:hideMark/>
          </w:tcPr>
          <w:p w14:paraId="2251A688" w14:textId="149AFA47" w:rsidR="00FC6E0B" w:rsidRPr="005C5E32" w:rsidRDefault="00FC6E0B" w:rsidP="003E6778">
            <w:pPr>
              <w:pStyle w:val="TableText"/>
              <w:spacing w:before="30" w:after="30"/>
              <w:jc w:val="right"/>
              <w:rPr>
                <w:rFonts w:ascii="Times New Roman" w:hAnsi="Times New Roman" w:cs="Times New Roman"/>
                <w:sz w:val="24"/>
                <w:szCs w:val="24"/>
              </w:rPr>
            </w:pPr>
            <w:r w:rsidRPr="005C5E32">
              <w:t>(18,423)</w:t>
            </w:r>
          </w:p>
        </w:tc>
        <w:tc>
          <w:tcPr>
            <w:tcW w:w="1644" w:type="dxa"/>
            <w:tcBorders>
              <w:top w:val="single" w:sz="2" w:space="0" w:color="58595B"/>
              <w:left w:val="nil"/>
              <w:bottom w:val="single" w:sz="2" w:space="0" w:color="58595B"/>
              <w:right w:val="nil"/>
            </w:tcBorders>
            <w:shd w:val="clear" w:color="auto" w:fill="FFFFFF"/>
            <w:vAlign w:val="bottom"/>
            <w:hideMark/>
          </w:tcPr>
          <w:p w14:paraId="316E7DA2" w14:textId="08B062C0" w:rsidR="00FC6E0B" w:rsidRPr="005C5E32" w:rsidRDefault="00FC6E0B" w:rsidP="003E6778">
            <w:pPr>
              <w:pStyle w:val="TableText"/>
              <w:spacing w:before="30" w:after="30"/>
              <w:jc w:val="right"/>
              <w:rPr>
                <w:rFonts w:ascii="Times New Roman" w:hAnsi="Times New Roman" w:cs="Times New Roman"/>
                <w:sz w:val="24"/>
                <w:szCs w:val="24"/>
              </w:rPr>
            </w:pPr>
            <w:r w:rsidRPr="005C5E32">
              <w:t>(2,055)</w:t>
            </w:r>
          </w:p>
        </w:tc>
        <w:tc>
          <w:tcPr>
            <w:tcW w:w="1361" w:type="dxa"/>
            <w:tcBorders>
              <w:top w:val="single" w:sz="2" w:space="0" w:color="58595B"/>
              <w:left w:val="nil"/>
              <w:bottom w:val="single" w:sz="2" w:space="0" w:color="58595B"/>
              <w:right w:val="nil"/>
            </w:tcBorders>
            <w:shd w:val="clear" w:color="auto" w:fill="FFFFFF"/>
            <w:vAlign w:val="bottom"/>
            <w:hideMark/>
          </w:tcPr>
          <w:p w14:paraId="76D67B9A" w14:textId="71C90DC1" w:rsidR="00FC6E0B" w:rsidRPr="005C5E32" w:rsidRDefault="00FC6E0B" w:rsidP="003E6778">
            <w:pPr>
              <w:pStyle w:val="TableText"/>
              <w:spacing w:before="30" w:after="30"/>
              <w:jc w:val="right"/>
              <w:rPr>
                <w:rFonts w:ascii="Times New Roman" w:hAnsi="Times New Roman" w:cs="Times New Roman"/>
                <w:sz w:val="24"/>
                <w:szCs w:val="24"/>
              </w:rPr>
            </w:pPr>
            <w:r w:rsidRPr="005C5E32">
              <w:t>(454)</w:t>
            </w:r>
          </w:p>
        </w:tc>
        <w:tc>
          <w:tcPr>
            <w:tcW w:w="1474" w:type="dxa"/>
            <w:tcBorders>
              <w:top w:val="single" w:sz="2" w:space="0" w:color="58595B"/>
              <w:left w:val="nil"/>
              <w:bottom w:val="single" w:sz="2" w:space="0" w:color="58595B"/>
              <w:right w:val="nil"/>
            </w:tcBorders>
            <w:shd w:val="clear" w:color="auto" w:fill="FFFFFF"/>
            <w:vAlign w:val="bottom"/>
            <w:hideMark/>
          </w:tcPr>
          <w:p w14:paraId="1D50B54A" w14:textId="462DECCD" w:rsidR="00FC6E0B" w:rsidRPr="005C5E32" w:rsidRDefault="00FC6E0B" w:rsidP="003E6778">
            <w:pPr>
              <w:pStyle w:val="TableText"/>
              <w:spacing w:before="30" w:after="30"/>
              <w:jc w:val="right"/>
              <w:rPr>
                <w:rFonts w:ascii="Times New Roman" w:hAnsi="Times New Roman" w:cs="Times New Roman"/>
                <w:sz w:val="24"/>
                <w:szCs w:val="24"/>
              </w:rPr>
            </w:pPr>
            <w:r w:rsidRPr="005C5E32">
              <w:t>(28,126)</w:t>
            </w:r>
          </w:p>
        </w:tc>
        <w:tc>
          <w:tcPr>
            <w:tcW w:w="794" w:type="dxa"/>
            <w:tcBorders>
              <w:top w:val="single" w:sz="2" w:space="0" w:color="58595B"/>
              <w:left w:val="nil"/>
              <w:bottom w:val="single" w:sz="2" w:space="0" w:color="58595B"/>
              <w:right w:val="nil"/>
            </w:tcBorders>
            <w:shd w:val="clear" w:color="auto" w:fill="E7F2F2"/>
            <w:vAlign w:val="bottom"/>
            <w:hideMark/>
          </w:tcPr>
          <w:p w14:paraId="3C47928D" w14:textId="6AE25700" w:rsidR="00FC6E0B" w:rsidRPr="005C5E32" w:rsidRDefault="00FC6E0B" w:rsidP="003E6778">
            <w:pPr>
              <w:pStyle w:val="TableText"/>
              <w:spacing w:before="30" w:after="30"/>
              <w:jc w:val="right"/>
              <w:rPr>
                <w:rFonts w:ascii="Times New Roman" w:hAnsi="Times New Roman" w:cs="Times New Roman"/>
                <w:sz w:val="24"/>
                <w:szCs w:val="24"/>
              </w:rPr>
            </w:pPr>
            <w:r w:rsidRPr="005C5E32">
              <w:t>(49,058)</w:t>
            </w:r>
          </w:p>
        </w:tc>
      </w:tr>
      <w:tr w:rsidR="00FC6E0B" w:rsidRPr="005C5E32" w14:paraId="6E7415BE" w14:textId="77777777" w:rsidTr="000B2FA4">
        <w:tc>
          <w:tcPr>
            <w:tcW w:w="1644" w:type="dxa"/>
            <w:tcBorders>
              <w:top w:val="single" w:sz="2" w:space="0" w:color="58595B"/>
              <w:left w:val="nil"/>
              <w:bottom w:val="single" w:sz="2" w:space="0" w:color="58595B"/>
              <w:right w:val="nil"/>
            </w:tcBorders>
            <w:shd w:val="clear" w:color="auto" w:fill="FFFFFF"/>
            <w:hideMark/>
          </w:tcPr>
          <w:p w14:paraId="1BEF999D" w14:textId="3E762DE1" w:rsidR="00FC6E0B" w:rsidRPr="005C5E32" w:rsidRDefault="00FC6E0B" w:rsidP="003E6778">
            <w:pPr>
              <w:pStyle w:val="TableText"/>
              <w:spacing w:before="30" w:after="30"/>
              <w:rPr>
                <w:rFonts w:ascii="Times New Roman" w:hAnsi="Times New Roman" w:cs="Times New Roman"/>
                <w:sz w:val="24"/>
                <w:szCs w:val="24"/>
              </w:rPr>
            </w:pPr>
            <w:r w:rsidRPr="005C5E32">
              <w:rPr>
                <w:b/>
                <w:bCs/>
              </w:rPr>
              <w:t>Balance as at 30</w:t>
            </w:r>
            <w:r w:rsidR="003E6778" w:rsidRPr="005C5E32">
              <w:rPr>
                <w:b/>
                <w:bCs/>
              </w:rPr>
              <w:t> </w:t>
            </w:r>
            <w:r w:rsidRPr="005C5E32">
              <w:rPr>
                <w:b/>
                <w:bCs/>
              </w:rPr>
              <w:t xml:space="preserve">June </w:t>
            </w:r>
          </w:p>
        </w:tc>
        <w:tc>
          <w:tcPr>
            <w:tcW w:w="1134" w:type="dxa"/>
            <w:tcBorders>
              <w:top w:val="single" w:sz="2" w:space="0" w:color="58595B"/>
              <w:left w:val="nil"/>
              <w:bottom w:val="single" w:sz="2" w:space="0" w:color="58595B"/>
              <w:right w:val="nil"/>
            </w:tcBorders>
            <w:shd w:val="clear" w:color="auto" w:fill="FFFFFF"/>
            <w:vAlign w:val="bottom"/>
            <w:hideMark/>
          </w:tcPr>
          <w:p w14:paraId="51E4E7DD" w14:textId="5C545C0E" w:rsidR="00FC6E0B" w:rsidRPr="0096020A" w:rsidRDefault="00FC6E0B" w:rsidP="003E6778">
            <w:pPr>
              <w:pStyle w:val="TableText"/>
              <w:spacing w:before="30" w:after="30"/>
              <w:jc w:val="right"/>
              <w:rPr>
                <w:b/>
                <w:bCs/>
              </w:rPr>
            </w:pPr>
            <w:r w:rsidRPr="0096020A">
              <w:rPr>
                <w:b/>
                <w:bCs/>
              </w:rPr>
              <w:t>–</w:t>
            </w:r>
          </w:p>
        </w:tc>
        <w:tc>
          <w:tcPr>
            <w:tcW w:w="1644" w:type="dxa"/>
            <w:tcBorders>
              <w:top w:val="single" w:sz="2" w:space="0" w:color="58595B"/>
              <w:left w:val="nil"/>
              <w:bottom w:val="single" w:sz="2" w:space="0" w:color="58595B"/>
              <w:right w:val="nil"/>
            </w:tcBorders>
            <w:shd w:val="clear" w:color="auto" w:fill="FFFFFF"/>
            <w:vAlign w:val="bottom"/>
            <w:hideMark/>
          </w:tcPr>
          <w:p w14:paraId="559FDC3B" w14:textId="46DB280B" w:rsidR="00FC6E0B" w:rsidRPr="005C5E32" w:rsidRDefault="00FC6E0B" w:rsidP="003E6778">
            <w:pPr>
              <w:pStyle w:val="TableText"/>
              <w:spacing w:before="30" w:after="30"/>
              <w:jc w:val="right"/>
              <w:rPr>
                <w:rFonts w:ascii="Times New Roman" w:hAnsi="Times New Roman" w:cs="Times New Roman"/>
                <w:sz w:val="24"/>
                <w:szCs w:val="24"/>
              </w:rPr>
            </w:pPr>
            <w:r w:rsidRPr="005C5E32">
              <w:rPr>
                <w:b/>
                <w:bCs/>
              </w:rPr>
              <w:t>2,945</w:t>
            </w:r>
          </w:p>
        </w:tc>
        <w:tc>
          <w:tcPr>
            <w:tcW w:w="1361" w:type="dxa"/>
            <w:tcBorders>
              <w:top w:val="single" w:sz="2" w:space="0" w:color="58595B"/>
              <w:left w:val="nil"/>
              <w:bottom w:val="single" w:sz="2" w:space="0" w:color="58595B"/>
              <w:right w:val="nil"/>
            </w:tcBorders>
            <w:shd w:val="clear" w:color="auto" w:fill="FFFFFF"/>
            <w:vAlign w:val="bottom"/>
            <w:hideMark/>
          </w:tcPr>
          <w:p w14:paraId="70D0A031" w14:textId="517A9593" w:rsidR="00FC6E0B" w:rsidRPr="005C5E32" w:rsidRDefault="00FC6E0B" w:rsidP="003E6778">
            <w:pPr>
              <w:pStyle w:val="TableText"/>
              <w:spacing w:before="30" w:after="30"/>
              <w:jc w:val="right"/>
              <w:rPr>
                <w:rFonts w:ascii="Times New Roman" w:hAnsi="Times New Roman" w:cs="Times New Roman"/>
                <w:sz w:val="24"/>
                <w:szCs w:val="24"/>
              </w:rPr>
            </w:pPr>
            <w:r w:rsidRPr="005C5E32">
              <w:rPr>
                <w:b/>
                <w:bCs/>
              </w:rPr>
              <w:t>8,553</w:t>
            </w:r>
          </w:p>
        </w:tc>
        <w:tc>
          <w:tcPr>
            <w:tcW w:w="1474" w:type="dxa"/>
            <w:tcBorders>
              <w:top w:val="single" w:sz="2" w:space="0" w:color="58595B"/>
              <w:left w:val="nil"/>
              <w:bottom w:val="single" w:sz="2" w:space="0" w:color="58595B"/>
              <w:right w:val="nil"/>
            </w:tcBorders>
            <w:shd w:val="clear" w:color="auto" w:fill="FFFFFF"/>
            <w:vAlign w:val="bottom"/>
            <w:hideMark/>
          </w:tcPr>
          <w:p w14:paraId="0E9E7310" w14:textId="66C8F7E6" w:rsidR="00FC6E0B" w:rsidRPr="005C5E32" w:rsidRDefault="00FC6E0B" w:rsidP="003E6778">
            <w:pPr>
              <w:pStyle w:val="TableText"/>
              <w:spacing w:before="30" w:after="30"/>
              <w:jc w:val="right"/>
              <w:rPr>
                <w:rFonts w:ascii="Times New Roman" w:hAnsi="Times New Roman" w:cs="Times New Roman"/>
                <w:sz w:val="24"/>
                <w:szCs w:val="24"/>
              </w:rPr>
            </w:pPr>
            <w:r w:rsidRPr="005C5E32">
              <w:rPr>
                <w:b/>
                <w:bCs/>
              </w:rPr>
              <w:t>303</w:t>
            </w:r>
          </w:p>
        </w:tc>
        <w:tc>
          <w:tcPr>
            <w:tcW w:w="794" w:type="dxa"/>
            <w:tcBorders>
              <w:top w:val="single" w:sz="2" w:space="0" w:color="58595B"/>
              <w:left w:val="nil"/>
              <w:bottom w:val="single" w:sz="2" w:space="0" w:color="58595B"/>
              <w:right w:val="nil"/>
            </w:tcBorders>
            <w:shd w:val="clear" w:color="auto" w:fill="E7F2F2"/>
            <w:vAlign w:val="bottom"/>
            <w:hideMark/>
          </w:tcPr>
          <w:p w14:paraId="6FB0D8A5" w14:textId="4A91ABDA" w:rsidR="00FC6E0B" w:rsidRPr="005C5E32" w:rsidRDefault="00FC6E0B" w:rsidP="003E6778">
            <w:pPr>
              <w:pStyle w:val="TableText"/>
              <w:spacing w:before="30" w:after="30"/>
              <w:jc w:val="right"/>
              <w:rPr>
                <w:rFonts w:ascii="Times New Roman" w:hAnsi="Times New Roman" w:cs="Times New Roman"/>
                <w:sz w:val="24"/>
                <w:szCs w:val="24"/>
              </w:rPr>
            </w:pPr>
            <w:r w:rsidRPr="005C5E32">
              <w:rPr>
                <w:b/>
                <w:bCs/>
              </w:rPr>
              <w:t>11,801</w:t>
            </w:r>
          </w:p>
        </w:tc>
      </w:tr>
    </w:tbl>
    <w:p w14:paraId="76731820" w14:textId="00F59CD9" w:rsidR="00FC6E0B" w:rsidRPr="005C5E32" w:rsidRDefault="00FC6E0B" w:rsidP="00344175">
      <w:pPr>
        <w:pStyle w:val="Note"/>
        <w:rPr>
          <w:rFonts w:ascii="Segoe UI" w:hAnsi="Segoe UI" w:cs="Segoe UI"/>
        </w:rPr>
      </w:pPr>
      <w:r w:rsidRPr="005C5E32">
        <w:t>* To be utilised over a 10-year term</w:t>
      </w:r>
      <w:r w:rsidR="0027508B" w:rsidRPr="005C5E32">
        <w:t>.</w:t>
      </w:r>
    </w:p>
    <w:p w14:paraId="421D8D12" w14:textId="77777777" w:rsidR="00D06CB2" w:rsidRPr="005C5E32" w:rsidRDefault="00D06CB2">
      <w:pPr>
        <w:pStyle w:val="Heading4"/>
        <w:spacing w:before="120" w:after="120"/>
      </w:pPr>
      <w:r w:rsidRPr="005C5E32">
        <w:t>Product stewardship</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6096"/>
        <w:gridCol w:w="1093"/>
        <w:gridCol w:w="1316"/>
      </w:tblGrid>
      <w:tr w:rsidR="00D06CB2" w:rsidRPr="005C5E32" w14:paraId="1D3CF223" w14:textId="77777777">
        <w:trPr>
          <w:trHeight w:val="20"/>
        </w:trPr>
        <w:tc>
          <w:tcPr>
            <w:tcW w:w="7189" w:type="dxa"/>
            <w:gridSpan w:val="2"/>
            <w:tcBorders>
              <w:top w:val="single" w:sz="8" w:space="0" w:color="0E7C7E"/>
              <w:left w:val="nil"/>
              <w:bottom w:val="single" w:sz="2" w:space="0" w:color="58595B"/>
              <w:right w:val="nil"/>
            </w:tcBorders>
          </w:tcPr>
          <w:p w14:paraId="02B9CE39" w14:textId="77777777" w:rsidR="00D06CB2" w:rsidRPr="005C5E32" w:rsidRDefault="00D06CB2">
            <w:pPr>
              <w:pStyle w:val="TableboldGreen"/>
              <w:spacing w:before="30" w:after="30"/>
              <w:jc w:val="right"/>
            </w:pPr>
            <w:r w:rsidRPr="005C5E32">
              <w:t>2024/25</w:t>
            </w:r>
            <w:r w:rsidRPr="005C5E32">
              <w:br/>
              <w:t>Actual</w:t>
            </w:r>
            <w:r w:rsidRPr="005C5E32">
              <w:br/>
              <w:t>$000</w:t>
            </w:r>
          </w:p>
        </w:tc>
        <w:tc>
          <w:tcPr>
            <w:tcW w:w="1316" w:type="dxa"/>
            <w:tcBorders>
              <w:top w:val="single" w:sz="8" w:space="0" w:color="0E7C7E"/>
              <w:left w:val="nil"/>
              <w:bottom w:val="single" w:sz="2" w:space="0" w:color="58595B"/>
              <w:right w:val="nil"/>
            </w:tcBorders>
            <w:shd w:val="clear" w:color="auto" w:fill="E7F2F2"/>
          </w:tcPr>
          <w:p w14:paraId="2D291CA7" w14:textId="77777777" w:rsidR="00D06CB2" w:rsidRPr="005C5E32" w:rsidRDefault="00D06CB2">
            <w:pPr>
              <w:pStyle w:val="TableboldGreen"/>
              <w:spacing w:before="30" w:after="30"/>
              <w:jc w:val="right"/>
            </w:pPr>
            <w:r w:rsidRPr="005C5E32">
              <w:t>2025/26</w:t>
            </w:r>
            <w:r w:rsidRPr="005C5E32">
              <w:br/>
              <w:t>Actual</w:t>
            </w:r>
            <w:r w:rsidRPr="005C5E32">
              <w:br/>
              <w:t>$000</w:t>
            </w:r>
          </w:p>
        </w:tc>
      </w:tr>
      <w:tr w:rsidR="00D06CB2" w:rsidRPr="005C5E32" w14:paraId="67CFDF31" w14:textId="77777777">
        <w:trPr>
          <w:trHeight w:val="20"/>
        </w:trPr>
        <w:tc>
          <w:tcPr>
            <w:tcW w:w="6096" w:type="dxa"/>
            <w:tcBorders>
              <w:top w:val="single" w:sz="2" w:space="0" w:color="58595B"/>
              <w:left w:val="nil"/>
              <w:bottom w:val="single" w:sz="2" w:space="0" w:color="58595B"/>
              <w:right w:val="nil"/>
            </w:tcBorders>
          </w:tcPr>
          <w:p w14:paraId="4621ED6D" w14:textId="77777777" w:rsidR="00D06CB2" w:rsidRPr="005C5E32" w:rsidRDefault="00D06CB2">
            <w:pPr>
              <w:pStyle w:val="TableText"/>
              <w:spacing w:before="30" w:after="30"/>
            </w:pPr>
            <w:r w:rsidRPr="005C5E32">
              <w:t>Balance as at 1 July</w:t>
            </w:r>
          </w:p>
        </w:tc>
        <w:tc>
          <w:tcPr>
            <w:tcW w:w="1093" w:type="dxa"/>
            <w:tcBorders>
              <w:top w:val="single" w:sz="2" w:space="0" w:color="58595B"/>
              <w:left w:val="nil"/>
              <w:bottom w:val="single" w:sz="2" w:space="0" w:color="58595B"/>
              <w:right w:val="nil"/>
            </w:tcBorders>
          </w:tcPr>
          <w:p w14:paraId="1E9E37BB" w14:textId="77777777" w:rsidR="00D06CB2" w:rsidRPr="005C5E32" w:rsidRDefault="00D06CB2">
            <w:pPr>
              <w:pStyle w:val="TableText"/>
              <w:spacing w:before="30" w:after="30"/>
              <w:jc w:val="right"/>
            </w:pPr>
            <w:r w:rsidRPr="005C5E32">
              <w:t>12,930</w:t>
            </w:r>
          </w:p>
        </w:tc>
        <w:tc>
          <w:tcPr>
            <w:tcW w:w="1316" w:type="dxa"/>
            <w:tcBorders>
              <w:top w:val="single" w:sz="2" w:space="0" w:color="58595B"/>
              <w:left w:val="nil"/>
              <w:bottom w:val="single" w:sz="2" w:space="0" w:color="58595B"/>
              <w:right w:val="nil"/>
            </w:tcBorders>
            <w:shd w:val="clear" w:color="auto" w:fill="E7F2F2"/>
          </w:tcPr>
          <w:p w14:paraId="36CCBF33" w14:textId="77777777" w:rsidR="00D06CB2" w:rsidRPr="005C5E32" w:rsidRDefault="00D06CB2">
            <w:pPr>
              <w:pStyle w:val="TableText"/>
              <w:spacing w:before="30" w:after="30"/>
              <w:jc w:val="right"/>
            </w:pPr>
            <w:r w:rsidRPr="005C5E32">
              <w:t>3,695</w:t>
            </w:r>
          </w:p>
        </w:tc>
      </w:tr>
      <w:tr w:rsidR="00D06CB2" w:rsidRPr="005C5E32" w14:paraId="6F3FB8BD" w14:textId="77777777">
        <w:trPr>
          <w:trHeight w:val="20"/>
        </w:trPr>
        <w:tc>
          <w:tcPr>
            <w:tcW w:w="6096" w:type="dxa"/>
            <w:tcBorders>
              <w:top w:val="single" w:sz="2" w:space="0" w:color="58595B"/>
              <w:bottom w:val="single" w:sz="2" w:space="0" w:color="58595B"/>
            </w:tcBorders>
          </w:tcPr>
          <w:p w14:paraId="2CB24892" w14:textId="77777777" w:rsidR="00D06CB2" w:rsidRPr="005C5E32" w:rsidRDefault="00D06CB2">
            <w:pPr>
              <w:pStyle w:val="TableText"/>
              <w:spacing w:before="30" w:after="30"/>
            </w:pPr>
            <w:r w:rsidRPr="005C5E32">
              <w:t>Revenue from Product Stewardship (Tyres) fee collection</w:t>
            </w:r>
          </w:p>
        </w:tc>
        <w:tc>
          <w:tcPr>
            <w:tcW w:w="1093" w:type="dxa"/>
            <w:tcBorders>
              <w:top w:val="single" w:sz="2" w:space="0" w:color="58595B"/>
              <w:bottom w:val="single" w:sz="2" w:space="0" w:color="58595B"/>
            </w:tcBorders>
          </w:tcPr>
          <w:p w14:paraId="4E96E6D9" w14:textId="77777777" w:rsidR="00D06CB2" w:rsidRPr="005C5E32" w:rsidRDefault="00D06CB2">
            <w:pPr>
              <w:pStyle w:val="TableText"/>
              <w:spacing w:before="30" w:after="30"/>
              <w:jc w:val="right"/>
            </w:pPr>
            <w:r w:rsidRPr="005C5E32">
              <w:t>48,731</w:t>
            </w:r>
          </w:p>
        </w:tc>
        <w:tc>
          <w:tcPr>
            <w:tcW w:w="1316" w:type="dxa"/>
            <w:tcBorders>
              <w:top w:val="single" w:sz="2" w:space="0" w:color="58595B"/>
              <w:bottom w:val="single" w:sz="2" w:space="0" w:color="58595B"/>
            </w:tcBorders>
            <w:shd w:val="clear" w:color="auto" w:fill="E7F2F2"/>
          </w:tcPr>
          <w:p w14:paraId="0E22FC8F" w14:textId="77777777" w:rsidR="00D06CB2" w:rsidRPr="005C5E32" w:rsidRDefault="00D06CB2">
            <w:pPr>
              <w:pStyle w:val="TableText"/>
              <w:spacing w:before="30" w:after="30"/>
              <w:jc w:val="right"/>
            </w:pPr>
            <w:r w:rsidRPr="005C5E32">
              <w:t>50,377</w:t>
            </w:r>
          </w:p>
        </w:tc>
      </w:tr>
      <w:tr w:rsidR="00D06CB2" w:rsidRPr="005C5E32" w14:paraId="0560122B" w14:textId="77777777">
        <w:trPr>
          <w:trHeight w:val="20"/>
        </w:trPr>
        <w:tc>
          <w:tcPr>
            <w:tcW w:w="6096" w:type="dxa"/>
            <w:tcBorders>
              <w:top w:val="single" w:sz="2" w:space="0" w:color="58595B"/>
              <w:bottom w:val="single" w:sz="2" w:space="0" w:color="58595B"/>
            </w:tcBorders>
          </w:tcPr>
          <w:p w14:paraId="7A9F0CBD" w14:textId="77777777" w:rsidR="00D06CB2" w:rsidRPr="005C5E32" w:rsidRDefault="00D06CB2">
            <w:pPr>
              <w:pStyle w:val="TableText"/>
              <w:spacing w:before="30" w:after="30"/>
            </w:pPr>
            <w:r w:rsidRPr="005C5E32">
              <w:t>Expenses</w:t>
            </w:r>
          </w:p>
        </w:tc>
        <w:tc>
          <w:tcPr>
            <w:tcW w:w="1093" w:type="dxa"/>
            <w:tcBorders>
              <w:top w:val="single" w:sz="2" w:space="0" w:color="58595B"/>
              <w:bottom w:val="single" w:sz="2" w:space="0" w:color="58595B"/>
            </w:tcBorders>
          </w:tcPr>
          <w:p w14:paraId="42B8A605" w14:textId="77777777" w:rsidR="00D06CB2" w:rsidRPr="005C5E32" w:rsidRDefault="00D06CB2">
            <w:pPr>
              <w:pStyle w:val="TableText"/>
              <w:spacing w:before="30" w:after="30"/>
              <w:jc w:val="right"/>
            </w:pPr>
            <w:r w:rsidRPr="005C5E32">
              <w:t>(57,966)</w:t>
            </w:r>
          </w:p>
        </w:tc>
        <w:tc>
          <w:tcPr>
            <w:tcW w:w="1316" w:type="dxa"/>
            <w:tcBorders>
              <w:top w:val="single" w:sz="2" w:space="0" w:color="58595B"/>
              <w:bottom w:val="single" w:sz="2" w:space="0" w:color="58595B"/>
            </w:tcBorders>
            <w:shd w:val="clear" w:color="auto" w:fill="E7F2F2"/>
          </w:tcPr>
          <w:p w14:paraId="40C5F54B" w14:textId="77777777" w:rsidR="00D06CB2" w:rsidRPr="005C5E32" w:rsidRDefault="00D06CB2">
            <w:pPr>
              <w:pStyle w:val="TableText"/>
              <w:spacing w:before="30" w:after="30"/>
              <w:jc w:val="right"/>
            </w:pPr>
            <w:r w:rsidRPr="005C5E32">
              <w:t>(56,149)</w:t>
            </w:r>
          </w:p>
        </w:tc>
      </w:tr>
      <w:tr w:rsidR="00D06CB2" w:rsidRPr="005C5E32" w14:paraId="3F965C82" w14:textId="77777777">
        <w:trPr>
          <w:trHeight w:val="20"/>
        </w:trPr>
        <w:tc>
          <w:tcPr>
            <w:tcW w:w="6096" w:type="dxa"/>
            <w:tcBorders>
              <w:top w:val="single" w:sz="2" w:space="0" w:color="58595B"/>
              <w:bottom w:val="single" w:sz="2" w:space="0" w:color="58595B"/>
            </w:tcBorders>
          </w:tcPr>
          <w:p w14:paraId="51A5BFE1" w14:textId="77777777" w:rsidR="00D06CB2" w:rsidRPr="005C5E32" w:rsidRDefault="00D06CB2">
            <w:pPr>
              <w:pStyle w:val="TableTextbold"/>
              <w:spacing w:before="30" w:after="30"/>
            </w:pPr>
            <w:r w:rsidRPr="005C5E32">
              <w:t>Balance as at 30 June</w:t>
            </w:r>
          </w:p>
        </w:tc>
        <w:tc>
          <w:tcPr>
            <w:tcW w:w="1093" w:type="dxa"/>
            <w:tcBorders>
              <w:top w:val="single" w:sz="2" w:space="0" w:color="58595B"/>
              <w:bottom w:val="single" w:sz="2" w:space="0" w:color="58595B"/>
            </w:tcBorders>
          </w:tcPr>
          <w:p w14:paraId="5EBF06C9" w14:textId="77777777" w:rsidR="00D06CB2" w:rsidRPr="005C5E32" w:rsidRDefault="00D06CB2">
            <w:pPr>
              <w:pStyle w:val="TableTextbold"/>
              <w:spacing w:before="30" w:after="30"/>
              <w:jc w:val="right"/>
            </w:pPr>
            <w:r w:rsidRPr="005C5E32">
              <w:t>3,695</w:t>
            </w:r>
          </w:p>
        </w:tc>
        <w:tc>
          <w:tcPr>
            <w:tcW w:w="1316" w:type="dxa"/>
            <w:tcBorders>
              <w:top w:val="single" w:sz="2" w:space="0" w:color="58595B"/>
              <w:bottom w:val="single" w:sz="2" w:space="0" w:color="58595B"/>
            </w:tcBorders>
            <w:shd w:val="clear" w:color="auto" w:fill="E7F2F2"/>
          </w:tcPr>
          <w:p w14:paraId="61742402" w14:textId="77777777" w:rsidR="00D06CB2" w:rsidRPr="005C5E32" w:rsidRDefault="00D06CB2">
            <w:pPr>
              <w:pStyle w:val="TableTextbold"/>
              <w:spacing w:before="30" w:after="30"/>
              <w:jc w:val="right"/>
            </w:pPr>
            <w:r w:rsidRPr="005C5E32">
              <w:t>(2,077)</w:t>
            </w:r>
          </w:p>
        </w:tc>
      </w:tr>
    </w:tbl>
    <w:p w14:paraId="0667C3C4" w14:textId="03FFA582" w:rsidR="00D06CB2" w:rsidRPr="005C5E32" w:rsidRDefault="00D06CB2">
      <w:pPr>
        <w:pStyle w:val="BodyText"/>
        <w:spacing w:before="240"/>
      </w:pPr>
      <w:r w:rsidRPr="005C5E32">
        <w:t xml:space="preserve">The memorandum account records the Product Stewardship (Tyres) fee accumulated surpluses and deficits as at 30 June 2026. The revenue represents the fee that is collected </w:t>
      </w:r>
      <w:r w:rsidRPr="005C5E32">
        <w:rPr>
          <w:spacing w:val="-2"/>
        </w:rPr>
        <w:t>by the NZ Transport Agency | Waka Kotahi at first registration of the vehicle and by the Ministry</w:t>
      </w:r>
      <w:r w:rsidRPr="005C5E32">
        <w:t xml:space="preserve"> when</w:t>
      </w:r>
      <w:r w:rsidR="00E75690" w:rsidRPr="005C5E32">
        <w:t> </w:t>
      </w:r>
      <w:r w:rsidRPr="005C5E32">
        <w:t>a</w:t>
      </w:r>
      <w:r w:rsidR="00E75690" w:rsidRPr="005C5E32">
        <w:t> </w:t>
      </w:r>
      <w:r w:rsidRPr="005C5E32">
        <w:t>loose regulated tyre, off-road motor vehicle</w:t>
      </w:r>
      <w:r w:rsidRPr="005C5E32" w:rsidDel="008C1A01">
        <w:t>,</w:t>
      </w:r>
      <w:r w:rsidRPr="005C5E32">
        <w:t xml:space="preserve"> or aircraft is imported, or when a loose regulated tyre manufactured in New Zealand is first sold. </w:t>
      </w:r>
    </w:p>
    <w:p w14:paraId="55CDF631" w14:textId="77777777" w:rsidR="00D06CB2" w:rsidRPr="005C5E32" w:rsidRDefault="00D06CB2">
      <w:pPr>
        <w:pStyle w:val="BodyText"/>
      </w:pPr>
      <w:r w:rsidRPr="005C5E32">
        <w:t>The expenses represent the disbursement of the received fee to the product stewardship organisation responsible for providing sustainable management of end-of-life tyres and the administration cost incurred by the Ministry. The disbursement of the fee to the product stewardship organisation is included as part of the schedules of non-departmental revenue and expenses.</w:t>
      </w:r>
    </w:p>
    <w:p w14:paraId="596A9449" w14:textId="77777777" w:rsidR="00D06CB2" w:rsidRPr="005C5E32" w:rsidRDefault="00D06CB2">
      <w:pPr>
        <w:pStyle w:val="Heading3"/>
        <w:tabs>
          <w:tab w:val="clear" w:pos="851"/>
          <w:tab w:val="left" w:pos="567"/>
        </w:tabs>
        <w:ind w:left="567" w:hanging="567"/>
      </w:pPr>
      <w:bookmarkStart w:id="431" w:name="_Toc112144664"/>
      <w:r w:rsidRPr="005C5E32">
        <w:t>13.</w:t>
      </w:r>
      <w:r w:rsidRPr="005C5E32">
        <w:tab/>
        <w:t>Explanations of major variances against mains forecast</w:t>
      </w:r>
      <w:bookmarkEnd w:id="431"/>
    </w:p>
    <w:p w14:paraId="68C7903B" w14:textId="77777777" w:rsidR="00D06CB2" w:rsidRPr="005C5E32" w:rsidRDefault="00D06CB2">
      <w:pPr>
        <w:pStyle w:val="BodyText"/>
      </w:pPr>
      <w:r w:rsidRPr="005C5E32">
        <w:t>Explanations for major variances from the Ministry’s non-departmental mains forecast figures are as follows:</w:t>
      </w:r>
    </w:p>
    <w:p w14:paraId="4AF50DDC" w14:textId="77777777" w:rsidR="00D06CB2" w:rsidRPr="005C5E32" w:rsidRDefault="00D06CB2">
      <w:pPr>
        <w:pStyle w:val="Heading4"/>
        <w:tabs>
          <w:tab w:val="clear" w:pos="851"/>
          <w:tab w:val="left" w:pos="567"/>
        </w:tabs>
        <w:spacing w:before="120" w:after="240"/>
      </w:pPr>
      <w:r w:rsidRPr="005C5E32">
        <w:t>(i)</w:t>
      </w:r>
      <w:r w:rsidRPr="005C5E32">
        <w:tab/>
        <w:t>Schedule of non-departmental revenue</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293"/>
        <w:gridCol w:w="1404"/>
        <w:gridCol w:w="1404"/>
        <w:gridCol w:w="1404"/>
      </w:tblGrid>
      <w:tr w:rsidR="00D06CB2" w:rsidRPr="005C5E32" w14:paraId="55CD7317" w14:textId="77777777">
        <w:trPr>
          <w:trHeight w:val="20"/>
        </w:trPr>
        <w:tc>
          <w:tcPr>
            <w:tcW w:w="4293" w:type="dxa"/>
            <w:tcBorders>
              <w:top w:val="single" w:sz="8" w:space="0" w:color="0E7C7E"/>
              <w:bottom w:val="single" w:sz="2" w:space="0" w:color="58595B"/>
            </w:tcBorders>
          </w:tcPr>
          <w:p w14:paraId="36219660" w14:textId="77777777" w:rsidR="00D06CB2" w:rsidRPr="005C5E32" w:rsidRDefault="00D06CB2" w:rsidP="004729FE">
            <w:pPr>
              <w:pStyle w:val="TableboldGreen"/>
              <w:spacing w:before="30" w:after="30"/>
            </w:pPr>
          </w:p>
        </w:tc>
        <w:tc>
          <w:tcPr>
            <w:tcW w:w="1404" w:type="dxa"/>
            <w:tcBorders>
              <w:top w:val="single" w:sz="8" w:space="0" w:color="0E7C7E"/>
              <w:bottom w:val="single" w:sz="2" w:space="0" w:color="58595B"/>
            </w:tcBorders>
            <w:shd w:val="clear" w:color="auto" w:fill="E7F2F2"/>
            <w:vAlign w:val="bottom"/>
          </w:tcPr>
          <w:p w14:paraId="4192B877" w14:textId="77777777" w:rsidR="00D06CB2" w:rsidRPr="005C5E32" w:rsidRDefault="00D06CB2" w:rsidP="004729FE">
            <w:pPr>
              <w:pStyle w:val="TableboldGreen"/>
              <w:spacing w:before="30" w:after="30"/>
              <w:jc w:val="right"/>
            </w:pPr>
            <w:r w:rsidRPr="005C5E32">
              <w:t>2025/26</w:t>
            </w:r>
            <w:r w:rsidRPr="005C5E32">
              <w:br/>
              <w:t>Actual</w:t>
            </w:r>
            <w:r w:rsidRPr="005C5E32">
              <w:br/>
              <w:t>$000</w:t>
            </w:r>
          </w:p>
        </w:tc>
        <w:tc>
          <w:tcPr>
            <w:tcW w:w="1404" w:type="dxa"/>
            <w:tcBorders>
              <w:top w:val="single" w:sz="8" w:space="0" w:color="0E7C7E"/>
              <w:bottom w:val="single" w:sz="2" w:space="0" w:color="58595B"/>
            </w:tcBorders>
            <w:vAlign w:val="bottom"/>
          </w:tcPr>
          <w:p w14:paraId="34BB9408" w14:textId="77777777" w:rsidR="00D06CB2" w:rsidRPr="005C5E32" w:rsidRDefault="00D06CB2" w:rsidP="004729FE">
            <w:pPr>
              <w:pStyle w:val="TableboldGreen"/>
              <w:spacing w:before="30" w:after="30"/>
              <w:jc w:val="right"/>
            </w:pPr>
            <w:r w:rsidRPr="005C5E32">
              <w:t>2025/26</w:t>
            </w:r>
            <w:r w:rsidRPr="005C5E32">
              <w:br/>
              <w:t xml:space="preserve">Mains </w:t>
            </w:r>
            <w:r w:rsidRPr="005C5E32" w:rsidDel="0051032E">
              <w:t>F</w:t>
            </w:r>
            <w:r w:rsidRPr="005C5E32">
              <w:t>orecast</w:t>
            </w:r>
            <w:r w:rsidRPr="005C5E32">
              <w:br/>
              <w:t>$000</w:t>
            </w:r>
          </w:p>
        </w:tc>
        <w:tc>
          <w:tcPr>
            <w:tcW w:w="1404" w:type="dxa"/>
            <w:tcBorders>
              <w:top w:val="single" w:sz="8" w:space="0" w:color="0E7C7E"/>
              <w:bottom w:val="single" w:sz="2" w:space="0" w:color="58595B"/>
            </w:tcBorders>
            <w:vAlign w:val="bottom"/>
          </w:tcPr>
          <w:p w14:paraId="1B2AD8D7" w14:textId="77777777" w:rsidR="00D06CB2" w:rsidRPr="005C5E32" w:rsidRDefault="00D06CB2" w:rsidP="004729FE">
            <w:pPr>
              <w:pStyle w:val="TableboldGreen"/>
              <w:spacing w:before="30" w:after="30"/>
              <w:jc w:val="right"/>
            </w:pPr>
            <w:r w:rsidRPr="005C5E32">
              <w:t>2025/26</w:t>
            </w:r>
            <w:r w:rsidRPr="005C5E32">
              <w:br/>
              <w:t>Variance</w:t>
            </w:r>
            <w:r w:rsidRPr="005C5E32">
              <w:br/>
              <w:t>$000</w:t>
            </w:r>
          </w:p>
        </w:tc>
      </w:tr>
      <w:tr w:rsidR="00D06CB2" w:rsidRPr="005C5E32" w14:paraId="3098AB95" w14:textId="77777777">
        <w:trPr>
          <w:trHeight w:val="20"/>
        </w:trPr>
        <w:tc>
          <w:tcPr>
            <w:tcW w:w="4293" w:type="dxa"/>
            <w:tcBorders>
              <w:top w:val="single" w:sz="2" w:space="0" w:color="58595B"/>
              <w:bottom w:val="single" w:sz="2" w:space="0" w:color="58595B"/>
            </w:tcBorders>
          </w:tcPr>
          <w:p w14:paraId="45C52208" w14:textId="77777777" w:rsidR="00D06CB2" w:rsidRPr="005C5E32" w:rsidRDefault="00D06CB2" w:rsidP="004729FE">
            <w:pPr>
              <w:pStyle w:val="TableText"/>
              <w:spacing w:before="30" w:after="30"/>
            </w:pPr>
            <w:r w:rsidRPr="005C5E32">
              <w:t>Fees and levies</w:t>
            </w:r>
          </w:p>
        </w:tc>
        <w:tc>
          <w:tcPr>
            <w:tcW w:w="1404" w:type="dxa"/>
            <w:tcBorders>
              <w:top w:val="single" w:sz="2" w:space="0" w:color="58595B"/>
              <w:bottom w:val="single" w:sz="2" w:space="0" w:color="58595B"/>
            </w:tcBorders>
            <w:shd w:val="clear" w:color="auto" w:fill="E7F2F2"/>
          </w:tcPr>
          <w:p w14:paraId="36B75D3B" w14:textId="77777777" w:rsidR="00D06CB2" w:rsidRPr="005C5E32" w:rsidRDefault="00D06CB2" w:rsidP="004729FE">
            <w:pPr>
              <w:pStyle w:val="TableText"/>
              <w:spacing w:before="30" w:after="30"/>
              <w:jc w:val="right"/>
            </w:pPr>
            <w:r w:rsidRPr="005C5E32">
              <w:t>276,460</w:t>
            </w:r>
          </w:p>
        </w:tc>
        <w:tc>
          <w:tcPr>
            <w:tcW w:w="1404" w:type="dxa"/>
            <w:tcBorders>
              <w:top w:val="single" w:sz="2" w:space="0" w:color="58595B"/>
              <w:bottom w:val="single" w:sz="2" w:space="0" w:color="58595B"/>
            </w:tcBorders>
          </w:tcPr>
          <w:p w14:paraId="33806F7C" w14:textId="77777777" w:rsidR="00D06CB2" w:rsidRPr="005C5E32" w:rsidRDefault="00D06CB2" w:rsidP="004729FE">
            <w:pPr>
              <w:pStyle w:val="TableText"/>
              <w:spacing w:before="30" w:after="30"/>
              <w:jc w:val="right"/>
            </w:pPr>
            <w:r w:rsidRPr="005C5E32">
              <w:t>327,889</w:t>
            </w:r>
          </w:p>
        </w:tc>
        <w:tc>
          <w:tcPr>
            <w:tcW w:w="1404" w:type="dxa"/>
            <w:tcBorders>
              <w:top w:val="single" w:sz="2" w:space="0" w:color="58595B"/>
              <w:bottom w:val="single" w:sz="2" w:space="0" w:color="58595B"/>
            </w:tcBorders>
          </w:tcPr>
          <w:p w14:paraId="6141B3B9" w14:textId="77777777" w:rsidR="00D06CB2" w:rsidRPr="005C5E32" w:rsidRDefault="00D06CB2" w:rsidP="004729FE">
            <w:pPr>
              <w:pStyle w:val="TableText"/>
              <w:spacing w:before="30" w:after="30"/>
              <w:jc w:val="right"/>
            </w:pPr>
            <w:r w:rsidRPr="005C5E32">
              <w:t>(51,429)</w:t>
            </w:r>
          </w:p>
        </w:tc>
      </w:tr>
      <w:tr w:rsidR="00D06CB2" w:rsidRPr="005C5E32" w14:paraId="47AAF41D" w14:textId="77777777">
        <w:trPr>
          <w:trHeight w:val="20"/>
        </w:trPr>
        <w:tc>
          <w:tcPr>
            <w:tcW w:w="4293" w:type="dxa"/>
            <w:tcBorders>
              <w:top w:val="single" w:sz="2" w:space="0" w:color="58595B"/>
              <w:bottom w:val="single" w:sz="2" w:space="0" w:color="58595B"/>
            </w:tcBorders>
          </w:tcPr>
          <w:p w14:paraId="6BFB31C4" w14:textId="40B35CF2" w:rsidR="00D06CB2" w:rsidRPr="005C5E32" w:rsidRDefault="009911D8" w:rsidP="004729FE">
            <w:pPr>
              <w:pStyle w:val="TableText"/>
              <w:spacing w:before="30" w:after="30"/>
            </w:pPr>
            <w:r w:rsidRPr="005C5E32">
              <w:t xml:space="preserve">Surrender </w:t>
            </w:r>
            <w:r w:rsidR="008F6CF8" w:rsidRPr="005C5E32">
              <w:t>of New Zealand Units</w:t>
            </w:r>
          </w:p>
        </w:tc>
        <w:tc>
          <w:tcPr>
            <w:tcW w:w="1404" w:type="dxa"/>
            <w:tcBorders>
              <w:top w:val="single" w:sz="2" w:space="0" w:color="58595B"/>
              <w:bottom w:val="single" w:sz="2" w:space="0" w:color="58595B"/>
            </w:tcBorders>
            <w:shd w:val="clear" w:color="auto" w:fill="E7F2F2"/>
          </w:tcPr>
          <w:p w14:paraId="1EB126B7" w14:textId="77777777" w:rsidR="00D06CB2" w:rsidRPr="005C5E32" w:rsidRDefault="00D06CB2" w:rsidP="004729FE">
            <w:pPr>
              <w:pStyle w:val="TableText"/>
              <w:spacing w:before="30" w:after="30"/>
              <w:jc w:val="right"/>
            </w:pPr>
            <w:r w:rsidRPr="005C5E32">
              <w:t>1,805,337</w:t>
            </w:r>
          </w:p>
        </w:tc>
        <w:tc>
          <w:tcPr>
            <w:tcW w:w="1404" w:type="dxa"/>
            <w:tcBorders>
              <w:top w:val="single" w:sz="2" w:space="0" w:color="58595B"/>
              <w:bottom w:val="single" w:sz="2" w:space="0" w:color="58595B"/>
            </w:tcBorders>
          </w:tcPr>
          <w:p w14:paraId="0D26ED5C" w14:textId="77777777" w:rsidR="00D06CB2" w:rsidRPr="005C5E32" w:rsidRDefault="00D06CB2" w:rsidP="004729FE">
            <w:pPr>
              <w:pStyle w:val="TableText"/>
              <w:spacing w:before="30" w:after="30"/>
              <w:jc w:val="right"/>
            </w:pPr>
            <w:r w:rsidRPr="005C5E32">
              <w:t>2,299,616</w:t>
            </w:r>
          </w:p>
        </w:tc>
        <w:tc>
          <w:tcPr>
            <w:tcW w:w="1404" w:type="dxa"/>
            <w:tcBorders>
              <w:top w:val="single" w:sz="2" w:space="0" w:color="58595B"/>
              <w:bottom w:val="single" w:sz="2" w:space="0" w:color="58595B"/>
            </w:tcBorders>
          </w:tcPr>
          <w:p w14:paraId="296CA2B6" w14:textId="77777777" w:rsidR="00D06CB2" w:rsidRPr="005C5E32" w:rsidRDefault="00D06CB2" w:rsidP="004729FE">
            <w:pPr>
              <w:pStyle w:val="TableText"/>
              <w:spacing w:before="30" w:after="30"/>
              <w:jc w:val="right"/>
            </w:pPr>
            <w:r w:rsidRPr="005C5E32">
              <w:t>(494,279)</w:t>
            </w:r>
          </w:p>
        </w:tc>
      </w:tr>
      <w:tr w:rsidR="00D06CB2" w:rsidRPr="005C5E32" w14:paraId="5092FD1F" w14:textId="77777777">
        <w:trPr>
          <w:trHeight w:val="20"/>
        </w:trPr>
        <w:tc>
          <w:tcPr>
            <w:tcW w:w="4293" w:type="dxa"/>
            <w:tcBorders>
              <w:top w:val="single" w:sz="2" w:space="0" w:color="58595B"/>
              <w:bottom w:val="single" w:sz="2" w:space="0" w:color="58595B"/>
            </w:tcBorders>
          </w:tcPr>
          <w:p w14:paraId="0463C7C4" w14:textId="77777777" w:rsidR="00D06CB2" w:rsidRPr="005C5E32" w:rsidRDefault="00D06CB2" w:rsidP="004729FE">
            <w:pPr>
              <w:pStyle w:val="TableText"/>
              <w:spacing w:before="30" w:after="30"/>
            </w:pPr>
            <w:bookmarkStart w:id="432" w:name="_Hlk205371760"/>
            <w:r w:rsidRPr="005C5E32">
              <w:t xml:space="preserve">Emissions Trading Scheme </w:t>
            </w:r>
            <w:bookmarkEnd w:id="432"/>
            <w:r w:rsidRPr="005C5E32">
              <w:t>penalty revenue</w:t>
            </w:r>
          </w:p>
        </w:tc>
        <w:tc>
          <w:tcPr>
            <w:tcW w:w="1404" w:type="dxa"/>
            <w:tcBorders>
              <w:top w:val="single" w:sz="2" w:space="0" w:color="58595B"/>
              <w:bottom w:val="single" w:sz="2" w:space="0" w:color="58595B"/>
            </w:tcBorders>
            <w:shd w:val="clear" w:color="auto" w:fill="E7F2F2"/>
          </w:tcPr>
          <w:p w14:paraId="02F36BC5" w14:textId="77777777" w:rsidR="00D06CB2" w:rsidRPr="005C5E32" w:rsidRDefault="00D06CB2" w:rsidP="004729FE">
            <w:pPr>
              <w:pStyle w:val="TableText"/>
              <w:spacing w:before="30" w:after="30"/>
              <w:jc w:val="right"/>
            </w:pPr>
            <w:r w:rsidRPr="005C5E32">
              <w:t>4,327</w:t>
            </w:r>
          </w:p>
        </w:tc>
        <w:tc>
          <w:tcPr>
            <w:tcW w:w="1404" w:type="dxa"/>
            <w:tcBorders>
              <w:top w:val="single" w:sz="2" w:space="0" w:color="58595B"/>
              <w:bottom w:val="single" w:sz="2" w:space="0" w:color="58595B"/>
            </w:tcBorders>
          </w:tcPr>
          <w:p w14:paraId="4F7A1592" w14:textId="77777777" w:rsidR="00D06CB2" w:rsidRPr="005C5E32" w:rsidRDefault="00D06CB2" w:rsidP="004729FE">
            <w:pPr>
              <w:pStyle w:val="TableText"/>
              <w:spacing w:before="30" w:after="30"/>
              <w:jc w:val="right"/>
            </w:pPr>
            <w:r w:rsidRPr="005C5E32">
              <w:t>–</w:t>
            </w:r>
          </w:p>
        </w:tc>
        <w:tc>
          <w:tcPr>
            <w:tcW w:w="1404" w:type="dxa"/>
            <w:tcBorders>
              <w:top w:val="single" w:sz="2" w:space="0" w:color="58595B"/>
              <w:bottom w:val="single" w:sz="2" w:space="0" w:color="58595B"/>
            </w:tcBorders>
          </w:tcPr>
          <w:p w14:paraId="199A53F1" w14:textId="77777777" w:rsidR="00D06CB2" w:rsidRPr="005C5E32" w:rsidRDefault="00D06CB2" w:rsidP="004729FE">
            <w:pPr>
              <w:pStyle w:val="TableText"/>
              <w:spacing w:before="30" w:after="30"/>
              <w:jc w:val="right"/>
            </w:pPr>
            <w:r w:rsidRPr="005C5E32">
              <w:t>4,327</w:t>
            </w:r>
          </w:p>
        </w:tc>
      </w:tr>
      <w:tr w:rsidR="00D06CB2" w:rsidRPr="005C5E32" w14:paraId="7A7C7D1F" w14:textId="77777777">
        <w:trPr>
          <w:trHeight w:val="20"/>
        </w:trPr>
        <w:tc>
          <w:tcPr>
            <w:tcW w:w="4293" w:type="dxa"/>
            <w:tcBorders>
              <w:top w:val="single" w:sz="2" w:space="0" w:color="58595B"/>
              <w:bottom w:val="single" w:sz="2" w:space="0" w:color="58595B"/>
            </w:tcBorders>
          </w:tcPr>
          <w:p w14:paraId="32056D6C" w14:textId="2AAFB949" w:rsidR="00D06CB2" w:rsidRPr="005C5E32" w:rsidRDefault="007B3535" w:rsidP="004729FE">
            <w:pPr>
              <w:pStyle w:val="TableText"/>
              <w:spacing w:before="30" w:after="30"/>
            </w:pPr>
            <w:r w:rsidRPr="005C5E32">
              <w:rPr>
                <w:rFonts w:cs="Calibri"/>
                <w:szCs w:val="18"/>
              </w:rPr>
              <w:t>Net changes in carbon price of New Zealand Units</w:t>
            </w:r>
          </w:p>
        </w:tc>
        <w:tc>
          <w:tcPr>
            <w:tcW w:w="1404" w:type="dxa"/>
            <w:tcBorders>
              <w:top w:val="single" w:sz="2" w:space="0" w:color="58595B"/>
              <w:bottom w:val="single" w:sz="2" w:space="0" w:color="58595B"/>
            </w:tcBorders>
            <w:shd w:val="clear" w:color="auto" w:fill="E7F2F2"/>
          </w:tcPr>
          <w:p w14:paraId="154395F0" w14:textId="77777777" w:rsidR="00D06CB2" w:rsidRPr="005C5E32" w:rsidRDefault="00D06CB2" w:rsidP="004729FE">
            <w:pPr>
              <w:pStyle w:val="TableText"/>
              <w:spacing w:before="30" w:after="30"/>
              <w:jc w:val="right"/>
            </w:pPr>
            <w:r w:rsidRPr="005C5E32">
              <w:t>508,590</w:t>
            </w:r>
          </w:p>
        </w:tc>
        <w:tc>
          <w:tcPr>
            <w:tcW w:w="1404" w:type="dxa"/>
            <w:tcBorders>
              <w:top w:val="single" w:sz="2" w:space="0" w:color="58595B"/>
              <w:bottom w:val="single" w:sz="2" w:space="0" w:color="58595B"/>
            </w:tcBorders>
          </w:tcPr>
          <w:p w14:paraId="5CDBD986" w14:textId="77777777" w:rsidR="00D06CB2" w:rsidRPr="005C5E32" w:rsidRDefault="00D06CB2" w:rsidP="004729FE">
            <w:pPr>
              <w:pStyle w:val="TableText"/>
              <w:spacing w:before="30" w:after="30"/>
              <w:jc w:val="right"/>
            </w:pPr>
            <w:r w:rsidRPr="005C5E32">
              <w:t>–</w:t>
            </w:r>
          </w:p>
        </w:tc>
        <w:tc>
          <w:tcPr>
            <w:tcW w:w="1404" w:type="dxa"/>
            <w:tcBorders>
              <w:top w:val="single" w:sz="2" w:space="0" w:color="58595B"/>
              <w:bottom w:val="single" w:sz="2" w:space="0" w:color="58595B"/>
            </w:tcBorders>
          </w:tcPr>
          <w:p w14:paraId="7934D280" w14:textId="77777777" w:rsidR="00D06CB2" w:rsidRPr="005C5E32" w:rsidRDefault="00D06CB2" w:rsidP="004729FE">
            <w:pPr>
              <w:pStyle w:val="TableText"/>
              <w:spacing w:before="30" w:after="30"/>
              <w:jc w:val="right"/>
            </w:pPr>
            <w:r w:rsidRPr="005C5E32">
              <w:t>508,590</w:t>
            </w:r>
          </w:p>
        </w:tc>
      </w:tr>
    </w:tbl>
    <w:p w14:paraId="09FF3AF9" w14:textId="77777777" w:rsidR="00D502CD" w:rsidRDefault="00D502CD">
      <w:pPr>
        <w:pStyle w:val="BodyText"/>
        <w:spacing w:before="240"/>
        <w:rPr>
          <w:b/>
          <w:bCs/>
        </w:rPr>
      </w:pPr>
    </w:p>
    <w:p w14:paraId="14D8FB96" w14:textId="1BBBAD97" w:rsidR="00D06CB2" w:rsidRPr="005C5E32" w:rsidRDefault="00D06CB2">
      <w:pPr>
        <w:pStyle w:val="BodyText"/>
        <w:spacing w:before="240"/>
      </w:pPr>
      <w:r w:rsidRPr="005C5E32">
        <w:rPr>
          <w:b/>
          <w:bCs/>
        </w:rPr>
        <w:lastRenderedPageBreak/>
        <w:t>Fees and levies:</w:t>
      </w:r>
      <w:r w:rsidRPr="005C5E32">
        <w:rPr>
          <w:b/>
          <w:bCs/>
          <w:i/>
          <w:iCs/>
        </w:rPr>
        <w:t xml:space="preserve"> </w:t>
      </w:r>
      <w:r w:rsidRPr="005C5E32">
        <w:t>Levies include the revenue collected from the waste disposal landfill facility operators, the Synthetic Greenhouse Gas Levy collected by the NZ Transport Agency</w:t>
      </w:r>
      <w:r w:rsidRPr="005C5E32">
        <w:rPr>
          <w:spacing w:val="-2"/>
        </w:rPr>
        <w:t xml:space="preserve"> | Waka Kotahi</w:t>
      </w:r>
      <w:r w:rsidRPr="005C5E32">
        <w:t>, and the Product Stewardship (Tyres) fees collected by the NZ Transport Agency and the</w:t>
      </w:r>
      <w:r w:rsidR="004729FE" w:rsidRPr="005C5E32">
        <w:t> </w:t>
      </w:r>
      <w:r w:rsidRPr="005C5E32">
        <w:t>Ministry.</w:t>
      </w:r>
    </w:p>
    <w:p w14:paraId="63385D91" w14:textId="77777777" w:rsidR="00D06CB2" w:rsidRPr="005C5E32" w:rsidRDefault="00D06CB2">
      <w:pPr>
        <w:pStyle w:val="BodyText"/>
      </w:pPr>
      <w:r w:rsidRPr="005C5E32">
        <w:t xml:space="preserve">The reasons why the revenue collected from the fees and levies was lower than mains forecast mainly relate to the Waste Disposal Levy and the product stewardship fees from tyres. </w:t>
      </w:r>
    </w:p>
    <w:p w14:paraId="046A66BC" w14:textId="77777777" w:rsidR="00D06CB2" w:rsidRPr="005C5E32" w:rsidRDefault="00D06CB2">
      <w:pPr>
        <w:pStyle w:val="Bullet"/>
        <w:rPr>
          <w:bCs/>
        </w:rPr>
      </w:pPr>
      <w:r w:rsidRPr="005C5E32">
        <w:rPr>
          <w:b/>
        </w:rPr>
        <w:t>Waste Disposal Levy:</w:t>
      </w:r>
      <w:r w:rsidRPr="005C5E32">
        <w:rPr>
          <w:bCs/>
        </w:rPr>
        <w:t xml:space="preserve"> The revenue collected from the Waste Disposal Levy was lower than mains forecast due to multiple factors, including the current economic conditions, which led to reduced</w:t>
      </w:r>
      <w:r w:rsidRPr="005C5E32" w:rsidDel="00B14B97">
        <w:rPr>
          <w:bCs/>
        </w:rPr>
        <w:t xml:space="preserve"> </w:t>
      </w:r>
      <w:r w:rsidRPr="005C5E32">
        <w:rPr>
          <w:bCs/>
        </w:rPr>
        <w:t xml:space="preserve">development and building. </w:t>
      </w:r>
    </w:p>
    <w:p w14:paraId="00F3F2B9" w14:textId="77777777" w:rsidR="00D06CB2" w:rsidRPr="005C5E32" w:rsidRDefault="00D06CB2">
      <w:pPr>
        <w:pStyle w:val="Bullet"/>
        <w:rPr>
          <w:bCs/>
        </w:rPr>
      </w:pPr>
      <w:r w:rsidRPr="005C5E32">
        <w:rPr>
          <w:b/>
        </w:rPr>
        <w:t>Product stewardship fees from tyres:</w:t>
      </w:r>
      <w:r w:rsidRPr="005C5E32">
        <w:rPr>
          <w:bCs/>
        </w:rPr>
        <w:t xml:space="preserve"> The revenue collected from the tyre fees was lower than mains forecast due to the current economic conditions, which led</w:t>
      </w:r>
      <w:r w:rsidRPr="005C5E32" w:rsidDel="00B14B97">
        <w:rPr>
          <w:bCs/>
        </w:rPr>
        <w:t xml:space="preserve"> </w:t>
      </w:r>
      <w:r w:rsidRPr="005C5E32">
        <w:rPr>
          <w:bCs/>
        </w:rPr>
        <w:t xml:space="preserve">to a reduction in imports and in purchasing of tyres. </w:t>
      </w:r>
    </w:p>
    <w:p w14:paraId="29B34E11" w14:textId="53595A35" w:rsidR="00D06CB2" w:rsidRPr="005C5E32" w:rsidRDefault="00984D38">
      <w:pPr>
        <w:pStyle w:val="BodyText"/>
      </w:pPr>
      <w:r w:rsidRPr="005C5E32">
        <w:rPr>
          <w:b/>
          <w:bCs/>
        </w:rPr>
        <w:t>Surrender of New Zealand Units</w:t>
      </w:r>
      <w:r w:rsidR="00D06CB2" w:rsidRPr="005C5E32">
        <w:rPr>
          <w:b/>
          <w:bCs/>
        </w:rPr>
        <w:t>:</w:t>
      </w:r>
      <w:r w:rsidR="00D06CB2" w:rsidRPr="005C5E32">
        <w:t xml:space="preserve"> The actual revenue from emitters surrendering units under the NZ ETS</w:t>
      </w:r>
      <w:r w:rsidR="00D06CB2" w:rsidRPr="005C5E32" w:rsidDel="00B83384">
        <w:t xml:space="preserve"> </w:t>
      </w:r>
      <w:r w:rsidR="00D06CB2" w:rsidRPr="005C5E32">
        <w:t>was lower than mains forecast primarily because forestry and industrial sector participants surrendered</w:t>
      </w:r>
      <w:r w:rsidR="00D06CB2" w:rsidRPr="005C5E32" w:rsidDel="00671163">
        <w:t xml:space="preserve"> lower</w:t>
      </w:r>
      <w:r w:rsidR="00D06CB2" w:rsidRPr="005C5E32">
        <w:t>-</w:t>
      </w:r>
      <w:r w:rsidR="00D06CB2" w:rsidRPr="005C5E32" w:rsidDel="00671163">
        <w:t>than</w:t>
      </w:r>
      <w:r w:rsidR="00D06CB2" w:rsidRPr="005C5E32">
        <w:t xml:space="preserve">-expected units. In addition, the price of NZUs remained lower during the year. </w:t>
      </w:r>
    </w:p>
    <w:p w14:paraId="5EC6B81E" w14:textId="77777777" w:rsidR="00D06CB2" w:rsidRPr="005C5E32" w:rsidRDefault="00D06CB2">
      <w:pPr>
        <w:pStyle w:val="BodyText"/>
      </w:pPr>
      <w:r w:rsidRPr="005C5E32">
        <w:rPr>
          <w:b/>
          <w:bCs/>
        </w:rPr>
        <w:t>NZ ETS penalty revenue:</w:t>
      </w:r>
      <w:r w:rsidRPr="005C5E32">
        <w:t xml:space="preserve"> The receipts from the NZ ETS penalties often involve a fine per unit for late or inaccurate returns, or a surrender/repayment penalty for failing to surrender or repay units on time. The penalties are intended to be a deterrent to non-compliance with reporting, surrender and repayment requirements, and to ensure the integrity of the NZ ETS.</w:t>
      </w:r>
    </w:p>
    <w:p w14:paraId="0892495B" w14:textId="77777777" w:rsidR="00D06CB2" w:rsidRPr="005C5E32" w:rsidRDefault="00D06CB2">
      <w:pPr>
        <w:pStyle w:val="BodyText"/>
      </w:pPr>
      <w:r w:rsidRPr="005C5E32">
        <w:rPr>
          <w:b/>
          <w:bCs/>
        </w:rPr>
        <w:t>Net changes in carbon price of New Zealand Units:</w:t>
      </w:r>
      <w:r w:rsidRPr="005C5E32">
        <w:t xml:space="preserve"> The actual revenue recognised is in relation to changes in the carbon price of NZUs. This is because the price of NZUs remained lower during the year. These changes are considered as a remeasurement under the Public Finance Act 1989 and do not require appropriation. </w:t>
      </w:r>
    </w:p>
    <w:p w14:paraId="6F14D9CF" w14:textId="77777777" w:rsidR="00D06CB2" w:rsidRPr="005C5E32" w:rsidRDefault="00D06CB2">
      <w:pPr>
        <w:pStyle w:val="Heading4"/>
        <w:tabs>
          <w:tab w:val="clear" w:pos="851"/>
          <w:tab w:val="left" w:pos="567"/>
        </w:tabs>
        <w:spacing w:before="240" w:after="240"/>
      </w:pPr>
      <w:r w:rsidRPr="005C5E32">
        <w:t>(ii)</w:t>
      </w:r>
      <w:r w:rsidRPr="005C5E32">
        <w:tab/>
        <w:t>Schedule of non-departmental expenses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293"/>
        <w:gridCol w:w="1404"/>
        <w:gridCol w:w="1404"/>
        <w:gridCol w:w="1404"/>
      </w:tblGrid>
      <w:tr w:rsidR="00D06CB2" w:rsidRPr="005C5E32" w14:paraId="071E3333" w14:textId="77777777">
        <w:tc>
          <w:tcPr>
            <w:tcW w:w="4293" w:type="dxa"/>
            <w:tcBorders>
              <w:top w:val="single" w:sz="8" w:space="0" w:color="0E7C7E"/>
              <w:bottom w:val="single" w:sz="2" w:space="0" w:color="58595B"/>
            </w:tcBorders>
          </w:tcPr>
          <w:p w14:paraId="0DF4CB6B" w14:textId="77777777" w:rsidR="00D06CB2" w:rsidRPr="005C5E32" w:rsidRDefault="00D06CB2">
            <w:pPr>
              <w:pStyle w:val="TableboldGreen"/>
              <w:spacing w:before="40" w:after="40"/>
              <w:jc w:val="right"/>
            </w:pPr>
          </w:p>
        </w:tc>
        <w:tc>
          <w:tcPr>
            <w:tcW w:w="1404" w:type="dxa"/>
            <w:tcBorders>
              <w:top w:val="single" w:sz="8" w:space="0" w:color="0E7C7E"/>
              <w:bottom w:val="single" w:sz="2" w:space="0" w:color="58595B"/>
            </w:tcBorders>
            <w:shd w:val="clear" w:color="auto" w:fill="E7F2F2"/>
            <w:vAlign w:val="bottom"/>
          </w:tcPr>
          <w:p w14:paraId="032C8D09" w14:textId="77777777" w:rsidR="00D06CB2" w:rsidRPr="005C5E32" w:rsidRDefault="00D06CB2">
            <w:pPr>
              <w:pStyle w:val="TableboldGreen"/>
              <w:spacing w:before="40" w:after="40"/>
              <w:jc w:val="right"/>
              <w:rPr>
                <w:rFonts w:eastAsia="Lato"/>
              </w:rPr>
            </w:pPr>
            <w:r w:rsidRPr="005C5E32">
              <w:rPr>
                <w:rFonts w:eastAsia="Lato"/>
                <w:color w:val="0E7C7E"/>
              </w:rPr>
              <w:t>2025/26</w:t>
            </w:r>
            <w:r w:rsidRPr="005C5E32">
              <w:rPr>
                <w:rFonts w:eastAsia="Lato"/>
                <w:color w:val="0E7C7E"/>
              </w:rPr>
              <w:br/>
              <w:t>Actual</w:t>
            </w:r>
            <w:r w:rsidRPr="005C5E32">
              <w:rPr>
                <w:rFonts w:eastAsia="Lato"/>
                <w:color w:val="0E7C7E"/>
              </w:rPr>
              <w:br/>
              <w:t>$000</w:t>
            </w:r>
          </w:p>
        </w:tc>
        <w:tc>
          <w:tcPr>
            <w:tcW w:w="1404" w:type="dxa"/>
            <w:tcBorders>
              <w:top w:val="single" w:sz="8" w:space="0" w:color="0E7C7E"/>
              <w:bottom w:val="single" w:sz="2" w:space="0" w:color="58595B"/>
            </w:tcBorders>
            <w:vAlign w:val="bottom"/>
          </w:tcPr>
          <w:p w14:paraId="5F2B387B" w14:textId="77777777" w:rsidR="00D06CB2" w:rsidRPr="005C5E32" w:rsidRDefault="00D06CB2">
            <w:pPr>
              <w:pStyle w:val="TableboldGreen"/>
              <w:spacing w:before="40" w:after="40"/>
              <w:jc w:val="right"/>
              <w:rPr>
                <w:rFonts w:eastAsia="Lato"/>
              </w:rPr>
            </w:pPr>
            <w:r w:rsidRPr="005C5E32">
              <w:rPr>
                <w:rFonts w:eastAsia="Lato"/>
                <w:color w:val="0E7C7E"/>
              </w:rPr>
              <w:t>2025/26</w:t>
            </w:r>
            <w:r w:rsidRPr="005C5E32">
              <w:rPr>
                <w:rFonts w:eastAsia="Lato"/>
                <w:color w:val="0E7C7E"/>
              </w:rPr>
              <w:br/>
              <w:t>Mains</w:t>
            </w:r>
            <w:r w:rsidRPr="005C5E32">
              <w:rPr>
                <w:rFonts w:eastAsia="Lato"/>
                <w:color w:val="0E7C7E"/>
                <w:w w:val="99"/>
              </w:rPr>
              <w:t xml:space="preserve"> </w:t>
            </w:r>
            <w:r w:rsidRPr="005C5E32" w:rsidDel="00290BA0">
              <w:rPr>
                <w:rFonts w:eastAsia="Lato"/>
                <w:color w:val="0E7C7E"/>
                <w:w w:val="95"/>
              </w:rPr>
              <w:t>F</w:t>
            </w:r>
            <w:r w:rsidRPr="005C5E32">
              <w:rPr>
                <w:rFonts w:eastAsia="Lato"/>
                <w:color w:val="0E7C7E"/>
                <w:w w:val="95"/>
              </w:rPr>
              <w:t>orecast</w:t>
            </w:r>
            <w:r w:rsidRPr="005C5E32">
              <w:rPr>
                <w:rFonts w:eastAsia="Lato"/>
                <w:color w:val="0E7C7E"/>
                <w:w w:val="95"/>
              </w:rPr>
              <w:br/>
            </w:r>
            <w:r w:rsidRPr="005C5E32">
              <w:rPr>
                <w:rFonts w:eastAsia="Lato"/>
                <w:color w:val="0E7C7E"/>
              </w:rPr>
              <w:t>$000</w:t>
            </w:r>
          </w:p>
        </w:tc>
        <w:tc>
          <w:tcPr>
            <w:tcW w:w="1404" w:type="dxa"/>
            <w:tcBorders>
              <w:top w:val="single" w:sz="8" w:space="0" w:color="0E7C7E"/>
              <w:bottom w:val="single" w:sz="2" w:space="0" w:color="58595B"/>
            </w:tcBorders>
            <w:vAlign w:val="bottom"/>
          </w:tcPr>
          <w:p w14:paraId="1822B8F4" w14:textId="77777777" w:rsidR="00D06CB2" w:rsidRPr="005C5E32" w:rsidRDefault="00D06CB2">
            <w:pPr>
              <w:pStyle w:val="TableboldGreen"/>
              <w:spacing w:before="40" w:after="40"/>
              <w:jc w:val="right"/>
              <w:rPr>
                <w:rFonts w:eastAsia="Lato"/>
              </w:rPr>
            </w:pPr>
            <w:r w:rsidRPr="005C5E32">
              <w:rPr>
                <w:rFonts w:eastAsia="Lato"/>
                <w:color w:val="0E7C7E"/>
              </w:rPr>
              <w:t>2025/26</w:t>
            </w:r>
            <w:r w:rsidRPr="005C5E32">
              <w:rPr>
                <w:rFonts w:eastAsia="Lato"/>
                <w:color w:val="0E7C7E"/>
              </w:rPr>
              <w:br/>
              <w:t>Variance</w:t>
            </w:r>
            <w:r w:rsidRPr="005C5E32">
              <w:rPr>
                <w:rFonts w:eastAsia="Lato"/>
                <w:color w:val="0E7C7E"/>
              </w:rPr>
              <w:br/>
              <w:t>$000</w:t>
            </w:r>
          </w:p>
        </w:tc>
      </w:tr>
      <w:tr w:rsidR="00D06CB2" w:rsidRPr="005C5E32" w14:paraId="664E83F6" w14:textId="77777777">
        <w:tc>
          <w:tcPr>
            <w:tcW w:w="4293" w:type="dxa"/>
            <w:tcBorders>
              <w:top w:val="single" w:sz="2" w:space="0" w:color="58595B"/>
              <w:bottom w:val="single" w:sz="2" w:space="0" w:color="58595B"/>
            </w:tcBorders>
          </w:tcPr>
          <w:p w14:paraId="2C9ED4BD" w14:textId="77777777" w:rsidR="00D06CB2" w:rsidRPr="005C5E32" w:rsidRDefault="00D06CB2">
            <w:pPr>
              <w:pStyle w:val="TableText"/>
              <w:spacing w:before="40" w:after="40"/>
            </w:pPr>
            <w:r w:rsidRPr="005C5E32">
              <w:t>Grants and settlements</w:t>
            </w:r>
          </w:p>
        </w:tc>
        <w:tc>
          <w:tcPr>
            <w:tcW w:w="1404" w:type="dxa"/>
            <w:tcBorders>
              <w:top w:val="single" w:sz="2" w:space="0" w:color="58595B"/>
              <w:bottom w:val="single" w:sz="2" w:space="0" w:color="58595B"/>
            </w:tcBorders>
            <w:shd w:val="clear" w:color="auto" w:fill="E7F2F2"/>
          </w:tcPr>
          <w:p w14:paraId="64542CC0" w14:textId="77777777" w:rsidR="00D06CB2" w:rsidRPr="005C5E32" w:rsidRDefault="00D06CB2">
            <w:pPr>
              <w:pStyle w:val="TableText"/>
              <w:spacing w:before="40" w:after="40"/>
              <w:jc w:val="right"/>
            </w:pPr>
            <w:r w:rsidRPr="005C5E32">
              <w:t>124,331</w:t>
            </w:r>
          </w:p>
        </w:tc>
        <w:tc>
          <w:tcPr>
            <w:tcW w:w="1404" w:type="dxa"/>
            <w:tcBorders>
              <w:top w:val="single" w:sz="2" w:space="0" w:color="58595B"/>
              <w:bottom w:val="single" w:sz="2" w:space="0" w:color="58595B"/>
            </w:tcBorders>
          </w:tcPr>
          <w:p w14:paraId="0C45B6A4" w14:textId="77777777" w:rsidR="00D06CB2" w:rsidRPr="005C5E32" w:rsidRDefault="00D06CB2">
            <w:pPr>
              <w:pStyle w:val="TableText"/>
              <w:spacing w:before="40" w:after="40"/>
              <w:jc w:val="right"/>
            </w:pPr>
            <w:r w:rsidRPr="005C5E32">
              <w:t>211,907</w:t>
            </w:r>
          </w:p>
        </w:tc>
        <w:tc>
          <w:tcPr>
            <w:tcW w:w="1404" w:type="dxa"/>
            <w:tcBorders>
              <w:top w:val="single" w:sz="2" w:space="0" w:color="58595B"/>
              <w:bottom w:val="single" w:sz="2" w:space="0" w:color="58595B"/>
            </w:tcBorders>
          </w:tcPr>
          <w:p w14:paraId="697C72D7" w14:textId="77777777" w:rsidR="00D06CB2" w:rsidRPr="005C5E32" w:rsidRDefault="00D06CB2">
            <w:pPr>
              <w:pStyle w:val="TableText"/>
              <w:spacing w:before="40" w:after="40"/>
              <w:jc w:val="right"/>
            </w:pPr>
            <w:r w:rsidRPr="005C5E32">
              <w:t>(87,576)</w:t>
            </w:r>
          </w:p>
        </w:tc>
      </w:tr>
      <w:tr w:rsidR="00D06CB2" w:rsidRPr="005C5E32" w14:paraId="2A446309" w14:textId="77777777">
        <w:tc>
          <w:tcPr>
            <w:tcW w:w="4293" w:type="dxa"/>
            <w:tcBorders>
              <w:top w:val="single" w:sz="2" w:space="0" w:color="58595B"/>
              <w:bottom w:val="single" w:sz="2" w:space="0" w:color="58595B"/>
            </w:tcBorders>
          </w:tcPr>
          <w:p w14:paraId="6D2956BF" w14:textId="77777777" w:rsidR="00D06CB2" w:rsidRPr="005C5E32" w:rsidRDefault="00D06CB2">
            <w:pPr>
              <w:pStyle w:val="TableText"/>
              <w:spacing w:before="40" w:after="40"/>
            </w:pPr>
            <w:r w:rsidRPr="005C5E32">
              <w:t>Allocation of New Zealand Units</w:t>
            </w:r>
          </w:p>
        </w:tc>
        <w:tc>
          <w:tcPr>
            <w:tcW w:w="1404" w:type="dxa"/>
            <w:tcBorders>
              <w:top w:val="single" w:sz="2" w:space="0" w:color="58595B"/>
              <w:bottom w:val="single" w:sz="2" w:space="0" w:color="58595B"/>
            </w:tcBorders>
            <w:shd w:val="clear" w:color="auto" w:fill="E7F2F2"/>
          </w:tcPr>
          <w:p w14:paraId="65F1CA2E" w14:textId="77777777" w:rsidR="00D06CB2" w:rsidRPr="005C5E32" w:rsidRDefault="00D06CB2">
            <w:pPr>
              <w:pStyle w:val="TableText"/>
              <w:spacing w:before="40" w:after="40"/>
              <w:jc w:val="right"/>
            </w:pPr>
            <w:r w:rsidRPr="005C5E32">
              <w:t>1,325,212</w:t>
            </w:r>
          </w:p>
        </w:tc>
        <w:tc>
          <w:tcPr>
            <w:tcW w:w="1404" w:type="dxa"/>
            <w:tcBorders>
              <w:top w:val="single" w:sz="2" w:space="0" w:color="58595B"/>
              <w:bottom w:val="single" w:sz="2" w:space="0" w:color="58595B"/>
            </w:tcBorders>
          </w:tcPr>
          <w:p w14:paraId="07E63D07" w14:textId="77777777" w:rsidR="00D06CB2" w:rsidRPr="005C5E32" w:rsidRDefault="00D06CB2">
            <w:pPr>
              <w:pStyle w:val="TableText"/>
              <w:spacing w:before="40" w:after="40"/>
              <w:jc w:val="right"/>
            </w:pPr>
            <w:r w:rsidRPr="005C5E32">
              <w:t>1,174,232</w:t>
            </w:r>
          </w:p>
        </w:tc>
        <w:tc>
          <w:tcPr>
            <w:tcW w:w="1404" w:type="dxa"/>
            <w:tcBorders>
              <w:top w:val="single" w:sz="2" w:space="0" w:color="58595B"/>
              <w:bottom w:val="single" w:sz="2" w:space="0" w:color="58595B"/>
            </w:tcBorders>
          </w:tcPr>
          <w:p w14:paraId="26BFE1C1" w14:textId="77777777" w:rsidR="00D06CB2" w:rsidRPr="005C5E32" w:rsidRDefault="00D06CB2">
            <w:pPr>
              <w:pStyle w:val="TableText"/>
              <w:spacing w:before="40" w:after="40"/>
              <w:jc w:val="right"/>
            </w:pPr>
            <w:r w:rsidRPr="005C5E32">
              <w:t>150,980</w:t>
            </w:r>
          </w:p>
        </w:tc>
      </w:tr>
      <w:tr w:rsidR="00D06CB2" w:rsidRPr="005C5E32" w14:paraId="4AA10AC0" w14:textId="77777777">
        <w:tc>
          <w:tcPr>
            <w:tcW w:w="4293" w:type="dxa"/>
            <w:tcBorders>
              <w:top w:val="single" w:sz="2" w:space="0" w:color="58595B"/>
              <w:bottom w:val="single" w:sz="2" w:space="0" w:color="58595B"/>
            </w:tcBorders>
          </w:tcPr>
          <w:p w14:paraId="1C981368" w14:textId="77777777" w:rsidR="00D06CB2" w:rsidRPr="005C5E32" w:rsidRDefault="00D06CB2">
            <w:pPr>
              <w:pStyle w:val="TableText"/>
              <w:spacing w:before="40" w:after="40"/>
            </w:pPr>
            <w:r w:rsidRPr="005C5E32">
              <w:t>Disbursements to territorial local authorities</w:t>
            </w:r>
          </w:p>
        </w:tc>
        <w:tc>
          <w:tcPr>
            <w:tcW w:w="1404" w:type="dxa"/>
            <w:tcBorders>
              <w:top w:val="single" w:sz="2" w:space="0" w:color="58595B"/>
              <w:bottom w:val="single" w:sz="2" w:space="0" w:color="58595B"/>
            </w:tcBorders>
            <w:shd w:val="clear" w:color="auto" w:fill="E7F2F2"/>
          </w:tcPr>
          <w:p w14:paraId="112D4D08" w14:textId="77777777" w:rsidR="00D06CB2" w:rsidRPr="005C5E32" w:rsidRDefault="00D06CB2">
            <w:pPr>
              <w:pStyle w:val="TableText"/>
              <w:spacing w:before="40" w:after="40"/>
              <w:jc w:val="right"/>
            </w:pPr>
            <w:r w:rsidRPr="005C5E32">
              <w:t>108,623</w:t>
            </w:r>
          </w:p>
        </w:tc>
        <w:tc>
          <w:tcPr>
            <w:tcW w:w="1404" w:type="dxa"/>
            <w:tcBorders>
              <w:top w:val="single" w:sz="2" w:space="0" w:color="58595B"/>
              <w:bottom w:val="single" w:sz="2" w:space="0" w:color="58595B"/>
            </w:tcBorders>
          </w:tcPr>
          <w:p w14:paraId="11F0F3FE" w14:textId="77777777" w:rsidR="00D06CB2" w:rsidRPr="005C5E32" w:rsidRDefault="00D06CB2">
            <w:pPr>
              <w:pStyle w:val="TableText"/>
              <w:spacing w:before="40" w:after="40"/>
              <w:jc w:val="right"/>
            </w:pPr>
            <w:r w:rsidRPr="005C5E32">
              <w:t>127,861</w:t>
            </w:r>
          </w:p>
        </w:tc>
        <w:tc>
          <w:tcPr>
            <w:tcW w:w="1404" w:type="dxa"/>
            <w:tcBorders>
              <w:top w:val="single" w:sz="2" w:space="0" w:color="58595B"/>
              <w:bottom w:val="single" w:sz="2" w:space="0" w:color="58595B"/>
            </w:tcBorders>
          </w:tcPr>
          <w:p w14:paraId="63CD00B5" w14:textId="77777777" w:rsidR="00D06CB2" w:rsidRPr="005C5E32" w:rsidRDefault="00D06CB2">
            <w:pPr>
              <w:pStyle w:val="TableText"/>
              <w:spacing w:before="40" w:after="40"/>
              <w:jc w:val="right"/>
            </w:pPr>
            <w:r w:rsidRPr="005C5E32">
              <w:t>(19,238)</w:t>
            </w:r>
          </w:p>
        </w:tc>
      </w:tr>
      <w:tr w:rsidR="00D06CB2" w:rsidRPr="005C5E32" w14:paraId="2C78804D" w14:textId="77777777">
        <w:tc>
          <w:tcPr>
            <w:tcW w:w="4293" w:type="dxa"/>
            <w:tcBorders>
              <w:top w:val="single" w:sz="2" w:space="0" w:color="58595B"/>
              <w:bottom w:val="single" w:sz="2" w:space="0" w:color="58595B"/>
            </w:tcBorders>
          </w:tcPr>
          <w:p w14:paraId="1F265047" w14:textId="77777777" w:rsidR="00D06CB2" w:rsidRPr="005C5E32" w:rsidRDefault="00D06CB2">
            <w:pPr>
              <w:pStyle w:val="TableText"/>
              <w:spacing w:before="40" w:after="40"/>
            </w:pPr>
            <w:r w:rsidRPr="005C5E32">
              <w:t>Loss on sale of New Zealand Units</w:t>
            </w:r>
          </w:p>
        </w:tc>
        <w:tc>
          <w:tcPr>
            <w:tcW w:w="1404" w:type="dxa"/>
            <w:tcBorders>
              <w:top w:val="single" w:sz="2" w:space="0" w:color="58595B"/>
              <w:bottom w:val="single" w:sz="2" w:space="0" w:color="58595B"/>
            </w:tcBorders>
            <w:shd w:val="clear" w:color="auto" w:fill="E7F2F2"/>
          </w:tcPr>
          <w:p w14:paraId="1BE2762F" w14:textId="77777777" w:rsidR="00D06CB2" w:rsidRPr="005C5E32" w:rsidRDefault="00D06CB2">
            <w:pPr>
              <w:pStyle w:val="TableText"/>
              <w:spacing w:before="40" w:after="40"/>
              <w:jc w:val="right"/>
            </w:pPr>
            <w:r w:rsidRPr="005C5E32">
              <w:t>4,821</w:t>
            </w:r>
          </w:p>
        </w:tc>
        <w:tc>
          <w:tcPr>
            <w:tcW w:w="1404" w:type="dxa"/>
            <w:tcBorders>
              <w:top w:val="single" w:sz="2" w:space="0" w:color="58595B"/>
              <w:bottom w:val="single" w:sz="2" w:space="0" w:color="58595B"/>
            </w:tcBorders>
          </w:tcPr>
          <w:p w14:paraId="59DC9A00" w14:textId="77777777" w:rsidR="00D06CB2" w:rsidRPr="005C5E32" w:rsidRDefault="00D06CB2">
            <w:pPr>
              <w:pStyle w:val="TableText"/>
              <w:spacing w:before="40" w:after="40"/>
              <w:jc w:val="right"/>
            </w:pPr>
            <w:r w:rsidRPr="005C5E32">
              <w:t>–</w:t>
            </w:r>
          </w:p>
        </w:tc>
        <w:tc>
          <w:tcPr>
            <w:tcW w:w="1404" w:type="dxa"/>
            <w:tcBorders>
              <w:top w:val="single" w:sz="2" w:space="0" w:color="58595B"/>
              <w:bottom w:val="single" w:sz="2" w:space="0" w:color="58595B"/>
            </w:tcBorders>
          </w:tcPr>
          <w:p w14:paraId="7F0CE34A" w14:textId="77777777" w:rsidR="00D06CB2" w:rsidRPr="005C5E32" w:rsidRDefault="00D06CB2">
            <w:pPr>
              <w:pStyle w:val="TableText"/>
              <w:spacing w:before="40" w:after="40"/>
              <w:jc w:val="right"/>
            </w:pPr>
            <w:r w:rsidRPr="005C5E32">
              <w:t>4,821</w:t>
            </w:r>
          </w:p>
        </w:tc>
      </w:tr>
    </w:tbl>
    <w:p w14:paraId="25DECB89" w14:textId="77777777" w:rsidR="00D06CB2" w:rsidRPr="005C5E32" w:rsidRDefault="00D06CB2">
      <w:pPr>
        <w:pStyle w:val="BodyText"/>
        <w:spacing w:before="240" w:after="100"/>
      </w:pPr>
      <w:r w:rsidRPr="005C5E32">
        <w:rPr>
          <w:b/>
          <w:bCs/>
        </w:rPr>
        <w:t>Grants and settlements:</w:t>
      </w:r>
      <w:r w:rsidRPr="005C5E32">
        <w:t xml:space="preserve"> Expenditure on grants and settlements was lower than mains forecast primarily due to the following.</w:t>
      </w:r>
    </w:p>
    <w:p w14:paraId="6F331E22" w14:textId="6E6421DD" w:rsidR="00D06CB2" w:rsidRPr="005C5E32" w:rsidRDefault="00D06CB2">
      <w:pPr>
        <w:pStyle w:val="Bullet"/>
      </w:pPr>
      <w:r w:rsidRPr="005C5E32">
        <w:rPr>
          <w:b/>
          <w:bCs/>
          <w:spacing w:val="-2"/>
        </w:rPr>
        <w:t>Contestable Waste Minimisation Fund:</w:t>
      </w:r>
      <w:r w:rsidRPr="005C5E32">
        <w:rPr>
          <w:spacing w:val="-2"/>
        </w:rPr>
        <w:t xml:space="preserve"> The Fund met its FY25/26 target of awarding $30</w:t>
      </w:r>
      <w:r w:rsidR="004729FE" w:rsidRPr="005C5E32">
        <w:rPr>
          <w:spacing w:val="-2"/>
        </w:rPr>
        <w:t> </w:t>
      </w:r>
      <w:r w:rsidRPr="005C5E32">
        <w:rPr>
          <w:spacing w:val="-2"/>
        </w:rPr>
        <w:t>million to new initiatives. Funding awarded to successful projects is spent over multiple</w:t>
      </w:r>
      <w:r w:rsidRPr="005C5E32">
        <w:t xml:space="preserve"> years. Actual expenditure was lower than the mains forecast due to the withdrawal or termination of some projects, including where agreed condition precedents were not met</w:t>
      </w:r>
      <w:r w:rsidR="004729FE" w:rsidRPr="005C5E32">
        <w:t> </w:t>
      </w:r>
      <w:r w:rsidRPr="005C5E32">
        <w:t>or because of kerbside organics implementation not being mandated. In addition, a range of factors contributed to delays in expenditure for some projects, including delays in meeting stage gate requirements, consenting delays, deteriorated economic conditions or other project-specific issues.</w:t>
      </w:r>
    </w:p>
    <w:p w14:paraId="1717F69D" w14:textId="77777777" w:rsidR="00D06CB2" w:rsidRPr="005C5E32" w:rsidRDefault="00D06CB2" w:rsidP="00E230FA">
      <w:pPr>
        <w:pStyle w:val="Bullet"/>
        <w:spacing w:after="100" w:line="276" w:lineRule="atLeast"/>
      </w:pPr>
      <w:r w:rsidRPr="005C5E32">
        <w:rPr>
          <w:b/>
          <w:bCs/>
        </w:rPr>
        <w:lastRenderedPageBreak/>
        <w:t>Environmental Investment Fund:</w:t>
      </w:r>
      <w:r w:rsidRPr="005C5E32">
        <w:t xml:space="preserve"> This fund is set up as an umbrella funding category that includes multiple investment programmes and a revenue forecasting buffer. Expenditure was lower than mains forecast primarily due to the following.</w:t>
      </w:r>
    </w:p>
    <w:p w14:paraId="0D5CAD0B" w14:textId="1DFDE9D9" w:rsidR="00D06CB2" w:rsidRPr="005C5E32" w:rsidRDefault="00D06CB2" w:rsidP="00285480">
      <w:pPr>
        <w:pStyle w:val="Sub-list"/>
        <w:spacing w:after="100"/>
      </w:pPr>
      <w:r w:rsidRPr="005C5E32">
        <w:rPr>
          <w:b/>
          <w:bCs/>
        </w:rPr>
        <w:t>Contaminated Sites and Vulnerable Landfills Fund:</w:t>
      </w:r>
      <w:r w:rsidRPr="005C5E32">
        <w:t xml:space="preserve"> Local government reform and competing demands have complicated councils</w:t>
      </w:r>
      <w:r w:rsidR="00285480" w:rsidRPr="005C5E32">
        <w:t>’</w:t>
      </w:r>
      <w:r w:rsidRPr="005C5E32">
        <w:t xml:space="preserve"> Long Term Plan development and affected their ability to progress applications to the fund in a timely manner. Together with expenditure delays and underspends across several funded projects, this resulted in expenditure being lower than forecast.</w:t>
      </w:r>
    </w:p>
    <w:p w14:paraId="376747D4" w14:textId="77777777" w:rsidR="00D06CB2" w:rsidRPr="005C5E32" w:rsidRDefault="00D06CB2" w:rsidP="00285480">
      <w:pPr>
        <w:pStyle w:val="Sub-list"/>
        <w:spacing w:after="100"/>
      </w:pPr>
      <w:r w:rsidRPr="005C5E32">
        <w:rPr>
          <w:b/>
          <w:bCs/>
        </w:rPr>
        <w:t xml:space="preserve">Emergency Waste Funding: </w:t>
      </w:r>
      <w:r w:rsidRPr="005C5E32">
        <w:t>This funding supports local authorities to respond rapidly to emergency events that pose waste-related risks to human health and the environment. As there is no fixed annual allocation for this funding, budget from other Environmental Investment Fund programmes that was not going to be spent this year was retained rather than rephased to maintain flexibility to respond to emergency events if required.</w:t>
      </w:r>
    </w:p>
    <w:p w14:paraId="103B58C6" w14:textId="25925C95" w:rsidR="00D06CB2" w:rsidRPr="005C5E32" w:rsidRDefault="00D06CB2" w:rsidP="00285480">
      <w:pPr>
        <w:pStyle w:val="Sub-list"/>
        <w:spacing w:after="100"/>
      </w:pPr>
      <w:r w:rsidRPr="005C5E32">
        <w:rPr>
          <w:b/>
          <w:bCs/>
        </w:rPr>
        <w:t>Freshwater Improvement Fund:</w:t>
      </w:r>
      <w:r w:rsidRPr="005C5E32">
        <w:t xml:space="preserve"> Expenditure was lower than forecast due to project underspends, changes in expenditure timing for a small number of projects, and the rephasing of freshwater farm plan implementation funding pending improvements to the </w:t>
      </w:r>
      <w:r w:rsidR="00246D34">
        <w:t>F</w:t>
      </w:r>
      <w:r w:rsidRPr="005C5E32">
        <w:t xml:space="preserve">reshwater </w:t>
      </w:r>
      <w:r w:rsidR="00246D34">
        <w:t>F</w:t>
      </w:r>
      <w:r w:rsidRPr="005C5E32">
        <w:t xml:space="preserve">arm </w:t>
      </w:r>
      <w:r w:rsidR="00246D34">
        <w:t>P</w:t>
      </w:r>
      <w:r w:rsidRPr="005C5E32">
        <w:t>lan regulations.</w:t>
      </w:r>
    </w:p>
    <w:p w14:paraId="4FC965B7" w14:textId="77777777" w:rsidR="00D06CB2" w:rsidRPr="005C5E32" w:rsidRDefault="00D06CB2" w:rsidP="00DB2C44">
      <w:pPr>
        <w:pStyle w:val="Sub-list"/>
      </w:pPr>
      <w:r w:rsidRPr="005C5E32">
        <w:rPr>
          <w:b/>
          <w:bCs/>
        </w:rPr>
        <w:t>Kaipara Moana Remediation:</w:t>
      </w:r>
      <w:r w:rsidRPr="005C5E32">
        <w:t xml:space="preserve"> Expenditure was lower than mains forecast. Expenditure was in line with its 2025/26 annual work plan. </w:t>
      </w:r>
    </w:p>
    <w:p w14:paraId="7C5009C0" w14:textId="5B718E2A" w:rsidR="00D06CB2" w:rsidRPr="005C5E32" w:rsidRDefault="00D06CB2" w:rsidP="00285480">
      <w:pPr>
        <w:pStyle w:val="Bullet"/>
        <w:spacing w:after="100"/>
      </w:pPr>
      <w:r w:rsidRPr="005C5E32">
        <w:rPr>
          <w:b/>
          <w:bCs/>
        </w:rPr>
        <w:t>Fresh Start for Fresh Water: Rotorua Te Arawa Lakes Programme</w:t>
      </w:r>
      <w:r w:rsidR="00ED1DF9">
        <w:rPr>
          <w:b/>
          <w:bCs/>
        </w:rPr>
        <w:t>:</w:t>
      </w:r>
      <w:r w:rsidRPr="005C5E32">
        <w:t xml:space="preserve"> Expenditure was lower than mains forecast because the actual deliverables for the project were lower than anticipated for 2025/26.</w:t>
      </w:r>
    </w:p>
    <w:p w14:paraId="7844F337" w14:textId="21DBA8B6" w:rsidR="00BB2B8D" w:rsidRPr="005C5E32" w:rsidRDefault="001F4C90" w:rsidP="00285480">
      <w:pPr>
        <w:pStyle w:val="Bullet"/>
        <w:spacing w:after="100"/>
      </w:pPr>
      <w:r w:rsidRPr="005C5E32">
        <w:rPr>
          <w:b/>
          <w:bCs/>
        </w:rPr>
        <w:t>Tyre stewardship fee disbursements:</w:t>
      </w:r>
      <w:r w:rsidRPr="005C5E32">
        <w:t xml:space="preserve"> </w:t>
      </w:r>
      <w:r w:rsidR="00BB2B8D" w:rsidRPr="005C5E32">
        <w:t xml:space="preserve">Expenditure was lower than the main forecast because revenue collected from tyre fees was lower than anticipated due to current economic conditions, which resulted in reduced tyre imports and lower consumer purchasing. As a result, less funding was available to be paid to the </w:t>
      </w:r>
      <w:r w:rsidR="00284E6C" w:rsidRPr="005C5E32">
        <w:t>p</w:t>
      </w:r>
      <w:r w:rsidR="00BB2B8D" w:rsidRPr="005C5E32">
        <w:t xml:space="preserve">roduct </w:t>
      </w:r>
      <w:r w:rsidR="00284E6C" w:rsidRPr="005C5E32">
        <w:t>s</w:t>
      </w:r>
      <w:r w:rsidR="00BB2B8D" w:rsidRPr="005C5E32">
        <w:t xml:space="preserve">tewardship </w:t>
      </w:r>
      <w:r w:rsidR="00284E6C" w:rsidRPr="005C5E32">
        <w:t>o</w:t>
      </w:r>
      <w:r w:rsidR="00BB2B8D" w:rsidRPr="005C5E32">
        <w:t>rganisation that operates the scheme for managing end-of-life tyres in New Zealand. Any</w:t>
      </w:r>
      <w:r w:rsidR="00FA33C0" w:rsidRPr="005C5E32">
        <w:t> </w:t>
      </w:r>
      <w:r w:rsidR="00BB2B8D" w:rsidRPr="005C5E32">
        <w:t>year-end surplus must be retained within the scheme.</w:t>
      </w:r>
    </w:p>
    <w:p w14:paraId="2592F6A6" w14:textId="77FB14D5" w:rsidR="00D06CB2" w:rsidRPr="005C5E32" w:rsidRDefault="00D06CB2" w:rsidP="00285480">
      <w:pPr>
        <w:pStyle w:val="Bullet"/>
        <w:spacing w:after="100"/>
      </w:pPr>
      <w:r w:rsidRPr="005C5E32">
        <w:rPr>
          <w:b/>
          <w:bCs/>
        </w:rPr>
        <w:t xml:space="preserve">Supporting Equitable Transitions and Climate Resilience for Māori: </w:t>
      </w:r>
      <w:r w:rsidRPr="005C5E32">
        <w:t>Expenditure was lower than the mains forecast due to project delays resulting from a range of factors, including severe weather events and projects requiring additional time to complete planning, procurement, consenting, and delivery activities. In addition, contract negotiations resulted in additional funding being available for a third tranche of projects awarded funding in March 2026, with expenditure now expected in FY26/27.</w:t>
      </w:r>
    </w:p>
    <w:p w14:paraId="120D075D" w14:textId="0148E872" w:rsidR="00D06CB2" w:rsidRPr="005C5E32" w:rsidRDefault="00D06CB2" w:rsidP="00285480">
      <w:pPr>
        <w:pStyle w:val="Bullet"/>
        <w:spacing w:after="100"/>
      </w:pPr>
      <w:r w:rsidRPr="005C5E32">
        <w:rPr>
          <w:b/>
          <w:bCs/>
        </w:rPr>
        <w:t>Allocation of New Zealand Units:</w:t>
      </w:r>
      <w:r w:rsidRPr="005C5E32">
        <w:t xml:space="preserve"> Expenditure was higher than mains forecast primarily because the number of units allocated to forestry was higher than expected due to an increase in forestry registrations in the NZ ETS and because the fourth mandatory emissions reporting period (MERP4) ended on 31 December 2025. This was partially offset</w:t>
      </w:r>
      <w:r w:rsidR="00FA33C0" w:rsidRPr="005C5E32">
        <w:t> </w:t>
      </w:r>
      <w:r w:rsidRPr="005C5E32">
        <w:t>by lower-than-expected units allocated to industrial and other removal sectors.</w:t>
      </w:r>
    </w:p>
    <w:p w14:paraId="18E03216" w14:textId="4D28AFA7" w:rsidR="00D06CB2" w:rsidRPr="005C5E32" w:rsidRDefault="00D06CB2" w:rsidP="00285480">
      <w:pPr>
        <w:pStyle w:val="Bullet"/>
        <w:spacing w:after="100"/>
      </w:pPr>
      <w:r w:rsidRPr="005C5E32">
        <w:rPr>
          <w:b/>
          <w:bCs/>
        </w:rPr>
        <w:t>Disbursements to Territorial Local Authorities:</w:t>
      </w:r>
      <w:r w:rsidRPr="005C5E32" w:rsidDel="006F31D0">
        <w:t xml:space="preserve"> </w:t>
      </w:r>
      <w:r w:rsidRPr="005C5E32">
        <w:t>The actual expenditure was lower than mains forecast because the disbursement to territorial authorities is dependent on revenue collected from the Waste Disposal Levy under the Waste Minimisation Act 2008</w:t>
      </w:r>
      <w:r w:rsidR="00FA33C0" w:rsidRPr="005C5E32">
        <w:t> </w:t>
      </w:r>
      <w:r w:rsidRPr="005C5E32">
        <w:t>during the year. Revenue collected from the Waste Disposal Levy was lower than anticipated for the year.</w:t>
      </w:r>
    </w:p>
    <w:p w14:paraId="6BEE2B6A" w14:textId="77777777" w:rsidR="00D06CB2" w:rsidRPr="005C5E32" w:rsidRDefault="00D06CB2" w:rsidP="00285480">
      <w:pPr>
        <w:pStyle w:val="Bullet"/>
        <w:rPr>
          <w:b/>
          <w:bCs/>
        </w:rPr>
      </w:pPr>
      <w:r w:rsidRPr="005C5E32">
        <w:rPr>
          <w:b/>
          <w:bCs/>
        </w:rPr>
        <w:t xml:space="preserve">Loss on sale of New Zealand Units: </w:t>
      </w:r>
      <w:r w:rsidRPr="005C5E32">
        <w:t>The actual expenditure was higher than mains forecast because the forestry sector participants used the fixed-price option for surrendering units for the emissions that occurred before 2021.</w:t>
      </w:r>
      <w:r w:rsidRPr="005C5E32">
        <w:rPr>
          <w:b/>
          <w:bCs/>
        </w:rPr>
        <w:t xml:space="preserve"> </w:t>
      </w:r>
    </w:p>
    <w:p w14:paraId="2B046EE8" w14:textId="77777777" w:rsidR="00D06CB2" w:rsidRPr="005C5E32" w:rsidRDefault="00D06CB2">
      <w:pPr>
        <w:pStyle w:val="Heading4"/>
        <w:tabs>
          <w:tab w:val="clear" w:pos="851"/>
          <w:tab w:val="left" w:pos="709"/>
        </w:tabs>
        <w:spacing w:after="240"/>
      </w:pPr>
      <w:r w:rsidRPr="005C5E32">
        <w:lastRenderedPageBreak/>
        <w:t>(iii)</w:t>
      </w:r>
      <w:r w:rsidRPr="005C5E32">
        <w:tab/>
        <w:t>Schedule of non-departmental assets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536"/>
        <w:gridCol w:w="1418"/>
        <w:gridCol w:w="1417"/>
        <w:gridCol w:w="1134"/>
      </w:tblGrid>
      <w:tr w:rsidR="00D06CB2" w:rsidRPr="005C5E32" w14:paraId="633A18FA" w14:textId="77777777" w:rsidTr="00FF0EF5">
        <w:tc>
          <w:tcPr>
            <w:tcW w:w="4536" w:type="dxa"/>
            <w:tcBorders>
              <w:top w:val="single" w:sz="8" w:space="0" w:color="0E7C7E"/>
              <w:bottom w:val="single" w:sz="2" w:space="0" w:color="58595B"/>
            </w:tcBorders>
            <w:vAlign w:val="bottom"/>
          </w:tcPr>
          <w:p w14:paraId="641F753F" w14:textId="77777777" w:rsidR="00D06CB2" w:rsidRPr="005C5E32" w:rsidRDefault="00D06CB2">
            <w:pPr>
              <w:pStyle w:val="TableboldGreen"/>
              <w:spacing w:before="40" w:after="40"/>
            </w:pPr>
          </w:p>
        </w:tc>
        <w:tc>
          <w:tcPr>
            <w:tcW w:w="1418" w:type="dxa"/>
            <w:tcBorders>
              <w:top w:val="single" w:sz="8" w:space="0" w:color="0E7C7E"/>
              <w:bottom w:val="single" w:sz="2" w:space="0" w:color="58595B"/>
            </w:tcBorders>
            <w:shd w:val="clear" w:color="auto" w:fill="E7F2F2"/>
            <w:vAlign w:val="bottom"/>
          </w:tcPr>
          <w:p w14:paraId="25E1F038" w14:textId="77777777" w:rsidR="00D06CB2" w:rsidRPr="005C5E32" w:rsidRDefault="00D06CB2">
            <w:pPr>
              <w:pStyle w:val="TableboldGreen"/>
              <w:spacing w:before="40" w:after="40"/>
              <w:jc w:val="right"/>
              <w:rPr>
                <w:rFonts w:eastAsia="Lato"/>
              </w:rPr>
            </w:pPr>
            <w:r w:rsidRPr="005C5E32">
              <w:rPr>
                <w:rFonts w:eastAsia="Lato"/>
                <w:color w:val="0E7C7E"/>
              </w:rPr>
              <w:t>2025/26</w:t>
            </w:r>
            <w:r w:rsidRPr="005C5E32">
              <w:rPr>
                <w:rFonts w:eastAsia="Lato"/>
                <w:color w:val="0E7C7E"/>
              </w:rPr>
              <w:br/>
              <w:t>Actual</w:t>
            </w:r>
            <w:r w:rsidRPr="005C5E32">
              <w:rPr>
                <w:rFonts w:eastAsia="Lato"/>
                <w:color w:val="0E7C7E"/>
              </w:rPr>
              <w:br/>
              <w:t>$000</w:t>
            </w:r>
          </w:p>
        </w:tc>
        <w:tc>
          <w:tcPr>
            <w:tcW w:w="1417" w:type="dxa"/>
            <w:tcBorders>
              <w:top w:val="single" w:sz="8" w:space="0" w:color="0E7C7E"/>
              <w:bottom w:val="single" w:sz="2" w:space="0" w:color="58595B"/>
            </w:tcBorders>
            <w:vAlign w:val="bottom"/>
          </w:tcPr>
          <w:p w14:paraId="67C95142" w14:textId="77777777" w:rsidR="00D06CB2" w:rsidRPr="005C5E32" w:rsidRDefault="00D06CB2">
            <w:pPr>
              <w:pStyle w:val="TableboldGreen"/>
              <w:spacing w:before="40" w:after="40"/>
              <w:jc w:val="right"/>
              <w:rPr>
                <w:rFonts w:eastAsia="Lato"/>
              </w:rPr>
            </w:pPr>
            <w:r w:rsidRPr="005C5E32">
              <w:rPr>
                <w:rFonts w:eastAsia="Lato"/>
                <w:color w:val="0E7C7E"/>
              </w:rPr>
              <w:t>2025/26</w:t>
            </w:r>
            <w:r w:rsidRPr="005C5E32">
              <w:rPr>
                <w:rFonts w:eastAsia="Lato"/>
                <w:color w:val="0E7C7E"/>
              </w:rPr>
              <w:br/>
              <w:t>Mains</w:t>
            </w:r>
            <w:r w:rsidRPr="005C5E32">
              <w:rPr>
                <w:rFonts w:eastAsia="Lato"/>
                <w:color w:val="0E7C7E"/>
                <w:w w:val="99"/>
              </w:rPr>
              <w:t xml:space="preserve"> </w:t>
            </w:r>
            <w:r w:rsidRPr="005C5E32" w:rsidDel="007F69E4">
              <w:rPr>
                <w:rFonts w:eastAsia="Lato"/>
                <w:color w:val="0E7C7E"/>
                <w:w w:val="95"/>
              </w:rPr>
              <w:t>F</w:t>
            </w:r>
            <w:r w:rsidRPr="005C5E32">
              <w:rPr>
                <w:rFonts w:eastAsia="Lato"/>
                <w:color w:val="0E7C7E"/>
                <w:w w:val="95"/>
              </w:rPr>
              <w:t>orecast</w:t>
            </w:r>
            <w:r w:rsidRPr="005C5E32">
              <w:rPr>
                <w:rFonts w:eastAsia="Lato"/>
                <w:color w:val="0E7C7E"/>
                <w:w w:val="95"/>
              </w:rPr>
              <w:br/>
            </w:r>
            <w:r w:rsidRPr="005C5E32">
              <w:rPr>
                <w:rFonts w:eastAsia="Lato"/>
                <w:color w:val="0E7C7E"/>
              </w:rPr>
              <w:t>$000</w:t>
            </w:r>
          </w:p>
        </w:tc>
        <w:tc>
          <w:tcPr>
            <w:tcW w:w="1134" w:type="dxa"/>
            <w:tcBorders>
              <w:top w:val="single" w:sz="8" w:space="0" w:color="0E7C7E"/>
              <w:bottom w:val="single" w:sz="2" w:space="0" w:color="58595B"/>
            </w:tcBorders>
            <w:vAlign w:val="bottom"/>
          </w:tcPr>
          <w:p w14:paraId="313F44AB" w14:textId="2FD7F0B4" w:rsidR="00D06CB2" w:rsidRPr="005C5E32" w:rsidRDefault="00D06CB2">
            <w:pPr>
              <w:pStyle w:val="TableboldGreen"/>
              <w:spacing w:before="40" w:after="40"/>
              <w:jc w:val="right"/>
              <w:rPr>
                <w:rFonts w:eastAsia="Lato"/>
              </w:rPr>
            </w:pPr>
            <w:r w:rsidRPr="005C5E32">
              <w:rPr>
                <w:rFonts w:eastAsia="Lato"/>
              </w:rPr>
              <w:t>2025/26 Variance</w:t>
            </w:r>
            <w:r w:rsidRPr="005C5E32">
              <w:rPr>
                <w:rFonts w:eastAsia="Lato"/>
              </w:rPr>
              <w:br/>
            </w:r>
            <w:r w:rsidR="005B7E42" w:rsidRPr="005C5E32">
              <w:rPr>
                <w:rFonts w:eastAsia="Lato"/>
              </w:rPr>
              <w:t xml:space="preserve"> </w:t>
            </w:r>
            <w:r w:rsidRPr="005C5E32">
              <w:rPr>
                <w:rFonts w:eastAsia="Lato"/>
              </w:rPr>
              <w:t>$000</w:t>
            </w:r>
          </w:p>
        </w:tc>
      </w:tr>
      <w:tr w:rsidR="00D06CB2" w:rsidRPr="005C5E32" w14:paraId="7753FBF1" w14:textId="77777777" w:rsidTr="00FF0EF5">
        <w:tc>
          <w:tcPr>
            <w:tcW w:w="4536" w:type="dxa"/>
            <w:tcBorders>
              <w:top w:val="single" w:sz="2" w:space="0" w:color="58595B"/>
              <w:bottom w:val="single" w:sz="2" w:space="0" w:color="58595B"/>
            </w:tcBorders>
          </w:tcPr>
          <w:p w14:paraId="46DD2C40" w14:textId="77777777" w:rsidR="00D06CB2" w:rsidRPr="005C5E32" w:rsidRDefault="00D06CB2">
            <w:pPr>
              <w:pStyle w:val="TableText"/>
              <w:spacing w:before="40" w:after="40"/>
            </w:pPr>
            <w:r w:rsidRPr="005C5E32">
              <w:t>Receivables</w:t>
            </w:r>
          </w:p>
        </w:tc>
        <w:tc>
          <w:tcPr>
            <w:tcW w:w="1418" w:type="dxa"/>
            <w:tcBorders>
              <w:top w:val="single" w:sz="2" w:space="0" w:color="58595B"/>
              <w:bottom w:val="single" w:sz="2" w:space="0" w:color="58595B"/>
            </w:tcBorders>
            <w:shd w:val="clear" w:color="auto" w:fill="E7F2F2"/>
          </w:tcPr>
          <w:p w14:paraId="2DF76FA3" w14:textId="77777777" w:rsidR="00D06CB2" w:rsidRPr="005C5E32" w:rsidRDefault="00D06CB2">
            <w:pPr>
              <w:pStyle w:val="TableText"/>
              <w:spacing w:before="40" w:after="40"/>
              <w:jc w:val="right"/>
            </w:pPr>
            <w:r w:rsidRPr="005C5E32">
              <w:t>103,325</w:t>
            </w:r>
          </w:p>
        </w:tc>
        <w:tc>
          <w:tcPr>
            <w:tcW w:w="1417" w:type="dxa"/>
            <w:tcBorders>
              <w:top w:val="single" w:sz="2" w:space="0" w:color="58595B"/>
              <w:bottom w:val="single" w:sz="2" w:space="0" w:color="58595B"/>
            </w:tcBorders>
          </w:tcPr>
          <w:p w14:paraId="088298A2" w14:textId="77777777" w:rsidR="00D06CB2" w:rsidRPr="005C5E32" w:rsidRDefault="00D06CB2">
            <w:pPr>
              <w:pStyle w:val="TableText"/>
              <w:spacing w:before="40" w:after="40"/>
              <w:jc w:val="right"/>
            </w:pPr>
            <w:r w:rsidRPr="005C5E32">
              <w:t>57,500</w:t>
            </w:r>
          </w:p>
        </w:tc>
        <w:tc>
          <w:tcPr>
            <w:tcW w:w="1134" w:type="dxa"/>
            <w:tcBorders>
              <w:top w:val="single" w:sz="2" w:space="0" w:color="58595B"/>
              <w:bottom w:val="single" w:sz="2" w:space="0" w:color="58595B"/>
            </w:tcBorders>
          </w:tcPr>
          <w:p w14:paraId="15263F38" w14:textId="77777777" w:rsidR="00D06CB2" w:rsidRPr="005C5E32" w:rsidRDefault="00D06CB2">
            <w:pPr>
              <w:pStyle w:val="TableText"/>
              <w:spacing w:before="40" w:after="40"/>
              <w:jc w:val="right"/>
            </w:pPr>
            <w:r w:rsidRPr="005C5E32">
              <w:t>45,825</w:t>
            </w:r>
          </w:p>
        </w:tc>
      </w:tr>
    </w:tbl>
    <w:p w14:paraId="6BF53A05" w14:textId="2EA5CFB1" w:rsidR="00D06CB2" w:rsidRPr="005C5E32" w:rsidRDefault="00D06CB2" w:rsidP="00FA33C0">
      <w:pPr>
        <w:pStyle w:val="BodyText"/>
        <w:keepNext/>
        <w:keepLines/>
        <w:spacing w:before="240"/>
      </w:pPr>
      <w:r w:rsidRPr="005C5E32">
        <w:rPr>
          <w:b/>
          <w:bCs/>
        </w:rPr>
        <w:t>Receivables:</w:t>
      </w:r>
      <w:r w:rsidRPr="005C5E32">
        <w:t xml:space="preserve"> The higher level of receivables primarily relates to the Waste Disposal Levy received from the landfill facility operators and the fees collected from the Tyrewise</w:t>
      </w:r>
      <w:r w:rsidR="007E023C" w:rsidRPr="005C5E32">
        <w:t xml:space="preserve"> Regulated</w:t>
      </w:r>
      <w:r w:rsidRPr="005C5E32">
        <w:t xml:space="preserve"> </w:t>
      </w:r>
      <w:r w:rsidR="007E023C" w:rsidRPr="005C5E32">
        <w:t>P</w:t>
      </w:r>
      <w:r w:rsidRPr="005C5E32">
        <w:t xml:space="preserve">roduct </w:t>
      </w:r>
      <w:r w:rsidR="007E023C" w:rsidRPr="005C5E32">
        <w:t>S</w:t>
      </w:r>
      <w:r w:rsidRPr="005C5E32">
        <w:t>tewardship scheme. This increase is due to the regulatory changes relating to the expansion and increase of the Waste Disposal Levy.</w:t>
      </w:r>
      <w:r w:rsidR="005B7E42" w:rsidRPr="005C5E32">
        <w:t xml:space="preserve"> </w:t>
      </w:r>
    </w:p>
    <w:p w14:paraId="39BFBA31" w14:textId="77777777" w:rsidR="00D06CB2" w:rsidRPr="005C5E32" w:rsidRDefault="00D06CB2">
      <w:pPr>
        <w:pStyle w:val="Heading4"/>
        <w:tabs>
          <w:tab w:val="clear" w:pos="851"/>
          <w:tab w:val="left" w:pos="709"/>
        </w:tabs>
        <w:spacing w:after="240"/>
        <w:rPr>
          <w:rFonts w:eastAsia="MS Gothic" w:cs="Times New Roman"/>
          <w:b w:val="0"/>
          <w:bCs w:val="0"/>
        </w:rPr>
      </w:pPr>
      <w:r w:rsidRPr="005C5E32">
        <w:rPr>
          <w:rFonts w:eastAsia="MS Gothic" w:cs="Times New Roman"/>
        </w:rPr>
        <w:t>(iv)</w:t>
      </w:r>
      <w:r w:rsidRPr="005C5E32">
        <w:rPr>
          <w:rFonts w:eastAsia="MS Gothic" w:cs="Times New Roman"/>
        </w:rPr>
        <w:tab/>
        <w:t>Schedule of non-</w:t>
      </w:r>
      <w:r w:rsidRPr="005C5E32">
        <w:t>departmental</w:t>
      </w:r>
      <w:r w:rsidRPr="005C5E32">
        <w:rPr>
          <w:rFonts w:eastAsia="MS Gothic" w:cs="Times New Roman"/>
        </w:rPr>
        <w:t xml:space="preserve"> liabilities</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4566"/>
        <w:gridCol w:w="1388"/>
        <w:gridCol w:w="1411"/>
        <w:gridCol w:w="1140"/>
      </w:tblGrid>
      <w:tr w:rsidR="00D06CB2" w:rsidRPr="005C5E32" w14:paraId="4E2CCAE7" w14:textId="77777777" w:rsidTr="00FF0EF5">
        <w:tc>
          <w:tcPr>
            <w:tcW w:w="4566" w:type="dxa"/>
            <w:tcBorders>
              <w:top w:val="single" w:sz="8" w:space="0" w:color="0E7C7E"/>
              <w:bottom w:val="single" w:sz="2" w:space="0" w:color="58595B"/>
            </w:tcBorders>
            <w:vAlign w:val="bottom"/>
          </w:tcPr>
          <w:p w14:paraId="0B56C4B1" w14:textId="77777777" w:rsidR="00D06CB2" w:rsidRPr="005C5E32" w:rsidRDefault="00D06CB2">
            <w:pPr>
              <w:pStyle w:val="TableboldGreen"/>
              <w:spacing w:before="40" w:after="40"/>
            </w:pPr>
          </w:p>
        </w:tc>
        <w:tc>
          <w:tcPr>
            <w:tcW w:w="1388" w:type="dxa"/>
            <w:tcBorders>
              <w:top w:val="single" w:sz="8" w:space="0" w:color="0E7C7E"/>
              <w:bottom w:val="single" w:sz="2" w:space="0" w:color="58595B"/>
            </w:tcBorders>
            <w:shd w:val="clear" w:color="auto" w:fill="E7F2F2"/>
            <w:vAlign w:val="bottom"/>
          </w:tcPr>
          <w:p w14:paraId="1AC47A71" w14:textId="77777777" w:rsidR="00D06CB2" w:rsidRPr="005C5E32" w:rsidRDefault="00D06CB2">
            <w:pPr>
              <w:pStyle w:val="TableboldGreen"/>
              <w:spacing w:before="40" w:after="40"/>
              <w:jc w:val="right"/>
              <w:rPr>
                <w:rFonts w:eastAsia="Lato"/>
              </w:rPr>
            </w:pPr>
            <w:r w:rsidRPr="005C5E32">
              <w:rPr>
                <w:rFonts w:eastAsia="Lato"/>
                <w:color w:val="0E7C7E"/>
              </w:rPr>
              <w:t>2025/26</w:t>
            </w:r>
            <w:r w:rsidRPr="005C5E32">
              <w:rPr>
                <w:rFonts w:eastAsia="Lato"/>
                <w:color w:val="0E7C7E"/>
              </w:rPr>
              <w:br/>
              <w:t>Actual</w:t>
            </w:r>
            <w:r w:rsidRPr="005C5E32">
              <w:rPr>
                <w:rFonts w:eastAsia="Lato"/>
                <w:color w:val="0E7C7E"/>
              </w:rPr>
              <w:br/>
              <w:t>$000</w:t>
            </w:r>
          </w:p>
        </w:tc>
        <w:tc>
          <w:tcPr>
            <w:tcW w:w="1411" w:type="dxa"/>
            <w:tcBorders>
              <w:top w:val="single" w:sz="8" w:space="0" w:color="0E7C7E"/>
              <w:bottom w:val="single" w:sz="2" w:space="0" w:color="58595B"/>
            </w:tcBorders>
            <w:vAlign w:val="bottom"/>
          </w:tcPr>
          <w:p w14:paraId="7E9A071B" w14:textId="77777777" w:rsidR="00D06CB2" w:rsidRPr="005C5E32" w:rsidRDefault="00D06CB2">
            <w:pPr>
              <w:pStyle w:val="TableboldGreen"/>
              <w:spacing w:before="40" w:after="40"/>
              <w:jc w:val="right"/>
              <w:rPr>
                <w:rFonts w:eastAsia="Lato"/>
              </w:rPr>
            </w:pPr>
            <w:r w:rsidRPr="005C5E32">
              <w:rPr>
                <w:rFonts w:eastAsia="Lato"/>
                <w:color w:val="0E7C7E"/>
              </w:rPr>
              <w:t>2025/26</w:t>
            </w:r>
            <w:r w:rsidRPr="005C5E32">
              <w:rPr>
                <w:rFonts w:eastAsia="Lato"/>
                <w:color w:val="0E7C7E"/>
              </w:rPr>
              <w:br/>
              <w:t>Mains</w:t>
            </w:r>
            <w:r w:rsidRPr="005C5E32">
              <w:rPr>
                <w:rFonts w:eastAsia="Lato"/>
                <w:color w:val="0E7C7E"/>
                <w:w w:val="99"/>
              </w:rPr>
              <w:t xml:space="preserve"> </w:t>
            </w:r>
            <w:r w:rsidRPr="005C5E32" w:rsidDel="00C67483">
              <w:rPr>
                <w:rFonts w:eastAsia="Lato"/>
                <w:color w:val="0E7C7E"/>
                <w:w w:val="95"/>
              </w:rPr>
              <w:t>F</w:t>
            </w:r>
            <w:r w:rsidRPr="005C5E32">
              <w:rPr>
                <w:rFonts w:eastAsia="Lato"/>
                <w:color w:val="0E7C7E"/>
                <w:w w:val="95"/>
              </w:rPr>
              <w:t>orecast</w:t>
            </w:r>
            <w:r w:rsidRPr="005C5E32">
              <w:rPr>
                <w:rFonts w:eastAsia="Lato"/>
                <w:color w:val="0E7C7E"/>
                <w:w w:val="95"/>
              </w:rPr>
              <w:br/>
            </w:r>
            <w:r w:rsidRPr="005C5E32">
              <w:rPr>
                <w:rFonts w:eastAsia="Lato"/>
                <w:color w:val="0E7C7E"/>
              </w:rPr>
              <w:t>$000</w:t>
            </w:r>
          </w:p>
        </w:tc>
        <w:tc>
          <w:tcPr>
            <w:tcW w:w="1140" w:type="dxa"/>
            <w:tcBorders>
              <w:top w:val="single" w:sz="8" w:space="0" w:color="0E7C7E"/>
              <w:bottom w:val="single" w:sz="2" w:space="0" w:color="58595B"/>
            </w:tcBorders>
            <w:vAlign w:val="bottom"/>
          </w:tcPr>
          <w:p w14:paraId="760F90A4" w14:textId="77777777" w:rsidR="00D06CB2" w:rsidRPr="005C5E32" w:rsidRDefault="00D06CB2">
            <w:pPr>
              <w:pStyle w:val="TableboldGreen"/>
              <w:spacing w:before="40" w:after="40"/>
              <w:jc w:val="right"/>
              <w:rPr>
                <w:rFonts w:eastAsia="Lato"/>
              </w:rPr>
            </w:pPr>
            <w:r w:rsidRPr="005C5E32">
              <w:rPr>
                <w:rFonts w:eastAsia="Lato"/>
                <w:color w:val="0E7C7E"/>
              </w:rPr>
              <w:t>2025/26 Variance</w:t>
            </w:r>
            <w:r w:rsidRPr="005C5E32">
              <w:rPr>
                <w:rFonts w:eastAsia="Lato"/>
                <w:color w:val="0E7C7E"/>
              </w:rPr>
              <w:br/>
              <w:t>$000</w:t>
            </w:r>
          </w:p>
        </w:tc>
      </w:tr>
      <w:tr w:rsidR="00D06CB2" w:rsidRPr="005C5E32" w14:paraId="7023C797" w14:textId="77777777" w:rsidTr="000B2FA4">
        <w:tc>
          <w:tcPr>
            <w:tcW w:w="4566" w:type="dxa"/>
            <w:tcBorders>
              <w:top w:val="single" w:sz="2" w:space="0" w:color="58595B"/>
              <w:bottom w:val="single" w:sz="2" w:space="0" w:color="58595B"/>
            </w:tcBorders>
            <w:vAlign w:val="bottom"/>
          </w:tcPr>
          <w:p w14:paraId="2770EC57" w14:textId="77777777" w:rsidR="00D06CB2" w:rsidRPr="005C5E32" w:rsidRDefault="00D06CB2">
            <w:pPr>
              <w:pStyle w:val="TableboldGreen"/>
              <w:spacing w:before="40" w:after="40"/>
              <w:rPr>
                <w:b w:val="0"/>
                <w:bCs/>
                <w:color w:val="000000" w:themeColor="text1"/>
              </w:rPr>
            </w:pPr>
            <w:r w:rsidRPr="005C5E32">
              <w:rPr>
                <w:b w:val="0"/>
                <w:bCs/>
                <w:color w:val="000000" w:themeColor="text1"/>
              </w:rPr>
              <w:t>Payables</w:t>
            </w:r>
          </w:p>
        </w:tc>
        <w:tc>
          <w:tcPr>
            <w:tcW w:w="1388" w:type="dxa"/>
            <w:tcBorders>
              <w:top w:val="single" w:sz="2" w:space="0" w:color="58595B"/>
              <w:bottom w:val="single" w:sz="2" w:space="0" w:color="58595B"/>
            </w:tcBorders>
            <w:shd w:val="clear" w:color="auto" w:fill="E7F2F2"/>
            <w:vAlign w:val="bottom"/>
          </w:tcPr>
          <w:p w14:paraId="32279914" w14:textId="77777777" w:rsidR="00D06CB2" w:rsidRPr="005C5E32" w:rsidRDefault="00D06CB2">
            <w:pPr>
              <w:pStyle w:val="TableboldGreen"/>
              <w:spacing w:before="40" w:after="40"/>
              <w:jc w:val="right"/>
            </w:pPr>
            <w:r w:rsidRPr="005C5E32">
              <w:rPr>
                <w:rFonts w:eastAsia="Lato"/>
                <w:b w:val="0"/>
                <w:bCs/>
                <w:color w:val="000000" w:themeColor="text1"/>
              </w:rPr>
              <w:t>89,</w:t>
            </w:r>
            <w:r w:rsidRPr="005C5E32">
              <w:rPr>
                <w:rFonts w:eastAsia="Lato"/>
                <w:b w:val="0"/>
                <w:color w:val="000000" w:themeColor="text1"/>
              </w:rPr>
              <w:t>303</w:t>
            </w:r>
          </w:p>
        </w:tc>
        <w:tc>
          <w:tcPr>
            <w:tcW w:w="1411" w:type="dxa"/>
            <w:tcBorders>
              <w:top w:val="single" w:sz="2" w:space="0" w:color="58595B"/>
              <w:bottom w:val="single" w:sz="2" w:space="0" w:color="58595B"/>
            </w:tcBorders>
            <w:vAlign w:val="bottom"/>
          </w:tcPr>
          <w:p w14:paraId="34285514" w14:textId="77777777" w:rsidR="00D06CB2" w:rsidRPr="005C5E32" w:rsidRDefault="00D06CB2">
            <w:pPr>
              <w:pStyle w:val="TableboldGreen"/>
              <w:spacing w:before="40" w:after="40"/>
              <w:jc w:val="right"/>
              <w:rPr>
                <w:rFonts w:eastAsia="Lato"/>
                <w:b w:val="0"/>
                <w:bCs/>
                <w:color w:val="000000" w:themeColor="text1"/>
              </w:rPr>
            </w:pPr>
            <w:r w:rsidRPr="005C5E32">
              <w:rPr>
                <w:rFonts w:eastAsia="Lato"/>
                <w:b w:val="0"/>
                <w:bCs/>
                <w:color w:val="000000" w:themeColor="text1"/>
              </w:rPr>
              <w:t>113,960</w:t>
            </w:r>
          </w:p>
        </w:tc>
        <w:tc>
          <w:tcPr>
            <w:tcW w:w="1140" w:type="dxa"/>
            <w:tcBorders>
              <w:top w:val="single" w:sz="2" w:space="0" w:color="58595B"/>
              <w:bottom w:val="single" w:sz="2" w:space="0" w:color="58595B"/>
            </w:tcBorders>
            <w:vAlign w:val="bottom"/>
          </w:tcPr>
          <w:p w14:paraId="0A54BEAE" w14:textId="77777777" w:rsidR="00D06CB2" w:rsidRPr="005C5E32" w:rsidRDefault="00D06CB2">
            <w:pPr>
              <w:pStyle w:val="TableboldGreen"/>
              <w:spacing w:before="40" w:after="40"/>
              <w:jc w:val="right"/>
              <w:rPr>
                <w:rFonts w:eastAsia="Lato"/>
                <w:b w:val="0"/>
                <w:bCs/>
                <w:color w:val="000000" w:themeColor="text1"/>
              </w:rPr>
            </w:pPr>
            <w:r w:rsidRPr="005C5E32">
              <w:rPr>
                <w:rFonts w:eastAsia="Lato"/>
                <w:b w:val="0"/>
                <w:bCs/>
                <w:color w:val="000000" w:themeColor="text1"/>
              </w:rPr>
              <w:t>(24,</w:t>
            </w:r>
            <w:r w:rsidRPr="005C5E32">
              <w:rPr>
                <w:rFonts w:eastAsia="Lato"/>
                <w:b w:val="0"/>
                <w:color w:val="000000" w:themeColor="text1"/>
              </w:rPr>
              <w:t>657</w:t>
            </w:r>
            <w:r w:rsidRPr="005C5E32">
              <w:rPr>
                <w:rFonts w:eastAsia="Lato"/>
                <w:b w:val="0"/>
                <w:bCs/>
                <w:color w:val="000000" w:themeColor="text1"/>
              </w:rPr>
              <w:t>)</w:t>
            </w:r>
          </w:p>
        </w:tc>
      </w:tr>
      <w:tr w:rsidR="00D06CB2" w:rsidRPr="005C5E32" w14:paraId="13E08EB6" w14:textId="77777777" w:rsidTr="00FF0EF5">
        <w:tc>
          <w:tcPr>
            <w:tcW w:w="4566" w:type="dxa"/>
            <w:tcBorders>
              <w:top w:val="single" w:sz="2" w:space="0" w:color="58595B"/>
              <w:bottom w:val="single" w:sz="2" w:space="0" w:color="58595B"/>
            </w:tcBorders>
          </w:tcPr>
          <w:p w14:paraId="27ACD668" w14:textId="77777777" w:rsidR="00D06CB2" w:rsidRPr="005C5E32" w:rsidRDefault="00D06CB2">
            <w:pPr>
              <w:pStyle w:val="TableText"/>
              <w:spacing w:before="40" w:after="40"/>
            </w:pPr>
            <w:r w:rsidRPr="005C5E32">
              <w:t>Provisions</w:t>
            </w:r>
          </w:p>
        </w:tc>
        <w:tc>
          <w:tcPr>
            <w:tcW w:w="1388" w:type="dxa"/>
            <w:tcBorders>
              <w:top w:val="single" w:sz="2" w:space="0" w:color="58595B"/>
              <w:bottom w:val="single" w:sz="2" w:space="0" w:color="58595B"/>
            </w:tcBorders>
            <w:shd w:val="clear" w:color="auto" w:fill="E7F2F2"/>
          </w:tcPr>
          <w:p w14:paraId="2CAA12A6" w14:textId="77777777" w:rsidR="00D06CB2" w:rsidRPr="005C5E32" w:rsidRDefault="00D06CB2">
            <w:pPr>
              <w:pStyle w:val="TableText"/>
              <w:spacing w:before="40" w:after="40"/>
              <w:jc w:val="right"/>
            </w:pPr>
            <w:r w:rsidRPr="005C5E32">
              <w:t>6,406,501</w:t>
            </w:r>
          </w:p>
        </w:tc>
        <w:tc>
          <w:tcPr>
            <w:tcW w:w="1411" w:type="dxa"/>
            <w:tcBorders>
              <w:top w:val="single" w:sz="2" w:space="0" w:color="58595B"/>
              <w:bottom w:val="single" w:sz="2" w:space="0" w:color="58595B"/>
            </w:tcBorders>
          </w:tcPr>
          <w:p w14:paraId="139A2CFE" w14:textId="77777777" w:rsidR="00D06CB2" w:rsidRPr="005C5E32" w:rsidRDefault="00D06CB2">
            <w:pPr>
              <w:pStyle w:val="TableText"/>
              <w:spacing w:before="40" w:after="40"/>
              <w:jc w:val="right"/>
            </w:pPr>
            <w:r w:rsidRPr="005C5E32">
              <w:t>5,966,357</w:t>
            </w:r>
          </w:p>
        </w:tc>
        <w:tc>
          <w:tcPr>
            <w:tcW w:w="1140" w:type="dxa"/>
            <w:tcBorders>
              <w:top w:val="single" w:sz="2" w:space="0" w:color="58595B"/>
              <w:bottom w:val="single" w:sz="2" w:space="0" w:color="58595B"/>
            </w:tcBorders>
          </w:tcPr>
          <w:p w14:paraId="1CBCD914" w14:textId="77777777" w:rsidR="00D06CB2" w:rsidRPr="005C5E32" w:rsidRDefault="00D06CB2">
            <w:pPr>
              <w:pStyle w:val="TableText"/>
              <w:spacing w:before="40" w:after="40"/>
              <w:jc w:val="right"/>
            </w:pPr>
            <w:r w:rsidRPr="005C5E32">
              <w:t>440,144</w:t>
            </w:r>
          </w:p>
        </w:tc>
      </w:tr>
    </w:tbl>
    <w:p w14:paraId="28CFA9AB" w14:textId="77777777" w:rsidR="00D06CB2" w:rsidRPr="005C5E32" w:rsidRDefault="00D06CB2" w:rsidP="00FF0EF5">
      <w:pPr>
        <w:pStyle w:val="BodyText"/>
        <w:spacing w:before="240"/>
      </w:pPr>
      <w:r w:rsidRPr="005C5E32">
        <w:rPr>
          <w:b/>
          <w:bCs/>
        </w:rPr>
        <w:t>Payables:</w:t>
      </w:r>
      <w:r w:rsidRPr="005C5E32">
        <w:t xml:space="preserve"> The actual payables were lower than mains forecast because project deliverables were lower than originally anticipated and also several projects completed in this financial year were delivered under budget across both grants and settlements.</w:t>
      </w:r>
    </w:p>
    <w:p w14:paraId="41ACDEE3" w14:textId="77777777" w:rsidR="00D06CB2" w:rsidRPr="005C5E32" w:rsidRDefault="00D06CB2" w:rsidP="00FF0EF5">
      <w:pPr>
        <w:pStyle w:val="BodyText"/>
      </w:pPr>
      <w:r w:rsidRPr="005C5E32">
        <w:rPr>
          <w:b/>
          <w:bCs/>
        </w:rPr>
        <w:t>Provisions:</w:t>
      </w:r>
      <w:r w:rsidRPr="005C5E32">
        <w:t xml:space="preserve"> Provisions relate to New Zealand Units under the NZ ETS. These provisions were higher than mains forecast mainly due to higher-than-expected allocation of units to the forestry sector. This was partially offset by lower-than-expected unit surrenders by all sectors. As a result, the NZ ETS liability provision at year-end was higher than originally forecast.</w:t>
      </w:r>
    </w:p>
    <w:p w14:paraId="1FEF752C" w14:textId="77777777" w:rsidR="00D06CB2" w:rsidRPr="005C5E32" w:rsidRDefault="00D06CB2">
      <w:pPr>
        <w:pStyle w:val="BodyText"/>
      </w:pPr>
      <w:bookmarkStart w:id="433" w:name="_Toc112144666"/>
      <w:r w:rsidRPr="005C5E32">
        <w:br w:type="page"/>
      </w:r>
    </w:p>
    <w:p w14:paraId="406ED022" w14:textId="77777777" w:rsidR="00D06CB2" w:rsidRPr="005C5E32" w:rsidRDefault="00D06CB2">
      <w:pPr>
        <w:pStyle w:val="Heading2"/>
        <w:rPr>
          <w:color w:val="0E7B7E"/>
        </w:rPr>
      </w:pPr>
      <w:bookmarkStart w:id="434" w:name="_Toc177626497"/>
      <w:bookmarkStart w:id="435" w:name="_Toc205900456"/>
      <w:bookmarkStart w:id="436" w:name="_Toc207017422"/>
      <w:bookmarkStart w:id="437" w:name="_Toc210136390"/>
      <w:bookmarkStart w:id="438" w:name="_Toc240445594"/>
      <w:r w:rsidRPr="005C5E32">
        <w:rPr>
          <w:color w:val="0E7B7E"/>
        </w:rPr>
        <w:lastRenderedPageBreak/>
        <w:t>Appropriation statements</w:t>
      </w:r>
      <w:bookmarkEnd w:id="434"/>
      <w:bookmarkEnd w:id="435"/>
      <w:bookmarkEnd w:id="436"/>
      <w:bookmarkEnd w:id="437"/>
      <w:bookmarkEnd w:id="438"/>
    </w:p>
    <w:p w14:paraId="76337633" w14:textId="77777777" w:rsidR="00D06CB2" w:rsidRPr="005C5E32" w:rsidRDefault="00D06CB2">
      <w:pPr>
        <w:pStyle w:val="BodyText"/>
      </w:pPr>
      <w:r w:rsidRPr="005C5E32">
        <w:t>The following statements report information about the expenses and capital expenditure incurred against each appropriation that the Ministry administers for the year ended 30 June 2026. They are prepared on a GST-exclusive basis.</w:t>
      </w:r>
    </w:p>
    <w:p w14:paraId="2F4A782B" w14:textId="77777777" w:rsidR="00D06CB2" w:rsidRPr="005C5E32" w:rsidRDefault="00D06CB2">
      <w:pPr>
        <w:pStyle w:val="BodyText"/>
      </w:pPr>
      <w:bookmarkStart w:id="439" w:name="_Toc112144667"/>
      <w:bookmarkEnd w:id="433"/>
      <w:r w:rsidRPr="005C5E32">
        <w:br w:type="page"/>
      </w:r>
    </w:p>
    <w:p w14:paraId="56F0C3FD" w14:textId="77777777" w:rsidR="00D06CB2" w:rsidRPr="005C5E32" w:rsidRDefault="00D06CB2">
      <w:pPr>
        <w:pStyle w:val="Heading2green"/>
      </w:pPr>
      <w:bookmarkStart w:id="440" w:name="_Toc207017423"/>
      <w:bookmarkStart w:id="441" w:name="_Toc207017512"/>
      <w:bookmarkStart w:id="442" w:name="_Toc207192329"/>
      <w:bookmarkStart w:id="443" w:name="_Toc240445595"/>
      <w:r w:rsidRPr="005C5E32">
        <w:lastRenderedPageBreak/>
        <w:t>Statement of budgeted and actual expenses and capital expenditure incurred against appropriations</w:t>
      </w:r>
      <w:bookmarkEnd w:id="439"/>
      <w:bookmarkEnd w:id="440"/>
      <w:bookmarkEnd w:id="441"/>
      <w:bookmarkEnd w:id="442"/>
      <w:bookmarkEnd w:id="443"/>
    </w:p>
    <w:p w14:paraId="6D9BADDA" w14:textId="77777777" w:rsidR="00D06CB2" w:rsidRPr="005C5E32" w:rsidRDefault="00D06CB2">
      <w:pPr>
        <w:rPr>
          <w:rFonts w:eastAsia="MS Mincho" w:cs="Arial"/>
          <w:sz w:val="28"/>
          <w:szCs w:val="28"/>
        </w:rPr>
      </w:pPr>
      <w:r w:rsidRPr="005C5E32">
        <w:rPr>
          <w:rFonts w:eastAsia="MS Mincho" w:cs="Arial"/>
          <w:sz w:val="28"/>
          <w:szCs w:val="28"/>
        </w:rPr>
        <w:t>for the year ended 30 June 2026</w:t>
      </w:r>
    </w:p>
    <w:p w14:paraId="08698873" w14:textId="77777777" w:rsidR="00D06CB2" w:rsidRPr="005C5E32" w:rsidRDefault="00D06CB2" w:rsidP="009B0C58">
      <w:pPr>
        <w:spacing w:before="0" w:after="180"/>
        <w:rPr>
          <w:rFonts w:eastAsia="MS Mincho" w:cs="Arial"/>
          <w:b/>
          <w:bCs/>
        </w:rPr>
      </w:pPr>
      <w:r w:rsidRPr="005C5E32">
        <w:rPr>
          <w:rFonts w:eastAsia="MS Mincho" w:cs="Arial"/>
          <w:b/>
          <w:bCs/>
        </w:rPr>
        <w:t>Annual and permanent appropriations for Vote Environment</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2974"/>
        <w:gridCol w:w="1190"/>
        <w:gridCol w:w="951"/>
        <w:gridCol w:w="951"/>
        <w:gridCol w:w="1190"/>
        <w:gridCol w:w="1249"/>
      </w:tblGrid>
      <w:tr w:rsidR="00141630" w:rsidRPr="005C5E32" w14:paraId="16D3DEFD" w14:textId="77777777" w:rsidTr="00F67395">
        <w:tc>
          <w:tcPr>
            <w:tcW w:w="2835" w:type="dxa"/>
            <w:tcBorders>
              <w:top w:val="single" w:sz="8" w:space="0" w:color="0E7C7E"/>
            </w:tcBorders>
            <w:vAlign w:val="bottom"/>
          </w:tcPr>
          <w:p w14:paraId="53A447D1" w14:textId="77777777" w:rsidR="00141630" w:rsidRPr="005C5E32" w:rsidRDefault="00141630">
            <w:pPr>
              <w:pStyle w:val="TableboldGreen"/>
              <w:spacing w:before="40" w:after="40"/>
              <w:jc w:val="right"/>
            </w:pPr>
          </w:p>
        </w:tc>
        <w:tc>
          <w:tcPr>
            <w:tcW w:w="1134" w:type="dxa"/>
            <w:tcBorders>
              <w:top w:val="single" w:sz="8" w:space="0" w:color="0E7C7E"/>
            </w:tcBorders>
            <w:shd w:val="clear" w:color="auto" w:fill="E7F2F2"/>
            <w:vAlign w:val="bottom"/>
          </w:tcPr>
          <w:p w14:paraId="606404ED" w14:textId="77777777" w:rsidR="00141630" w:rsidRPr="005C5E32" w:rsidRDefault="00141630">
            <w:pPr>
              <w:pStyle w:val="TableboldGreen"/>
              <w:spacing w:before="40" w:after="40"/>
              <w:jc w:val="right"/>
              <w:rPr>
                <w:rFonts w:eastAsia="Lato"/>
                <w:szCs w:val="18"/>
              </w:rPr>
            </w:pPr>
            <w:r w:rsidRPr="005C5E32">
              <w:rPr>
                <w:rFonts w:eastAsia="Lato"/>
                <w:color w:val="0E7C7E"/>
                <w:szCs w:val="18"/>
              </w:rPr>
              <w:t>2024/25</w:t>
            </w:r>
            <w:r w:rsidRPr="005C5E32">
              <w:rPr>
                <w:rFonts w:eastAsia="Lato"/>
                <w:color w:val="0E7C7E"/>
                <w:szCs w:val="18"/>
              </w:rPr>
              <w:br/>
              <w:t>Expenditure</w:t>
            </w:r>
            <w:r w:rsidRPr="005C5E32">
              <w:rPr>
                <w:rFonts w:eastAsia="Lato"/>
                <w:color w:val="0E7C7E"/>
                <w:szCs w:val="18"/>
              </w:rPr>
              <w:br/>
              <w:t>$000</w:t>
            </w:r>
          </w:p>
        </w:tc>
        <w:tc>
          <w:tcPr>
            <w:tcW w:w="907" w:type="dxa"/>
            <w:tcBorders>
              <w:top w:val="single" w:sz="8" w:space="0" w:color="0E7C7E"/>
            </w:tcBorders>
            <w:vAlign w:val="bottom"/>
          </w:tcPr>
          <w:p w14:paraId="781DD66E" w14:textId="77777777" w:rsidR="00141630" w:rsidRPr="005C5E32" w:rsidRDefault="00141630">
            <w:pPr>
              <w:pStyle w:val="TableboldGreen"/>
              <w:spacing w:before="40" w:after="40"/>
              <w:jc w:val="right"/>
              <w:rPr>
                <w:rFonts w:eastAsia="Lato"/>
                <w:szCs w:val="18"/>
              </w:rPr>
            </w:pPr>
            <w:r w:rsidRPr="005C5E32">
              <w:rPr>
                <w:rFonts w:eastAsia="Lato"/>
                <w:color w:val="0E7C7E"/>
                <w:szCs w:val="18"/>
              </w:rPr>
              <w:t>2025/26</w:t>
            </w:r>
            <w:r w:rsidRPr="005C5E32">
              <w:rPr>
                <w:rFonts w:eastAsia="Lato"/>
                <w:color w:val="0E7C7E"/>
                <w:szCs w:val="18"/>
              </w:rPr>
              <w:br/>
              <w:t>Budget*</w:t>
            </w:r>
            <w:r w:rsidRPr="005C5E32">
              <w:rPr>
                <w:rFonts w:eastAsia="Lato"/>
                <w:color w:val="0E7C7E"/>
                <w:szCs w:val="18"/>
              </w:rPr>
              <w:br/>
              <w:t>$000</w:t>
            </w:r>
          </w:p>
        </w:tc>
        <w:tc>
          <w:tcPr>
            <w:tcW w:w="907" w:type="dxa"/>
            <w:tcBorders>
              <w:top w:val="single" w:sz="8" w:space="0" w:color="0E7C7E"/>
            </w:tcBorders>
            <w:vAlign w:val="bottom"/>
          </w:tcPr>
          <w:p w14:paraId="2BB82E1A" w14:textId="77777777" w:rsidR="00141630" w:rsidRPr="005C5E32" w:rsidRDefault="00141630">
            <w:pPr>
              <w:pStyle w:val="TableboldGreen"/>
              <w:spacing w:before="40" w:after="40"/>
              <w:jc w:val="right"/>
              <w:rPr>
                <w:szCs w:val="18"/>
              </w:rPr>
            </w:pPr>
            <w:r w:rsidRPr="005C5E32">
              <w:rPr>
                <w:szCs w:val="18"/>
              </w:rPr>
              <w:t>2025/26</w:t>
            </w:r>
            <w:r w:rsidRPr="005C5E32">
              <w:rPr>
                <w:szCs w:val="18"/>
              </w:rPr>
              <w:br/>
            </w:r>
            <w:r w:rsidRPr="005C5E32">
              <w:rPr>
                <w:w w:val="95"/>
                <w:szCs w:val="18"/>
              </w:rPr>
              <w:t xml:space="preserve">Revised </w:t>
            </w:r>
            <w:r w:rsidRPr="005C5E32" w:rsidDel="00752C09">
              <w:rPr>
                <w:szCs w:val="18"/>
              </w:rPr>
              <w:t>B</w:t>
            </w:r>
            <w:r w:rsidRPr="005C5E32">
              <w:rPr>
                <w:szCs w:val="18"/>
              </w:rPr>
              <w:t>udget*</w:t>
            </w:r>
            <w:r w:rsidRPr="005C5E32">
              <w:rPr>
                <w:vertAlign w:val="superscript"/>
              </w:rPr>
              <w:t>1</w:t>
            </w:r>
            <w:r w:rsidRPr="005C5E32">
              <w:rPr>
                <w:position w:val="6"/>
                <w:szCs w:val="18"/>
              </w:rPr>
              <w:br/>
            </w:r>
            <w:r w:rsidRPr="005C5E32">
              <w:rPr>
                <w:szCs w:val="18"/>
              </w:rPr>
              <w:t>$000</w:t>
            </w:r>
          </w:p>
        </w:tc>
        <w:tc>
          <w:tcPr>
            <w:tcW w:w="1134" w:type="dxa"/>
            <w:tcBorders>
              <w:top w:val="single" w:sz="8" w:space="0" w:color="0E7C7E"/>
            </w:tcBorders>
            <w:shd w:val="clear" w:color="auto" w:fill="E7F2F2"/>
            <w:vAlign w:val="bottom"/>
          </w:tcPr>
          <w:p w14:paraId="53CD63E6" w14:textId="0358A5F3" w:rsidR="00141630" w:rsidRPr="005C5E32" w:rsidRDefault="00141630">
            <w:pPr>
              <w:pStyle w:val="TableboldGreen"/>
              <w:spacing w:before="40" w:after="40"/>
              <w:jc w:val="right"/>
              <w:rPr>
                <w:szCs w:val="18"/>
              </w:rPr>
            </w:pPr>
            <w:r w:rsidRPr="005C5E32">
              <w:rPr>
                <w:szCs w:val="18"/>
              </w:rPr>
              <w:t>2025/26</w:t>
            </w:r>
            <w:r w:rsidRPr="005C5E32">
              <w:rPr>
                <w:szCs w:val="18"/>
              </w:rPr>
              <w:br/>
              <w:t>Expenditure</w:t>
            </w:r>
            <w:r w:rsidRPr="005C5E32">
              <w:rPr>
                <w:vertAlign w:val="superscript"/>
              </w:rPr>
              <w:t>2</w:t>
            </w:r>
            <w:r w:rsidR="00FF0EF5" w:rsidRPr="005C5E32">
              <w:rPr>
                <w:position w:val="6"/>
                <w:szCs w:val="18"/>
              </w:rPr>
              <w:br/>
            </w:r>
            <w:r w:rsidRPr="005C5E32">
              <w:rPr>
                <w:szCs w:val="18"/>
              </w:rPr>
              <w:t>$000</w:t>
            </w:r>
          </w:p>
        </w:tc>
        <w:tc>
          <w:tcPr>
            <w:tcW w:w="1191" w:type="dxa"/>
            <w:tcBorders>
              <w:top w:val="single" w:sz="8" w:space="0" w:color="0E7C7E"/>
            </w:tcBorders>
            <w:vAlign w:val="bottom"/>
          </w:tcPr>
          <w:p w14:paraId="5063918E" w14:textId="77777777" w:rsidR="00141630" w:rsidRPr="005C5E32" w:rsidRDefault="00141630">
            <w:pPr>
              <w:pStyle w:val="TableboldGreen"/>
              <w:spacing w:before="40" w:after="40"/>
              <w:jc w:val="right"/>
              <w:rPr>
                <w:rFonts w:eastAsia="Lato"/>
                <w:szCs w:val="18"/>
              </w:rPr>
            </w:pPr>
            <w:r w:rsidRPr="005C5E32">
              <w:rPr>
                <w:rFonts w:eastAsia="Lato"/>
                <w:color w:val="0E7C7E"/>
                <w:szCs w:val="18"/>
              </w:rPr>
              <w:t>Location of end-of-year performance information</w:t>
            </w:r>
            <w:r w:rsidRPr="005C5E32">
              <w:rPr>
                <w:vertAlign w:val="superscript"/>
              </w:rPr>
              <w:t>3</w:t>
            </w:r>
          </w:p>
        </w:tc>
      </w:tr>
      <w:tr w:rsidR="00141630" w:rsidRPr="005C5E32" w14:paraId="0523C7AB" w14:textId="77777777" w:rsidTr="00F67395">
        <w:tc>
          <w:tcPr>
            <w:tcW w:w="2835" w:type="dxa"/>
            <w:tcBorders>
              <w:top w:val="single" w:sz="2" w:space="0" w:color="58595B"/>
            </w:tcBorders>
          </w:tcPr>
          <w:p w14:paraId="591E40B0" w14:textId="77777777" w:rsidR="00141630" w:rsidRPr="005C5E32" w:rsidRDefault="00141630">
            <w:pPr>
              <w:pStyle w:val="TableboldGreen"/>
              <w:spacing w:before="40" w:after="0"/>
            </w:pPr>
            <w:r w:rsidRPr="005C5E32">
              <w:t>Departmental output expenses</w:t>
            </w:r>
          </w:p>
        </w:tc>
        <w:tc>
          <w:tcPr>
            <w:tcW w:w="1134" w:type="dxa"/>
            <w:tcBorders>
              <w:top w:val="single" w:sz="2" w:space="0" w:color="58595B"/>
            </w:tcBorders>
            <w:shd w:val="clear" w:color="auto" w:fill="E7F2F2"/>
          </w:tcPr>
          <w:p w14:paraId="78A4834A" w14:textId="77777777" w:rsidR="00141630" w:rsidRPr="005C5E32" w:rsidRDefault="00141630">
            <w:pPr>
              <w:pStyle w:val="TableboldGreen"/>
              <w:spacing w:before="40" w:after="0"/>
              <w:jc w:val="right"/>
              <w:rPr>
                <w:rFonts w:eastAsia="MS Mincho"/>
              </w:rPr>
            </w:pPr>
          </w:p>
        </w:tc>
        <w:tc>
          <w:tcPr>
            <w:tcW w:w="907" w:type="dxa"/>
            <w:tcBorders>
              <w:top w:val="single" w:sz="2" w:space="0" w:color="58595B"/>
            </w:tcBorders>
          </w:tcPr>
          <w:p w14:paraId="5A4DA88A" w14:textId="77777777" w:rsidR="00141630" w:rsidRPr="005C5E32" w:rsidRDefault="00141630">
            <w:pPr>
              <w:pStyle w:val="TableboldGreen"/>
              <w:spacing w:before="40" w:after="0"/>
              <w:jc w:val="right"/>
              <w:rPr>
                <w:rFonts w:eastAsia="MS Mincho"/>
              </w:rPr>
            </w:pPr>
          </w:p>
        </w:tc>
        <w:tc>
          <w:tcPr>
            <w:tcW w:w="907" w:type="dxa"/>
            <w:tcBorders>
              <w:top w:val="single" w:sz="2" w:space="0" w:color="58595B"/>
            </w:tcBorders>
          </w:tcPr>
          <w:p w14:paraId="70479D4E" w14:textId="77777777" w:rsidR="00141630" w:rsidRPr="005C5E32" w:rsidRDefault="00141630">
            <w:pPr>
              <w:pStyle w:val="TableboldGreen"/>
              <w:spacing w:before="40" w:after="0"/>
              <w:jc w:val="right"/>
              <w:rPr>
                <w:rFonts w:eastAsia="MS Mincho"/>
              </w:rPr>
            </w:pPr>
          </w:p>
        </w:tc>
        <w:tc>
          <w:tcPr>
            <w:tcW w:w="1134" w:type="dxa"/>
            <w:tcBorders>
              <w:top w:val="single" w:sz="2" w:space="0" w:color="58595B"/>
            </w:tcBorders>
            <w:shd w:val="clear" w:color="auto" w:fill="E7F2F2"/>
          </w:tcPr>
          <w:p w14:paraId="066ABE1D" w14:textId="77777777" w:rsidR="00141630" w:rsidRPr="005C5E32" w:rsidRDefault="00141630">
            <w:pPr>
              <w:pStyle w:val="TableboldGreen"/>
              <w:spacing w:before="40" w:after="0"/>
              <w:jc w:val="right"/>
              <w:rPr>
                <w:rFonts w:eastAsia="MS Mincho"/>
              </w:rPr>
            </w:pPr>
          </w:p>
        </w:tc>
        <w:tc>
          <w:tcPr>
            <w:tcW w:w="1191" w:type="dxa"/>
            <w:tcBorders>
              <w:top w:val="single" w:sz="2" w:space="0" w:color="58595B"/>
            </w:tcBorders>
          </w:tcPr>
          <w:p w14:paraId="1158578F" w14:textId="77777777" w:rsidR="00141630" w:rsidRPr="005C5E32" w:rsidRDefault="00141630">
            <w:pPr>
              <w:pStyle w:val="TableboldGreen"/>
              <w:spacing w:before="40" w:after="0"/>
              <w:jc w:val="right"/>
              <w:rPr>
                <w:rFonts w:eastAsia="MS Mincho"/>
              </w:rPr>
            </w:pPr>
          </w:p>
        </w:tc>
      </w:tr>
      <w:tr w:rsidR="00141630" w:rsidRPr="005C5E32" w14:paraId="4BD3E2A6" w14:textId="77777777" w:rsidTr="00F67395">
        <w:tc>
          <w:tcPr>
            <w:tcW w:w="2835" w:type="dxa"/>
            <w:tcBorders>
              <w:top w:val="single" w:sz="2" w:space="0" w:color="58595B"/>
              <w:left w:val="nil"/>
              <w:bottom w:val="single" w:sz="4" w:space="0" w:color="auto"/>
              <w:right w:val="nil"/>
            </w:tcBorders>
            <w:vAlign w:val="bottom"/>
          </w:tcPr>
          <w:p w14:paraId="48AF9FDF" w14:textId="77777777" w:rsidR="00141630" w:rsidRPr="005C5E32" w:rsidRDefault="00141630">
            <w:pPr>
              <w:pStyle w:val="TableText"/>
              <w:spacing w:before="40" w:after="40"/>
            </w:pPr>
            <w:r w:rsidRPr="005C5E32">
              <w:t>Climate Change Chief Executives Board</w:t>
            </w:r>
          </w:p>
        </w:tc>
        <w:tc>
          <w:tcPr>
            <w:tcW w:w="1134" w:type="dxa"/>
            <w:tcBorders>
              <w:top w:val="single" w:sz="2" w:space="0" w:color="58595B"/>
              <w:left w:val="nil"/>
              <w:bottom w:val="single" w:sz="4" w:space="0" w:color="auto"/>
              <w:right w:val="nil"/>
            </w:tcBorders>
            <w:shd w:val="clear" w:color="auto" w:fill="E7F2F2"/>
            <w:vAlign w:val="bottom"/>
          </w:tcPr>
          <w:p w14:paraId="1495030F" w14:textId="77777777" w:rsidR="00141630" w:rsidRPr="005C5E32" w:rsidRDefault="00141630">
            <w:pPr>
              <w:pStyle w:val="TableText"/>
              <w:spacing w:before="40" w:after="40"/>
              <w:jc w:val="right"/>
            </w:pPr>
            <w:r w:rsidRPr="005C5E32">
              <w:t>3,484</w:t>
            </w:r>
          </w:p>
        </w:tc>
        <w:tc>
          <w:tcPr>
            <w:tcW w:w="907" w:type="dxa"/>
            <w:tcBorders>
              <w:top w:val="single" w:sz="2" w:space="0" w:color="58595B"/>
              <w:left w:val="nil"/>
              <w:bottom w:val="single" w:sz="4" w:space="0" w:color="auto"/>
              <w:right w:val="nil"/>
            </w:tcBorders>
            <w:vAlign w:val="bottom"/>
          </w:tcPr>
          <w:p w14:paraId="33A31025" w14:textId="77777777" w:rsidR="00141630" w:rsidRPr="005C5E32" w:rsidRDefault="00141630">
            <w:pPr>
              <w:pStyle w:val="TableText"/>
              <w:spacing w:before="40" w:after="40"/>
              <w:jc w:val="right"/>
            </w:pPr>
            <w:r w:rsidRPr="005C5E32">
              <w:t>3,742</w:t>
            </w:r>
          </w:p>
        </w:tc>
        <w:tc>
          <w:tcPr>
            <w:tcW w:w="907" w:type="dxa"/>
            <w:tcBorders>
              <w:top w:val="single" w:sz="2" w:space="0" w:color="58595B"/>
              <w:left w:val="nil"/>
              <w:bottom w:val="single" w:sz="4" w:space="0" w:color="auto"/>
              <w:right w:val="nil"/>
            </w:tcBorders>
            <w:vAlign w:val="bottom"/>
          </w:tcPr>
          <w:p w14:paraId="11AF300A" w14:textId="77777777" w:rsidR="00141630" w:rsidRPr="005C5E32" w:rsidRDefault="00141630">
            <w:pPr>
              <w:pStyle w:val="TableText"/>
              <w:spacing w:before="40" w:after="40"/>
              <w:jc w:val="right"/>
            </w:pPr>
            <w:r w:rsidRPr="005C5E32">
              <w:t>3,242</w:t>
            </w:r>
          </w:p>
        </w:tc>
        <w:tc>
          <w:tcPr>
            <w:tcW w:w="1134" w:type="dxa"/>
            <w:tcBorders>
              <w:top w:val="single" w:sz="2" w:space="0" w:color="58595B"/>
              <w:left w:val="nil"/>
              <w:bottom w:val="single" w:sz="4" w:space="0" w:color="auto"/>
              <w:right w:val="nil"/>
            </w:tcBorders>
            <w:shd w:val="clear" w:color="auto" w:fill="E7F2F2"/>
            <w:vAlign w:val="bottom"/>
          </w:tcPr>
          <w:p w14:paraId="08D2A5E2" w14:textId="78EA53FE" w:rsidR="00141630" w:rsidRPr="005C5E32" w:rsidRDefault="00141630">
            <w:pPr>
              <w:pStyle w:val="TableText"/>
              <w:spacing w:before="40" w:after="40"/>
              <w:jc w:val="right"/>
            </w:pPr>
            <w:r w:rsidRPr="005C5E32">
              <w:t>2,694</w:t>
            </w:r>
          </w:p>
        </w:tc>
        <w:tc>
          <w:tcPr>
            <w:tcW w:w="1191" w:type="dxa"/>
            <w:tcBorders>
              <w:top w:val="single" w:sz="2" w:space="0" w:color="58595B"/>
              <w:left w:val="nil"/>
              <w:bottom w:val="single" w:sz="4" w:space="0" w:color="auto"/>
              <w:right w:val="nil"/>
            </w:tcBorders>
            <w:vAlign w:val="bottom"/>
          </w:tcPr>
          <w:p w14:paraId="73B397CF" w14:textId="77777777" w:rsidR="00141630" w:rsidRPr="005C5E32" w:rsidRDefault="00141630">
            <w:pPr>
              <w:pStyle w:val="TableText"/>
              <w:spacing w:before="40" w:after="40"/>
              <w:jc w:val="right"/>
            </w:pPr>
            <w:r w:rsidRPr="005C5E32">
              <w:t>a</w:t>
            </w:r>
          </w:p>
        </w:tc>
      </w:tr>
      <w:tr w:rsidR="00141630" w:rsidRPr="005C5E32" w14:paraId="7B42725A" w14:textId="77777777" w:rsidTr="00F67395">
        <w:tc>
          <w:tcPr>
            <w:tcW w:w="2835" w:type="dxa"/>
            <w:tcBorders>
              <w:top w:val="single" w:sz="4" w:space="0" w:color="auto"/>
              <w:bottom w:val="single" w:sz="2" w:space="0" w:color="58595B"/>
            </w:tcBorders>
          </w:tcPr>
          <w:p w14:paraId="1AAADD4A" w14:textId="77777777" w:rsidR="00141630" w:rsidRPr="005C5E32" w:rsidRDefault="00141630">
            <w:pPr>
              <w:pStyle w:val="TableText"/>
              <w:spacing w:before="40" w:after="40"/>
            </w:pPr>
            <w:r w:rsidRPr="005C5E32">
              <w:t>Improving New Zealand’s Environment</w:t>
            </w:r>
          </w:p>
        </w:tc>
        <w:tc>
          <w:tcPr>
            <w:tcW w:w="1134" w:type="dxa"/>
            <w:tcBorders>
              <w:top w:val="single" w:sz="4" w:space="0" w:color="auto"/>
              <w:bottom w:val="single" w:sz="2" w:space="0" w:color="58595B"/>
            </w:tcBorders>
            <w:shd w:val="clear" w:color="auto" w:fill="E7F2F2"/>
            <w:vAlign w:val="bottom"/>
          </w:tcPr>
          <w:p w14:paraId="27F81156" w14:textId="77777777" w:rsidR="00141630" w:rsidRPr="005C5E32" w:rsidRDefault="00141630">
            <w:pPr>
              <w:pStyle w:val="TableText"/>
              <w:spacing w:before="40" w:after="40"/>
              <w:jc w:val="right"/>
            </w:pPr>
            <w:r w:rsidRPr="005C5E32">
              <w:t>106,516</w:t>
            </w:r>
          </w:p>
        </w:tc>
        <w:tc>
          <w:tcPr>
            <w:tcW w:w="907" w:type="dxa"/>
            <w:tcBorders>
              <w:top w:val="single" w:sz="4" w:space="0" w:color="auto"/>
              <w:bottom w:val="single" w:sz="2" w:space="0" w:color="58595B"/>
            </w:tcBorders>
            <w:vAlign w:val="bottom"/>
          </w:tcPr>
          <w:p w14:paraId="72BDE595" w14:textId="77777777" w:rsidR="00141630" w:rsidRPr="005C5E32" w:rsidRDefault="00141630">
            <w:pPr>
              <w:pStyle w:val="TableText"/>
              <w:spacing w:before="40" w:after="40"/>
              <w:jc w:val="right"/>
            </w:pPr>
            <w:r w:rsidRPr="005C5E32">
              <w:t>128,424</w:t>
            </w:r>
          </w:p>
        </w:tc>
        <w:tc>
          <w:tcPr>
            <w:tcW w:w="907" w:type="dxa"/>
            <w:tcBorders>
              <w:top w:val="single" w:sz="4" w:space="0" w:color="auto"/>
              <w:bottom w:val="single" w:sz="2" w:space="0" w:color="58595B"/>
            </w:tcBorders>
            <w:vAlign w:val="bottom"/>
          </w:tcPr>
          <w:p w14:paraId="7A1D810F" w14:textId="77777777" w:rsidR="00141630" w:rsidRPr="005C5E32" w:rsidRDefault="00141630">
            <w:pPr>
              <w:pStyle w:val="TableText"/>
              <w:spacing w:before="40" w:after="40"/>
              <w:jc w:val="right"/>
            </w:pPr>
            <w:r w:rsidRPr="005C5E32">
              <w:t>137,420</w:t>
            </w:r>
          </w:p>
        </w:tc>
        <w:tc>
          <w:tcPr>
            <w:tcW w:w="1134" w:type="dxa"/>
            <w:tcBorders>
              <w:top w:val="single" w:sz="4" w:space="0" w:color="auto"/>
              <w:bottom w:val="single" w:sz="2" w:space="0" w:color="58595B"/>
            </w:tcBorders>
            <w:shd w:val="clear" w:color="auto" w:fill="E7F2F2"/>
            <w:vAlign w:val="bottom"/>
          </w:tcPr>
          <w:p w14:paraId="58ED0712" w14:textId="77777777" w:rsidR="00141630" w:rsidRPr="005C5E32" w:rsidRDefault="00141630">
            <w:pPr>
              <w:pStyle w:val="TableText"/>
              <w:spacing w:before="40" w:after="40"/>
              <w:jc w:val="right"/>
            </w:pPr>
            <w:r w:rsidRPr="005C5E32">
              <w:t>125,376</w:t>
            </w:r>
          </w:p>
        </w:tc>
        <w:tc>
          <w:tcPr>
            <w:tcW w:w="1191" w:type="dxa"/>
            <w:tcBorders>
              <w:top w:val="single" w:sz="4" w:space="0" w:color="auto"/>
              <w:bottom w:val="single" w:sz="2" w:space="0" w:color="58595B"/>
            </w:tcBorders>
            <w:vAlign w:val="bottom"/>
          </w:tcPr>
          <w:p w14:paraId="4A8C165B" w14:textId="77777777" w:rsidR="00141630" w:rsidRPr="005C5E32" w:rsidRDefault="00141630">
            <w:pPr>
              <w:pStyle w:val="TableText"/>
              <w:spacing w:before="40" w:after="40"/>
              <w:jc w:val="right"/>
            </w:pPr>
            <w:r w:rsidRPr="005C5E32">
              <w:t>a</w:t>
            </w:r>
          </w:p>
        </w:tc>
      </w:tr>
      <w:tr w:rsidR="00141630" w:rsidRPr="005C5E32" w14:paraId="4526A9FE" w14:textId="77777777" w:rsidTr="00F67395">
        <w:tc>
          <w:tcPr>
            <w:tcW w:w="2835" w:type="dxa"/>
            <w:tcBorders>
              <w:top w:val="single" w:sz="2" w:space="0" w:color="58595B"/>
              <w:bottom w:val="single" w:sz="2" w:space="0" w:color="58595B"/>
            </w:tcBorders>
          </w:tcPr>
          <w:p w14:paraId="3F29E9F8" w14:textId="77777777" w:rsidR="00141630" w:rsidRPr="005C5E32" w:rsidRDefault="00141630">
            <w:pPr>
              <w:pStyle w:val="TableText"/>
              <w:spacing w:before="40" w:after="40"/>
            </w:pPr>
            <w:r w:rsidRPr="005C5E32">
              <w:t>Managing Climate Change in New Zealand</w:t>
            </w:r>
          </w:p>
        </w:tc>
        <w:tc>
          <w:tcPr>
            <w:tcW w:w="1134" w:type="dxa"/>
            <w:tcBorders>
              <w:top w:val="single" w:sz="2" w:space="0" w:color="58595B"/>
              <w:bottom w:val="single" w:sz="2" w:space="0" w:color="58595B"/>
            </w:tcBorders>
            <w:shd w:val="clear" w:color="auto" w:fill="E7F2F2"/>
            <w:vAlign w:val="bottom"/>
          </w:tcPr>
          <w:p w14:paraId="4601B1ED" w14:textId="77777777" w:rsidR="00141630" w:rsidRPr="005C5E32" w:rsidRDefault="00141630">
            <w:pPr>
              <w:pStyle w:val="TableText"/>
              <w:spacing w:before="40" w:after="40"/>
              <w:jc w:val="right"/>
            </w:pPr>
            <w:r w:rsidRPr="005C5E32">
              <w:t>40,161</w:t>
            </w:r>
          </w:p>
        </w:tc>
        <w:tc>
          <w:tcPr>
            <w:tcW w:w="907" w:type="dxa"/>
            <w:tcBorders>
              <w:top w:val="single" w:sz="2" w:space="0" w:color="58595B"/>
              <w:bottom w:val="single" w:sz="2" w:space="0" w:color="58595B"/>
            </w:tcBorders>
            <w:vAlign w:val="bottom"/>
          </w:tcPr>
          <w:p w14:paraId="4A139AFA" w14:textId="77777777" w:rsidR="00141630" w:rsidRPr="005C5E32" w:rsidRDefault="00141630">
            <w:pPr>
              <w:pStyle w:val="TableText"/>
              <w:spacing w:before="40" w:after="40"/>
              <w:jc w:val="right"/>
            </w:pPr>
            <w:r w:rsidRPr="005C5E32">
              <w:t>46,399</w:t>
            </w:r>
          </w:p>
        </w:tc>
        <w:tc>
          <w:tcPr>
            <w:tcW w:w="907" w:type="dxa"/>
            <w:tcBorders>
              <w:top w:val="single" w:sz="2" w:space="0" w:color="58595B"/>
              <w:bottom w:val="single" w:sz="2" w:space="0" w:color="58595B"/>
            </w:tcBorders>
            <w:vAlign w:val="bottom"/>
          </w:tcPr>
          <w:p w14:paraId="6D2D4667" w14:textId="77777777" w:rsidR="00141630" w:rsidRPr="005C5E32" w:rsidRDefault="00141630">
            <w:pPr>
              <w:pStyle w:val="TableText"/>
              <w:spacing w:before="40" w:after="40"/>
              <w:jc w:val="right"/>
            </w:pPr>
            <w:r w:rsidRPr="005C5E32">
              <w:t>42,899</w:t>
            </w:r>
          </w:p>
        </w:tc>
        <w:tc>
          <w:tcPr>
            <w:tcW w:w="1134" w:type="dxa"/>
            <w:tcBorders>
              <w:top w:val="single" w:sz="2" w:space="0" w:color="58595B"/>
              <w:bottom w:val="single" w:sz="2" w:space="0" w:color="58595B"/>
            </w:tcBorders>
            <w:shd w:val="clear" w:color="auto" w:fill="E7F2F2"/>
            <w:vAlign w:val="bottom"/>
          </w:tcPr>
          <w:p w14:paraId="7CF2D899" w14:textId="77777777" w:rsidR="00141630" w:rsidRPr="005C5E32" w:rsidRDefault="00141630">
            <w:pPr>
              <w:pStyle w:val="TableText"/>
              <w:spacing w:before="40" w:after="40"/>
              <w:jc w:val="right"/>
            </w:pPr>
            <w:r w:rsidRPr="005C5E32">
              <w:t>39,720</w:t>
            </w:r>
          </w:p>
        </w:tc>
        <w:tc>
          <w:tcPr>
            <w:tcW w:w="1191" w:type="dxa"/>
            <w:tcBorders>
              <w:top w:val="single" w:sz="2" w:space="0" w:color="58595B"/>
              <w:bottom w:val="single" w:sz="2" w:space="0" w:color="58595B"/>
            </w:tcBorders>
            <w:vAlign w:val="bottom"/>
          </w:tcPr>
          <w:p w14:paraId="56563B1D" w14:textId="77777777" w:rsidR="00141630" w:rsidRPr="005C5E32" w:rsidRDefault="00141630">
            <w:pPr>
              <w:pStyle w:val="TableText"/>
              <w:spacing w:before="40" w:after="40"/>
              <w:jc w:val="right"/>
            </w:pPr>
            <w:r w:rsidRPr="005C5E32">
              <w:t>a</w:t>
            </w:r>
          </w:p>
        </w:tc>
      </w:tr>
      <w:tr w:rsidR="00141630" w:rsidRPr="005C5E32" w14:paraId="12C827B4" w14:textId="77777777" w:rsidTr="00F67395">
        <w:tc>
          <w:tcPr>
            <w:tcW w:w="2835" w:type="dxa"/>
            <w:tcBorders>
              <w:top w:val="single" w:sz="4" w:space="0" w:color="000000" w:themeColor="text1"/>
              <w:bottom w:val="single" w:sz="4" w:space="0" w:color="000000" w:themeColor="text1"/>
            </w:tcBorders>
          </w:tcPr>
          <w:p w14:paraId="775442AC" w14:textId="77777777" w:rsidR="00141630" w:rsidRPr="005C5E32" w:rsidRDefault="00141630">
            <w:pPr>
              <w:pStyle w:val="TableTextbold"/>
              <w:spacing w:before="40" w:after="40"/>
            </w:pPr>
            <w:r w:rsidRPr="005C5E32">
              <w:rPr>
                <w:spacing w:val="-5"/>
              </w:rPr>
              <w:t xml:space="preserve">Total </w:t>
            </w:r>
            <w:r w:rsidRPr="005C5E32">
              <w:t>departmental output</w:t>
            </w:r>
            <w:r w:rsidRPr="005C5E32">
              <w:rPr>
                <w:spacing w:val="-5"/>
              </w:rPr>
              <w:t xml:space="preserve"> </w:t>
            </w:r>
            <w:r w:rsidRPr="005C5E32">
              <w:t>expenses</w:t>
            </w:r>
          </w:p>
        </w:tc>
        <w:tc>
          <w:tcPr>
            <w:tcW w:w="1134" w:type="dxa"/>
            <w:tcBorders>
              <w:top w:val="single" w:sz="4" w:space="0" w:color="000000" w:themeColor="text1"/>
              <w:bottom w:val="single" w:sz="4" w:space="0" w:color="000000" w:themeColor="text1"/>
            </w:tcBorders>
            <w:shd w:val="clear" w:color="auto" w:fill="E7F2F2"/>
            <w:vAlign w:val="bottom"/>
          </w:tcPr>
          <w:p w14:paraId="768EB2AC" w14:textId="77777777" w:rsidR="00141630" w:rsidRPr="005C5E32" w:rsidRDefault="00141630">
            <w:pPr>
              <w:pStyle w:val="TableTextbold"/>
              <w:spacing w:before="40" w:after="40"/>
              <w:jc w:val="right"/>
            </w:pPr>
            <w:r w:rsidRPr="005C5E32">
              <w:t>150,161</w:t>
            </w:r>
          </w:p>
        </w:tc>
        <w:tc>
          <w:tcPr>
            <w:tcW w:w="907" w:type="dxa"/>
            <w:tcBorders>
              <w:top w:val="single" w:sz="4" w:space="0" w:color="000000" w:themeColor="text1"/>
              <w:bottom w:val="single" w:sz="4" w:space="0" w:color="000000" w:themeColor="text1"/>
            </w:tcBorders>
            <w:vAlign w:val="bottom"/>
          </w:tcPr>
          <w:p w14:paraId="5B6969CB" w14:textId="77777777" w:rsidR="00141630" w:rsidRPr="005C5E32" w:rsidRDefault="00141630">
            <w:pPr>
              <w:pStyle w:val="TableTextbold"/>
              <w:spacing w:before="40" w:after="40"/>
              <w:jc w:val="right"/>
              <w:rPr>
                <w:bCs/>
                <w:szCs w:val="18"/>
              </w:rPr>
            </w:pPr>
            <w:r w:rsidRPr="005C5E32">
              <w:rPr>
                <w:bCs/>
                <w:szCs w:val="18"/>
              </w:rPr>
              <w:t>178,565</w:t>
            </w:r>
          </w:p>
        </w:tc>
        <w:tc>
          <w:tcPr>
            <w:tcW w:w="907" w:type="dxa"/>
            <w:tcBorders>
              <w:top w:val="single" w:sz="4" w:space="0" w:color="000000" w:themeColor="text1"/>
              <w:bottom w:val="single" w:sz="4" w:space="0" w:color="000000" w:themeColor="text1"/>
            </w:tcBorders>
            <w:vAlign w:val="bottom"/>
          </w:tcPr>
          <w:p w14:paraId="760C6D94" w14:textId="77777777" w:rsidR="00141630" w:rsidRPr="005C5E32" w:rsidRDefault="00141630">
            <w:pPr>
              <w:pStyle w:val="TableTextbold"/>
              <w:spacing w:before="40" w:after="40"/>
              <w:jc w:val="right"/>
            </w:pPr>
            <w:r w:rsidRPr="005C5E32">
              <w:t>183,561</w:t>
            </w:r>
          </w:p>
        </w:tc>
        <w:tc>
          <w:tcPr>
            <w:tcW w:w="1134" w:type="dxa"/>
            <w:tcBorders>
              <w:top w:val="single" w:sz="4" w:space="0" w:color="000000" w:themeColor="text1"/>
              <w:bottom w:val="single" w:sz="4" w:space="0" w:color="000000" w:themeColor="text1"/>
            </w:tcBorders>
            <w:shd w:val="clear" w:color="auto" w:fill="E7F2F2"/>
            <w:vAlign w:val="bottom"/>
          </w:tcPr>
          <w:p w14:paraId="55D4C8FD" w14:textId="77777777" w:rsidR="00141630" w:rsidRPr="005C5E32" w:rsidRDefault="00141630">
            <w:pPr>
              <w:pStyle w:val="TableTextbold"/>
              <w:spacing w:before="40" w:after="40"/>
              <w:jc w:val="right"/>
            </w:pPr>
            <w:r w:rsidRPr="005C5E32">
              <w:t>167,790</w:t>
            </w:r>
          </w:p>
        </w:tc>
        <w:tc>
          <w:tcPr>
            <w:tcW w:w="1191" w:type="dxa"/>
            <w:tcBorders>
              <w:top w:val="single" w:sz="4" w:space="0" w:color="000000" w:themeColor="text1"/>
              <w:bottom w:val="single" w:sz="4" w:space="0" w:color="000000" w:themeColor="text1"/>
            </w:tcBorders>
            <w:vAlign w:val="bottom"/>
          </w:tcPr>
          <w:p w14:paraId="3D44C862" w14:textId="77777777" w:rsidR="00141630" w:rsidRPr="005C5E32" w:rsidRDefault="00141630">
            <w:pPr>
              <w:pStyle w:val="TableTextbold"/>
              <w:spacing w:before="40" w:after="40"/>
              <w:jc w:val="right"/>
              <w:rPr>
                <w:rFonts w:eastAsia="MS Mincho"/>
              </w:rPr>
            </w:pPr>
          </w:p>
        </w:tc>
      </w:tr>
      <w:tr w:rsidR="00141630" w:rsidRPr="005C5E32" w14:paraId="385381B7" w14:textId="77777777" w:rsidTr="00F67395">
        <w:tc>
          <w:tcPr>
            <w:tcW w:w="2835" w:type="dxa"/>
            <w:tcBorders>
              <w:top w:val="single" w:sz="4" w:space="0" w:color="000000" w:themeColor="text1"/>
            </w:tcBorders>
          </w:tcPr>
          <w:p w14:paraId="23A7DE89" w14:textId="77777777" w:rsidR="00141630" w:rsidRPr="005C5E32" w:rsidRDefault="00141630">
            <w:pPr>
              <w:pStyle w:val="TableboldGreen"/>
              <w:spacing w:before="40" w:after="0"/>
            </w:pPr>
            <w:r w:rsidRPr="005C5E32">
              <w:t>Departmental capital expenditure</w:t>
            </w:r>
          </w:p>
        </w:tc>
        <w:tc>
          <w:tcPr>
            <w:tcW w:w="1134" w:type="dxa"/>
            <w:tcBorders>
              <w:top w:val="single" w:sz="4" w:space="0" w:color="000000" w:themeColor="text1"/>
            </w:tcBorders>
            <w:shd w:val="clear" w:color="auto" w:fill="E7F2F2"/>
          </w:tcPr>
          <w:p w14:paraId="7A1105CF" w14:textId="77777777" w:rsidR="00141630" w:rsidRPr="005C5E32" w:rsidRDefault="00141630">
            <w:pPr>
              <w:pStyle w:val="TableText"/>
              <w:spacing w:before="40" w:after="0"/>
              <w:jc w:val="right"/>
            </w:pPr>
          </w:p>
        </w:tc>
        <w:tc>
          <w:tcPr>
            <w:tcW w:w="907" w:type="dxa"/>
            <w:tcBorders>
              <w:top w:val="single" w:sz="4" w:space="0" w:color="000000" w:themeColor="text1"/>
            </w:tcBorders>
          </w:tcPr>
          <w:p w14:paraId="7A18C072" w14:textId="77777777" w:rsidR="00141630" w:rsidRPr="005C5E32" w:rsidRDefault="00141630">
            <w:pPr>
              <w:pStyle w:val="TableText"/>
              <w:spacing w:before="40" w:after="0"/>
              <w:jc w:val="right"/>
            </w:pPr>
          </w:p>
        </w:tc>
        <w:tc>
          <w:tcPr>
            <w:tcW w:w="907" w:type="dxa"/>
            <w:tcBorders>
              <w:top w:val="single" w:sz="4" w:space="0" w:color="000000" w:themeColor="text1"/>
            </w:tcBorders>
          </w:tcPr>
          <w:p w14:paraId="229BC522" w14:textId="77777777" w:rsidR="00141630" w:rsidRPr="005C5E32" w:rsidRDefault="00141630">
            <w:pPr>
              <w:pStyle w:val="TableText"/>
              <w:spacing w:before="40" w:after="0"/>
              <w:jc w:val="right"/>
            </w:pPr>
          </w:p>
        </w:tc>
        <w:tc>
          <w:tcPr>
            <w:tcW w:w="1134" w:type="dxa"/>
            <w:tcBorders>
              <w:top w:val="single" w:sz="4" w:space="0" w:color="000000" w:themeColor="text1"/>
            </w:tcBorders>
            <w:shd w:val="clear" w:color="auto" w:fill="E7F2F2"/>
          </w:tcPr>
          <w:p w14:paraId="4CE67C99" w14:textId="77777777" w:rsidR="00141630" w:rsidRPr="005C5E32" w:rsidRDefault="00141630">
            <w:pPr>
              <w:pStyle w:val="TableText"/>
              <w:spacing w:before="40" w:after="0"/>
              <w:jc w:val="right"/>
            </w:pPr>
          </w:p>
        </w:tc>
        <w:tc>
          <w:tcPr>
            <w:tcW w:w="1191" w:type="dxa"/>
            <w:tcBorders>
              <w:top w:val="single" w:sz="4" w:space="0" w:color="000000" w:themeColor="text1"/>
            </w:tcBorders>
          </w:tcPr>
          <w:p w14:paraId="540754F8" w14:textId="77777777" w:rsidR="00141630" w:rsidRPr="005C5E32" w:rsidRDefault="00141630">
            <w:pPr>
              <w:pStyle w:val="TableText"/>
              <w:spacing w:before="40" w:after="0"/>
              <w:jc w:val="right"/>
            </w:pPr>
          </w:p>
        </w:tc>
      </w:tr>
      <w:tr w:rsidR="00141630" w:rsidRPr="005C5E32" w14:paraId="21505838" w14:textId="77777777" w:rsidTr="00F67395">
        <w:tc>
          <w:tcPr>
            <w:tcW w:w="2835" w:type="dxa"/>
            <w:tcBorders>
              <w:bottom w:val="single" w:sz="4" w:space="0" w:color="000000" w:themeColor="text1"/>
            </w:tcBorders>
            <w:vAlign w:val="bottom"/>
          </w:tcPr>
          <w:p w14:paraId="76A4183A" w14:textId="77777777" w:rsidR="00141630" w:rsidRPr="005C5E32" w:rsidRDefault="00141630">
            <w:pPr>
              <w:pStyle w:val="TableText"/>
              <w:spacing w:before="40" w:after="40"/>
            </w:pPr>
            <w:r w:rsidRPr="005C5E32">
              <w:t>Capital Expenditure – Permanent Legislative Authority under section </w:t>
            </w:r>
            <w:r w:rsidRPr="005C5E32">
              <w:rPr>
                <w:spacing w:val="-3"/>
              </w:rPr>
              <w:t xml:space="preserve">24(1) of </w:t>
            </w:r>
            <w:r w:rsidRPr="005C5E32">
              <w:t xml:space="preserve">the </w:t>
            </w:r>
            <w:r w:rsidRPr="005C5E32">
              <w:rPr>
                <w:spacing w:val="-3"/>
              </w:rPr>
              <w:t>Public Finance Act 1989</w:t>
            </w:r>
          </w:p>
        </w:tc>
        <w:tc>
          <w:tcPr>
            <w:tcW w:w="1134" w:type="dxa"/>
            <w:tcBorders>
              <w:bottom w:val="single" w:sz="4" w:space="0" w:color="000000" w:themeColor="text1"/>
            </w:tcBorders>
            <w:shd w:val="clear" w:color="auto" w:fill="E7F2F2"/>
            <w:vAlign w:val="bottom"/>
          </w:tcPr>
          <w:p w14:paraId="1042659B" w14:textId="77777777" w:rsidR="00141630" w:rsidRPr="005C5E32" w:rsidRDefault="00141630">
            <w:pPr>
              <w:pStyle w:val="TableText"/>
              <w:spacing w:before="40" w:after="40"/>
              <w:jc w:val="right"/>
            </w:pPr>
            <w:r w:rsidRPr="005C5E32">
              <w:t>224</w:t>
            </w:r>
          </w:p>
        </w:tc>
        <w:tc>
          <w:tcPr>
            <w:tcW w:w="907" w:type="dxa"/>
            <w:tcBorders>
              <w:bottom w:val="single" w:sz="4" w:space="0" w:color="000000" w:themeColor="text1"/>
            </w:tcBorders>
            <w:vAlign w:val="bottom"/>
          </w:tcPr>
          <w:p w14:paraId="5E409A96" w14:textId="77777777" w:rsidR="00141630" w:rsidRPr="005C5E32" w:rsidRDefault="00141630">
            <w:pPr>
              <w:pStyle w:val="TableText"/>
              <w:spacing w:before="40" w:after="40"/>
              <w:jc w:val="right"/>
            </w:pPr>
            <w:r w:rsidRPr="005C5E32">
              <w:t>800</w:t>
            </w:r>
          </w:p>
        </w:tc>
        <w:tc>
          <w:tcPr>
            <w:tcW w:w="907" w:type="dxa"/>
            <w:tcBorders>
              <w:bottom w:val="single" w:sz="4" w:space="0" w:color="000000" w:themeColor="text1"/>
            </w:tcBorders>
            <w:vAlign w:val="bottom"/>
          </w:tcPr>
          <w:p w14:paraId="6F775DEE" w14:textId="77777777" w:rsidR="00141630" w:rsidRPr="005C5E32" w:rsidRDefault="00141630">
            <w:pPr>
              <w:pStyle w:val="TableText"/>
              <w:spacing w:before="40" w:after="40"/>
              <w:jc w:val="right"/>
            </w:pPr>
            <w:r w:rsidRPr="005C5E32">
              <w:t>800</w:t>
            </w:r>
          </w:p>
        </w:tc>
        <w:tc>
          <w:tcPr>
            <w:tcW w:w="1134" w:type="dxa"/>
            <w:tcBorders>
              <w:bottom w:val="single" w:sz="4" w:space="0" w:color="000000" w:themeColor="text1"/>
            </w:tcBorders>
            <w:shd w:val="clear" w:color="auto" w:fill="E7F2F2"/>
            <w:vAlign w:val="bottom"/>
          </w:tcPr>
          <w:p w14:paraId="515B73D0" w14:textId="77777777" w:rsidR="00141630" w:rsidRPr="005C5E32" w:rsidRDefault="00141630">
            <w:pPr>
              <w:pStyle w:val="TableText"/>
              <w:spacing w:before="40" w:after="40"/>
              <w:jc w:val="right"/>
            </w:pPr>
            <w:r w:rsidRPr="005C5E32">
              <w:t>750</w:t>
            </w:r>
          </w:p>
        </w:tc>
        <w:tc>
          <w:tcPr>
            <w:tcW w:w="1191" w:type="dxa"/>
            <w:tcBorders>
              <w:bottom w:val="single" w:sz="4" w:space="0" w:color="000000" w:themeColor="text1"/>
            </w:tcBorders>
            <w:vAlign w:val="bottom"/>
          </w:tcPr>
          <w:p w14:paraId="356C9301" w14:textId="77777777" w:rsidR="00141630" w:rsidRPr="005C5E32" w:rsidRDefault="00141630">
            <w:pPr>
              <w:pStyle w:val="TableText"/>
              <w:spacing w:before="40" w:after="40"/>
              <w:jc w:val="right"/>
            </w:pPr>
            <w:r w:rsidRPr="005C5E32">
              <w:t>a</w:t>
            </w:r>
          </w:p>
        </w:tc>
      </w:tr>
      <w:tr w:rsidR="00141630" w:rsidRPr="005C5E32" w14:paraId="5D30048F" w14:textId="77777777" w:rsidTr="00F67395">
        <w:tc>
          <w:tcPr>
            <w:tcW w:w="2835" w:type="dxa"/>
            <w:tcBorders>
              <w:top w:val="single" w:sz="4" w:space="0" w:color="000000" w:themeColor="text1"/>
              <w:bottom w:val="single" w:sz="4" w:space="0" w:color="000000" w:themeColor="text1"/>
            </w:tcBorders>
          </w:tcPr>
          <w:p w14:paraId="2255216E" w14:textId="77777777" w:rsidR="00141630" w:rsidRPr="005C5E32" w:rsidRDefault="00141630">
            <w:pPr>
              <w:pStyle w:val="TableTextbold"/>
              <w:spacing w:before="40" w:after="40"/>
            </w:pPr>
            <w:r w:rsidRPr="005C5E32">
              <w:t>Total departmental capital expenditure</w:t>
            </w:r>
          </w:p>
        </w:tc>
        <w:tc>
          <w:tcPr>
            <w:tcW w:w="1134" w:type="dxa"/>
            <w:tcBorders>
              <w:top w:val="single" w:sz="4" w:space="0" w:color="000000" w:themeColor="text1"/>
              <w:bottom w:val="single" w:sz="4" w:space="0" w:color="000000" w:themeColor="text1"/>
            </w:tcBorders>
            <w:shd w:val="clear" w:color="auto" w:fill="E7F2F2"/>
            <w:vAlign w:val="bottom"/>
          </w:tcPr>
          <w:p w14:paraId="36F03E92" w14:textId="77777777" w:rsidR="00141630" w:rsidRPr="005C5E32" w:rsidRDefault="00141630">
            <w:pPr>
              <w:pStyle w:val="TableTextbold"/>
              <w:spacing w:before="40" w:after="40"/>
              <w:jc w:val="right"/>
            </w:pPr>
            <w:r w:rsidRPr="005C5E32">
              <w:t>224</w:t>
            </w:r>
          </w:p>
        </w:tc>
        <w:tc>
          <w:tcPr>
            <w:tcW w:w="907" w:type="dxa"/>
            <w:tcBorders>
              <w:top w:val="single" w:sz="4" w:space="0" w:color="000000" w:themeColor="text1"/>
              <w:bottom w:val="single" w:sz="4" w:space="0" w:color="000000" w:themeColor="text1"/>
            </w:tcBorders>
            <w:vAlign w:val="bottom"/>
          </w:tcPr>
          <w:p w14:paraId="399D3710" w14:textId="77777777" w:rsidR="00141630" w:rsidRPr="005C5E32" w:rsidRDefault="00141630">
            <w:pPr>
              <w:pStyle w:val="TableTextbold"/>
              <w:spacing w:before="40" w:after="40"/>
              <w:jc w:val="right"/>
            </w:pPr>
            <w:r w:rsidRPr="005C5E32">
              <w:t>800</w:t>
            </w:r>
          </w:p>
        </w:tc>
        <w:tc>
          <w:tcPr>
            <w:tcW w:w="907" w:type="dxa"/>
            <w:tcBorders>
              <w:top w:val="single" w:sz="4" w:space="0" w:color="000000" w:themeColor="text1"/>
              <w:bottom w:val="single" w:sz="4" w:space="0" w:color="000000" w:themeColor="text1"/>
            </w:tcBorders>
            <w:vAlign w:val="bottom"/>
          </w:tcPr>
          <w:p w14:paraId="5F563A5A" w14:textId="77777777" w:rsidR="00141630" w:rsidRPr="005C5E32" w:rsidRDefault="00141630">
            <w:pPr>
              <w:pStyle w:val="TableTextbold"/>
              <w:spacing w:before="40" w:after="40"/>
              <w:jc w:val="right"/>
            </w:pPr>
            <w:r w:rsidRPr="005C5E32">
              <w:t>800</w:t>
            </w:r>
          </w:p>
        </w:tc>
        <w:tc>
          <w:tcPr>
            <w:tcW w:w="1134" w:type="dxa"/>
            <w:tcBorders>
              <w:top w:val="single" w:sz="4" w:space="0" w:color="000000" w:themeColor="text1"/>
              <w:bottom w:val="single" w:sz="4" w:space="0" w:color="000000" w:themeColor="text1"/>
            </w:tcBorders>
            <w:shd w:val="clear" w:color="auto" w:fill="E7F2F2"/>
            <w:vAlign w:val="bottom"/>
          </w:tcPr>
          <w:p w14:paraId="0A096ADC" w14:textId="77777777" w:rsidR="00141630" w:rsidRPr="005C5E32" w:rsidRDefault="00141630">
            <w:pPr>
              <w:pStyle w:val="TableTextbold"/>
              <w:spacing w:before="40" w:after="40"/>
              <w:jc w:val="right"/>
            </w:pPr>
            <w:r w:rsidRPr="005C5E32">
              <w:t>750</w:t>
            </w:r>
          </w:p>
        </w:tc>
        <w:tc>
          <w:tcPr>
            <w:tcW w:w="1191" w:type="dxa"/>
            <w:tcBorders>
              <w:top w:val="single" w:sz="4" w:space="0" w:color="000000" w:themeColor="text1"/>
              <w:bottom w:val="single" w:sz="4" w:space="0" w:color="000000" w:themeColor="text1"/>
            </w:tcBorders>
            <w:vAlign w:val="bottom"/>
          </w:tcPr>
          <w:p w14:paraId="2F22980D" w14:textId="77777777" w:rsidR="00141630" w:rsidRPr="005C5E32" w:rsidRDefault="00141630">
            <w:pPr>
              <w:pStyle w:val="TableTextbold"/>
              <w:spacing w:before="40" w:after="40"/>
              <w:jc w:val="right"/>
            </w:pPr>
          </w:p>
        </w:tc>
      </w:tr>
      <w:tr w:rsidR="00141630" w:rsidRPr="005C5E32" w14:paraId="132722FD" w14:textId="77777777" w:rsidTr="00F67395">
        <w:tc>
          <w:tcPr>
            <w:tcW w:w="2835" w:type="dxa"/>
            <w:tcBorders>
              <w:top w:val="single" w:sz="4" w:space="0" w:color="000000" w:themeColor="text1"/>
            </w:tcBorders>
          </w:tcPr>
          <w:p w14:paraId="162BD9FD" w14:textId="77777777" w:rsidR="00141630" w:rsidRPr="005C5E32" w:rsidRDefault="00141630">
            <w:pPr>
              <w:pStyle w:val="TableboldGreen"/>
              <w:spacing w:before="40" w:after="0"/>
            </w:pPr>
            <w:r w:rsidRPr="005C5E32">
              <w:t>Non-departmental output expenses</w:t>
            </w:r>
          </w:p>
        </w:tc>
        <w:tc>
          <w:tcPr>
            <w:tcW w:w="1134" w:type="dxa"/>
            <w:tcBorders>
              <w:top w:val="single" w:sz="4" w:space="0" w:color="000000" w:themeColor="text1"/>
            </w:tcBorders>
            <w:shd w:val="clear" w:color="auto" w:fill="E7F2F2"/>
          </w:tcPr>
          <w:p w14:paraId="2B5671F0" w14:textId="77777777" w:rsidR="00141630" w:rsidRPr="005C5E32" w:rsidRDefault="00141630">
            <w:pPr>
              <w:pStyle w:val="TableText"/>
              <w:spacing w:before="40" w:after="0"/>
              <w:jc w:val="right"/>
            </w:pPr>
          </w:p>
        </w:tc>
        <w:tc>
          <w:tcPr>
            <w:tcW w:w="907" w:type="dxa"/>
            <w:tcBorders>
              <w:top w:val="single" w:sz="4" w:space="0" w:color="000000" w:themeColor="text1"/>
            </w:tcBorders>
          </w:tcPr>
          <w:p w14:paraId="2E5DD26A" w14:textId="77777777" w:rsidR="00141630" w:rsidRPr="005C5E32" w:rsidRDefault="00141630">
            <w:pPr>
              <w:pStyle w:val="TableText"/>
              <w:spacing w:before="40" w:after="0"/>
              <w:jc w:val="right"/>
            </w:pPr>
          </w:p>
        </w:tc>
        <w:tc>
          <w:tcPr>
            <w:tcW w:w="907" w:type="dxa"/>
            <w:tcBorders>
              <w:top w:val="single" w:sz="4" w:space="0" w:color="000000" w:themeColor="text1"/>
            </w:tcBorders>
          </w:tcPr>
          <w:p w14:paraId="605DF842" w14:textId="77777777" w:rsidR="00141630" w:rsidRPr="005C5E32" w:rsidRDefault="00141630">
            <w:pPr>
              <w:pStyle w:val="TableText"/>
              <w:spacing w:before="40" w:after="0"/>
              <w:jc w:val="right"/>
            </w:pPr>
          </w:p>
        </w:tc>
        <w:tc>
          <w:tcPr>
            <w:tcW w:w="1134" w:type="dxa"/>
            <w:tcBorders>
              <w:top w:val="single" w:sz="4" w:space="0" w:color="000000" w:themeColor="text1"/>
            </w:tcBorders>
            <w:shd w:val="clear" w:color="auto" w:fill="E7F2F2"/>
          </w:tcPr>
          <w:p w14:paraId="1009EE52" w14:textId="77777777" w:rsidR="00141630" w:rsidRPr="005C5E32" w:rsidRDefault="00141630">
            <w:pPr>
              <w:pStyle w:val="TableText"/>
              <w:spacing w:before="40" w:after="0"/>
              <w:jc w:val="right"/>
            </w:pPr>
          </w:p>
        </w:tc>
        <w:tc>
          <w:tcPr>
            <w:tcW w:w="1191" w:type="dxa"/>
            <w:tcBorders>
              <w:top w:val="single" w:sz="4" w:space="0" w:color="000000" w:themeColor="text1"/>
            </w:tcBorders>
          </w:tcPr>
          <w:p w14:paraId="2848FD38" w14:textId="77777777" w:rsidR="00141630" w:rsidRPr="005C5E32" w:rsidRDefault="00141630">
            <w:pPr>
              <w:pStyle w:val="TableText"/>
              <w:spacing w:before="40" w:after="0"/>
              <w:jc w:val="right"/>
            </w:pPr>
          </w:p>
        </w:tc>
      </w:tr>
      <w:tr w:rsidR="00141630" w:rsidRPr="005C5E32" w14:paraId="5B4BA016" w14:textId="77777777" w:rsidTr="00F67395">
        <w:tc>
          <w:tcPr>
            <w:tcW w:w="2835" w:type="dxa"/>
            <w:tcBorders>
              <w:bottom w:val="single" w:sz="2" w:space="0" w:color="58595B"/>
            </w:tcBorders>
          </w:tcPr>
          <w:p w14:paraId="5F760EFD" w14:textId="77777777" w:rsidR="00141630" w:rsidRPr="005C5E32" w:rsidRDefault="00141630">
            <w:pPr>
              <w:pStyle w:val="TableText"/>
              <w:spacing w:before="40" w:after="40"/>
            </w:pPr>
            <w:r w:rsidRPr="005C5E32">
              <w:t>Administration of New Zealand Units held on Trust</w:t>
            </w:r>
          </w:p>
        </w:tc>
        <w:tc>
          <w:tcPr>
            <w:tcW w:w="1134" w:type="dxa"/>
            <w:tcBorders>
              <w:bottom w:val="single" w:sz="2" w:space="0" w:color="58595B"/>
            </w:tcBorders>
            <w:shd w:val="clear" w:color="auto" w:fill="E7F2F2"/>
            <w:vAlign w:val="bottom"/>
          </w:tcPr>
          <w:p w14:paraId="4F29D9E6" w14:textId="77777777" w:rsidR="00141630" w:rsidRPr="005C5E32" w:rsidRDefault="00141630">
            <w:pPr>
              <w:pStyle w:val="TableText"/>
              <w:spacing w:before="40" w:after="40"/>
              <w:jc w:val="right"/>
            </w:pPr>
            <w:r w:rsidRPr="005C5E32">
              <w:t>126</w:t>
            </w:r>
          </w:p>
        </w:tc>
        <w:tc>
          <w:tcPr>
            <w:tcW w:w="907" w:type="dxa"/>
            <w:tcBorders>
              <w:bottom w:val="single" w:sz="2" w:space="0" w:color="58595B"/>
            </w:tcBorders>
            <w:vAlign w:val="bottom"/>
          </w:tcPr>
          <w:p w14:paraId="13992C2B" w14:textId="77777777" w:rsidR="00141630" w:rsidRPr="005C5E32" w:rsidRDefault="00141630">
            <w:pPr>
              <w:pStyle w:val="TableText"/>
              <w:spacing w:before="40" w:after="40"/>
              <w:jc w:val="right"/>
            </w:pPr>
            <w:r w:rsidRPr="005C5E32">
              <w:t>177</w:t>
            </w:r>
          </w:p>
        </w:tc>
        <w:tc>
          <w:tcPr>
            <w:tcW w:w="907" w:type="dxa"/>
            <w:tcBorders>
              <w:bottom w:val="single" w:sz="2" w:space="0" w:color="58595B"/>
            </w:tcBorders>
            <w:vAlign w:val="bottom"/>
          </w:tcPr>
          <w:p w14:paraId="76401867" w14:textId="77777777" w:rsidR="00141630" w:rsidRPr="005C5E32" w:rsidRDefault="00141630">
            <w:pPr>
              <w:pStyle w:val="TableText"/>
              <w:spacing w:before="40" w:after="40"/>
              <w:jc w:val="right"/>
            </w:pPr>
            <w:r w:rsidRPr="005C5E32">
              <w:t>177</w:t>
            </w:r>
          </w:p>
        </w:tc>
        <w:tc>
          <w:tcPr>
            <w:tcW w:w="1134" w:type="dxa"/>
            <w:tcBorders>
              <w:bottom w:val="single" w:sz="2" w:space="0" w:color="58595B"/>
            </w:tcBorders>
            <w:shd w:val="clear" w:color="auto" w:fill="E7F2F2"/>
            <w:vAlign w:val="bottom"/>
          </w:tcPr>
          <w:p w14:paraId="13F51CC2" w14:textId="77777777" w:rsidR="00141630" w:rsidRPr="005C5E32" w:rsidRDefault="00141630">
            <w:pPr>
              <w:pStyle w:val="TableText"/>
              <w:spacing w:before="40" w:after="40"/>
              <w:jc w:val="right"/>
            </w:pPr>
            <w:r w:rsidRPr="005C5E32">
              <w:t>132</w:t>
            </w:r>
          </w:p>
        </w:tc>
        <w:tc>
          <w:tcPr>
            <w:tcW w:w="1191" w:type="dxa"/>
            <w:tcBorders>
              <w:bottom w:val="single" w:sz="2" w:space="0" w:color="58595B"/>
            </w:tcBorders>
            <w:vAlign w:val="bottom"/>
          </w:tcPr>
          <w:p w14:paraId="3455D14F" w14:textId="77777777" w:rsidR="00141630" w:rsidRPr="005C5E32" w:rsidRDefault="00141630">
            <w:pPr>
              <w:pStyle w:val="TableText"/>
              <w:spacing w:before="40" w:after="40"/>
              <w:jc w:val="right"/>
            </w:pPr>
            <w:r w:rsidRPr="005C5E32">
              <w:t>e</w:t>
            </w:r>
          </w:p>
        </w:tc>
      </w:tr>
      <w:tr w:rsidR="00141630" w:rsidRPr="005C5E32" w14:paraId="2BD4B0A7" w14:textId="77777777" w:rsidTr="00F67395">
        <w:tc>
          <w:tcPr>
            <w:tcW w:w="2835" w:type="dxa"/>
            <w:tcBorders>
              <w:top w:val="single" w:sz="2" w:space="0" w:color="58595B"/>
              <w:bottom w:val="single" w:sz="2" w:space="0" w:color="58595B"/>
            </w:tcBorders>
          </w:tcPr>
          <w:p w14:paraId="7F494467" w14:textId="77777777" w:rsidR="00141630" w:rsidRPr="005C5E32" w:rsidRDefault="00141630">
            <w:pPr>
              <w:pStyle w:val="TableText"/>
              <w:spacing w:before="40" w:after="40"/>
            </w:pPr>
            <w:r w:rsidRPr="005C5E32">
              <w:t>Climate Change Commission Advisory and Monitoring Function</w:t>
            </w:r>
          </w:p>
        </w:tc>
        <w:tc>
          <w:tcPr>
            <w:tcW w:w="1134" w:type="dxa"/>
            <w:tcBorders>
              <w:top w:val="single" w:sz="2" w:space="0" w:color="58595B"/>
              <w:bottom w:val="single" w:sz="2" w:space="0" w:color="58595B"/>
            </w:tcBorders>
            <w:shd w:val="clear" w:color="auto" w:fill="E7F2F2"/>
            <w:vAlign w:val="bottom"/>
          </w:tcPr>
          <w:p w14:paraId="38D23082" w14:textId="77777777" w:rsidR="00141630" w:rsidRPr="005C5E32" w:rsidRDefault="00141630">
            <w:pPr>
              <w:pStyle w:val="TableText"/>
              <w:spacing w:before="40" w:after="40"/>
              <w:jc w:val="right"/>
            </w:pPr>
            <w:r w:rsidRPr="005C5E32">
              <w:t>14,303</w:t>
            </w:r>
          </w:p>
        </w:tc>
        <w:tc>
          <w:tcPr>
            <w:tcW w:w="907" w:type="dxa"/>
            <w:tcBorders>
              <w:top w:val="single" w:sz="2" w:space="0" w:color="58595B"/>
              <w:bottom w:val="single" w:sz="2" w:space="0" w:color="58595B"/>
            </w:tcBorders>
            <w:vAlign w:val="bottom"/>
          </w:tcPr>
          <w:p w14:paraId="729BC643" w14:textId="77777777" w:rsidR="00141630" w:rsidRPr="005C5E32" w:rsidRDefault="00141630">
            <w:pPr>
              <w:pStyle w:val="TableText"/>
              <w:spacing w:before="40" w:after="40"/>
              <w:jc w:val="right"/>
            </w:pPr>
            <w:r w:rsidRPr="005C5E32">
              <w:t>15,504</w:t>
            </w:r>
          </w:p>
        </w:tc>
        <w:tc>
          <w:tcPr>
            <w:tcW w:w="907" w:type="dxa"/>
            <w:tcBorders>
              <w:top w:val="single" w:sz="2" w:space="0" w:color="58595B"/>
              <w:bottom w:val="single" w:sz="2" w:space="0" w:color="58595B"/>
            </w:tcBorders>
            <w:vAlign w:val="bottom"/>
          </w:tcPr>
          <w:p w14:paraId="5D11ECC7" w14:textId="77777777" w:rsidR="00141630" w:rsidRPr="005C5E32" w:rsidRDefault="00141630">
            <w:pPr>
              <w:pStyle w:val="TableText"/>
              <w:spacing w:before="40" w:after="40"/>
              <w:jc w:val="right"/>
            </w:pPr>
            <w:r w:rsidRPr="005C5E32">
              <w:t>15,504</w:t>
            </w:r>
          </w:p>
        </w:tc>
        <w:tc>
          <w:tcPr>
            <w:tcW w:w="1134" w:type="dxa"/>
            <w:tcBorders>
              <w:top w:val="single" w:sz="2" w:space="0" w:color="58595B"/>
              <w:bottom w:val="single" w:sz="2" w:space="0" w:color="58595B"/>
            </w:tcBorders>
            <w:shd w:val="clear" w:color="auto" w:fill="E7F2F2"/>
            <w:vAlign w:val="bottom"/>
          </w:tcPr>
          <w:p w14:paraId="13B572A0" w14:textId="77777777" w:rsidR="00141630" w:rsidRPr="005C5E32" w:rsidRDefault="00141630">
            <w:pPr>
              <w:pStyle w:val="TableText"/>
              <w:spacing w:before="40" w:after="40"/>
              <w:jc w:val="right"/>
            </w:pPr>
            <w:r w:rsidRPr="005C5E32">
              <w:t>15,504</w:t>
            </w:r>
          </w:p>
        </w:tc>
        <w:tc>
          <w:tcPr>
            <w:tcW w:w="1191" w:type="dxa"/>
            <w:tcBorders>
              <w:top w:val="single" w:sz="2" w:space="0" w:color="58595B"/>
              <w:bottom w:val="single" w:sz="2" w:space="0" w:color="58595B"/>
            </w:tcBorders>
            <w:vAlign w:val="bottom"/>
          </w:tcPr>
          <w:p w14:paraId="67045243" w14:textId="77777777" w:rsidR="00141630" w:rsidRPr="005C5E32" w:rsidRDefault="00141630">
            <w:pPr>
              <w:pStyle w:val="TableText"/>
              <w:spacing w:before="40" w:after="40"/>
              <w:jc w:val="right"/>
            </w:pPr>
            <w:r w:rsidRPr="005C5E32">
              <w:t>c</w:t>
            </w:r>
          </w:p>
        </w:tc>
      </w:tr>
      <w:tr w:rsidR="00141630" w:rsidRPr="005C5E32" w14:paraId="392CDAF8" w14:textId="77777777" w:rsidTr="00F67395">
        <w:tc>
          <w:tcPr>
            <w:tcW w:w="2835" w:type="dxa"/>
            <w:tcBorders>
              <w:top w:val="single" w:sz="2" w:space="0" w:color="58595B"/>
              <w:bottom w:val="single" w:sz="2" w:space="0" w:color="58595B"/>
            </w:tcBorders>
          </w:tcPr>
          <w:p w14:paraId="1989C81E" w14:textId="77777777" w:rsidR="00141630" w:rsidRPr="005C5E32" w:rsidRDefault="00141630">
            <w:pPr>
              <w:pStyle w:val="TableText"/>
              <w:spacing w:before="40" w:after="40"/>
            </w:pPr>
            <w:r w:rsidRPr="005C5E32">
              <w:t>Contaminated Sites Remediation Fund</w:t>
            </w:r>
          </w:p>
        </w:tc>
        <w:tc>
          <w:tcPr>
            <w:tcW w:w="1134" w:type="dxa"/>
            <w:tcBorders>
              <w:top w:val="single" w:sz="2" w:space="0" w:color="58595B"/>
              <w:bottom w:val="single" w:sz="2" w:space="0" w:color="58595B"/>
            </w:tcBorders>
            <w:shd w:val="clear" w:color="auto" w:fill="E7F2F2"/>
            <w:vAlign w:val="bottom"/>
          </w:tcPr>
          <w:p w14:paraId="55CEEB62" w14:textId="77777777" w:rsidR="00141630" w:rsidRPr="005C5E32" w:rsidRDefault="00141630">
            <w:pPr>
              <w:pStyle w:val="TableText"/>
              <w:spacing w:before="40" w:after="40"/>
              <w:jc w:val="right"/>
            </w:pPr>
            <w:r w:rsidRPr="005C5E32">
              <w:t>8,340</w:t>
            </w:r>
          </w:p>
        </w:tc>
        <w:tc>
          <w:tcPr>
            <w:tcW w:w="907" w:type="dxa"/>
            <w:tcBorders>
              <w:top w:val="single" w:sz="2" w:space="0" w:color="58595B"/>
              <w:bottom w:val="single" w:sz="2" w:space="0" w:color="58595B"/>
            </w:tcBorders>
            <w:vAlign w:val="bottom"/>
          </w:tcPr>
          <w:p w14:paraId="7E28E930" w14:textId="77777777" w:rsidR="00141630" w:rsidRPr="005C5E32" w:rsidRDefault="00141630">
            <w:pPr>
              <w:pStyle w:val="TableText"/>
              <w:spacing w:before="40" w:after="40"/>
              <w:jc w:val="right"/>
            </w:pPr>
            <w:r w:rsidRPr="005C5E32">
              <w:t>–</w:t>
            </w:r>
          </w:p>
        </w:tc>
        <w:tc>
          <w:tcPr>
            <w:tcW w:w="907" w:type="dxa"/>
            <w:tcBorders>
              <w:top w:val="single" w:sz="2" w:space="0" w:color="58595B"/>
              <w:bottom w:val="single" w:sz="2" w:space="0" w:color="58595B"/>
            </w:tcBorders>
            <w:vAlign w:val="bottom"/>
          </w:tcPr>
          <w:p w14:paraId="0286C76F" w14:textId="77777777" w:rsidR="00141630" w:rsidRPr="005C5E32" w:rsidRDefault="00141630">
            <w:pPr>
              <w:pStyle w:val="TableText"/>
              <w:spacing w:before="40" w:after="40"/>
              <w:jc w:val="right"/>
            </w:pPr>
            <w:r w:rsidRPr="005C5E32">
              <w:t>–</w:t>
            </w:r>
          </w:p>
        </w:tc>
        <w:tc>
          <w:tcPr>
            <w:tcW w:w="1134" w:type="dxa"/>
            <w:tcBorders>
              <w:top w:val="single" w:sz="2" w:space="0" w:color="58595B"/>
              <w:bottom w:val="single" w:sz="2" w:space="0" w:color="58595B"/>
            </w:tcBorders>
            <w:shd w:val="clear" w:color="auto" w:fill="E7F2F2"/>
            <w:vAlign w:val="bottom"/>
          </w:tcPr>
          <w:p w14:paraId="079D9D82" w14:textId="77777777" w:rsidR="00141630" w:rsidRPr="005C5E32" w:rsidRDefault="00141630">
            <w:pPr>
              <w:pStyle w:val="TableText"/>
              <w:spacing w:before="40" w:after="40"/>
              <w:jc w:val="right"/>
            </w:pPr>
            <w:r w:rsidRPr="005C5E32">
              <w:t>–</w:t>
            </w:r>
          </w:p>
        </w:tc>
        <w:tc>
          <w:tcPr>
            <w:tcW w:w="1191" w:type="dxa"/>
            <w:tcBorders>
              <w:top w:val="single" w:sz="2" w:space="0" w:color="58595B"/>
              <w:bottom w:val="single" w:sz="2" w:space="0" w:color="58595B"/>
            </w:tcBorders>
            <w:vAlign w:val="bottom"/>
          </w:tcPr>
          <w:p w14:paraId="36280AA3" w14:textId="77777777" w:rsidR="00141630" w:rsidRPr="005C5E32" w:rsidRDefault="00141630">
            <w:pPr>
              <w:pStyle w:val="TableText"/>
              <w:spacing w:before="40" w:after="40"/>
              <w:jc w:val="right"/>
            </w:pPr>
          </w:p>
        </w:tc>
      </w:tr>
    </w:tbl>
    <w:p w14:paraId="08D92813" w14:textId="77777777" w:rsidR="00D06CB2" w:rsidRPr="005C5E32" w:rsidRDefault="00D06CB2" w:rsidP="009B0C58">
      <w:pPr>
        <w:keepNext/>
        <w:numPr>
          <w:ilvl w:val="0"/>
          <w:numId w:val="58"/>
        </w:numPr>
        <w:spacing w:after="0" w:line="220" w:lineRule="atLeast"/>
        <w:ind w:left="397" w:hanging="397"/>
        <w:jc w:val="left"/>
        <w:rPr>
          <w:rFonts w:eastAsia="MS Mincho" w:cs="Arial"/>
          <w:sz w:val="18"/>
          <w:szCs w:val="18"/>
        </w:rPr>
      </w:pPr>
      <w:r w:rsidRPr="005C5E32">
        <w:rPr>
          <w:rFonts w:eastAsia="MS Mincho" w:cs="Arial"/>
          <w:sz w:val="18"/>
          <w:szCs w:val="18"/>
        </w:rPr>
        <w:t>This</w:t>
      </w:r>
      <w:r w:rsidRPr="005C5E32">
        <w:rPr>
          <w:rFonts w:eastAsia="MS Mincho" w:cs="Arial"/>
          <w:spacing w:val="-2"/>
          <w:sz w:val="18"/>
          <w:szCs w:val="18"/>
        </w:rPr>
        <w:t xml:space="preserve"> </w:t>
      </w:r>
      <w:r w:rsidRPr="005C5E32">
        <w:rPr>
          <w:rFonts w:eastAsia="MS Mincho" w:cs="Arial"/>
          <w:sz w:val="18"/>
          <w:szCs w:val="18"/>
        </w:rPr>
        <w:t>includes</w:t>
      </w:r>
      <w:r w:rsidRPr="005C5E32">
        <w:rPr>
          <w:rFonts w:eastAsia="MS Mincho" w:cs="Arial"/>
          <w:spacing w:val="-2"/>
          <w:sz w:val="18"/>
          <w:szCs w:val="18"/>
        </w:rPr>
        <w:t xml:space="preserve"> </w:t>
      </w:r>
      <w:r w:rsidRPr="005C5E32">
        <w:rPr>
          <w:rFonts w:eastAsia="MS Mincho" w:cs="Arial"/>
          <w:sz w:val="18"/>
          <w:szCs w:val="18"/>
        </w:rPr>
        <w:t>adjustments</w:t>
      </w:r>
      <w:r w:rsidRPr="005C5E32">
        <w:rPr>
          <w:rFonts w:eastAsia="MS Mincho" w:cs="Arial"/>
          <w:spacing w:val="-2"/>
          <w:sz w:val="18"/>
          <w:szCs w:val="18"/>
        </w:rPr>
        <w:t xml:space="preserve"> </w:t>
      </w:r>
      <w:r w:rsidRPr="005C5E32">
        <w:rPr>
          <w:rFonts w:eastAsia="MS Mincho" w:cs="Arial"/>
          <w:sz w:val="18"/>
          <w:szCs w:val="18"/>
        </w:rPr>
        <w:t>made</w:t>
      </w:r>
      <w:r w:rsidRPr="005C5E32">
        <w:rPr>
          <w:rFonts w:eastAsia="MS Mincho" w:cs="Arial"/>
          <w:spacing w:val="-2"/>
          <w:sz w:val="18"/>
          <w:szCs w:val="18"/>
        </w:rPr>
        <w:t xml:space="preserve"> </w:t>
      </w:r>
      <w:r w:rsidRPr="005C5E32">
        <w:rPr>
          <w:rFonts w:eastAsia="MS Mincho" w:cs="Arial"/>
          <w:sz w:val="18"/>
          <w:szCs w:val="18"/>
        </w:rPr>
        <w:t>in</w:t>
      </w:r>
      <w:r w:rsidRPr="005C5E32">
        <w:rPr>
          <w:rFonts w:eastAsia="MS Mincho" w:cs="Arial"/>
          <w:spacing w:val="-2"/>
          <w:sz w:val="18"/>
          <w:szCs w:val="18"/>
        </w:rPr>
        <w:t xml:space="preserve"> </w:t>
      </w:r>
      <w:r w:rsidRPr="005C5E32">
        <w:rPr>
          <w:rFonts w:eastAsia="MS Mincho" w:cs="Arial"/>
          <w:sz w:val="18"/>
          <w:szCs w:val="18"/>
        </w:rPr>
        <w:t>the</w:t>
      </w:r>
      <w:r w:rsidRPr="005C5E32">
        <w:rPr>
          <w:rFonts w:eastAsia="MS Mincho" w:cs="Arial"/>
          <w:spacing w:val="-2"/>
          <w:sz w:val="18"/>
          <w:szCs w:val="18"/>
        </w:rPr>
        <w:t xml:space="preserve"> </w:t>
      </w:r>
      <w:r w:rsidRPr="005C5E32">
        <w:rPr>
          <w:rFonts w:eastAsia="MS Mincho" w:cs="Arial"/>
          <w:sz w:val="18"/>
          <w:szCs w:val="18"/>
        </w:rPr>
        <w:t>Supplementary</w:t>
      </w:r>
      <w:r w:rsidRPr="005C5E32">
        <w:rPr>
          <w:rFonts w:eastAsia="MS Mincho" w:cs="Arial"/>
          <w:spacing w:val="-6"/>
          <w:sz w:val="18"/>
          <w:szCs w:val="18"/>
        </w:rPr>
        <w:t xml:space="preserve"> </w:t>
      </w:r>
      <w:r w:rsidRPr="005C5E32">
        <w:rPr>
          <w:rFonts w:eastAsia="MS Mincho" w:cs="Arial"/>
          <w:sz w:val="18"/>
          <w:szCs w:val="18"/>
        </w:rPr>
        <w:t>Estimates</w:t>
      </w:r>
      <w:r w:rsidRPr="005C5E32">
        <w:rPr>
          <w:rFonts w:eastAsia="MS Mincho" w:cs="Arial"/>
          <w:spacing w:val="-2"/>
          <w:sz w:val="18"/>
          <w:szCs w:val="18"/>
        </w:rPr>
        <w:t xml:space="preserve"> </w:t>
      </w:r>
      <w:r w:rsidRPr="005C5E32">
        <w:rPr>
          <w:rFonts w:eastAsia="MS Mincho" w:cs="Arial"/>
          <w:sz w:val="18"/>
          <w:szCs w:val="18"/>
        </w:rPr>
        <w:t>and</w:t>
      </w:r>
      <w:r w:rsidRPr="005C5E32">
        <w:rPr>
          <w:rFonts w:eastAsia="MS Mincho" w:cs="Arial"/>
          <w:spacing w:val="-2"/>
          <w:sz w:val="18"/>
          <w:szCs w:val="18"/>
        </w:rPr>
        <w:t xml:space="preserve"> </w:t>
      </w:r>
      <w:r w:rsidRPr="005C5E32">
        <w:rPr>
          <w:rFonts w:eastAsia="MS Mincho" w:cs="Arial"/>
          <w:sz w:val="18"/>
          <w:szCs w:val="18"/>
        </w:rPr>
        <w:t>transfers</w:t>
      </w:r>
      <w:r w:rsidRPr="005C5E32">
        <w:rPr>
          <w:rFonts w:eastAsia="MS Mincho" w:cs="Arial"/>
          <w:spacing w:val="-2"/>
          <w:sz w:val="18"/>
          <w:szCs w:val="18"/>
        </w:rPr>
        <w:t xml:space="preserve"> </w:t>
      </w:r>
      <w:r w:rsidRPr="005C5E32">
        <w:rPr>
          <w:rFonts w:eastAsia="MS Mincho" w:cs="Arial"/>
          <w:sz w:val="18"/>
          <w:szCs w:val="18"/>
        </w:rPr>
        <w:t>under</w:t>
      </w:r>
      <w:r w:rsidRPr="005C5E32">
        <w:rPr>
          <w:rFonts w:eastAsia="MS Mincho" w:cs="Arial"/>
          <w:spacing w:val="-5"/>
          <w:sz w:val="18"/>
          <w:szCs w:val="18"/>
        </w:rPr>
        <w:t xml:space="preserve"> </w:t>
      </w:r>
      <w:r w:rsidRPr="005C5E32">
        <w:rPr>
          <w:rFonts w:eastAsia="MS Mincho" w:cs="Arial"/>
          <w:sz w:val="18"/>
          <w:szCs w:val="18"/>
        </w:rPr>
        <w:t>the</w:t>
      </w:r>
      <w:r w:rsidRPr="005C5E32">
        <w:rPr>
          <w:rFonts w:eastAsia="MS Mincho" w:cs="Arial"/>
          <w:spacing w:val="-2"/>
          <w:sz w:val="18"/>
          <w:szCs w:val="18"/>
        </w:rPr>
        <w:t xml:space="preserve"> </w:t>
      </w:r>
      <w:r w:rsidRPr="005C5E32">
        <w:rPr>
          <w:rFonts w:eastAsia="MS Mincho" w:cs="Arial"/>
          <w:sz w:val="18"/>
          <w:szCs w:val="18"/>
        </w:rPr>
        <w:t>Public</w:t>
      </w:r>
      <w:r w:rsidRPr="005C5E32">
        <w:rPr>
          <w:rFonts w:eastAsia="MS Mincho" w:cs="Arial"/>
          <w:spacing w:val="-2"/>
          <w:sz w:val="18"/>
          <w:szCs w:val="18"/>
        </w:rPr>
        <w:t xml:space="preserve"> </w:t>
      </w:r>
      <w:r w:rsidRPr="005C5E32">
        <w:rPr>
          <w:rFonts w:eastAsia="MS Mincho" w:cs="Arial"/>
          <w:sz w:val="18"/>
          <w:szCs w:val="18"/>
        </w:rPr>
        <w:t>Finance</w:t>
      </w:r>
      <w:r w:rsidRPr="005C5E32">
        <w:rPr>
          <w:rFonts w:eastAsia="MS Mincho" w:cs="Arial"/>
          <w:spacing w:val="-7"/>
          <w:sz w:val="18"/>
          <w:szCs w:val="18"/>
        </w:rPr>
        <w:t xml:space="preserve"> </w:t>
      </w:r>
      <w:r w:rsidRPr="005C5E32">
        <w:rPr>
          <w:rFonts w:eastAsia="MS Mincho" w:cs="Arial"/>
          <w:sz w:val="18"/>
          <w:szCs w:val="18"/>
        </w:rPr>
        <w:t>Act</w:t>
      </w:r>
      <w:r w:rsidRPr="005C5E32">
        <w:rPr>
          <w:rFonts w:eastAsia="MS Mincho" w:cs="Arial"/>
          <w:spacing w:val="-2"/>
          <w:sz w:val="18"/>
          <w:szCs w:val="18"/>
        </w:rPr>
        <w:t> </w:t>
      </w:r>
      <w:r w:rsidRPr="005C5E32">
        <w:rPr>
          <w:rFonts w:eastAsia="MS Mincho" w:cs="Arial"/>
          <w:sz w:val="18"/>
          <w:szCs w:val="18"/>
        </w:rPr>
        <w:t>1989.</w:t>
      </w:r>
    </w:p>
    <w:p w14:paraId="0DE31B6D" w14:textId="6B17CAD4" w:rsidR="00D06CB2" w:rsidRPr="005C5E32" w:rsidRDefault="00D06CB2" w:rsidP="009B0C58">
      <w:pPr>
        <w:numPr>
          <w:ilvl w:val="0"/>
          <w:numId w:val="58"/>
        </w:numPr>
        <w:spacing w:before="60" w:after="0" w:line="220" w:lineRule="atLeast"/>
        <w:ind w:left="397" w:hanging="397"/>
        <w:jc w:val="left"/>
        <w:rPr>
          <w:rFonts w:eastAsia="MS Mincho" w:cs="Arial"/>
          <w:sz w:val="18"/>
          <w:szCs w:val="18"/>
        </w:rPr>
      </w:pPr>
      <w:r w:rsidRPr="005C5E32">
        <w:rPr>
          <w:rFonts w:eastAsia="MS Mincho" w:cs="Arial"/>
          <w:sz w:val="18"/>
          <w:szCs w:val="18"/>
        </w:rPr>
        <w:t>Departmental appropriations amounts exclude remeasurement of $</w:t>
      </w:r>
      <w:r w:rsidR="00CA3357" w:rsidRPr="005C5E32">
        <w:rPr>
          <w:rFonts w:eastAsia="MS Mincho" w:cs="Arial"/>
          <w:sz w:val="18"/>
          <w:szCs w:val="18"/>
        </w:rPr>
        <w:t>577</w:t>
      </w:r>
      <w:r w:rsidRPr="005C5E32">
        <w:rPr>
          <w:rFonts w:eastAsia="MS Mincho" w:cs="Arial"/>
          <w:sz w:val="18"/>
          <w:szCs w:val="18"/>
        </w:rPr>
        <w:t>,3</w:t>
      </w:r>
      <w:r w:rsidR="00CA3357" w:rsidRPr="005C5E32">
        <w:rPr>
          <w:rFonts w:eastAsia="MS Mincho" w:cs="Arial"/>
          <w:sz w:val="18"/>
          <w:szCs w:val="18"/>
        </w:rPr>
        <w:t>89</w:t>
      </w:r>
      <w:r w:rsidRPr="005C5E32">
        <w:rPr>
          <w:rFonts w:eastAsia="MS Mincho" w:cs="Arial"/>
          <w:sz w:val="18"/>
          <w:szCs w:val="18"/>
        </w:rPr>
        <w:t xml:space="preserve"> (2024/25:</w:t>
      </w:r>
      <w:r w:rsidRPr="005C5E32">
        <w:rPr>
          <w:rFonts w:eastAsia="MS Mincho" w:cs="Arial"/>
          <w:spacing w:val="-23"/>
          <w:sz w:val="18"/>
          <w:szCs w:val="18"/>
        </w:rPr>
        <w:t xml:space="preserve"> </w:t>
      </w:r>
      <w:r w:rsidRPr="005C5E32">
        <w:rPr>
          <w:rFonts w:eastAsia="MS Mincho" w:cs="Arial"/>
          <w:sz w:val="18"/>
          <w:szCs w:val="18"/>
        </w:rPr>
        <w:t>$90,315).</w:t>
      </w:r>
    </w:p>
    <w:p w14:paraId="5C9FD2C1" w14:textId="77777777" w:rsidR="00D06CB2" w:rsidRPr="005C5E32" w:rsidRDefault="00D06CB2" w:rsidP="009B0C58">
      <w:pPr>
        <w:numPr>
          <w:ilvl w:val="0"/>
          <w:numId w:val="58"/>
        </w:numPr>
        <w:spacing w:before="60" w:after="0" w:line="220" w:lineRule="atLeast"/>
        <w:ind w:left="397" w:hanging="397"/>
        <w:jc w:val="left"/>
        <w:rPr>
          <w:rFonts w:eastAsia="MS Mincho" w:cs="Arial"/>
          <w:sz w:val="18"/>
        </w:rPr>
      </w:pPr>
      <w:r w:rsidRPr="005C5E32">
        <w:rPr>
          <w:rFonts w:eastAsia="MS Mincho" w:cs="Arial"/>
          <w:sz w:val="18"/>
        </w:rPr>
        <w:t>The letters</w:t>
      </w:r>
      <w:r w:rsidRPr="005C5E32">
        <w:rPr>
          <w:rFonts w:eastAsia="MS Mincho" w:cs="Arial"/>
          <w:spacing w:val="-3"/>
          <w:sz w:val="18"/>
        </w:rPr>
        <w:t xml:space="preserve"> </w:t>
      </w:r>
      <w:r w:rsidRPr="005C5E32">
        <w:rPr>
          <w:rFonts w:eastAsia="MS Mincho" w:cs="Arial"/>
          <w:sz w:val="18"/>
        </w:rPr>
        <w:t>in</w:t>
      </w:r>
      <w:r w:rsidRPr="005C5E32">
        <w:rPr>
          <w:rFonts w:eastAsia="MS Mincho" w:cs="Arial"/>
          <w:spacing w:val="-3"/>
          <w:sz w:val="18"/>
        </w:rPr>
        <w:t xml:space="preserve"> </w:t>
      </w:r>
      <w:r w:rsidRPr="005C5E32">
        <w:rPr>
          <w:rFonts w:eastAsia="MS Mincho" w:cs="Arial"/>
          <w:sz w:val="18"/>
        </w:rPr>
        <w:t>this</w:t>
      </w:r>
      <w:r w:rsidRPr="005C5E32">
        <w:rPr>
          <w:rFonts w:eastAsia="MS Mincho" w:cs="Arial"/>
          <w:spacing w:val="-3"/>
          <w:sz w:val="18"/>
        </w:rPr>
        <w:t xml:space="preserve"> </w:t>
      </w:r>
      <w:r w:rsidRPr="005C5E32">
        <w:rPr>
          <w:rFonts w:eastAsia="MS Mincho" w:cs="Arial"/>
          <w:sz w:val="18"/>
        </w:rPr>
        <w:t>column</w:t>
      </w:r>
      <w:r w:rsidRPr="005C5E32">
        <w:rPr>
          <w:rFonts w:eastAsia="MS Mincho" w:cs="Arial"/>
          <w:spacing w:val="-3"/>
          <w:sz w:val="18"/>
        </w:rPr>
        <w:t xml:space="preserve"> </w:t>
      </w:r>
      <w:r w:rsidRPr="005C5E32">
        <w:rPr>
          <w:rFonts w:eastAsia="MS Mincho" w:cs="Arial"/>
          <w:sz w:val="18"/>
        </w:rPr>
        <w:t>represent</w:t>
      </w:r>
      <w:r w:rsidRPr="005C5E32">
        <w:rPr>
          <w:rFonts w:eastAsia="MS Mincho" w:cs="Arial"/>
          <w:spacing w:val="-6"/>
          <w:sz w:val="18"/>
        </w:rPr>
        <w:t xml:space="preserve"> </w:t>
      </w:r>
      <w:r w:rsidRPr="005C5E32">
        <w:rPr>
          <w:rFonts w:eastAsia="MS Mincho" w:cs="Arial"/>
          <w:sz w:val="18"/>
        </w:rPr>
        <w:t>where</w:t>
      </w:r>
      <w:r w:rsidRPr="005C5E32">
        <w:rPr>
          <w:rFonts w:eastAsia="MS Mincho" w:cs="Arial"/>
          <w:spacing w:val="-3"/>
          <w:sz w:val="18"/>
        </w:rPr>
        <w:t xml:space="preserve"> </w:t>
      </w:r>
      <w:r w:rsidRPr="005C5E32">
        <w:rPr>
          <w:rFonts w:eastAsia="MS Mincho" w:cs="Arial"/>
          <w:sz w:val="18"/>
        </w:rPr>
        <w:t>the</w:t>
      </w:r>
      <w:r w:rsidRPr="005C5E32">
        <w:rPr>
          <w:rFonts w:eastAsia="MS Mincho" w:cs="Arial"/>
          <w:spacing w:val="-3"/>
          <w:sz w:val="18"/>
        </w:rPr>
        <w:t xml:space="preserve"> </w:t>
      </w:r>
      <w:r w:rsidRPr="005C5E32">
        <w:rPr>
          <w:rFonts w:eastAsia="MS Mincho" w:cs="Arial"/>
          <w:sz w:val="18"/>
        </w:rPr>
        <w:t>end-of-year</w:t>
      </w:r>
      <w:r w:rsidRPr="005C5E32">
        <w:rPr>
          <w:rFonts w:eastAsia="MS Mincho" w:cs="Arial"/>
          <w:spacing w:val="-6"/>
          <w:sz w:val="18"/>
        </w:rPr>
        <w:t xml:space="preserve"> </w:t>
      </w:r>
      <w:r w:rsidRPr="005C5E32">
        <w:rPr>
          <w:rFonts w:eastAsia="MS Mincho" w:cs="Arial"/>
          <w:sz w:val="18"/>
        </w:rPr>
        <w:t>performance</w:t>
      </w:r>
      <w:r w:rsidRPr="005C5E32">
        <w:rPr>
          <w:rFonts w:eastAsia="MS Mincho" w:cs="Arial"/>
          <w:spacing w:val="-3"/>
          <w:sz w:val="18"/>
        </w:rPr>
        <w:t xml:space="preserve"> </w:t>
      </w:r>
      <w:r w:rsidRPr="005C5E32">
        <w:rPr>
          <w:rFonts w:eastAsia="MS Mincho" w:cs="Arial"/>
          <w:sz w:val="18"/>
        </w:rPr>
        <w:t>information</w:t>
      </w:r>
      <w:r w:rsidRPr="005C5E32">
        <w:rPr>
          <w:rFonts w:eastAsia="MS Mincho" w:cs="Arial"/>
          <w:spacing w:val="-3"/>
          <w:sz w:val="18"/>
        </w:rPr>
        <w:t xml:space="preserve"> </w:t>
      </w:r>
      <w:r w:rsidRPr="005C5E32">
        <w:rPr>
          <w:rFonts w:eastAsia="MS Mincho" w:cs="Arial"/>
          <w:sz w:val="18"/>
        </w:rPr>
        <w:t>has</w:t>
      </w:r>
      <w:r w:rsidRPr="005C5E32">
        <w:rPr>
          <w:rFonts w:eastAsia="MS Mincho" w:cs="Arial"/>
          <w:spacing w:val="-3"/>
          <w:sz w:val="18"/>
        </w:rPr>
        <w:t xml:space="preserve"> </w:t>
      </w:r>
      <w:r w:rsidRPr="005C5E32">
        <w:rPr>
          <w:rFonts w:eastAsia="MS Mincho" w:cs="Arial"/>
          <w:sz w:val="18"/>
        </w:rPr>
        <w:t>been</w:t>
      </w:r>
      <w:r w:rsidRPr="005C5E32">
        <w:rPr>
          <w:rFonts w:eastAsia="MS Mincho" w:cs="Arial"/>
          <w:spacing w:val="-3"/>
          <w:sz w:val="18"/>
        </w:rPr>
        <w:t xml:space="preserve"> </w:t>
      </w:r>
      <w:r w:rsidRPr="005C5E32">
        <w:rPr>
          <w:rFonts w:eastAsia="MS Mincho" w:cs="Arial"/>
          <w:sz w:val="18"/>
        </w:rPr>
        <w:t>reported</w:t>
      </w:r>
      <w:r w:rsidRPr="005C5E32">
        <w:rPr>
          <w:rFonts w:eastAsia="MS Mincho" w:cs="Arial"/>
          <w:spacing w:val="-3"/>
          <w:sz w:val="18"/>
        </w:rPr>
        <w:t xml:space="preserve"> </w:t>
      </w:r>
      <w:r w:rsidRPr="005C5E32">
        <w:rPr>
          <w:rFonts w:eastAsia="MS Mincho" w:cs="Arial"/>
          <w:sz w:val="18"/>
        </w:rPr>
        <w:t>for</w:t>
      </w:r>
      <w:r w:rsidRPr="005C5E32">
        <w:rPr>
          <w:rFonts w:eastAsia="MS Mincho" w:cs="Arial"/>
          <w:spacing w:val="-6"/>
          <w:sz w:val="18"/>
        </w:rPr>
        <w:t xml:space="preserve"> </w:t>
      </w:r>
      <w:r w:rsidRPr="005C5E32">
        <w:rPr>
          <w:rFonts w:eastAsia="MS Mincho" w:cs="Arial"/>
          <w:sz w:val="18"/>
        </w:rPr>
        <w:t>each</w:t>
      </w:r>
      <w:r w:rsidRPr="005C5E32">
        <w:rPr>
          <w:rFonts w:eastAsia="MS Mincho" w:cs="Arial"/>
          <w:spacing w:val="-3"/>
          <w:sz w:val="18"/>
        </w:rPr>
        <w:t xml:space="preserve"> </w:t>
      </w:r>
      <w:r w:rsidRPr="005C5E32">
        <w:rPr>
          <w:rFonts w:eastAsia="MS Mincho" w:cs="Arial"/>
          <w:sz w:val="18"/>
        </w:rPr>
        <w:t>appropriation</w:t>
      </w:r>
      <w:r w:rsidRPr="005C5E32">
        <w:rPr>
          <w:rFonts w:eastAsia="MS Mincho" w:cs="Arial"/>
          <w:spacing w:val="-3"/>
          <w:sz w:val="18"/>
        </w:rPr>
        <w:t xml:space="preserve"> </w:t>
      </w:r>
      <w:r w:rsidRPr="005C5E32">
        <w:rPr>
          <w:rFonts w:eastAsia="MS Mincho" w:cs="Arial"/>
          <w:sz w:val="18"/>
        </w:rPr>
        <w:t>administered by the Ministry, as detailed</w:t>
      </w:r>
      <w:r w:rsidRPr="005C5E32">
        <w:rPr>
          <w:rFonts w:eastAsia="MS Mincho" w:cs="Arial"/>
          <w:spacing w:val="-16"/>
          <w:sz w:val="18"/>
        </w:rPr>
        <w:t xml:space="preserve"> </w:t>
      </w:r>
      <w:r w:rsidRPr="005C5E32">
        <w:rPr>
          <w:rFonts w:eastAsia="MS Mincho" w:cs="Arial"/>
          <w:sz w:val="18"/>
        </w:rPr>
        <w:t>below:</w:t>
      </w:r>
    </w:p>
    <w:p w14:paraId="7A650BC1" w14:textId="77777777" w:rsidR="00D06CB2" w:rsidRPr="005C5E32" w:rsidRDefault="00D06CB2" w:rsidP="009B0C58">
      <w:pPr>
        <w:numPr>
          <w:ilvl w:val="0"/>
          <w:numId w:val="59"/>
        </w:numPr>
        <w:spacing w:before="60" w:after="0" w:line="220" w:lineRule="atLeast"/>
        <w:ind w:left="794" w:hanging="397"/>
        <w:jc w:val="left"/>
        <w:rPr>
          <w:rFonts w:eastAsia="MS Mincho" w:cs="Arial"/>
          <w:sz w:val="18"/>
        </w:rPr>
      </w:pPr>
      <w:r w:rsidRPr="005C5E32">
        <w:rPr>
          <w:rFonts w:eastAsia="MS Mincho" w:cs="Arial"/>
          <w:sz w:val="18"/>
        </w:rPr>
        <w:t>the Ministry’s annual</w:t>
      </w:r>
      <w:r w:rsidRPr="005C5E32">
        <w:rPr>
          <w:rFonts w:eastAsia="MS Mincho" w:cs="Arial"/>
          <w:spacing w:val="-10"/>
          <w:sz w:val="18"/>
        </w:rPr>
        <w:t xml:space="preserve"> </w:t>
      </w:r>
      <w:r w:rsidRPr="005C5E32">
        <w:rPr>
          <w:rFonts w:eastAsia="MS Mincho" w:cs="Arial"/>
          <w:sz w:val="18"/>
        </w:rPr>
        <w:t>report</w:t>
      </w:r>
    </w:p>
    <w:p w14:paraId="1180DC8F" w14:textId="77777777" w:rsidR="00D06CB2" w:rsidRPr="005C5E32" w:rsidRDefault="00D06CB2" w:rsidP="009B0C58">
      <w:pPr>
        <w:numPr>
          <w:ilvl w:val="0"/>
          <w:numId w:val="59"/>
        </w:numPr>
        <w:spacing w:before="60" w:after="0" w:line="220" w:lineRule="atLeast"/>
        <w:ind w:left="794" w:hanging="397"/>
        <w:jc w:val="left"/>
        <w:rPr>
          <w:rFonts w:eastAsia="MS Mincho" w:cs="Arial"/>
          <w:sz w:val="18"/>
        </w:rPr>
      </w:pPr>
      <w:r w:rsidRPr="005C5E32">
        <w:rPr>
          <w:rFonts w:eastAsia="MS Mincho" w:cs="Arial"/>
          <w:spacing w:val="-9"/>
          <w:sz w:val="18"/>
        </w:rPr>
        <w:t>to</w:t>
      </w:r>
      <w:r w:rsidRPr="005C5E32">
        <w:rPr>
          <w:rFonts w:eastAsia="MS Mincho" w:cs="Arial"/>
          <w:spacing w:val="-2"/>
          <w:sz w:val="18"/>
        </w:rPr>
        <w:t xml:space="preserve"> </w:t>
      </w:r>
      <w:r w:rsidRPr="005C5E32">
        <w:rPr>
          <w:rFonts w:eastAsia="MS Mincho" w:cs="Arial"/>
          <w:sz w:val="18"/>
        </w:rPr>
        <w:t>be</w:t>
      </w:r>
      <w:r w:rsidRPr="005C5E32">
        <w:rPr>
          <w:rFonts w:eastAsia="MS Mincho" w:cs="Arial"/>
          <w:spacing w:val="-2"/>
          <w:sz w:val="18"/>
        </w:rPr>
        <w:t xml:space="preserve"> </w:t>
      </w:r>
      <w:r w:rsidRPr="005C5E32">
        <w:rPr>
          <w:rFonts w:eastAsia="MS Mincho" w:cs="Arial"/>
          <w:sz w:val="18"/>
        </w:rPr>
        <w:t>reported</w:t>
      </w:r>
      <w:r w:rsidRPr="005C5E32">
        <w:rPr>
          <w:rFonts w:eastAsia="MS Mincho" w:cs="Arial"/>
          <w:spacing w:val="-2"/>
          <w:sz w:val="18"/>
        </w:rPr>
        <w:t xml:space="preserve"> </w:t>
      </w:r>
      <w:r w:rsidRPr="005C5E32">
        <w:rPr>
          <w:rFonts w:eastAsia="MS Mincho" w:cs="Arial"/>
          <w:sz w:val="18"/>
        </w:rPr>
        <w:t>by</w:t>
      </w:r>
      <w:r w:rsidRPr="005C5E32">
        <w:rPr>
          <w:rFonts w:eastAsia="MS Mincho" w:cs="Arial"/>
          <w:spacing w:val="-6"/>
          <w:sz w:val="18"/>
        </w:rPr>
        <w:t xml:space="preserve"> </w:t>
      </w:r>
      <w:r w:rsidRPr="005C5E32">
        <w:rPr>
          <w:rFonts w:eastAsia="MS Mincho" w:cs="Arial"/>
          <w:sz w:val="18"/>
        </w:rPr>
        <w:t>the</w:t>
      </w:r>
      <w:r w:rsidRPr="005C5E32">
        <w:rPr>
          <w:rFonts w:eastAsia="MS Mincho" w:cs="Arial"/>
          <w:spacing w:val="-2"/>
          <w:sz w:val="18"/>
        </w:rPr>
        <w:t xml:space="preserve"> </w:t>
      </w:r>
      <w:r w:rsidRPr="005C5E32">
        <w:rPr>
          <w:rFonts w:eastAsia="MS Mincho" w:cs="Arial"/>
          <w:sz w:val="18"/>
        </w:rPr>
        <w:t>Minister</w:t>
      </w:r>
      <w:r w:rsidRPr="005C5E32">
        <w:rPr>
          <w:rFonts w:eastAsia="MS Mincho" w:cs="Arial"/>
          <w:spacing w:val="-5"/>
          <w:sz w:val="18"/>
        </w:rPr>
        <w:t xml:space="preserve"> </w:t>
      </w:r>
      <w:r w:rsidRPr="005C5E32">
        <w:rPr>
          <w:rFonts w:eastAsia="MS Mincho" w:cs="Arial"/>
          <w:sz w:val="18"/>
        </w:rPr>
        <w:t>for</w:t>
      </w:r>
      <w:r w:rsidRPr="005C5E32">
        <w:rPr>
          <w:rFonts w:eastAsia="MS Mincho" w:cs="Arial"/>
          <w:spacing w:val="-5"/>
          <w:sz w:val="18"/>
        </w:rPr>
        <w:t xml:space="preserve"> </w:t>
      </w:r>
      <w:r w:rsidRPr="005C5E32">
        <w:rPr>
          <w:rFonts w:eastAsia="MS Mincho" w:cs="Arial"/>
          <w:sz w:val="18"/>
        </w:rPr>
        <w:t>the</w:t>
      </w:r>
      <w:r w:rsidRPr="005C5E32">
        <w:rPr>
          <w:rFonts w:eastAsia="MS Mincho" w:cs="Arial"/>
          <w:spacing w:val="-2"/>
          <w:sz w:val="18"/>
        </w:rPr>
        <w:t xml:space="preserve"> </w:t>
      </w:r>
      <w:r w:rsidRPr="005C5E32">
        <w:rPr>
          <w:rFonts w:eastAsia="MS Mincho" w:cs="Arial"/>
          <w:sz w:val="18"/>
        </w:rPr>
        <w:t>Environment</w:t>
      </w:r>
      <w:r w:rsidRPr="005C5E32">
        <w:rPr>
          <w:rFonts w:eastAsia="MS Mincho" w:cs="Arial"/>
          <w:spacing w:val="-2"/>
          <w:sz w:val="18"/>
        </w:rPr>
        <w:t xml:space="preserve"> </w:t>
      </w:r>
      <w:r w:rsidRPr="005C5E32">
        <w:rPr>
          <w:rFonts w:eastAsia="MS Mincho" w:cs="Arial"/>
          <w:sz w:val="18"/>
        </w:rPr>
        <w:t>in</w:t>
      </w:r>
      <w:r w:rsidRPr="005C5E32">
        <w:rPr>
          <w:rFonts w:eastAsia="MS Mincho" w:cs="Arial"/>
          <w:spacing w:val="-2"/>
          <w:sz w:val="18"/>
        </w:rPr>
        <w:t xml:space="preserve"> </w:t>
      </w:r>
      <w:r w:rsidRPr="005C5E32">
        <w:rPr>
          <w:rFonts w:eastAsia="MS Mincho" w:cs="Arial"/>
          <w:sz w:val="18"/>
        </w:rPr>
        <w:t>a</w:t>
      </w:r>
      <w:r w:rsidRPr="005C5E32">
        <w:rPr>
          <w:rFonts w:eastAsia="MS Mincho" w:cs="Arial"/>
          <w:spacing w:val="-2"/>
          <w:sz w:val="18"/>
        </w:rPr>
        <w:t xml:space="preserve"> </w:t>
      </w:r>
      <w:r w:rsidRPr="005C5E32">
        <w:rPr>
          <w:rFonts w:eastAsia="MS Mincho" w:cs="Arial"/>
          <w:sz w:val="18"/>
        </w:rPr>
        <w:t>report</w:t>
      </w:r>
      <w:r w:rsidRPr="005C5E32">
        <w:rPr>
          <w:rFonts w:eastAsia="MS Mincho" w:cs="Arial"/>
          <w:spacing w:val="-2"/>
          <w:sz w:val="18"/>
        </w:rPr>
        <w:t xml:space="preserve"> </w:t>
      </w:r>
      <w:r w:rsidRPr="005C5E32">
        <w:rPr>
          <w:rFonts w:eastAsia="MS Mincho" w:cs="Arial"/>
          <w:sz w:val="18"/>
        </w:rPr>
        <w:t>appended</w:t>
      </w:r>
      <w:r w:rsidRPr="005C5E32">
        <w:rPr>
          <w:rFonts w:eastAsia="MS Mincho" w:cs="Arial"/>
          <w:spacing w:val="-2"/>
          <w:sz w:val="18"/>
        </w:rPr>
        <w:t xml:space="preserve"> </w:t>
      </w:r>
      <w:r w:rsidRPr="005C5E32">
        <w:rPr>
          <w:rFonts w:eastAsia="MS Mincho" w:cs="Arial"/>
          <w:sz w:val="18"/>
        </w:rPr>
        <w:t>to</w:t>
      </w:r>
      <w:r w:rsidRPr="005C5E32">
        <w:rPr>
          <w:rFonts w:eastAsia="MS Mincho" w:cs="Arial"/>
          <w:spacing w:val="-2"/>
          <w:sz w:val="18"/>
        </w:rPr>
        <w:t xml:space="preserve"> </w:t>
      </w:r>
      <w:r w:rsidRPr="005C5E32">
        <w:rPr>
          <w:rFonts w:eastAsia="MS Mincho" w:cs="Arial"/>
          <w:sz w:val="18"/>
        </w:rPr>
        <w:t>this</w:t>
      </w:r>
      <w:r w:rsidRPr="005C5E32">
        <w:rPr>
          <w:rFonts w:eastAsia="MS Mincho" w:cs="Arial"/>
          <w:spacing w:val="-2"/>
          <w:sz w:val="18"/>
        </w:rPr>
        <w:t xml:space="preserve"> </w:t>
      </w:r>
      <w:r w:rsidRPr="005C5E32">
        <w:rPr>
          <w:rFonts w:eastAsia="MS Mincho" w:cs="Arial"/>
          <w:sz w:val="18"/>
        </w:rPr>
        <w:t>annual</w:t>
      </w:r>
      <w:r w:rsidRPr="005C5E32">
        <w:rPr>
          <w:rFonts w:eastAsia="MS Mincho" w:cs="Arial"/>
          <w:spacing w:val="-2"/>
          <w:sz w:val="18"/>
        </w:rPr>
        <w:t xml:space="preserve"> </w:t>
      </w:r>
      <w:r w:rsidRPr="005C5E32">
        <w:rPr>
          <w:rFonts w:eastAsia="MS Mincho" w:cs="Arial"/>
          <w:sz w:val="18"/>
        </w:rPr>
        <w:t>report</w:t>
      </w:r>
    </w:p>
    <w:p w14:paraId="179A0DBA" w14:textId="77777777" w:rsidR="00D06CB2" w:rsidRPr="005C5E32" w:rsidRDefault="00D06CB2" w:rsidP="009B0C58">
      <w:pPr>
        <w:numPr>
          <w:ilvl w:val="0"/>
          <w:numId w:val="59"/>
        </w:numPr>
        <w:spacing w:before="60" w:after="0" w:line="220" w:lineRule="atLeast"/>
        <w:ind w:left="794" w:hanging="397"/>
        <w:jc w:val="left"/>
        <w:rPr>
          <w:rFonts w:eastAsia="MS Mincho" w:cs="Arial"/>
          <w:sz w:val="18"/>
        </w:rPr>
      </w:pPr>
      <w:r w:rsidRPr="005C5E32">
        <w:rPr>
          <w:rFonts w:eastAsia="MS Mincho" w:cs="Arial"/>
          <w:spacing w:val="-9"/>
          <w:sz w:val="18"/>
        </w:rPr>
        <w:t xml:space="preserve">to </w:t>
      </w:r>
      <w:r w:rsidRPr="005C5E32">
        <w:rPr>
          <w:rFonts w:eastAsia="MS Mincho" w:cs="Arial"/>
          <w:sz w:val="18"/>
        </w:rPr>
        <w:t>be reported by the Climate Change Commission in its annual</w:t>
      </w:r>
      <w:r w:rsidRPr="005C5E32">
        <w:rPr>
          <w:rFonts w:eastAsia="MS Mincho" w:cs="Arial"/>
          <w:spacing w:val="-13"/>
          <w:sz w:val="18"/>
        </w:rPr>
        <w:t xml:space="preserve"> </w:t>
      </w:r>
      <w:r w:rsidRPr="005C5E32">
        <w:rPr>
          <w:rFonts w:eastAsia="MS Mincho" w:cs="Arial"/>
          <w:sz w:val="18"/>
        </w:rPr>
        <w:t>report</w:t>
      </w:r>
    </w:p>
    <w:p w14:paraId="0C0D5FC1" w14:textId="77777777" w:rsidR="00D06CB2" w:rsidRPr="005C5E32" w:rsidRDefault="00D06CB2" w:rsidP="009B0C58">
      <w:pPr>
        <w:numPr>
          <w:ilvl w:val="0"/>
          <w:numId w:val="59"/>
        </w:numPr>
        <w:spacing w:before="60" w:after="0" w:line="220" w:lineRule="atLeast"/>
        <w:ind w:left="794" w:hanging="397"/>
        <w:jc w:val="left"/>
        <w:rPr>
          <w:rFonts w:eastAsia="MS Mincho" w:cs="Arial"/>
          <w:sz w:val="18"/>
        </w:rPr>
      </w:pPr>
      <w:r w:rsidRPr="005C5E32">
        <w:rPr>
          <w:rFonts w:eastAsia="MS Mincho" w:cs="Arial"/>
          <w:spacing w:val="-9"/>
          <w:sz w:val="18"/>
        </w:rPr>
        <w:t>to</w:t>
      </w:r>
      <w:r w:rsidRPr="005C5E32">
        <w:rPr>
          <w:rFonts w:eastAsia="MS Mincho" w:cs="Arial"/>
          <w:spacing w:val="-3"/>
          <w:sz w:val="18"/>
        </w:rPr>
        <w:t xml:space="preserve"> </w:t>
      </w:r>
      <w:r w:rsidRPr="005C5E32">
        <w:rPr>
          <w:rFonts w:eastAsia="MS Mincho" w:cs="Arial"/>
          <w:sz w:val="18"/>
        </w:rPr>
        <w:t>be</w:t>
      </w:r>
      <w:r w:rsidRPr="005C5E32">
        <w:rPr>
          <w:rFonts w:eastAsia="MS Mincho" w:cs="Arial"/>
          <w:spacing w:val="-3"/>
          <w:sz w:val="18"/>
        </w:rPr>
        <w:t xml:space="preserve"> </w:t>
      </w:r>
      <w:r w:rsidRPr="005C5E32">
        <w:rPr>
          <w:rFonts w:eastAsia="MS Mincho" w:cs="Arial"/>
          <w:sz w:val="18"/>
        </w:rPr>
        <w:t>reported</w:t>
      </w:r>
      <w:r w:rsidRPr="005C5E32">
        <w:rPr>
          <w:rFonts w:eastAsia="MS Mincho" w:cs="Arial"/>
          <w:spacing w:val="-3"/>
          <w:sz w:val="18"/>
        </w:rPr>
        <w:t xml:space="preserve"> </w:t>
      </w:r>
      <w:r w:rsidRPr="005C5E32">
        <w:rPr>
          <w:rFonts w:eastAsia="MS Mincho" w:cs="Arial"/>
          <w:sz w:val="18"/>
        </w:rPr>
        <w:t>by</w:t>
      </w:r>
      <w:r w:rsidRPr="005C5E32">
        <w:rPr>
          <w:rFonts w:eastAsia="MS Mincho" w:cs="Arial"/>
          <w:spacing w:val="-7"/>
          <w:sz w:val="18"/>
        </w:rPr>
        <w:t xml:space="preserve"> </w:t>
      </w:r>
      <w:r w:rsidRPr="005C5E32">
        <w:rPr>
          <w:rFonts w:eastAsia="MS Mincho" w:cs="Arial"/>
          <w:sz w:val="18"/>
        </w:rPr>
        <w:t>the</w:t>
      </w:r>
      <w:r w:rsidRPr="005C5E32">
        <w:rPr>
          <w:rFonts w:eastAsia="MS Mincho" w:cs="Arial"/>
          <w:spacing w:val="-3"/>
          <w:sz w:val="18"/>
        </w:rPr>
        <w:t xml:space="preserve"> </w:t>
      </w:r>
      <w:r w:rsidRPr="005C5E32">
        <w:rPr>
          <w:rFonts w:eastAsia="MS Mincho" w:cs="Arial"/>
          <w:sz w:val="18"/>
        </w:rPr>
        <w:t>Environmental</w:t>
      </w:r>
      <w:r w:rsidRPr="005C5E32">
        <w:rPr>
          <w:rFonts w:eastAsia="MS Mincho" w:cs="Arial"/>
          <w:spacing w:val="-3"/>
          <w:sz w:val="18"/>
        </w:rPr>
        <w:t xml:space="preserve"> </w:t>
      </w:r>
      <w:r w:rsidRPr="005C5E32">
        <w:rPr>
          <w:rFonts w:eastAsia="MS Mincho" w:cs="Arial"/>
          <w:sz w:val="18"/>
        </w:rPr>
        <w:t>Protection</w:t>
      </w:r>
      <w:r w:rsidRPr="005C5E32">
        <w:rPr>
          <w:rFonts w:eastAsia="MS Mincho" w:cs="Arial"/>
          <w:spacing w:val="-8"/>
          <w:sz w:val="18"/>
        </w:rPr>
        <w:t xml:space="preserve"> </w:t>
      </w:r>
      <w:r w:rsidRPr="005C5E32">
        <w:rPr>
          <w:rFonts w:eastAsia="MS Mincho" w:cs="Arial"/>
          <w:sz w:val="18"/>
        </w:rPr>
        <w:t>Authority</w:t>
      </w:r>
      <w:r w:rsidRPr="005C5E32">
        <w:rPr>
          <w:rFonts w:eastAsia="MS Mincho" w:cs="Arial"/>
          <w:spacing w:val="-7"/>
          <w:sz w:val="18"/>
        </w:rPr>
        <w:t xml:space="preserve"> </w:t>
      </w:r>
      <w:r w:rsidRPr="005C5E32">
        <w:rPr>
          <w:rFonts w:eastAsia="MS Mincho" w:cs="Arial"/>
          <w:sz w:val="18"/>
        </w:rPr>
        <w:t>in</w:t>
      </w:r>
      <w:r w:rsidRPr="005C5E32">
        <w:rPr>
          <w:rFonts w:eastAsia="MS Mincho" w:cs="Arial"/>
          <w:spacing w:val="-3"/>
          <w:sz w:val="18"/>
        </w:rPr>
        <w:t xml:space="preserve"> i</w:t>
      </w:r>
      <w:r w:rsidRPr="005C5E32">
        <w:rPr>
          <w:rFonts w:eastAsia="MS Mincho" w:cs="Arial"/>
          <w:sz w:val="18"/>
        </w:rPr>
        <w:t>ts</w:t>
      </w:r>
      <w:r w:rsidRPr="005C5E32">
        <w:rPr>
          <w:rFonts w:eastAsia="MS Mincho" w:cs="Arial"/>
          <w:spacing w:val="-6"/>
          <w:sz w:val="18"/>
        </w:rPr>
        <w:t xml:space="preserve"> </w:t>
      </w:r>
      <w:r w:rsidRPr="005C5E32">
        <w:rPr>
          <w:rFonts w:eastAsia="MS Mincho" w:cs="Arial"/>
          <w:sz w:val="18"/>
        </w:rPr>
        <w:t>annual</w:t>
      </w:r>
      <w:r w:rsidRPr="005C5E32">
        <w:rPr>
          <w:rFonts w:eastAsia="MS Mincho" w:cs="Arial"/>
          <w:spacing w:val="-3"/>
          <w:sz w:val="18"/>
        </w:rPr>
        <w:t xml:space="preserve"> </w:t>
      </w:r>
      <w:r w:rsidRPr="005C5E32">
        <w:rPr>
          <w:rFonts w:eastAsia="MS Mincho" w:cs="Arial"/>
          <w:sz w:val="18"/>
        </w:rPr>
        <w:t>report</w:t>
      </w:r>
    </w:p>
    <w:p w14:paraId="781F3804" w14:textId="77777777" w:rsidR="00D06CB2" w:rsidRPr="005C5E32" w:rsidRDefault="00D06CB2" w:rsidP="009B0C58">
      <w:pPr>
        <w:numPr>
          <w:ilvl w:val="0"/>
          <w:numId w:val="59"/>
        </w:numPr>
        <w:spacing w:before="60" w:line="220" w:lineRule="atLeast"/>
        <w:ind w:left="794" w:hanging="397"/>
        <w:jc w:val="left"/>
        <w:rPr>
          <w:rFonts w:eastAsia="MS Mincho" w:cs="Arial"/>
          <w:sz w:val="18"/>
        </w:rPr>
      </w:pPr>
      <w:r w:rsidRPr="005C5E32">
        <w:rPr>
          <w:rFonts w:eastAsia="MS Mincho" w:cs="Arial"/>
          <w:sz w:val="18"/>
        </w:rPr>
        <w:t>no</w:t>
      </w:r>
      <w:r w:rsidRPr="005C5E32">
        <w:rPr>
          <w:rFonts w:eastAsia="MS Mincho" w:cs="Arial"/>
          <w:spacing w:val="-2"/>
          <w:sz w:val="18"/>
        </w:rPr>
        <w:t xml:space="preserve"> </w:t>
      </w:r>
      <w:r w:rsidRPr="005C5E32">
        <w:rPr>
          <w:rFonts w:eastAsia="MS Mincho" w:cs="Arial"/>
          <w:sz w:val="18"/>
        </w:rPr>
        <w:t>reporting</w:t>
      </w:r>
      <w:r w:rsidRPr="005C5E32">
        <w:rPr>
          <w:rFonts w:eastAsia="MS Mincho" w:cs="Arial"/>
          <w:spacing w:val="-2"/>
          <w:sz w:val="18"/>
        </w:rPr>
        <w:t xml:space="preserve"> </w:t>
      </w:r>
      <w:r w:rsidRPr="005C5E32">
        <w:rPr>
          <w:rFonts w:eastAsia="MS Mincho" w:cs="Arial"/>
          <w:sz w:val="18"/>
        </w:rPr>
        <w:t>due</w:t>
      </w:r>
      <w:r w:rsidRPr="005C5E32">
        <w:rPr>
          <w:rFonts w:eastAsia="MS Mincho" w:cs="Arial"/>
          <w:spacing w:val="-2"/>
          <w:sz w:val="18"/>
        </w:rPr>
        <w:t xml:space="preserve"> </w:t>
      </w:r>
      <w:r w:rsidRPr="005C5E32">
        <w:rPr>
          <w:rFonts w:eastAsia="MS Mincho" w:cs="Arial"/>
          <w:sz w:val="18"/>
        </w:rPr>
        <w:t>to</w:t>
      </w:r>
      <w:r w:rsidRPr="005C5E32">
        <w:rPr>
          <w:rFonts w:eastAsia="MS Mincho" w:cs="Arial"/>
          <w:spacing w:val="-2"/>
          <w:sz w:val="18"/>
        </w:rPr>
        <w:t xml:space="preserve"> </w:t>
      </w:r>
      <w:r w:rsidRPr="005C5E32">
        <w:rPr>
          <w:rFonts w:eastAsia="MS Mincho" w:cs="Arial"/>
          <w:sz w:val="18"/>
        </w:rPr>
        <w:t>an</w:t>
      </w:r>
      <w:r w:rsidRPr="005C5E32">
        <w:rPr>
          <w:rFonts w:eastAsia="MS Mincho" w:cs="Arial"/>
          <w:spacing w:val="-2"/>
          <w:sz w:val="18"/>
        </w:rPr>
        <w:t xml:space="preserve"> </w:t>
      </w:r>
      <w:r w:rsidRPr="005C5E32">
        <w:rPr>
          <w:rFonts w:eastAsia="MS Mincho" w:cs="Arial"/>
          <w:sz w:val="18"/>
        </w:rPr>
        <w:t>exemption</w:t>
      </w:r>
      <w:r w:rsidRPr="005C5E32">
        <w:rPr>
          <w:rFonts w:eastAsia="MS Mincho" w:cs="Arial"/>
          <w:spacing w:val="-2"/>
          <w:sz w:val="18"/>
        </w:rPr>
        <w:t xml:space="preserve"> </w:t>
      </w:r>
      <w:r w:rsidRPr="005C5E32">
        <w:rPr>
          <w:rFonts w:eastAsia="MS Mincho" w:cs="Arial"/>
          <w:sz w:val="18"/>
        </w:rPr>
        <w:t>obtained</w:t>
      </w:r>
      <w:r w:rsidRPr="005C5E32">
        <w:rPr>
          <w:rFonts w:eastAsia="MS Mincho" w:cs="Arial"/>
          <w:spacing w:val="-2"/>
          <w:sz w:val="18"/>
        </w:rPr>
        <w:t xml:space="preserve"> </w:t>
      </w:r>
      <w:r w:rsidRPr="005C5E32">
        <w:rPr>
          <w:rFonts w:eastAsia="MS Mincho" w:cs="Arial"/>
          <w:sz w:val="18"/>
        </w:rPr>
        <w:t>under</w:t>
      </w:r>
      <w:r w:rsidRPr="005C5E32">
        <w:rPr>
          <w:rFonts w:eastAsia="MS Mincho" w:cs="Arial"/>
          <w:spacing w:val="-5"/>
          <w:sz w:val="18"/>
        </w:rPr>
        <w:t xml:space="preserve"> </w:t>
      </w:r>
      <w:r w:rsidRPr="005C5E32">
        <w:rPr>
          <w:rFonts w:eastAsia="MS Mincho" w:cs="Arial"/>
          <w:sz w:val="18"/>
        </w:rPr>
        <w:t>section</w:t>
      </w:r>
      <w:r w:rsidRPr="005C5E32">
        <w:rPr>
          <w:rFonts w:eastAsia="MS Mincho" w:cs="Arial"/>
          <w:spacing w:val="-2"/>
          <w:sz w:val="18"/>
        </w:rPr>
        <w:t xml:space="preserve"> </w:t>
      </w:r>
      <w:r w:rsidRPr="005C5E32">
        <w:rPr>
          <w:rFonts w:eastAsia="MS Mincho" w:cs="Arial"/>
          <w:sz w:val="18"/>
        </w:rPr>
        <w:t>15D</w:t>
      </w:r>
      <w:r w:rsidRPr="005C5E32">
        <w:rPr>
          <w:rFonts w:eastAsia="MS Mincho" w:cs="Arial"/>
          <w:spacing w:val="-2"/>
          <w:sz w:val="18"/>
        </w:rPr>
        <w:t xml:space="preserve"> </w:t>
      </w:r>
      <w:r w:rsidRPr="005C5E32">
        <w:rPr>
          <w:rFonts w:eastAsia="MS Mincho" w:cs="Arial"/>
          <w:sz w:val="18"/>
        </w:rPr>
        <w:t>of</w:t>
      </w:r>
      <w:r w:rsidRPr="005C5E32">
        <w:rPr>
          <w:rFonts w:eastAsia="MS Mincho" w:cs="Arial"/>
          <w:spacing w:val="-5"/>
          <w:sz w:val="18"/>
        </w:rPr>
        <w:t xml:space="preserve"> </w:t>
      </w:r>
      <w:r w:rsidRPr="005C5E32">
        <w:rPr>
          <w:rFonts w:eastAsia="MS Mincho" w:cs="Arial"/>
          <w:sz w:val="18"/>
        </w:rPr>
        <w:t>the</w:t>
      </w:r>
      <w:r w:rsidRPr="005C5E32">
        <w:rPr>
          <w:rFonts w:eastAsia="MS Mincho" w:cs="Arial"/>
          <w:spacing w:val="-2"/>
          <w:sz w:val="18"/>
        </w:rPr>
        <w:t xml:space="preserve"> </w:t>
      </w:r>
      <w:r w:rsidRPr="005C5E32">
        <w:rPr>
          <w:rFonts w:eastAsia="MS Mincho" w:cs="Arial"/>
          <w:sz w:val="18"/>
        </w:rPr>
        <w:t>Public</w:t>
      </w:r>
      <w:r w:rsidRPr="005C5E32">
        <w:rPr>
          <w:rFonts w:eastAsia="MS Mincho" w:cs="Arial"/>
          <w:spacing w:val="-2"/>
          <w:sz w:val="18"/>
        </w:rPr>
        <w:t xml:space="preserve"> </w:t>
      </w:r>
      <w:r w:rsidRPr="005C5E32">
        <w:rPr>
          <w:rFonts w:eastAsia="MS Mincho" w:cs="Arial"/>
          <w:sz w:val="18"/>
        </w:rPr>
        <w:t>Finance</w:t>
      </w:r>
      <w:r w:rsidRPr="005C5E32">
        <w:rPr>
          <w:rFonts w:eastAsia="MS Mincho" w:cs="Arial"/>
          <w:spacing w:val="-6"/>
          <w:sz w:val="18"/>
        </w:rPr>
        <w:t xml:space="preserve"> </w:t>
      </w:r>
      <w:r w:rsidRPr="005C5E32">
        <w:rPr>
          <w:rFonts w:eastAsia="MS Mincho" w:cs="Arial"/>
          <w:sz w:val="18"/>
        </w:rPr>
        <w:t>Act 1989.</w:t>
      </w:r>
    </w:p>
    <w:p w14:paraId="2A3AA0F8" w14:textId="77777777" w:rsidR="00E3476E" w:rsidRPr="005C5E32" w:rsidRDefault="00E3476E" w:rsidP="00E3476E">
      <w:pPr>
        <w:pStyle w:val="BodyText"/>
      </w:pP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2673"/>
        <w:gridCol w:w="1215"/>
        <w:gridCol w:w="1154"/>
        <w:gridCol w:w="1094"/>
        <w:gridCol w:w="1154"/>
        <w:gridCol w:w="1215"/>
      </w:tblGrid>
      <w:tr w:rsidR="000F6DCA" w:rsidRPr="005C5E32" w14:paraId="4616A792" w14:textId="77777777" w:rsidTr="00004DF1">
        <w:trPr>
          <w:tblHeader/>
        </w:trPr>
        <w:tc>
          <w:tcPr>
            <w:tcW w:w="2495" w:type="dxa"/>
            <w:tcBorders>
              <w:top w:val="single" w:sz="8" w:space="0" w:color="0E7C7E"/>
              <w:bottom w:val="single" w:sz="2" w:space="0" w:color="58595B"/>
            </w:tcBorders>
            <w:vAlign w:val="bottom"/>
          </w:tcPr>
          <w:p w14:paraId="60B4E78A" w14:textId="77777777" w:rsidR="000F6DCA" w:rsidRPr="005C5E32" w:rsidRDefault="000F6DCA" w:rsidP="00004DF1">
            <w:pPr>
              <w:pStyle w:val="TableboldGreen"/>
              <w:keepNext/>
              <w:spacing w:before="40" w:after="40"/>
              <w:jc w:val="right"/>
            </w:pPr>
          </w:p>
        </w:tc>
        <w:tc>
          <w:tcPr>
            <w:tcW w:w="1134" w:type="dxa"/>
            <w:tcBorders>
              <w:top w:val="single" w:sz="8" w:space="0" w:color="0E7C7E"/>
              <w:bottom w:val="single" w:sz="2" w:space="0" w:color="58595B"/>
            </w:tcBorders>
            <w:shd w:val="clear" w:color="auto" w:fill="E7F2F2"/>
            <w:vAlign w:val="bottom"/>
          </w:tcPr>
          <w:p w14:paraId="17237D2A" w14:textId="77777777" w:rsidR="000F6DCA" w:rsidRPr="005C5E32" w:rsidRDefault="000F6DCA" w:rsidP="00004DF1">
            <w:pPr>
              <w:pStyle w:val="TableboldGreen"/>
              <w:keepNext/>
              <w:spacing w:before="40" w:after="40"/>
              <w:jc w:val="right"/>
            </w:pPr>
            <w:r w:rsidRPr="005C5E32">
              <w:t>2024/25</w:t>
            </w:r>
            <w:r w:rsidRPr="005C5E32">
              <w:br/>
              <w:t>Expenditure</w:t>
            </w:r>
            <w:r w:rsidRPr="005C5E32">
              <w:br/>
              <w:t>$000</w:t>
            </w:r>
          </w:p>
        </w:tc>
        <w:tc>
          <w:tcPr>
            <w:tcW w:w="1077" w:type="dxa"/>
            <w:tcBorders>
              <w:top w:val="single" w:sz="8" w:space="0" w:color="0E7C7E"/>
              <w:bottom w:val="single" w:sz="2" w:space="0" w:color="58595B"/>
            </w:tcBorders>
            <w:vAlign w:val="bottom"/>
          </w:tcPr>
          <w:p w14:paraId="47857A8A" w14:textId="77777777" w:rsidR="000F6DCA" w:rsidRPr="005C5E32" w:rsidRDefault="000F6DCA" w:rsidP="00004DF1">
            <w:pPr>
              <w:pStyle w:val="TableboldGreen"/>
              <w:keepNext/>
              <w:spacing w:before="40" w:after="40"/>
              <w:jc w:val="right"/>
            </w:pPr>
            <w:r w:rsidRPr="005C5E32">
              <w:t>2025/26</w:t>
            </w:r>
            <w:r w:rsidRPr="005C5E32">
              <w:br/>
            </w:r>
            <w:r w:rsidRPr="005C5E32" w:rsidDel="00232479">
              <w:t>B</w:t>
            </w:r>
            <w:r w:rsidRPr="005C5E32">
              <w:t>udget*</w:t>
            </w:r>
            <w:r w:rsidRPr="005C5E32">
              <w:br/>
              <w:t>$000</w:t>
            </w:r>
          </w:p>
        </w:tc>
        <w:tc>
          <w:tcPr>
            <w:tcW w:w="1021" w:type="dxa"/>
            <w:tcBorders>
              <w:top w:val="single" w:sz="8" w:space="0" w:color="0E7C7E"/>
              <w:bottom w:val="single" w:sz="2" w:space="0" w:color="58595B"/>
            </w:tcBorders>
            <w:vAlign w:val="bottom"/>
          </w:tcPr>
          <w:p w14:paraId="66BAE882" w14:textId="77777777" w:rsidR="000F6DCA" w:rsidRPr="005C5E32" w:rsidRDefault="000F6DCA" w:rsidP="00004DF1">
            <w:pPr>
              <w:pStyle w:val="TableboldGreen"/>
              <w:keepNext/>
              <w:spacing w:before="40" w:after="40"/>
              <w:jc w:val="right"/>
            </w:pPr>
            <w:r w:rsidRPr="005C5E32">
              <w:t>2025/26</w:t>
            </w:r>
            <w:r w:rsidRPr="005C5E32">
              <w:br/>
              <w:t xml:space="preserve">Revised </w:t>
            </w:r>
            <w:r w:rsidRPr="005C5E32" w:rsidDel="00232479">
              <w:t>B</w:t>
            </w:r>
            <w:r w:rsidRPr="005C5E32">
              <w:t>udget*</w:t>
            </w:r>
            <w:r w:rsidRPr="005C5E32">
              <w:rPr>
                <w:vertAlign w:val="superscript"/>
              </w:rPr>
              <w:t>1</w:t>
            </w:r>
            <w:r w:rsidRPr="005C5E32">
              <w:br/>
              <w:t>$000</w:t>
            </w:r>
          </w:p>
        </w:tc>
        <w:tc>
          <w:tcPr>
            <w:tcW w:w="1077" w:type="dxa"/>
            <w:tcBorders>
              <w:top w:val="single" w:sz="8" w:space="0" w:color="0E7C7E"/>
              <w:bottom w:val="single" w:sz="2" w:space="0" w:color="58595B"/>
            </w:tcBorders>
            <w:shd w:val="clear" w:color="auto" w:fill="E7F2F2"/>
            <w:vAlign w:val="bottom"/>
          </w:tcPr>
          <w:p w14:paraId="2B769E0B" w14:textId="77777777" w:rsidR="000F6DCA" w:rsidRPr="005C5E32" w:rsidRDefault="000F6DCA" w:rsidP="00004DF1">
            <w:pPr>
              <w:pStyle w:val="TableboldGreen"/>
              <w:keepNext/>
              <w:spacing w:before="40" w:after="40"/>
              <w:jc w:val="right"/>
            </w:pPr>
            <w:r w:rsidRPr="005C5E32">
              <w:t>2025/26</w:t>
            </w:r>
            <w:r w:rsidRPr="005C5E32">
              <w:br/>
              <w:t>Expenditure</w:t>
            </w:r>
            <w:r w:rsidRPr="005C5E32">
              <w:rPr>
                <w:vertAlign w:val="superscript"/>
              </w:rPr>
              <w:t>2</w:t>
            </w:r>
            <w:r w:rsidRPr="005C5E32">
              <w:br/>
              <w:t>$000</w:t>
            </w:r>
          </w:p>
        </w:tc>
        <w:tc>
          <w:tcPr>
            <w:tcW w:w="1134" w:type="dxa"/>
            <w:tcBorders>
              <w:top w:val="single" w:sz="8" w:space="0" w:color="0E7C7E"/>
              <w:bottom w:val="single" w:sz="2" w:space="0" w:color="58595B"/>
            </w:tcBorders>
            <w:vAlign w:val="bottom"/>
          </w:tcPr>
          <w:p w14:paraId="262DCCCD" w14:textId="77777777" w:rsidR="000F6DCA" w:rsidRPr="005C5E32" w:rsidRDefault="000F6DCA" w:rsidP="00004DF1">
            <w:pPr>
              <w:pStyle w:val="TableboldGreen"/>
              <w:keepNext/>
              <w:spacing w:before="40" w:after="40"/>
              <w:jc w:val="right"/>
            </w:pPr>
            <w:r w:rsidRPr="005C5E32">
              <w:t>Location of end-of-year performance information</w:t>
            </w:r>
            <w:r w:rsidRPr="005C5E32">
              <w:rPr>
                <w:vertAlign w:val="superscript"/>
              </w:rPr>
              <w:t>3</w:t>
            </w:r>
          </w:p>
        </w:tc>
      </w:tr>
      <w:tr w:rsidR="000F6DCA" w:rsidRPr="005C5E32" w14:paraId="7A5247BB" w14:textId="77777777" w:rsidTr="00004DF1">
        <w:tc>
          <w:tcPr>
            <w:tcW w:w="2495" w:type="dxa"/>
            <w:tcBorders>
              <w:top w:val="single" w:sz="2" w:space="0" w:color="58595B"/>
              <w:bottom w:val="single" w:sz="2" w:space="0" w:color="58595B"/>
            </w:tcBorders>
          </w:tcPr>
          <w:p w14:paraId="6E275BDF" w14:textId="77777777" w:rsidR="000F6DCA" w:rsidRPr="005C5E32" w:rsidRDefault="000F6DCA" w:rsidP="00004DF1">
            <w:pPr>
              <w:pStyle w:val="TableText"/>
              <w:keepNext/>
              <w:spacing w:before="40" w:after="40"/>
            </w:pPr>
            <w:r w:rsidRPr="005C5E32">
              <w:t>Emissions Trading Scheme</w:t>
            </w:r>
          </w:p>
        </w:tc>
        <w:tc>
          <w:tcPr>
            <w:tcW w:w="1134" w:type="dxa"/>
            <w:tcBorders>
              <w:top w:val="single" w:sz="2" w:space="0" w:color="58595B"/>
              <w:bottom w:val="single" w:sz="2" w:space="0" w:color="58595B"/>
            </w:tcBorders>
            <w:shd w:val="clear" w:color="auto" w:fill="E7F2F2"/>
            <w:vAlign w:val="bottom"/>
          </w:tcPr>
          <w:p w14:paraId="76FC7BA2" w14:textId="77777777" w:rsidR="000F6DCA" w:rsidRPr="005C5E32" w:rsidRDefault="000F6DCA" w:rsidP="00004DF1">
            <w:pPr>
              <w:pStyle w:val="TableText"/>
              <w:keepNext/>
              <w:spacing w:before="40" w:after="40"/>
              <w:jc w:val="right"/>
            </w:pPr>
            <w:r w:rsidRPr="005C5E32">
              <w:t>7,627</w:t>
            </w:r>
          </w:p>
        </w:tc>
        <w:tc>
          <w:tcPr>
            <w:tcW w:w="1077" w:type="dxa"/>
            <w:tcBorders>
              <w:top w:val="single" w:sz="2" w:space="0" w:color="58595B"/>
              <w:bottom w:val="single" w:sz="2" w:space="0" w:color="58595B"/>
            </w:tcBorders>
            <w:vAlign w:val="bottom"/>
          </w:tcPr>
          <w:p w14:paraId="4F1FFF58" w14:textId="77777777" w:rsidR="000F6DCA" w:rsidRPr="005C5E32" w:rsidRDefault="000F6DCA" w:rsidP="00004DF1">
            <w:pPr>
              <w:pStyle w:val="TableText"/>
              <w:keepNext/>
              <w:spacing w:before="40" w:after="40"/>
              <w:jc w:val="right"/>
            </w:pPr>
            <w:r w:rsidRPr="005C5E32">
              <w:t>6,785</w:t>
            </w:r>
          </w:p>
        </w:tc>
        <w:tc>
          <w:tcPr>
            <w:tcW w:w="1021" w:type="dxa"/>
            <w:tcBorders>
              <w:top w:val="single" w:sz="2" w:space="0" w:color="58595B"/>
              <w:bottom w:val="single" w:sz="2" w:space="0" w:color="58595B"/>
            </w:tcBorders>
            <w:vAlign w:val="bottom"/>
          </w:tcPr>
          <w:p w14:paraId="1993B8CD" w14:textId="77777777" w:rsidR="000F6DCA" w:rsidRPr="005C5E32" w:rsidRDefault="000F6DCA" w:rsidP="00004DF1">
            <w:pPr>
              <w:pStyle w:val="TableText"/>
              <w:keepNext/>
              <w:spacing w:before="40" w:after="40"/>
              <w:jc w:val="right"/>
            </w:pPr>
            <w:r w:rsidRPr="005C5E32">
              <w:t>6,785</w:t>
            </w:r>
          </w:p>
        </w:tc>
        <w:tc>
          <w:tcPr>
            <w:tcW w:w="1077" w:type="dxa"/>
            <w:tcBorders>
              <w:top w:val="single" w:sz="2" w:space="0" w:color="58595B"/>
              <w:bottom w:val="single" w:sz="2" w:space="0" w:color="58595B"/>
            </w:tcBorders>
            <w:shd w:val="clear" w:color="auto" w:fill="E7F2F2"/>
            <w:vAlign w:val="bottom"/>
          </w:tcPr>
          <w:p w14:paraId="53253E2E" w14:textId="77777777" w:rsidR="000F6DCA" w:rsidRPr="005C5E32" w:rsidRDefault="000F6DCA" w:rsidP="00004DF1">
            <w:pPr>
              <w:pStyle w:val="TableText"/>
              <w:keepNext/>
              <w:spacing w:before="40" w:after="40"/>
              <w:jc w:val="right"/>
            </w:pPr>
            <w:r w:rsidRPr="005C5E32">
              <w:t>6,785</w:t>
            </w:r>
          </w:p>
        </w:tc>
        <w:tc>
          <w:tcPr>
            <w:tcW w:w="1134" w:type="dxa"/>
            <w:tcBorders>
              <w:top w:val="single" w:sz="2" w:space="0" w:color="58595B"/>
              <w:bottom w:val="single" w:sz="2" w:space="0" w:color="58595B"/>
            </w:tcBorders>
            <w:vAlign w:val="bottom"/>
          </w:tcPr>
          <w:p w14:paraId="67607415" w14:textId="77777777" w:rsidR="000F6DCA" w:rsidRPr="005C5E32" w:rsidRDefault="000F6DCA" w:rsidP="00004DF1">
            <w:pPr>
              <w:pStyle w:val="TableText"/>
              <w:keepNext/>
              <w:spacing w:before="40" w:after="40"/>
              <w:jc w:val="right"/>
            </w:pPr>
            <w:r w:rsidRPr="005C5E32">
              <w:t>d</w:t>
            </w:r>
          </w:p>
        </w:tc>
      </w:tr>
      <w:tr w:rsidR="000F6DCA" w:rsidRPr="005C5E32" w14:paraId="0F70998F" w14:textId="77777777" w:rsidTr="00004DF1">
        <w:tc>
          <w:tcPr>
            <w:tcW w:w="2495" w:type="dxa"/>
            <w:tcBorders>
              <w:top w:val="single" w:sz="2" w:space="0" w:color="58595B"/>
              <w:bottom w:val="single" w:sz="2" w:space="0" w:color="58595B"/>
            </w:tcBorders>
          </w:tcPr>
          <w:p w14:paraId="4196C5AC" w14:textId="77777777" w:rsidR="000F6DCA" w:rsidRPr="005C5E32" w:rsidRDefault="000F6DCA">
            <w:pPr>
              <w:pStyle w:val="TableText"/>
              <w:spacing w:before="40" w:after="40"/>
            </w:pPr>
            <w:r w:rsidRPr="005C5E32">
              <w:t>Environmental Protection Authority functions</w:t>
            </w:r>
          </w:p>
        </w:tc>
        <w:tc>
          <w:tcPr>
            <w:tcW w:w="1134" w:type="dxa"/>
            <w:tcBorders>
              <w:top w:val="single" w:sz="2" w:space="0" w:color="58595B"/>
              <w:bottom w:val="single" w:sz="2" w:space="0" w:color="58595B"/>
            </w:tcBorders>
            <w:shd w:val="clear" w:color="auto" w:fill="E7F2F2"/>
            <w:vAlign w:val="bottom"/>
          </w:tcPr>
          <w:p w14:paraId="502A3153" w14:textId="77777777" w:rsidR="000F6DCA" w:rsidRPr="005C5E32" w:rsidRDefault="000F6DCA">
            <w:pPr>
              <w:pStyle w:val="TableText"/>
              <w:spacing w:before="40" w:after="40"/>
              <w:jc w:val="right"/>
            </w:pPr>
            <w:r w:rsidRPr="005C5E32">
              <w:t>29,325</w:t>
            </w:r>
          </w:p>
        </w:tc>
        <w:tc>
          <w:tcPr>
            <w:tcW w:w="1077" w:type="dxa"/>
            <w:tcBorders>
              <w:top w:val="single" w:sz="2" w:space="0" w:color="58595B"/>
              <w:bottom w:val="single" w:sz="2" w:space="0" w:color="58595B"/>
            </w:tcBorders>
            <w:vAlign w:val="bottom"/>
          </w:tcPr>
          <w:p w14:paraId="7DB30ED2" w14:textId="77777777" w:rsidR="000F6DCA" w:rsidRPr="005C5E32" w:rsidRDefault="000F6DCA">
            <w:pPr>
              <w:pStyle w:val="TableText"/>
              <w:spacing w:before="40" w:after="40"/>
              <w:jc w:val="right"/>
            </w:pPr>
            <w:r w:rsidRPr="005C5E32">
              <w:t>33,831</w:t>
            </w:r>
          </w:p>
        </w:tc>
        <w:tc>
          <w:tcPr>
            <w:tcW w:w="1021" w:type="dxa"/>
            <w:tcBorders>
              <w:top w:val="single" w:sz="2" w:space="0" w:color="58595B"/>
              <w:bottom w:val="single" w:sz="2" w:space="0" w:color="58595B"/>
            </w:tcBorders>
            <w:vAlign w:val="bottom"/>
          </w:tcPr>
          <w:p w14:paraId="594C8E0A" w14:textId="77777777" w:rsidR="000F6DCA" w:rsidRPr="005C5E32" w:rsidRDefault="000F6DCA">
            <w:pPr>
              <w:pStyle w:val="TableText"/>
              <w:spacing w:before="40" w:after="40"/>
              <w:jc w:val="right"/>
            </w:pPr>
            <w:r w:rsidRPr="005C5E32">
              <w:t>33,831</w:t>
            </w:r>
          </w:p>
        </w:tc>
        <w:tc>
          <w:tcPr>
            <w:tcW w:w="1077" w:type="dxa"/>
            <w:tcBorders>
              <w:top w:val="single" w:sz="2" w:space="0" w:color="58595B"/>
              <w:bottom w:val="single" w:sz="2" w:space="0" w:color="58595B"/>
            </w:tcBorders>
            <w:shd w:val="clear" w:color="auto" w:fill="E7F2F2"/>
            <w:vAlign w:val="bottom"/>
          </w:tcPr>
          <w:p w14:paraId="68F20A4B" w14:textId="77777777" w:rsidR="000F6DCA" w:rsidRPr="005C5E32" w:rsidRDefault="000F6DCA">
            <w:pPr>
              <w:pStyle w:val="TableText"/>
              <w:spacing w:before="40" w:after="40"/>
              <w:jc w:val="right"/>
            </w:pPr>
            <w:r w:rsidRPr="005C5E32">
              <w:t>33,831</w:t>
            </w:r>
          </w:p>
        </w:tc>
        <w:tc>
          <w:tcPr>
            <w:tcW w:w="1134" w:type="dxa"/>
            <w:tcBorders>
              <w:top w:val="single" w:sz="2" w:space="0" w:color="58595B"/>
              <w:bottom w:val="single" w:sz="2" w:space="0" w:color="58595B"/>
            </w:tcBorders>
            <w:vAlign w:val="bottom"/>
          </w:tcPr>
          <w:p w14:paraId="1854FCBD" w14:textId="77777777" w:rsidR="000F6DCA" w:rsidRPr="005C5E32" w:rsidRDefault="000F6DCA">
            <w:pPr>
              <w:pStyle w:val="TableText"/>
              <w:spacing w:before="40" w:after="40"/>
              <w:jc w:val="right"/>
            </w:pPr>
            <w:r w:rsidRPr="005C5E32">
              <w:t>d</w:t>
            </w:r>
          </w:p>
        </w:tc>
      </w:tr>
      <w:tr w:rsidR="000F6DCA" w:rsidRPr="005C5E32" w14:paraId="20293A12" w14:textId="77777777" w:rsidTr="00004DF1">
        <w:tc>
          <w:tcPr>
            <w:tcW w:w="2495" w:type="dxa"/>
            <w:tcBorders>
              <w:top w:val="single" w:sz="2" w:space="0" w:color="58595B"/>
              <w:bottom w:val="single" w:sz="2" w:space="0" w:color="58595B"/>
            </w:tcBorders>
          </w:tcPr>
          <w:p w14:paraId="6DBFAD95" w14:textId="77777777" w:rsidR="000F6DCA" w:rsidRPr="005C5E32" w:rsidRDefault="000F6DCA">
            <w:pPr>
              <w:pStyle w:val="TableText"/>
              <w:spacing w:before="40" w:after="40"/>
            </w:pPr>
            <w:r w:rsidRPr="005C5E32">
              <w:t>Environmental training programmes</w:t>
            </w:r>
          </w:p>
        </w:tc>
        <w:tc>
          <w:tcPr>
            <w:tcW w:w="1134" w:type="dxa"/>
            <w:tcBorders>
              <w:top w:val="single" w:sz="2" w:space="0" w:color="58595B"/>
              <w:bottom w:val="single" w:sz="2" w:space="0" w:color="58595B"/>
            </w:tcBorders>
            <w:shd w:val="clear" w:color="auto" w:fill="E7F2F2"/>
            <w:vAlign w:val="bottom"/>
          </w:tcPr>
          <w:p w14:paraId="6D731487" w14:textId="77777777" w:rsidR="000F6DCA" w:rsidRPr="005C5E32" w:rsidRDefault="000F6DCA">
            <w:pPr>
              <w:pStyle w:val="TableText"/>
              <w:spacing w:before="40" w:after="40"/>
              <w:jc w:val="right"/>
            </w:pPr>
            <w:r w:rsidRPr="005C5E32">
              <w:t>1,900</w:t>
            </w:r>
          </w:p>
        </w:tc>
        <w:tc>
          <w:tcPr>
            <w:tcW w:w="1077" w:type="dxa"/>
            <w:tcBorders>
              <w:top w:val="single" w:sz="2" w:space="0" w:color="58595B"/>
              <w:bottom w:val="single" w:sz="2" w:space="0" w:color="58595B"/>
            </w:tcBorders>
            <w:vAlign w:val="bottom"/>
          </w:tcPr>
          <w:p w14:paraId="72E7725B" w14:textId="77777777" w:rsidR="000F6DCA" w:rsidRPr="005C5E32" w:rsidRDefault="000F6DCA">
            <w:pPr>
              <w:pStyle w:val="TableText"/>
              <w:spacing w:before="40" w:after="40"/>
              <w:jc w:val="right"/>
            </w:pPr>
            <w:r w:rsidRPr="005C5E32">
              <w:t>–</w:t>
            </w:r>
          </w:p>
        </w:tc>
        <w:tc>
          <w:tcPr>
            <w:tcW w:w="1021" w:type="dxa"/>
            <w:tcBorders>
              <w:top w:val="single" w:sz="2" w:space="0" w:color="58595B"/>
              <w:bottom w:val="single" w:sz="2" w:space="0" w:color="58595B"/>
            </w:tcBorders>
            <w:vAlign w:val="bottom"/>
          </w:tcPr>
          <w:p w14:paraId="341AFBE1" w14:textId="77777777" w:rsidR="000F6DCA" w:rsidRPr="005C5E32" w:rsidRDefault="000F6DCA">
            <w:pPr>
              <w:pStyle w:val="TableText"/>
              <w:spacing w:before="40" w:after="40"/>
              <w:jc w:val="right"/>
            </w:pPr>
            <w:r w:rsidRPr="005C5E32">
              <w:t>–</w:t>
            </w:r>
          </w:p>
        </w:tc>
        <w:tc>
          <w:tcPr>
            <w:tcW w:w="1077" w:type="dxa"/>
            <w:tcBorders>
              <w:top w:val="single" w:sz="2" w:space="0" w:color="58595B"/>
              <w:bottom w:val="single" w:sz="2" w:space="0" w:color="58595B"/>
            </w:tcBorders>
            <w:shd w:val="clear" w:color="auto" w:fill="E7F2F2"/>
            <w:vAlign w:val="bottom"/>
          </w:tcPr>
          <w:p w14:paraId="0A3DB318" w14:textId="77777777" w:rsidR="000F6DCA" w:rsidRPr="005C5E32" w:rsidRDefault="000F6DCA">
            <w:pPr>
              <w:pStyle w:val="TableText"/>
              <w:spacing w:before="40" w:after="40"/>
              <w:jc w:val="right"/>
            </w:pPr>
            <w:r w:rsidRPr="005C5E32">
              <w:t>–</w:t>
            </w:r>
          </w:p>
        </w:tc>
        <w:tc>
          <w:tcPr>
            <w:tcW w:w="1134" w:type="dxa"/>
            <w:tcBorders>
              <w:top w:val="single" w:sz="2" w:space="0" w:color="58595B"/>
              <w:bottom w:val="single" w:sz="2" w:space="0" w:color="58595B"/>
            </w:tcBorders>
            <w:vAlign w:val="bottom"/>
          </w:tcPr>
          <w:p w14:paraId="006790C3" w14:textId="77777777" w:rsidR="000F6DCA" w:rsidRPr="005C5E32" w:rsidRDefault="000F6DCA">
            <w:pPr>
              <w:pStyle w:val="TableText"/>
              <w:spacing w:before="40" w:after="40"/>
              <w:jc w:val="right"/>
            </w:pPr>
          </w:p>
        </w:tc>
      </w:tr>
      <w:tr w:rsidR="000F6DCA" w:rsidRPr="005C5E32" w14:paraId="2EB71AF5" w14:textId="77777777" w:rsidTr="00004DF1">
        <w:tc>
          <w:tcPr>
            <w:tcW w:w="2495" w:type="dxa"/>
            <w:tcBorders>
              <w:top w:val="single" w:sz="2" w:space="0" w:color="58595B"/>
              <w:bottom w:val="single" w:sz="2" w:space="0" w:color="58595B"/>
            </w:tcBorders>
          </w:tcPr>
          <w:p w14:paraId="68A584FA" w14:textId="77777777" w:rsidR="000F6DCA" w:rsidRPr="005C5E32" w:rsidRDefault="000F6DCA">
            <w:pPr>
              <w:pStyle w:val="TableText"/>
              <w:spacing w:before="40" w:after="40"/>
            </w:pPr>
            <w:r w:rsidRPr="005C5E32">
              <w:t>Promotion of sustainable land management</w:t>
            </w:r>
          </w:p>
        </w:tc>
        <w:tc>
          <w:tcPr>
            <w:tcW w:w="1134" w:type="dxa"/>
            <w:tcBorders>
              <w:top w:val="single" w:sz="2" w:space="0" w:color="58595B"/>
              <w:bottom w:val="single" w:sz="2" w:space="0" w:color="58595B"/>
            </w:tcBorders>
            <w:shd w:val="clear" w:color="auto" w:fill="E7F2F2"/>
            <w:vAlign w:val="bottom"/>
          </w:tcPr>
          <w:p w14:paraId="30EB5B24" w14:textId="77777777" w:rsidR="000F6DCA" w:rsidRPr="005C5E32" w:rsidRDefault="000F6DCA">
            <w:pPr>
              <w:pStyle w:val="TableText"/>
              <w:spacing w:before="40" w:after="40"/>
              <w:jc w:val="right"/>
            </w:pPr>
            <w:r w:rsidRPr="005C5E32">
              <w:t>800</w:t>
            </w:r>
          </w:p>
        </w:tc>
        <w:tc>
          <w:tcPr>
            <w:tcW w:w="1077" w:type="dxa"/>
            <w:tcBorders>
              <w:top w:val="single" w:sz="2" w:space="0" w:color="58595B"/>
              <w:bottom w:val="single" w:sz="2" w:space="0" w:color="58595B"/>
            </w:tcBorders>
            <w:vAlign w:val="bottom"/>
          </w:tcPr>
          <w:p w14:paraId="50143245" w14:textId="77777777" w:rsidR="000F6DCA" w:rsidRPr="005C5E32" w:rsidRDefault="000F6DCA">
            <w:pPr>
              <w:pStyle w:val="TableText"/>
              <w:spacing w:before="40" w:after="40"/>
              <w:jc w:val="right"/>
            </w:pPr>
            <w:r w:rsidRPr="005C5E32">
              <w:t>–</w:t>
            </w:r>
          </w:p>
        </w:tc>
        <w:tc>
          <w:tcPr>
            <w:tcW w:w="1021" w:type="dxa"/>
            <w:tcBorders>
              <w:top w:val="single" w:sz="2" w:space="0" w:color="58595B"/>
              <w:bottom w:val="single" w:sz="2" w:space="0" w:color="58595B"/>
            </w:tcBorders>
            <w:vAlign w:val="bottom"/>
          </w:tcPr>
          <w:p w14:paraId="31D951C4" w14:textId="77777777" w:rsidR="000F6DCA" w:rsidRPr="005C5E32" w:rsidRDefault="000F6DCA">
            <w:pPr>
              <w:pStyle w:val="TableText"/>
              <w:spacing w:before="40" w:after="40"/>
              <w:jc w:val="right"/>
            </w:pPr>
            <w:r w:rsidRPr="005C5E32">
              <w:t>–</w:t>
            </w:r>
          </w:p>
        </w:tc>
        <w:tc>
          <w:tcPr>
            <w:tcW w:w="1077" w:type="dxa"/>
            <w:tcBorders>
              <w:top w:val="single" w:sz="2" w:space="0" w:color="58595B"/>
              <w:bottom w:val="single" w:sz="2" w:space="0" w:color="58595B"/>
            </w:tcBorders>
            <w:shd w:val="clear" w:color="auto" w:fill="E7F2F2"/>
            <w:vAlign w:val="bottom"/>
          </w:tcPr>
          <w:p w14:paraId="792297BA" w14:textId="77777777" w:rsidR="000F6DCA" w:rsidRPr="005C5E32" w:rsidRDefault="000F6DCA">
            <w:pPr>
              <w:pStyle w:val="TableText"/>
              <w:spacing w:before="40" w:after="40"/>
              <w:jc w:val="right"/>
            </w:pPr>
            <w:r w:rsidRPr="005C5E32">
              <w:t>–</w:t>
            </w:r>
          </w:p>
        </w:tc>
        <w:tc>
          <w:tcPr>
            <w:tcW w:w="1134" w:type="dxa"/>
            <w:tcBorders>
              <w:top w:val="single" w:sz="2" w:space="0" w:color="58595B"/>
              <w:bottom w:val="single" w:sz="2" w:space="0" w:color="58595B"/>
            </w:tcBorders>
            <w:vAlign w:val="bottom"/>
          </w:tcPr>
          <w:p w14:paraId="594B0978" w14:textId="77777777" w:rsidR="000F6DCA" w:rsidRPr="005C5E32" w:rsidRDefault="000F6DCA">
            <w:pPr>
              <w:pStyle w:val="TableText"/>
              <w:spacing w:before="40" w:after="40"/>
              <w:jc w:val="right"/>
            </w:pPr>
          </w:p>
        </w:tc>
      </w:tr>
      <w:tr w:rsidR="000F6DCA" w:rsidRPr="005C5E32" w14:paraId="19A154D2" w14:textId="77777777" w:rsidTr="00004DF1">
        <w:tc>
          <w:tcPr>
            <w:tcW w:w="2495" w:type="dxa"/>
            <w:tcBorders>
              <w:top w:val="single" w:sz="2" w:space="0" w:color="58595B"/>
              <w:bottom w:val="single" w:sz="4" w:space="0" w:color="000000" w:themeColor="text1"/>
            </w:tcBorders>
          </w:tcPr>
          <w:p w14:paraId="41920517" w14:textId="77777777" w:rsidR="000F6DCA" w:rsidRPr="005C5E32" w:rsidRDefault="000F6DCA">
            <w:pPr>
              <w:pStyle w:val="TableText"/>
              <w:spacing w:before="40" w:after="40"/>
            </w:pPr>
            <w:r w:rsidRPr="005C5E32">
              <w:t>Water science and economics</w:t>
            </w:r>
          </w:p>
        </w:tc>
        <w:tc>
          <w:tcPr>
            <w:tcW w:w="1134" w:type="dxa"/>
            <w:tcBorders>
              <w:top w:val="single" w:sz="2" w:space="0" w:color="58595B"/>
              <w:bottom w:val="single" w:sz="4" w:space="0" w:color="000000" w:themeColor="text1"/>
            </w:tcBorders>
            <w:shd w:val="clear" w:color="auto" w:fill="E7F2F2"/>
            <w:vAlign w:val="bottom"/>
          </w:tcPr>
          <w:p w14:paraId="19DA2643" w14:textId="77777777" w:rsidR="000F6DCA" w:rsidRPr="005C5E32" w:rsidRDefault="000F6DCA">
            <w:pPr>
              <w:pStyle w:val="TableText"/>
              <w:spacing w:before="40" w:after="40"/>
              <w:jc w:val="right"/>
            </w:pPr>
            <w:r w:rsidRPr="005C5E32">
              <w:t>1,500</w:t>
            </w:r>
          </w:p>
        </w:tc>
        <w:tc>
          <w:tcPr>
            <w:tcW w:w="1077" w:type="dxa"/>
            <w:tcBorders>
              <w:top w:val="single" w:sz="2" w:space="0" w:color="58595B"/>
              <w:bottom w:val="single" w:sz="4" w:space="0" w:color="000000" w:themeColor="text1"/>
            </w:tcBorders>
            <w:vAlign w:val="bottom"/>
          </w:tcPr>
          <w:p w14:paraId="60FAA930" w14:textId="77777777" w:rsidR="000F6DCA" w:rsidRPr="005C5E32" w:rsidRDefault="000F6DCA">
            <w:pPr>
              <w:pStyle w:val="TableText"/>
              <w:spacing w:before="40" w:after="40"/>
              <w:jc w:val="right"/>
            </w:pPr>
            <w:r w:rsidRPr="005C5E32">
              <w:t>–</w:t>
            </w:r>
          </w:p>
        </w:tc>
        <w:tc>
          <w:tcPr>
            <w:tcW w:w="1021" w:type="dxa"/>
            <w:tcBorders>
              <w:top w:val="single" w:sz="2" w:space="0" w:color="58595B"/>
              <w:bottom w:val="single" w:sz="4" w:space="0" w:color="000000" w:themeColor="text1"/>
            </w:tcBorders>
            <w:vAlign w:val="bottom"/>
          </w:tcPr>
          <w:p w14:paraId="0B396FE8" w14:textId="77777777" w:rsidR="000F6DCA" w:rsidRPr="005C5E32" w:rsidRDefault="000F6DCA">
            <w:pPr>
              <w:pStyle w:val="TableText"/>
              <w:spacing w:before="40" w:after="40"/>
              <w:jc w:val="right"/>
            </w:pPr>
            <w:r w:rsidRPr="005C5E32">
              <w:t>–</w:t>
            </w:r>
          </w:p>
        </w:tc>
        <w:tc>
          <w:tcPr>
            <w:tcW w:w="1077" w:type="dxa"/>
            <w:tcBorders>
              <w:top w:val="single" w:sz="2" w:space="0" w:color="58595B"/>
              <w:bottom w:val="single" w:sz="4" w:space="0" w:color="000000" w:themeColor="text1"/>
            </w:tcBorders>
            <w:shd w:val="clear" w:color="auto" w:fill="E7F2F2"/>
            <w:vAlign w:val="bottom"/>
          </w:tcPr>
          <w:p w14:paraId="3586C61D" w14:textId="77777777" w:rsidR="000F6DCA" w:rsidRPr="005C5E32" w:rsidRDefault="000F6DCA">
            <w:pPr>
              <w:pStyle w:val="TableText"/>
              <w:spacing w:before="40" w:after="40"/>
              <w:jc w:val="right"/>
            </w:pPr>
            <w:r w:rsidRPr="005C5E32">
              <w:t>–</w:t>
            </w:r>
          </w:p>
        </w:tc>
        <w:tc>
          <w:tcPr>
            <w:tcW w:w="1134" w:type="dxa"/>
            <w:tcBorders>
              <w:top w:val="single" w:sz="2" w:space="0" w:color="58595B"/>
              <w:bottom w:val="single" w:sz="4" w:space="0" w:color="000000" w:themeColor="text1"/>
            </w:tcBorders>
            <w:vAlign w:val="bottom"/>
          </w:tcPr>
          <w:p w14:paraId="3C0B53F9" w14:textId="77777777" w:rsidR="000F6DCA" w:rsidRPr="005C5E32" w:rsidRDefault="000F6DCA">
            <w:pPr>
              <w:pStyle w:val="TableText"/>
              <w:spacing w:before="40" w:after="40"/>
              <w:jc w:val="right"/>
            </w:pPr>
          </w:p>
        </w:tc>
      </w:tr>
      <w:tr w:rsidR="000F6DCA" w:rsidRPr="005C5E32" w14:paraId="20320D17" w14:textId="77777777" w:rsidTr="00004DF1">
        <w:tc>
          <w:tcPr>
            <w:tcW w:w="2495" w:type="dxa"/>
            <w:tcBorders>
              <w:top w:val="single" w:sz="2" w:space="0" w:color="58595B"/>
              <w:bottom w:val="single" w:sz="4" w:space="0" w:color="000000" w:themeColor="text1"/>
            </w:tcBorders>
          </w:tcPr>
          <w:p w14:paraId="5D3FBC34" w14:textId="77777777" w:rsidR="000F6DCA" w:rsidRPr="005C5E32" w:rsidRDefault="000F6DCA">
            <w:pPr>
              <w:pStyle w:val="TableText"/>
              <w:spacing w:before="40" w:after="40"/>
              <w:rPr>
                <w:b/>
                <w:bCs/>
              </w:rPr>
            </w:pPr>
            <w:r w:rsidRPr="005C5E32">
              <w:rPr>
                <w:b/>
                <w:bCs/>
              </w:rPr>
              <w:t>Total non-departmental output expenses</w:t>
            </w:r>
          </w:p>
        </w:tc>
        <w:tc>
          <w:tcPr>
            <w:tcW w:w="1134" w:type="dxa"/>
            <w:tcBorders>
              <w:top w:val="single" w:sz="2" w:space="0" w:color="58595B"/>
              <w:bottom w:val="single" w:sz="4" w:space="0" w:color="000000" w:themeColor="text1"/>
            </w:tcBorders>
            <w:shd w:val="clear" w:color="auto" w:fill="E7F2F2"/>
            <w:vAlign w:val="bottom"/>
          </w:tcPr>
          <w:p w14:paraId="7123EE67" w14:textId="77777777" w:rsidR="000F6DCA" w:rsidRPr="005C5E32" w:rsidRDefault="000F6DCA">
            <w:pPr>
              <w:pStyle w:val="TableText"/>
              <w:spacing w:before="40" w:after="40"/>
              <w:jc w:val="right"/>
              <w:rPr>
                <w:b/>
                <w:bCs/>
              </w:rPr>
            </w:pPr>
            <w:r w:rsidRPr="005C5E32">
              <w:rPr>
                <w:b/>
                <w:bCs/>
              </w:rPr>
              <w:t>63,921</w:t>
            </w:r>
          </w:p>
        </w:tc>
        <w:tc>
          <w:tcPr>
            <w:tcW w:w="1077" w:type="dxa"/>
            <w:tcBorders>
              <w:top w:val="single" w:sz="2" w:space="0" w:color="58595B"/>
              <w:bottom w:val="single" w:sz="4" w:space="0" w:color="000000" w:themeColor="text1"/>
            </w:tcBorders>
            <w:vAlign w:val="bottom"/>
          </w:tcPr>
          <w:p w14:paraId="0A7DEB9E" w14:textId="77777777" w:rsidR="000F6DCA" w:rsidRPr="005C5E32" w:rsidRDefault="000F6DCA">
            <w:pPr>
              <w:pStyle w:val="TableText"/>
              <w:spacing w:before="40" w:after="40"/>
              <w:jc w:val="right"/>
              <w:rPr>
                <w:b/>
                <w:bCs/>
              </w:rPr>
            </w:pPr>
            <w:r w:rsidRPr="005C5E32">
              <w:rPr>
                <w:b/>
                <w:bCs/>
              </w:rPr>
              <w:t>56,297</w:t>
            </w:r>
          </w:p>
        </w:tc>
        <w:tc>
          <w:tcPr>
            <w:tcW w:w="1021" w:type="dxa"/>
            <w:tcBorders>
              <w:top w:val="single" w:sz="2" w:space="0" w:color="58595B"/>
              <w:bottom w:val="single" w:sz="4" w:space="0" w:color="000000" w:themeColor="text1"/>
            </w:tcBorders>
            <w:vAlign w:val="bottom"/>
          </w:tcPr>
          <w:p w14:paraId="1BC4CC2A" w14:textId="77777777" w:rsidR="000F6DCA" w:rsidRPr="005C5E32" w:rsidRDefault="000F6DCA">
            <w:pPr>
              <w:pStyle w:val="TableText"/>
              <w:spacing w:before="40" w:after="40"/>
              <w:jc w:val="right"/>
              <w:rPr>
                <w:b/>
                <w:bCs/>
              </w:rPr>
            </w:pPr>
            <w:r w:rsidRPr="005C5E32">
              <w:rPr>
                <w:b/>
                <w:bCs/>
              </w:rPr>
              <w:t>56,297</w:t>
            </w:r>
          </w:p>
        </w:tc>
        <w:tc>
          <w:tcPr>
            <w:tcW w:w="1077" w:type="dxa"/>
            <w:tcBorders>
              <w:top w:val="single" w:sz="2" w:space="0" w:color="58595B"/>
              <w:bottom w:val="single" w:sz="4" w:space="0" w:color="000000" w:themeColor="text1"/>
            </w:tcBorders>
            <w:shd w:val="clear" w:color="auto" w:fill="E7F2F2"/>
            <w:vAlign w:val="bottom"/>
          </w:tcPr>
          <w:p w14:paraId="67D930D6" w14:textId="77777777" w:rsidR="000F6DCA" w:rsidRPr="005C5E32" w:rsidRDefault="000F6DCA">
            <w:pPr>
              <w:pStyle w:val="TableText"/>
              <w:spacing w:before="40" w:after="40"/>
              <w:jc w:val="right"/>
              <w:rPr>
                <w:b/>
                <w:bCs/>
              </w:rPr>
            </w:pPr>
            <w:r w:rsidRPr="005C5E32">
              <w:rPr>
                <w:b/>
                <w:bCs/>
              </w:rPr>
              <w:t>56,252</w:t>
            </w:r>
          </w:p>
        </w:tc>
        <w:tc>
          <w:tcPr>
            <w:tcW w:w="1134" w:type="dxa"/>
            <w:tcBorders>
              <w:top w:val="single" w:sz="2" w:space="0" w:color="58595B"/>
              <w:bottom w:val="single" w:sz="4" w:space="0" w:color="000000" w:themeColor="text1"/>
            </w:tcBorders>
            <w:vAlign w:val="bottom"/>
          </w:tcPr>
          <w:p w14:paraId="596F5C3A" w14:textId="77777777" w:rsidR="000F6DCA" w:rsidRPr="005C5E32" w:rsidRDefault="000F6DCA">
            <w:pPr>
              <w:pStyle w:val="TableText"/>
              <w:spacing w:before="40" w:after="40"/>
              <w:jc w:val="right"/>
              <w:rPr>
                <w:b/>
                <w:bCs/>
              </w:rPr>
            </w:pPr>
          </w:p>
        </w:tc>
      </w:tr>
      <w:tr w:rsidR="000F6DCA" w:rsidRPr="005C5E32" w14:paraId="0F36591F" w14:textId="77777777" w:rsidTr="00004DF1">
        <w:tc>
          <w:tcPr>
            <w:tcW w:w="2495" w:type="dxa"/>
            <w:tcBorders>
              <w:bottom w:val="single" w:sz="2" w:space="0" w:color="58595B"/>
            </w:tcBorders>
          </w:tcPr>
          <w:p w14:paraId="3B2CF409" w14:textId="77777777" w:rsidR="000F6DCA" w:rsidRPr="005C5E32" w:rsidRDefault="000F6DCA">
            <w:pPr>
              <w:pStyle w:val="TableboldGreen"/>
              <w:spacing w:before="40" w:after="0"/>
            </w:pPr>
            <w:r w:rsidRPr="005C5E32">
              <w:t>Non-departmental other expenses</w:t>
            </w:r>
          </w:p>
        </w:tc>
        <w:tc>
          <w:tcPr>
            <w:tcW w:w="1134" w:type="dxa"/>
            <w:tcBorders>
              <w:bottom w:val="single" w:sz="2" w:space="0" w:color="58595B"/>
            </w:tcBorders>
            <w:shd w:val="clear" w:color="auto" w:fill="E7F2F2"/>
            <w:vAlign w:val="bottom"/>
          </w:tcPr>
          <w:p w14:paraId="469ADE74" w14:textId="77777777" w:rsidR="000F6DCA" w:rsidRPr="005C5E32" w:rsidRDefault="000F6DCA">
            <w:pPr>
              <w:pStyle w:val="TableText"/>
              <w:spacing w:before="40" w:after="0"/>
              <w:jc w:val="right"/>
            </w:pPr>
          </w:p>
        </w:tc>
        <w:tc>
          <w:tcPr>
            <w:tcW w:w="1077" w:type="dxa"/>
            <w:tcBorders>
              <w:bottom w:val="single" w:sz="2" w:space="0" w:color="58595B"/>
            </w:tcBorders>
            <w:vAlign w:val="bottom"/>
          </w:tcPr>
          <w:p w14:paraId="3E54D22C" w14:textId="77777777" w:rsidR="000F6DCA" w:rsidRPr="005C5E32" w:rsidRDefault="000F6DCA">
            <w:pPr>
              <w:pStyle w:val="TableText"/>
              <w:spacing w:before="40" w:after="0"/>
              <w:jc w:val="right"/>
            </w:pPr>
          </w:p>
        </w:tc>
        <w:tc>
          <w:tcPr>
            <w:tcW w:w="1021" w:type="dxa"/>
            <w:tcBorders>
              <w:bottom w:val="single" w:sz="2" w:space="0" w:color="58595B"/>
            </w:tcBorders>
            <w:vAlign w:val="bottom"/>
          </w:tcPr>
          <w:p w14:paraId="570FA724" w14:textId="77777777" w:rsidR="000F6DCA" w:rsidRPr="005C5E32" w:rsidRDefault="000F6DCA">
            <w:pPr>
              <w:pStyle w:val="TableText"/>
              <w:spacing w:before="40" w:after="0"/>
              <w:jc w:val="right"/>
            </w:pPr>
          </w:p>
        </w:tc>
        <w:tc>
          <w:tcPr>
            <w:tcW w:w="1077" w:type="dxa"/>
            <w:tcBorders>
              <w:bottom w:val="single" w:sz="2" w:space="0" w:color="58595B"/>
            </w:tcBorders>
            <w:shd w:val="clear" w:color="auto" w:fill="E7F2F2"/>
            <w:vAlign w:val="bottom"/>
          </w:tcPr>
          <w:p w14:paraId="0E8C0305" w14:textId="77777777" w:rsidR="000F6DCA" w:rsidRPr="005C5E32" w:rsidRDefault="000F6DCA">
            <w:pPr>
              <w:pStyle w:val="TableText"/>
              <w:spacing w:before="40" w:after="0"/>
              <w:jc w:val="right"/>
            </w:pPr>
          </w:p>
        </w:tc>
        <w:tc>
          <w:tcPr>
            <w:tcW w:w="1134" w:type="dxa"/>
            <w:tcBorders>
              <w:bottom w:val="single" w:sz="2" w:space="0" w:color="58595B"/>
            </w:tcBorders>
            <w:vAlign w:val="bottom"/>
          </w:tcPr>
          <w:p w14:paraId="78DB46C1" w14:textId="77777777" w:rsidR="000F6DCA" w:rsidRPr="005C5E32" w:rsidRDefault="000F6DCA">
            <w:pPr>
              <w:pStyle w:val="TableText"/>
              <w:spacing w:before="40" w:after="0"/>
              <w:jc w:val="right"/>
            </w:pPr>
          </w:p>
        </w:tc>
      </w:tr>
      <w:tr w:rsidR="000F6DCA" w:rsidRPr="005C5E32" w14:paraId="5C7910E4" w14:textId="77777777" w:rsidTr="00004DF1">
        <w:tc>
          <w:tcPr>
            <w:tcW w:w="2495" w:type="dxa"/>
            <w:tcBorders>
              <w:bottom w:val="single" w:sz="2" w:space="0" w:color="58595B"/>
            </w:tcBorders>
          </w:tcPr>
          <w:p w14:paraId="3305A93E" w14:textId="77777777" w:rsidR="000F6DCA" w:rsidRPr="005C5E32" w:rsidRDefault="000F6DCA">
            <w:pPr>
              <w:pStyle w:val="TableText"/>
              <w:spacing w:before="40" w:after="40"/>
            </w:pPr>
            <w:r w:rsidRPr="005C5E32">
              <w:t>Allocation of New Zealand Units</w:t>
            </w:r>
          </w:p>
        </w:tc>
        <w:tc>
          <w:tcPr>
            <w:tcW w:w="1134" w:type="dxa"/>
            <w:tcBorders>
              <w:bottom w:val="single" w:sz="2" w:space="0" w:color="58595B"/>
            </w:tcBorders>
            <w:shd w:val="clear" w:color="auto" w:fill="E7F2F2"/>
            <w:vAlign w:val="bottom"/>
          </w:tcPr>
          <w:p w14:paraId="7B3A8517" w14:textId="77777777" w:rsidR="000F6DCA" w:rsidRPr="005C5E32" w:rsidRDefault="000F6DCA">
            <w:pPr>
              <w:pStyle w:val="TableText"/>
              <w:spacing w:before="40" w:after="40"/>
              <w:jc w:val="right"/>
            </w:pPr>
            <w:r w:rsidRPr="005C5E32">
              <w:rPr>
                <w:rFonts w:asciiTheme="minorHAnsi" w:eastAsia="Lato" w:hAnsiTheme="minorHAnsi" w:cstheme="minorHAnsi"/>
                <w:color w:val="414042"/>
              </w:rPr>
              <w:t>1,093,489</w:t>
            </w:r>
          </w:p>
        </w:tc>
        <w:tc>
          <w:tcPr>
            <w:tcW w:w="1077" w:type="dxa"/>
            <w:tcBorders>
              <w:bottom w:val="single" w:sz="2" w:space="0" w:color="58595B"/>
            </w:tcBorders>
            <w:vAlign w:val="bottom"/>
          </w:tcPr>
          <w:p w14:paraId="0F10ADD5" w14:textId="77777777" w:rsidR="000F6DCA" w:rsidRPr="005C5E32" w:rsidRDefault="000F6DCA">
            <w:pPr>
              <w:pStyle w:val="TableText"/>
              <w:spacing w:before="40" w:after="40"/>
              <w:jc w:val="right"/>
            </w:pPr>
            <w:r w:rsidRPr="005C5E32">
              <w:t>2,045,700</w:t>
            </w:r>
          </w:p>
        </w:tc>
        <w:tc>
          <w:tcPr>
            <w:tcW w:w="1021" w:type="dxa"/>
            <w:tcBorders>
              <w:bottom w:val="single" w:sz="2" w:space="0" w:color="58595B"/>
            </w:tcBorders>
            <w:vAlign w:val="bottom"/>
          </w:tcPr>
          <w:p w14:paraId="0DE97C34" w14:textId="77777777" w:rsidR="000F6DCA" w:rsidRPr="005C5E32" w:rsidRDefault="000F6DCA">
            <w:pPr>
              <w:pStyle w:val="TableText"/>
              <w:spacing w:before="40" w:after="40"/>
              <w:jc w:val="right"/>
            </w:pPr>
            <w:r w:rsidRPr="005C5E32">
              <w:t>1,536,500</w:t>
            </w:r>
          </w:p>
        </w:tc>
        <w:tc>
          <w:tcPr>
            <w:tcW w:w="1077" w:type="dxa"/>
            <w:tcBorders>
              <w:bottom w:val="single" w:sz="2" w:space="0" w:color="58595B"/>
            </w:tcBorders>
            <w:shd w:val="clear" w:color="auto" w:fill="E7F2F2"/>
            <w:vAlign w:val="bottom"/>
          </w:tcPr>
          <w:p w14:paraId="514E96BB" w14:textId="77777777" w:rsidR="000F6DCA" w:rsidRPr="005C5E32" w:rsidRDefault="000F6DCA">
            <w:pPr>
              <w:pStyle w:val="TableText"/>
              <w:spacing w:before="40" w:after="40"/>
              <w:jc w:val="right"/>
            </w:pPr>
            <w:r w:rsidRPr="005C5E32">
              <w:t>1,325,212</w:t>
            </w:r>
          </w:p>
        </w:tc>
        <w:tc>
          <w:tcPr>
            <w:tcW w:w="1134" w:type="dxa"/>
            <w:tcBorders>
              <w:bottom w:val="single" w:sz="2" w:space="0" w:color="58595B"/>
            </w:tcBorders>
            <w:vAlign w:val="bottom"/>
          </w:tcPr>
          <w:p w14:paraId="4E2AD6A3" w14:textId="77777777" w:rsidR="000F6DCA" w:rsidRPr="005C5E32" w:rsidRDefault="000F6DCA">
            <w:pPr>
              <w:pStyle w:val="TableText"/>
              <w:spacing w:before="40" w:after="40"/>
              <w:jc w:val="right"/>
            </w:pPr>
            <w:r w:rsidRPr="005C5E32">
              <w:t>b</w:t>
            </w:r>
          </w:p>
        </w:tc>
      </w:tr>
      <w:tr w:rsidR="000F6DCA" w:rsidRPr="005C5E32" w14:paraId="2F9E964A" w14:textId="77777777" w:rsidTr="00004DF1">
        <w:tc>
          <w:tcPr>
            <w:tcW w:w="2495" w:type="dxa"/>
            <w:tcBorders>
              <w:top w:val="single" w:sz="2" w:space="0" w:color="58595B"/>
              <w:bottom w:val="single" w:sz="2" w:space="0" w:color="58595B"/>
            </w:tcBorders>
          </w:tcPr>
          <w:p w14:paraId="2B89E753" w14:textId="77777777" w:rsidR="000F6DCA" w:rsidRPr="005C5E32" w:rsidRDefault="000F6DCA">
            <w:pPr>
              <w:pStyle w:val="TableText"/>
              <w:spacing w:before="40" w:after="40"/>
            </w:pPr>
            <w:r w:rsidRPr="005C5E32">
              <w:t>Exclusive Economic Zone Major Prosecutions Fund</w:t>
            </w:r>
          </w:p>
        </w:tc>
        <w:tc>
          <w:tcPr>
            <w:tcW w:w="1134" w:type="dxa"/>
            <w:tcBorders>
              <w:top w:val="single" w:sz="2" w:space="0" w:color="58595B"/>
              <w:bottom w:val="single" w:sz="2" w:space="0" w:color="58595B"/>
            </w:tcBorders>
            <w:shd w:val="clear" w:color="auto" w:fill="E7F2F2"/>
            <w:vAlign w:val="bottom"/>
          </w:tcPr>
          <w:p w14:paraId="647C3597" w14:textId="77777777" w:rsidR="000F6DCA" w:rsidRPr="005C5E32" w:rsidRDefault="000F6DCA">
            <w:pPr>
              <w:pStyle w:val="TableText"/>
              <w:spacing w:before="40" w:after="40"/>
              <w:jc w:val="right"/>
            </w:pPr>
            <w:r w:rsidRPr="005C5E32">
              <w:t>–</w:t>
            </w:r>
          </w:p>
        </w:tc>
        <w:tc>
          <w:tcPr>
            <w:tcW w:w="1077" w:type="dxa"/>
            <w:tcBorders>
              <w:top w:val="single" w:sz="2" w:space="0" w:color="58595B"/>
              <w:bottom w:val="single" w:sz="2" w:space="0" w:color="58595B"/>
            </w:tcBorders>
            <w:vAlign w:val="bottom"/>
          </w:tcPr>
          <w:p w14:paraId="0C20C4EA" w14:textId="77777777" w:rsidR="000F6DCA" w:rsidRPr="005C5E32" w:rsidRDefault="000F6DCA">
            <w:pPr>
              <w:pStyle w:val="TableText"/>
              <w:spacing w:before="40" w:after="40"/>
              <w:jc w:val="right"/>
            </w:pPr>
            <w:r w:rsidRPr="005C5E32">
              <w:t>–</w:t>
            </w:r>
          </w:p>
        </w:tc>
        <w:tc>
          <w:tcPr>
            <w:tcW w:w="1021" w:type="dxa"/>
            <w:tcBorders>
              <w:top w:val="single" w:sz="2" w:space="0" w:color="58595B"/>
              <w:bottom w:val="single" w:sz="2" w:space="0" w:color="58595B"/>
            </w:tcBorders>
            <w:vAlign w:val="bottom"/>
          </w:tcPr>
          <w:p w14:paraId="602EFD6D" w14:textId="77777777" w:rsidR="000F6DCA" w:rsidRPr="005C5E32" w:rsidRDefault="000F6DCA">
            <w:pPr>
              <w:pStyle w:val="TableText"/>
              <w:spacing w:before="40" w:after="40"/>
              <w:jc w:val="right"/>
            </w:pPr>
            <w:r w:rsidRPr="005C5E32">
              <w:t>500</w:t>
            </w:r>
          </w:p>
        </w:tc>
        <w:tc>
          <w:tcPr>
            <w:tcW w:w="1077" w:type="dxa"/>
            <w:tcBorders>
              <w:top w:val="single" w:sz="2" w:space="0" w:color="58595B"/>
              <w:bottom w:val="single" w:sz="2" w:space="0" w:color="58595B"/>
            </w:tcBorders>
            <w:shd w:val="clear" w:color="auto" w:fill="E7F2F2"/>
            <w:vAlign w:val="bottom"/>
          </w:tcPr>
          <w:p w14:paraId="05BD3630" w14:textId="77777777" w:rsidR="000F6DCA" w:rsidRPr="005C5E32" w:rsidRDefault="000F6DCA">
            <w:pPr>
              <w:pStyle w:val="TableText"/>
              <w:spacing w:before="40" w:after="40"/>
              <w:jc w:val="right"/>
            </w:pPr>
            <w:r w:rsidRPr="005C5E32">
              <w:t>–</w:t>
            </w:r>
          </w:p>
        </w:tc>
        <w:tc>
          <w:tcPr>
            <w:tcW w:w="1134" w:type="dxa"/>
            <w:tcBorders>
              <w:top w:val="single" w:sz="2" w:space="0" w:color="58595B"/>
              <w:bottom w:val="single" w:sz="2" w:space="0" w:color="58595B"/>
            </w:tcBorders>
            <w:vAlign w:val="bottom"/>
          </w:tcPr>
          <w:p w14:paraId="6119A367" w14:textId="77777777" w:rsidR="000F6DCA" w:rsidRPr="005C5E32" w:rsidRDefault="000F6DCA">
            <w:pPr>
              <w:pStyle w:val="TableText"/>
              <w:spacing w:before="40" w:after="40"/>
              <w:jc w:val="right"/>
            </w:pPr>
            <w:r w:rsidRPr="005C5E32">
              <w:t>d</w:t>
            </w:r>
          </w:p>
        </w:tc>
      </w:tr>
      <w:tr w:rsidR="000F6DCA" w:rsidRPr="005C5E32" w14:paraId="74F94966" w14:textId="77777777" w:rsidTr="00004DF1">
        <w:tc>
          <w:tcPr>
            <w:tcW w:w="2495" w:type="dxa"/>
            <w:tcBorders>
              <w:top w:val="single" w:sz="2" w:space="0" w:color="58595B"/>
              <w:bottom w:val="single" w:sz="2" w:space="0" w:color="58595B"/>
            </w:tcBorders>
          </w:tcPr>
          <w:p w14:paraId="71F84FA0" w14:textId="77777777" w:rsidR="000F6DCA" w:rsidRPr="005C5E32" w:rsidRDefault="000F6DCA">
            <w:pPr>
              <w:pStyle w:val="TableText"/>
              <w:spacing w:before="40" w:after="40"/>
            </w:pPr>
            <w:r w:rsidRPr="005C5E32">
              <w:t>Framework Convention on Climate Change</w:t>
            </w:r>
          </w:p>
        </w:tc>
        <w:tc>
          <w:tcPr>
            <w:tcW w:w="1134" w:type="dxa"/>
            <w:tcBorders>
              <w:top w:val="single" w:sz="2" w:space="0" w:color="58595B"/>
              <w:bottom w:val="single" w:sz="2" w:space="0" w:color="58595B"/>
            </w:tcBorders>
            <w:shd w:val="clear" w:color="auto" w:fill="E7F2F2"/>
            <w:vAlign w:val="bottom"/>
          </w:tcPr>
          <w:p w14:paraId="5E13968C" w14:textId="77777777" w:rsidR="000F6DCA" w:rsidRPr="005C5E32" w:rsidRDefault="000F6DCA">
            <w:pPr>
              <w:pStyle w:val="TableText"/>
              <w:spacing w:before="40" w:after="40"/>
              <w:jc w:val="right"/>
            </w:pPr>
            <w:r w:rsidRPr="005C5E32">
              <w:t>202</w:t>
            </w:r>
          </w:p>
        </w:tc>
        <w:tc>
          <w:tcPr>
            <w:tcW w:w="1077" w:type="dxa"/>
            <w:tcBorders>
              <w:top w:val="single" w:sz="2" w:space="0" w:color="58595B"/>
              <w:bottom w:val="single" w:sz="2" w:space="0" w:color="58595B"/>
            </w:tcBorders>
            <w:vAlign w:val="bottom"/>
          </w:tcPr>
          <w:p w14:paraId="30836894" w14:textId="77777777" w:rsidR="000F6DCA" w:rsidRPr="005C5E32" w:rsidRDefault="000F6DCA">
            <w:pPr>
              <w:pStyle w:val="TableText"/>
              <w:spacing w:before="40" w:after="40"/>
              <w:jc w:val="right"/>
            </w:pPr>
            <w:r w:rsidRPr="005C5E32">
              <w:t>250</w:t>
            </w:r>
          </w:p>
        </w:tc>
        <w:tc>
          <w:tcPr>
            <w:tcW w:w="1021" w:type="dxa"/>
            <w:tcBorders>
              <w:top w:val="single" w:sz="2" w:space="0" w:color="58595B"/>
              <w:bottom w:val="single" w:sz="2" w:space="0" w:color="58595B"/>
            </w:tcBorders>
            <w:vAlign w:val="bottom"/>
          </w:tcPr>
          <w:p w14:paraId="3C4FC8F0" w14:textId="77777777" w:rsidR="000F6DCA" w:rsidRPr="005C5E32" w:rsidRDefault="000F6DCA">
            <w:pPr>
              <w:pStyle w:val="TableText"/>
              <w:spacing w:before="40" w:after="40"/>
              <w:jc w:val="right"/>
            </w:pPr>
            <w:r w:rsidRPr="005C5E32">
              <w:t>250</w:t>
            </w:r>
          </w:p>
        </w:tc>
        <w:tc>
          <w:tcPr>
            <w:tcW w:w="1077" w:type="dxa"/>
            <w:tcBorders>
              <w:top w:val="single" w:sz="2" w:space="0" w:color="58595B"/>
              <w:bottom w:val="single" w:sz="2" w:space="0" w:color="58595B"/>
            </w:tcBorders>
            <w:shd w:val="clear" w:color="auto" w:fill="E7F2F2"/>
            <w:vAlign w:val="bottom"/>
          </w:tcPr>
          <w:p w14:paraId="5BDC6A7D" w14:textId="77777777" w:rsidR="000F6DCA" w:rsidRPr="005C5E32" w:rsidRDefault="000F6DCA">
            <w:pPr>
              <w:pStyle w:val="TableText"/>
              <w:spacing w:before="40" w:after="40"/>
              <w:jc w:val="right"/>
            </w:pPr>
            <w:r w:rsidRPr="005C5E32">
              <w:t>237</w:t>
            </w:r>
          </w:p>
        </w:tc>
        <w:tc>
          <w:tcPr>
            <w:tcW w:w="1134" w:type="dxa"/>
            <w:tcBorders>
              <w:top w:val="single" w:sz="2" w:space="0" w:color="58595B"/>
              <w:bottom w:val="single" w:sz="2" w:space="0" w:color="58595B"/>
            </w:tcBorders>
            <w:vAlign w:val="bottom"/>
          </w:tcPr>
          <w:p w14:paraId="19267F95" w14:textId="77777777" w:rsidR="000F6DCA" w:rsidRPr="005C5E32" w:rsidRDefault="000F6DCA">
            <w:pPr>
              <w:pStyle w:val="TableText"/>
              <w:spacing w:before="40" w:after="40"/>
              <w:jc w:val="right"/>
            </w:pPr>
            <w:r w:rsidRPr="005C5E32">
              <w:t>e</w:t>
            </w:r>
          </w:p>
        </w:tc>
      </w:tr>
      <w:tr w:rsidR="000F6DCA" w:rsidRPr="005C5E32" w14:paraId="6B1A572B" w14:textId="77777777" w:rsidTr="00004DF1">
        <w:tc>
          <w:tcPr>
            <w:tcW w:w="2495" w:type="dxa"/>
            <w:tcBorders>
              <w:top w:val="single" w:sz="2" w:space="0" w:color="58595B"/>
              <w:bottom w:val="single" w:sz="2" w:space="0" w:color="58595B"/>
            </w:tcBorders>
          </w:tcPr>
          <w:p w14:paraId="1A81B8D5" w14:textId="77777777" w:rsidR="000F6DCA" w:rsidRPr="005C5E32" w:rsidRDefault="000F6DCA">
            <w:pPr>
              <w:pStyle w:val="TableText"/>
              <w:spacing w:before="40" w:after="40"/>
            </w:pPr>
            <w:r w:rsidRPr="005C5E32">
              <w:t>Fresh Start for Fresh Water: Waikato River Clean-up Fund</w:t>
            </w:r>
          </w:p>
        </w:tc>
        <w:tc>
          <w:tcPr>
            <w:tcW w:w="1134" w:type="dxa"/>
            <w:tcBorders>
              <w:top w:val="single" w:sz="2" w:space="0" w:color="58595B"/>
              <w:bottom w:val="single" w:sz="2" w:space="0" w:color="58595B"/>
            </w:tcBorders>
            <w:shd w:val="clear" w:color="auto" w:fill="E7F2F2"/>
            <w:vAlign w:val="bottom"/>
          </w:tcPr>
          <w:p w14:paraId="7D9C70B5" w14:textId="77777777" w:rsidR="000F6DCA" w:rsidRPr="005C5E32" w:rsidRDefault="000F6DCA">
            <w:pPr>
              <w:pStyle w:val="TableText"/>
              <w:spacing w:before="40" w:after="40"/>
              <w:jc w:val="right"/>
            </w:pPr>
            <w:r w:rsidRPr="005C5E32">
              <w:t>4,130</w:t>
            </w:r>
          </w:p>
        </w:tc>
        <w:tc>
          <w:tcPr>
            <w:tcW w:w="1077" w:type="dxa"/>
            <w:tcBorders>
              <w:top w:val="single" w:sz="2" w:space="0" w:color="58595B"/>
              <w:bottom w:val="single" w:sz="2" w:space="0" w:color="58595B"/>
            </w:tcBorders>
            <w:vAlign w:val="bottom"/>
          </w:tcPr>
          <w:p w14:paraId="759CCBD5" w14:textId="77777777" w:rsidR="000F6DCA" w:rsidRPr="005C5E32" w:rsidRDefault="000F6DCA">
            <w:pPr>
              <w:pStyle w:val="TableText"/>
              <w:spacing w:before="40" w:after="40"/>
              <w:jc w:val="right"/>
            </w:pPr>
            <w:r w:rsidRPr="005C5E32">
              <w:t>3,910</w:t>
            </w:r>
          </w:p>
        </w:tc>
        <w:tc>
          <w:tcPr>
            <w:tcW w:w="1021" w:type="dxa"/>
            <w:tcBorders>
              <w:top w:val="single" w:sz="2" w:space="0" w:color="58595B"/>
              <w:bottom w:val="single" w:sz="2" w:space="0" w:color="58595B"/>
            </w:tcBorders>
            <w:vAlign w:val="bottom"/>
          </w:tcPr>
          <w:p w14:paraId="1B44A2CB" w14:textId="77777777" w:rsidR="000F6DCA" w:rsidRPr="005C5E32" w:rsidRDefault="000F6DCA">
            <w:pPr>
              <w:pStyle w:val="TableText"/>
              <w:spacing w:before="40" w:after="40"/>
              <w:jc w:val="right"/>
            </w:pPr>
            <w:r w:rsidRPr="005C5E32">
              <w:t>3,910</w:t>
            </w:r>
          </w:p>
        </w:tc>
        <w:tc>
          <w:tcPr>
            <w:tcW w:w="1077" w:type="dxa"/>
            <w:tcBorders>
              <w:top w:val="single" w:sz="2" w:space="0" w:color="58595B"/>
              <w:bottom w:val="single" w:sz="2" w:space="0" w:color="58595B"/>
            </w:tcBorders>
            <w:shd w:val="clear" w:color="auto" w:fill="E7F2F2"/>
            <w:vAlign w:val="bottom"/>
          </w:tcPr>
          <w:p w14:paraId="3325F554" w14:textId="77777777" w:rsidR="000F6DCA" w:rsidRPr="005C5E32" w:rsidRDefault="000F6DCA">
            <w:pPr>
              <w:pStyle w:val="TableText"/>
              <w:spacing w:before="40" w:after="40"/>
              <w:jc w:val="right"/>
            </w:pPr>
            <w:r w:rsidRPr="005C5E32">
              <w:t>3,910</w:t>
            </w:r>
          </w:p>
        </w:tc>
        <w:tc>
          <w:tcPr>
            <w:tcW w:w="1134" w:type="dxa"/>
            <w:tcBorders>
              <w:top w:val="single" w:sz="2" w:space="0" w:color="58595B"/>
              <w:bottom w:val="single" w:sz="2" w:space="0" w:color="58595B"/>
            </w:tcBorders>
            <w:vAlign w:val="bottom"/>
          </w:tcPr>
          <w:p w14:paraId="2FDDCD51" w14:textId="77777777" w:rsidR="000F6DCA" w:rsidRPr="005C5E32" w:rsidRDefault="000F6DCA">
            <w:pPr>
              <w:pStyle w:val="TableText"/>
              <w:spacing w:before="40" w:after="40"/>
              <w:jc w:val="right"/>
            </w:pPr>
            <w:r w:rsidRPr="005C5E32">
              <w:t>e</w:t>
            </w:r>
          </w:p>
        </w:tc>
      </w:tr>
      <w:tr w:rsidR="000F6DCA" w:rsidRPr="005C5E32" w14:paraId="4297A28F" w14:textId="77777777" w:rsidTr="00004DF1">
        <w:tc>
          <w:tcPr>
            <w:tcW w:w="2495" w:type="dxa"/>
            <w:tcBorders>
              <w:top w:val="single" w:sz="2" w:space="0" w:color="58595B"/>
              <w:bottom w:val="single" w:sz="2" w:space="0" w:color="58595B"/>
            </w:tcBorders>
          </w:tcPr>
          <w:p w14:paraId="6C8EF60B" w14:textId="77777777" w:rsidR="000F6DCA" w:rsidRPr="005C5E32" w:rsidRDefault="000F6DCA">
            <w:pPr>
              <w:pStyle w:val="TableText"/>
              <w:spacing w:before="40" w:after="40"/>
            </w:pPr>
            <w:r w:rsidRPr="005C5E32">
              <w:t>Impairment of Debt relating to Climate Change Activities</w:t>
            </w:r>
          </w:p>
        </w:tc>
        <w:tc>
          <w:tcPr>
            <w:tcW w:w="1134" w:type="dxa"/>
            <w:tcBorders>
              <w:top w:val="single" w:sz="2" w:space="0" w:color="58595B"/>
              <w:bottom w:val="single" w:sz="2" w:space="0" w:color="58595B"/>
            </w:tcBorders>
            <w:shd w:val="clear" w:color="auto" w:fill="E7F2F2"/>
            <w:vAlign w:val="bottom"/>
          </w:tcPr>
          <w:p w14:paraId="4381F3B7" w14:textId="77777777" w:rsidR="000F6DCA" w:rsidRPr="005C5E32" w:rsidRDefault="000F6DCA">
            <w:pPr>
              <w:pStyle w:val="TableText"/>
              <w:spacing w:before="40" w:after="40"/>
              <w:jc w:val="right"/>
            </w:pPr>
            <w:r w:rsidRPr="005C5E32">
              <w:t>–</w:t>
            </w:r>
          </w:p>
        </w:tc>
        <w:tc>
          <w:tcPr>
            <w:tcW w:w="1077" w:type="dxa"/>
            <w:tcBorders>
              <w:top w:val="single" w:sz="2" w:space="0" w:color="58595B"/>
              <w:bottom w:val="single" w:sz="2" w:space="0" w:color="58595B"/>
            </w:tcBorders>
            <w:vAlign w:val="bottom"/>
          </w:tcPr>
          <w:p w14:paraId="6B6F86B9" w14:textId="77777777" w:rsidR="000F6DCA" w:rsidRPr="005C5E32" w:rsidRDefault="000F6DCA">
            <w:pPr>
              <w:pStyle w:val="TableText"/>
              <w:spacing w:before="40" w:after="40"/>
              <w:jc w:val="right"/>
            </w:pPr>
            <w:r w:rsidRPr="005C5E32">
              <w:t>147,000</w:t>
            </w:r>
          </w:p>
        </w:tc>
        <w:tc>
          <w:tcPr>
            <w:tcW w:w="1021" w:type="dxa"/>
            <w:tcBorders>
              <w:top w:val="single" w:sz="2" w:space="0" w:color="58595B"/>
              <w:bottom w:val="single" w:sz="2" w:space="0" w:color="58595B"/>
            </w:tcBorders>
            <w:vAlign w:val="bottom"/>
          </w:tcPr>
          <w:p w14:paraId="30905FD8" w14:textId="77777777" w:rsidR="000F6DCA" w:rsidRPr="005C5E32" w:rsidRDefault="000F6DCA">
            <w:pPr>
              <w:pStyle w:val="TableText"/>
              <w:spacing w:before="40" w:after="40"/>
              <w:jc w:val="right"/>
            </w:pPr>
            <w:r w:rsidRPr="005C5E32">
              <w:t>147,000</w:t>
            </w:r>
          </w:p>
        </w:tc>
        <w:tc>
          <w:tcPr>
            <w:tcW w:w="1077" w:type="dxa"/>
            <w:tcBorders>
              <w:top w:val="single" w:sz="2" w:space="0" w:color="58595B"/>
              <w:bottom w:val="single" w:sz="2" w:space="0" w:color="58595B"/>
            </w:tcBorders>
            <w:shd w:val="clear" w:color="auto" w:fill="E7F2F2"/>
            <w:vAlign w:val="bottom"/>
          </w:tcPr>
          <w:p w14:paraId="2DB9A608" w14:textId="77777777" w:rsidR="000F6DCA" w:rsidRPr="005C5E32" w:rsidRDefault="000F6DCA">
            <w:pPr>
              <w:pStyle w:val="TableText"/>
              <w:spacing w:before="40" w:after="40"/>
              <w:jc w:val="right"/>
            </w:pPr>
            <w:r w:rsidRPr="005C5E32">
              <w:t>–</w:t>
            </w:r>
          </w:p>
        </w:tc>
        <w:tc>
          <w:tcPr>
            <w:tcW w:w="1134" w:type="dxa"/>
            <w:tcBorders>
              <w:top w:val="single" w:sz="2" w:space="0" w:color="58595B"/>
              <w:bottom w:val="single" w:sz="2" w:space="0" w:color="000000" w:themeColor="text1"/>
            </w:tcBorders>
            <w:vAlign w:val="bottom"/>
          </w:tcPr>
          <w:p w14:paraId="50C577F4" w14:textId="77777777" w:rsidR="000F6DCA" w:rsidRPr="005C5E32" w:rsidRDefault="000F6DCA">
            <w:pPr>
              <w:pStyle w:val="TableText"/>
              <w:spacing w:before="40" w:after="40"/>
              <w:jc w:val="right"/>
            </w:pPr>
            <w:r w:rsidRPr="005C5E32">
              <w:t>e</w:t>
            </w:r>
          </w:p>
        </w:tc>
      </w:tr>
      <w:tr w:rsidR="000F6DCA" w:rsidRPr="005C5E32" w14:paraId="67EC068E" w14:textId="77777777" w:rsidTr="00004DF1">
        <w:tc>
          <w:tcPr>
            <w:tcW w:w="2495" w:type="dxa"/>
            <w:tcBorders>
              <w:top w:val="single" w:sz="2" w:space="0" w:color="58595B"/>
              <w:bottom w:val="single" w:sz="2" w:space="0" w:color="58595B"/>
            </w:tcBorders>
          </w:tcPr>
          <w:p w14:paraId="4E441666" w14:textId="77777777" w:rsidR="000F6DCA" w:rsidRPr="005C5E32" w:rsidRDefault="000F6DCA">
            <w:pPr>
              <w:pStyle w:val="TableText"/>
              <w:spacing w:before="40" w:after="40"/>
            </w:pPr>
            <w:r w:rsidRPr="005C5E32">
              <w:t>Impairment of Debt relating to Environment Activities</w:t>
            </w:r>
          </w:p>
        </w:tc>
        <w:tc>
          <w:tcPr>
            <w:tcW w:w="1134" w:type="dxa"/>
            <w:tcBorders>
              <w:top w:val="single" w:sz="2" w:space="0" w:color="58595B"/>
              <w:bottom w:val="single" w:sz="2" w:space="0" w:color="58595B"/>
            </w:tcBorders>
            <w:shd w:val="clear" w:color="auto" w:fill="E7F2F2"/>
            <w:vAlign w:val="bottom"/>
          </w:tcPr>
          <w:p w14:paraId="251C27B7" w14:textId="77777777" w:rsidR="000F6DCA" w:rsidRPr="005C5E32" w:rsidRDefault="000F6DCA">
            <w:pPr>
              <w:pStyle w:val="TableText"/>
              <w:spacing w:before="40" w:after="40"/>
              <w:jc w:val="right"/>
            </w:pPr>
            <w:r w:rsidRPr="005C5E32">
              <w:t>18</w:t>
            </w:r>
          </w:p>
        </w:tc>
        <w:tc>
          <w:tcPr>
            <w:tcW w:w="1077" w:type="dxa"/>
            <w:tcBorders>
              <w:top w:val="single" w:sz="2" w:space="0" w:color="58595B"/>
              <w:bottom w:val="single" w:sz="2" w:space="0" w:color="58595B"/>
            </w:tcBorders>
            <w:vAlign w:val="bottom"/>
          </w:tcPr>
          <w:p w14:paraId="442C5718" w14:textId="77777777" w:rsidR="000F6DCA" w:rsidRPr="005C5E32" w:rsidRDefault="000F6DCA">
            <w:pPr>
              <w:pStyle w:val="TableText"/>
              <w:spacing w:before="40" w:after="40"/>
              <w:jc w:val="right"/>
            </w:pPr>
            <w:r w:rsidRPr="005C5E32">
              <w:t>5,000</w:t>
            </w:r>
          </w:p>
        </w:tc>
        <w:tc>
          <w:tcPr>
            <w:tcW w:w="1021" w:type="dxa"/>
            <w:tcBorders>
              <w:top w:val="single" w:sz="2" w:space="0" w:color="58595B"/>
              <w:bottom w:val="single" w:sz="2" w:space="0" w:color="58595B"/>
            </w:tcBorders>
            <w:vAlign w:val="bottom"/>
          </w:tcPr>
          <w:p w14:paraId="741615B9" w14:textId="77777777" w:rsidR="000F6DCA" w:rsidRPr="005C5E32" w:rsidRDefault="000F6DCA">
            <w:pPr>
              <w:pStyle w:val="TableText"/>
              <w:spacing w:before="40" w:after="40"/>
              <w:jc w:val="right"/>
            </w:pPr>
            <w:r w:rsidRPr="005C5E32">
              <w:t>5,000</w:t>
            </w:r>
          </w:p>
        </w:tc>
        <w:tc>
          <w:tcPr>
            <w:tcW w:w="1077" w:type="dxa"/>
            <w:tcBorders>
              <w:top w:val="single" w:sz="2" w:space="0" w:color="58595B"/>
              <w:bottom w:val="single" w:sz="2" w:space="0" w:color="58595B"/>
            </w:tcBorders>
            <w:shd w:val="clear" w:color="auto" w:fill="E7F2F2"/>
            <w:vAlign w:val="bottom"/>
          </w:tcPr>
          <w:p w14:paraId="0E4C4A87" w14:textId="77777777" w:rsidR="000F6DCA" w:rsidRPr="005C5E32" w:rsidRDefault="000F6DCA">
            <w:pPr>
              <w:pStyle w:val="TableText"/>
              <w:spacing w:before="40" w:after="40"/>
              <w:jc w:val="right"/>
            </w:pPr>
            <w:r w:rsidRPr="005C5E32">
              <w:t>1</w:t>
            </w:r>
          </w:p>
        </w:tc>
        <w:tc>
          <w:tcPr>
            <w:tcW w:w="1134" w:type="dxa"/>
            <w:tcBorders>
              <w:top w:val="single" w:sz="2" w:space="0" w:color="000000" w:themeColor="text1"/>
              <w:bottom w:val="single" w:sz="2" w:space="0" w:color="58595B"/>
            </w:tcBorders>
            <w:vAlign w:val="bottom"/>
          </w:tcPr>
          <w:p w14:paraId="1D913D5E" w14:textId="77777777" w:rsidR="000F6DCA" w:rsidRPr="005C5E32" w:rsidRDefault="000F6DCA">
            <w:pPr>
              <w:pStyle w:val="TableText"/>
              <w:spacing w:before="40" w:after="40"/>
              <w:jc w:val="right"/>
            </w:pPr>
            <w:r w:rsidRPr="005C5E32">
              <w:t>e</w:t>
            </w:r>
          </w:p>
        </w:tc>
      </w:tr>
      <w:tr w:rsidR="000F6DCA" w:rsidRPr="005C5E32" w14:paraId="684C216B" w14:textId="77777777" w:rsidTr="00004DF1">
        <w:tc>
          <w:tcPr>
            <w:tcW w:w="2495" w:type="dxa"/>
            <w:tcBorders>
              <w:top w:val="single" w:sz="2" w:space="0" w:color="58595B"/>
              <w:bottom w:val="single" w:sz="2" w:space="0" w:color="58595B"/>
            </w:tcBorders>
          </w:tcPr>
          <w:p w14:paraId="64C45365" w14:textId="77777777" w:rsidR="000F6DCA" w:rsidRPr="005C5E32" w:rsidRDefault="000F6DCA">
            <w:pPr>
              <w:pStyle w:val="TableText"/>
              <w:spacing w:before="40" w:after="40"/>
            </w:pPr>
            <w:r w:rsidRPr="005C5E32">
              <w:t>International subscriptions</w:t>
            </w:r>
          </w:p>
        </w:tc>
        <w:tc>
          <w:tcPr>
            <w:tcW w:w="1134" w:type="dxa"/>
            <w:tcBorders>
              <w:top w:val="single" w:sz="2" w:space="0" w:color="58595B"/>
              <w:bottom w:val="single" w:sz="2" w:space="0" w:color="58595B"/>
            </w:tcBorders>
            <w:shd w:val="clear" w:color="auto" w:fill="E7F2F2"/>
            <w:vAlign w:val="bottom"/>
          </w:tcPr>
          <w:p w14:paraId="5AC0336A" w14:textId="77777777" w:rsidR="000F6DCA" w:rsidRPr="005C5E32" w:rsidRDefault="000F6DCA">
            <w:pPr>
              <w:pStyle w:val="TableText"/>
              <w:spacing w:before="40" w:after="40"/>
              <w:jc w:val="right"/>
            </w:pPr>
            <w:r w:rsidRPr="005C5E32">
              <w:t>145</w:t>
            </w:r>
          </w:p>
        </w:tc>
        <w:tc>
          <w:tcPr>
            <w:tcW w:w="1077" w:type="dxa"/>
            <w:tcBorders>
              <w:top w:val="single" w:sz="2" w:space="0" w:color="58595B"/>
              <w:bottom w:val="single" w:sz="2" w:space="0" w:color="58595B"/>
            </w:tcBorders>
            <w:vAlign w:val="bottom"/>
          </w:tcPr>
          <w:p w14:paraId="1A814EAA" w14:textId="77777777" w:rsidR="000F6DCA" w:rsidRPr="005C5E32" w:rsidRDefault="000F6DCA">
            <w:pPr>
              <w:pStyle w:val="TableText"/>
              <w:spacing w:before="40" w:after="40"/>
              <w:jc w:val="right"/>
            </w:pPr>
            <w:r w:rsidRPr="005C5E32">
              <w:t>230</w:t>
            </w:r>
          </w:p>
        </w:tc>
        <w:tc>
          <w:tcPr>
            <w:tcW w:w="1021" w:type="dxa"/>
            <w:tcBorders>
              <w:top w:val="single" w:sz="2" w:space="0" w:color="58595B"/>
              <w:bottom w:val="single" w:sz="2" w:space="0" w:color="58595B"/>
            </w:tcBorders>
            <w:vAlign w:val="bottom"/>
          </w:tcPr>
          <w:p w14:paraId="6DB38B79" w14:textId="77777777" w:rsidR="000F6DCA" w:rsidRPr="005C5E32" w:rsidRDefault="000F6DCA">
            <w:pPr>
              <w:pStyle w:val="TableText"/>
              <w:spacing w:before="40" w:after="40"/>
              <w:jc w:val="right"/>
            </w:pPr>
            <w:r w:rsidRPr="005C5E32">
              <w:t>230</w:t>
            </w:r>
          </w:p>
        </w:tc>
        <w:tc>
          <w:tcPr>
            <w:tcW w:w="1077" w:type="dxa"/>
            <w:tcBorders>
              <w:top w:val="single" w:sz="2" w:space="0" w:color="58595B"/>
              <w:bottom w:val="single" w:sz="2" w:space="0" w:color="58595B"/>
            </w:tcBorders>
            <w:shd w:val="clear" w:color="auto" w:fill="E7F2F2"/>
            <w:vAlign w:val="bottom"/>
          </w:tcPr>
          <w:p w14:paraId="1BFA983F" w14:textId="77777777" w:rsidR="000F6DCA" w:rsidRPr="005C5E32" w:rsidRDefault="000F6DCA">
            <w:pPr>
              <w:pStyle w:val="TableText"/>
              <w:spacing w:before="40" w:after="40"/>
              <w:jc w:val="right"/>
            </w:pPr>
            <w:r w:rsidRPr="005C5E32">
              <w:t>196</w:t>
            </w:r>
          </w:p>
        </w:tc>
        <w:tc>
          <w:tcPr>
            <w:tcW w:w="1134" w:type="dxa"/>
            <w:tcBorders>
              <w:top w:val="single" w:sz="2" w:space="0" w:color="58595B"/>
              <w:bottom w:val="single" w:sz="2" w:space="0" w:color="58595B"/>
            </w:tcBorders>
            <w:vAlign w:val="bottom"/>
          </w:tcPr>
          <w:p w14:paraId="1E742214" w14:textId="77777777" w:rsidR="000F6DCA" w:rsidRPr="005C5E32" w:rsidRDefault="000F6DCA">
            <w:pPr>
              <w:pStyle w:val="TableText"/>
              <w:spacing w:before="40" w:after="40"/>
              <w:jc w:val="right"/>
            </w:pPr>
            <w:r w:rsidRPr="005C5E32">
              <w:t>e</w:t>
            </w:r>
          </w:p>
        </w:tc>
      </w:tr>
      <w:tr w:rsidR="000F6DCA" w:rsidRPr="005C5E32" w14:paraId="64D4D81E" w14:textId="77777777" w:rsidTr="00004DF1">
        <w:tc>
          <w:tcPr>
            <w:tcW w:w="2495" w:type="dxa"/>
            <w:tcBorders>
              <w:top w:val="single" w:sz="2" w:space="0" w:color="58595B"/>
              <w:bottom w:val="single" w:sz="2" w:space="0" w:color="58595B"/>
            </w:tcBorders>
          </w:tcPr>
          <w:p w14:paraId="4BAB0300" w14:textId="77777777" w:rsidR="000F6DCA" w:rsidRPr="005C5E32" w:rsidRDefault="000F6DCA">
            <w:pPr>
              <w:pStyle w:val="TableText"/>
              <w:spacing w:before="40" w:after="40"/>
            </w:pPr>
            <w:r w:rsidRPr="005C5E32">
              <w:t>Loss on sale of New Zealand Units</w:t>
            </w:r>
          </w:p>
        </w:tc>
        <w:tc>
          <w:tcPr>
            <w:tcW w:w="1134" w:type="dxa"/>
            <w:tcBorders>
              <w:top w:val="single" w:sz="2" w:space="0" w:color="58595B"/>
              <w:bottom w:val="single" w:sz="2" w:space="0" w:color="58595B"/>
            </w:tcBorders>
            <w:shd w:val="clear" w:color="auto" w:fill="E7F2F2"/>
            <w:vAlign w:val="bottom"/>
          </w:tcPr>
          <w:p w14:paraId="7A9EFDE0" w14:textId="77777777" w:rsidR="000F6DCA" w:rsidRPr="005C5E32" w:rsidRDefault="000F6DCA">
            <w:pPr>
              <w:pStyle w:val="TableText"/>
              <w:spacing w:before="40" w:after="40"/>
              <w:jc w:val="right"/>
            </w:pPr>
            <w:r w:rsidRPr="005C5E32">
              <w:t>17,559</w:t>
            </w:r>
          </w:p>
        </w:tc>
        <w:tc>
          <w:tcPr>
            <w:tcW w:w="1077" w:type="dxa"/>
            <w:tcBorders>
              <w:top w:val="single" w:sz="2" w:space="0" w:color="58595B"/>
              <w:bottom w:val="single" w:sz="2" w:space="0" w:color="58595B"/>
            </w:tcBorders>
            <w:vAlign w:val="bottom"/>
          </w:tcPr>
          <w:p w14:paraId="407E6346" w14:textId="77777777" w:rsidR="000F6DCA" w:rsidRPr="005C5E32" w:rsidRDefault="000F6DCA">
            <w:pPr>
              <w:pStyle w:val="TableText"/>
              <w:spacing w:before="40" w:after="40"/>
              <w:jc w:val="right"/>
            </w:pPr>
            <w:r w:rsidRPr="005C5E32">
              <w:t>40,000</w:t>
            </w:r>
          </w:p>
        </w:tc>
        <w:tc>
          <w:tcPr>
            <w:tcW w:w="1021" w:type="dxa"/>
            <w:tcBorders>
              <w:top w:val="single" w:sz="2" w:space="0" w:color="58595B"/>
              <w:bottom w:val="single" w:sz="2" w:space="0" w:color="58595B"/>
            </w:tcBorders>
            <w:vAlign w:val="bottom"/>
          </w:tcPr>
          <w:p w14:paraId="4BB359A8" w14:textId="77777777" w:rsidR="000F6DCA" w:rsidRPr="005C5E32" w:rsidRDefault="000F6DCA">
            <w:pPr>
              <w:pStyle w:val="TableText"/>
              <w:spacing w:before="40" w:after="40"/>
              <w:jc w:val="right"/>
            </w:pPr>
            <w:r w:rsidRPr="005C5E32">
              <w:t>40,000</w:t>
            </w:r>
          </w:p>
        </w:tc>
        <w:tc>
          <w:tcPr>
            <w:tcW w:w="1077" w:type="dxa"/>
            <w:tcBorders>
              <w:top w:val="single" w:sz="2" w:space="0" w:color="58595B"/>
              <w:bottom w:val="single" w:sz="2" w:space="0" w:color="58595B"/>
            </w:tcBorders>
            <w:shd w:val="clear" w:color="auto" w:fill="E7F2F2"/>
            <w:vAlign w:val="bottom"/>
          </w:tcPr>
          <w:p w14:paraId="3A836B15" w14:textId="77777777" w:rsidR="000F6DCA" w:rsidRPr="005C5E32" w:rsidRDefault="000F6DCA">
            <w:pPr>
              <w:pStyle w:val="TableText"/>
              <w:spacing w:before="40" w:after="40"/>
              <w:jc w:val="right"/>
            </w:pPr>
            <w:r w:rsidRPr="005C5E32">
              <w:t>4,821</w:t>
            </w:r>
          </w:p>
        </w:tc>
        <w:tc>
          <w:tcPr>
            <w:tcW w:w="1134" w:type="dxa"/>
            <w:tcBorders>
              <w:top w:val="single" w:sz="2" w:space="0" w:color="58595B"/>
              <w:bottom w:val="single" w:sz="2" w:space="0" w:color="58595B"/>
            </w:tcBorders>
            <w:vAlign w:val="bottom"/>
          </w:tcPr>
          <w:p w14:paraId="1A0249C5" w14:textId="77777777" w:rsidR="000F6DCA" w:rsidRPr="005C5E32" w:rsidRDefault="000F6DCA">
            <w:pPr>
              <w:pStyle w:val="TableText"/>
              <w:spacing w:before="40" w:after="40"/>
              <w:jc w:val="right"/>
            </w:pPr>
            <w:r w:rsidRPr="005C5E32">
              <w:t>e</w:t>
            </w:r>
          </w:p>
        </w:tc>
      </w:tr>
      <w:tr w:rsidR="000F6DCA" w:rsidRPr="005C5E32" w14:paraId="5D4AF2FC" w14:textId="77777777" w:rsidTr="00004DF1">
        <w:tc>
          <w:tcPr>
            <w:tcW w:w="2495" w:type="dxa"/>
            <w:tcBorders>
              <w:top w:val="single" w:sz="2" w:space="0" w:color="58595B"/>
              <w:bottom w:val="single" w:sz="2" w:space="0" w:color="58595B"/>
            </w:tcBorders>
          </w:tcPr>
          <w:p w14:paraId="5473D0A9" w14:textId="77777777" w:rsidR="000F6DCA" w:rsidRPr="005C5E32" w:rsidRDefault="000F6DCA">
            <w:pPr>
              <w:pStyle w:val="TableText"/>
              <w:spacing w:before="40" w:after="40"/>
            </w:pPr>
            <w:r w:rsidRPr="005C5E32">
              <w:t>Te Pou Tupua</w:t>
            </w:r>
          </w:p>
        </w:tc>
        <w:tc>
          <w:tcPr>
            <w:tcW w:w="1134" w:type="dxa"/>
            <w:tcBorders>
              <w:top w:val="single" w:sz="2" w:space="0" w:color="58595B"/>
              <w:bottom w:val="single" w:sz="2" w:space="0" w:color="58595B"/>
            </w:tcBorders>
            <w:shd w:val="clear" w:color="auto" w:fill="E7F2F2"/>
            <w:vAlign w:val="bottom"/>
          </w:tcPr>
          <w:p w14:paraId="7A18D475" w14:textId="77777777" w:rsidR="000F6DCA" w:rsidRPr="005C5E32" w:rsidRDefault="000F6DCA">
            <w:pPr>
              <w:pStyle w:val="TableText"/>
              <w:spacing w:before="40" w:after="40"/>
              <w:jc w:val="right"/>
            </w:pPr>
            <w:r w:rsidRPr="005C5E32">
              <w:t>83</w:t>
            </w:r>
          </w:p>
        </w:tc>
        <w:tc>
          <w:tcPr>
            <w:tcW w:w="1077" w:type="dxa"/>
            <w:tcBorders>
              <w:top w:val="single" w:sz="2" w:space="0" w:color="58595B"/>
              <w:bottom w:val="single" w:sz="2" w:space="0" w:color="58595B"/>
            </w:tcBorders>
            <w:vAlign w:val="bottom"/>
          </w:tcPr>
          <w:p w14:paraId="259B9061" w14:textId="77777777" w:rsidR="000F6DCA" w:rsidRPr="005C5E32" w:rsidRDefault="000F6DCA">
            <w:pPr>
              <w:pStyle w:val="TableText"/>
              <w:spacing w:before="40" w:after="40"/>
              <w:jc w:val="right"/>
            </w:pPr>
            <w:r w:rsidRPr="005C5E32">
              <w:t>77</w:t>
            </w:r>
          </w:p>
        </w:tc>
        <w:tc>
          <w:tcPr>
            <w:tcW w:w="1021" w:type="dxa"/>
            <w:tcBorders>
              <w:top w:val="single" w:sz="2" w:space="0" w:color="58595B"/>
              <w:bottom w:val="single" w:sz="2" w:space="0" w:color="58595B"/>
            </w:tcBorders>
            <w:vAlign w:val="bottom"/>
          </w:tcPr>
          <w:p w14:paraId="5BFEA716" w14:textId="77777777" w:rsidR="000F6DCA" w:rsidRPr="005C5E32" w:rsidRDefault="000F6DCA">
            <w:pPr>
              <w:pStyle w:val="TableText"/>
              <w:spacing w:before="40" w:after="40"/>
              <w:jc w:val="right"/>
            </w:pPr>
            <w:r w:rsidRPr="005C5E32">
              <w:t>77</w:t>
            </w:r>
          </w:p>
        </w:tc>
        <w:tc>
          <w:tcPr>
            <w:tcW w:w="1077" w:type="dxa"/>
            <w:tcBorders>
              <w:top w:val="single" w:sz="2" w:space="0" w:color="58595B"/>
              <w:bottom w:val="single" w:sz="2" w:space="0" w:color="58595B"/>
            </w:tcBorders>
            <w:shd w:val="clear" w:color="auto" w:fill="E7F2F2"/>
            <w:vAlign w:val="bottom"/>
          </w:tcPr>
          <w:p w14:paraId="535CECA1" w14:textId="77777777" w:rsidR="000F6DCA" w:rsidRPr="005C5E32" w:rsidRDefault="000F6DCA">
            <w:pPr>
              <w:pStyle w:val="TableText"/>
              <w:spacing w:before="40" w:after="40"/>
              <w:jc w:val="right"/>
            </w:pPr>
            <w:r w:rsidRPr="005C5E32">
              <w:t>77</w:t>
            </w:r>
          </w:p>
        </w:tc>
        <w:tc>
          <w:tcPr>
            <w:tcW w:w="1134" w:type="dxa"/>
            <w:tcBorders>
              <w:top w:val="single" w:sz="2" w:space="0" w:color="58595B"/>
              <w:bottom w:val="single" w:sz="2" w:space="0" w:color="58595B"/>
            </w:tcBorders>
            <w:vAlign w:val="bottom"/>
          </w:tcPr>
          <w:p w14:paraId="17D83A8D" w14:textId="77777777" w:rsidR="000F6DCA" w:rsidRPr="005C5E32" w:rsidRDefault="000F6DCA">
            <w:pPr>
              <w:pStyle w:val="TableText"/>
              <w:spacing w:before="40" w:after="40"/>
              <w:jc w:val="right"/>
            </w:pPr>
            <w:r w:rsidRPr="005C5E32">
              <w:t>e</w:t>
            </w:r>
          </w:p>
        </w:tc>
      </w:tr>
      <w:tr w:rsidR="000F6DCA" w:rsidRPr="005C5E32" w14:paraId="498B19D8" w14:textId="77777777" w:rsidTr="00004DF1">
        <w:tc>
          <w:tcPr>
            <w:tcW w:w="2495" w:type="dxa"/>
            <w:tcBorders>
              <w:top w:val="single" w:sz="2" w:space="0" w:color="58595B"/>
              <w:bottom w:val="single" w:sz="2" w:space="0" w:color="58595B"/>
            </w:tcBorders>
          </w:tcPr>
          <w:p w14:paraId="1F589D7E" w14:textId="77777777" w:rsidR="000F6DCA" w:rsidRPr="005C5E32" w:rsidRDefault="000F6DCA">
            <w:pPr>
              <w:pStyle w:val="TableText"/>
              <w:spacing w:before="40" w:after="40"/>
            </w:pPr>
            <w:r w:rsidRPr="005C5E32">
              <w:t>United Nations Environment Programme</w:t>
            </w:r>
          </w:p>
        </w:tc>
        <w:tc>
          <w:tcPr>
            <w:tcW w:w="1134" w:type="dxa"/>
            <w:tcBorders>
              <w:top w:val="single" w:sz="2" w:space="0" w:color="58595B"/>
              <w:bottom w:val="single" w:sz="2" w:space="0" w:color="58595B"/>
            </w:tcBorders>
            <w:shd w:val="clear" w:color="auto" w:fill="E7F2F2"/>
            <w:vAlign w:val="bottom"/>
          </w:tcPr>
          <w:p w14:paraId="259EAC7D" w14:textId="77777777" w:rsidR="000F6DCA" w:rsidRPr="005C5E32" w:rsidRDefault="000F6DCA">
            <w:pPr>
              <w:pStyle w:val="TableText"/>
              <w:spacing w:before="40" w:after="40"/>
              <w:jc w:val="right"/>
            </w:pPr>
            <w:r w:rsidRPr="005C5E32">
              <w:t>609</w:t>
            </w:r>
          </w:p>
        </w:tc>
        <w:tc>
          <w:tcPr>
            <w:tcW w:w="1077" w:type="dxa"/>
            <w:tcBorders>
              <w:top w:val="single" w:sz="2" w:space="0" w:color="58595B"/>
              <w:bottom w:val="single" w:sz="2" w:space="0" w:color="58595B"/>
            </w:tcBorders>
            <w:vAlign w:val="bottom"/>
          </w:tcPr>
          <w:p w14:paraId="534BF659" w14:textId="77777777" w:rsidR="000F6DCA" w:rsidRPr="005C5E32" w:rsidRDefault="000F6DCA">
            <w:pPr>
              <w:pStyle w:val="TableText"/>
              <w:spacing w:before="40" w:after="40"/>
              <w:jc w:val="right"/>
            </w:pPr>
            <w:r w:rsidRPr="005C5E32">
              <w:t>804</w:t>
            </w:r>
          </w:p>
        </w:tc>
        <w:tc>
          <w:tcPr>
            <w:tcW w:w="1021" w:type="dxa"/>
            <w:tcBorders>
              <w:top w:val="single" w:sz="2" w:space="0" w:color="58595B"/>
              <w:bottom w:val="single" w:sz="2" w:space="0" w:color="58595B"/>
            </w:tcBorders>
            <w:vAlign w:val="bottom"/>
          </w:tcPr>
          <w:p w14:paraId="2436A45A" w14:textId="77777777" w:rsidR="000F6DCA" w:rsidRPr="005C5E32" w:rsidRDefault="000F6DCA">
            <w:pPr>
              <w:pStyle w:val="TableText"/>
              <w:spacing w:before="40" w:after="40"/>
              <w:jc w:val="right"/>
            </w:pPr>
            <w:r w:rsidRPr="005C5E32">
              <w:t>804</w:t>
            </w:r>
          </w:p>
        </w:tc>
        <w:tc>
          <w:tcPr>
            <w:tcW w:w="1077" w:type="dxa"/>
            <w:tcBorders>
              <w:top w:val="single" w:sz="2" w:space="0" w:color="58595B"/>
              <w:bottom w:val="single" w:sz="2" w:space="0" w:color="58595B"/>
            </w:tcBorders>
            <w:shd w:val="clear" w:color="auto" w:fill="E7F2F2"/>
            <w:vAlign w:val="bottom"/>
          </w:tcPr>
          <w:p w14:paraId="5F4BD960" w14:textId="77777777" w:rsidR="000F6DCA" w:rsidRPr="005C5E32" w:rsidRDefault="000F6DCA">
            <w:pPr>
              <w:pStyle w:val="TableText"/>
              <w:spacing w:before="40" w:after="40"/>
              <w:jc w:val="right"/>
            </w:pPr>
            <w:r w:rsidRPr="005C5E32">
              <w:t>601</w:t>
            </w:r>
          </w:p>
        </w:tc>
        <w:tc>
          <w:tcPr>
            <w:tcW w:w="1134" w:type="dxa"/>
            <w:tcBorders>
              <w:top w:val="single" w:sz="2" w:space="0" w:color="58595B"/>
              <w:bottom w:val="single" w:sz="2" w:space="0" w:color="58595B"/>
            </w:tcBorders>
            <w:vAlign w:val="bottom"/>
          </w:tcPr>
          <w:p w14:paraId="38D11E7B" w14:textId="77777777" w:rsidR="000F6DCA" w:rsidRPr="005C5E32" w:rsidRDefault="000F6DCA">
            <w:pPr>
              <w:pStyle w:val="TableText"/>
              <w:spacing w:before="40" w:after="40"/>
              <w:jc w:val="right"/>
            </w:pPr>
            <w:r w:rsidRPr="005C5E32">
              <w:t>e</w:t>
            </w:r>
          </w:p>
        </w:tc>
      </w:tr>
      <w:tr w:rsidR="000F6DCA" w:rsidRPr="005C5E32" w14:paraId="08A89968" w14:textId="77777777" w:rsidTr="00004DF1">
        <w:tc>
          <w:tcPr>
            <w:tcW w:w="2495" w:type="dxa"/>
            <w:tcBorders>
              <w:top w:val="single" w:sz="2" w:space="0" w:color="58595B"/>
              <w:bottom w:val="single" w:sz="2" w:space="0" w:color="58595B"/>
            </w:tcBorders>
          </w:tcPr>
          <w:p w14:paraId="786B400B" w14:textId="77777777" w:rsidR="000F6DCA" w:rsidRPr="005C5E32" w:rsidRDefault="000F6DCA">
            <w:pPr>
              <w:pStyle w:val="TableText"/>
              <w:spacing w:before="40" w:after="40"/>
            </w:pPr>
            <w:r w:rsidRPr="005C5E32">
              <w:t>Waikato River Co</w:t>
            </w:r>
            <w:r w:rsidRPr="005C5E32">
              <w:noBreakHyphen/>
              <w:t>governance</w:t>
            </w:r>
          </w:p>
        </w:tc>
        <w:tc>
          <w:tcPr>
            <w:tcW w:w="1134" w:type="dxa"/>
            <w:tcBorders>
              <w:top w:val="single" w:sz="2" w:space="0" w:color="58595B"/>
              <w:bottom w:val="single" w:sz="2" w:space="0" w:color="58595B"/>
            </w:tcBorders>
            <w:shd w:val="clear" w:color="auto" w:fill="E7F2F2"/>
            <w:vAlign w:val="bottom"/>
          </w:tcPr>
          <w:p w14:paraId="4584D843" w14:textId="77777777" w:rsidR="000F6DCA" w:rsidRPr="005C5E32" w:rsidRDefault="000F6DCA">
            <w:pPr>
              <w:pStyle w:val="TableText"/>
              <w:spacing w:before="40" w:after="40"/>
              <w:jc w:val="right"/>
            </w:pPr>
            <w:r w:rsidRPr="005C5E32">
              <w:t>910</w:t>
            </w:r>
          </w:p>
        </w:tc>
        <w:tc>
          <w:tcPr>
            <w:tcW w:w="1077" w:type="dxa"/>
            <w:tcBorders>
              <w:top w:val="single" w:sz="2" w:space="0" w:color="58595B"/>
              <w:bottom w:val="single" w:sz="2" w:space="0" w:color="58595B"/>
            </w:tcBorders>
            <w:vAlign w:val="bottom"/>
          </w:tcPr>
          <w:p w14:paraId="14695C55" w14:textId="77777777" w:rsidR="000F6DCA" w:rsidRPr="005C5E32" w:rsidRDefault="000F6DCA">
            <w:pPr>
              <w:pStyle w:val="TableText"/>
              <w:spacing w:before="40" w:after="40"/>
              <w:jc w:val="right"/>
            </w:pPr>
            <w:r w:rsidRPr="005C5E32">
              <w:t>1,195</w:t>
            </w:r>
          </w:p>
        </w:tc>
        <w:tc>
          <w:tcPr>
            <w:tcW w:w="1021" w:type="dxa"/>
            <w:tcBorders>
              <w:top w:val="single" w:sz="2" w:space="0" w:color="58595B"/>
              <w:bottom w:val="single" w:sz="2" w:space="0" w:color="58595B"/>
            </w:tcBorders>
            <w:vAlign w:val="bottom"/>
          </w:tcPr>
          <w:p w14:paraId="2907E220" w14:textId="77777777" w:rsidR="000F6DCA" w:rsidRPr="005C5E32" w:rsidRDefault="000F6DCA">
            <w:pPr>
              <w:pStyle w:val="TableText"/>
              <w:spacing w:before="40" w:after="40"/>
              <w:jc w:val="right"/>
            </w:pPr>
            <w:r w:rsidRPr="005C5E32">
              <w:t>1,195</w:t>
            </w:r>
          </w:p>
        </w:tc>
        <w:tc>
          <w:tcPr>
            <w:tcW w:w="1077" w:type="dxa"/>
            <w:tcBorders>
              <w:top w:val="single" w:sz="2" w:space="0" w:color="58595B"/>
              <w:bottom w:val="single" w:sz="2" w:space="0" w:color="58595B"/>
            </w:tcBorders>
            <w:shd w:val="clear" w:color="auto" w:fill="E7F2F2"/>
            <w:vAlign w:val="bottom"/>
          </w:tcPr>
          <w:p w14:paraId="2E7AB6C6" w14:textId="77777777" w:rsidR="000F6DCA" w:rsidRPr="005C5E32" w:rsidRDefault="000F6DCA">
            <w:pPr>
              <w:pStyle w:val="TableText"/>
              <w:spacing w:before="40" w:after="40"/>
              <w:jc w:val="right"/>
            </w:pPr>
            <w:r w:rsidRPr="005C5E32">
              <w:t>1,195</w:t>
            </w:r>
          </w:p>
        </w:tc>
        <w:tc>
          <w:tcPr>
            <w:tcW w:w="1134" w:type="dxa"/>
            <w:tcBorders>
              <w:top w:val="single" w:sz="2" w:space="0" w:color="58595B"/>
              <w:bottom w:val="single" w:sz="2" w:space="0" w:color="58595B"/>
            </w:tcBorders>
            <w:vAlign w:val="bottom"/>
          </w:tcPr>
          <w:p w14:paraId="2870C0FE" w14:textId="77777777" w:rsidR="000F6DCA" w:rsidRPr="005C5E32" w:rsidRDefault="000F6DCA">
            <w:pPr>
              <w:pStyle w:val="TableText"/>
              <w:spacing w:before="40" w:after="40"/>
              <w:jc w:val="right"/>
            </w:pPr>
            <w:r w:rsidRPr="005C5E32">
              <w:t>e</w:t>
            </w:r>
          </w:p>
        </w:tc>
      </w:tr>
      <w:tr w:rsidR="000F6DCA" w:rsidRPr="005C5E32" w14:paraId="1DCF0BC0" w14:textId="77777777" w:rsidTr="00004DF1">
        <w:tc>
          <w:tcPr>
            <w:tcW w:w="2495" w:type="dxa"/>
            <w:tcBorders>
              <w:top w:val="single" w:sz="2" w:space="0" w:color="58595B"/>
              <w:bottom w:val="single" w:sz="2" w:space="0" w:color="58595B"/>
            </w:tcBorders>
          </w:tcPr>
          <w:p w14:paraId="4711E90C" w14:textId="77777777" w:rsidR="000F6DCA" w:rsidRPr="005C5E32" w:rsidRDefault="000F6DCA">
            <w:pPr>
              <w:pStyle w:val="TableText"/>
              <w:spacing w:before="40" w:after="40"/>
              <w:rPr>
                <w:b/>
                <w:bCs/>
              </w:rPr>
            </w:pPr>
            <w:r w:rsidRPr="005C5E32">
              <w:rPr>
                <w:b/>
                <w:bCs/>
              </w:rPr>
              <w:t>Total non-departmental other expenses</w:t>
            </w:r>
          </w:p>
        </w:tc>
        <w:tc>
          <w:tcPr>
            <w:tcW w:w="1134" w:type="dxa"/>
            <w:tcBorders>
              <w:top w:val="single" w:sz="2" w:space="0" w:color="58595B"/>
              <w:bottom w:val="single" w:sz="2" w:space="0" w:color="58595B"/>
            </w:tcBorders>
            <w:shd w:val="clear" w:color="auto" w:fill="E7F2F2"/>
            <w:vAlign w:val="bottom"/>
          </w:tcPr>
          <w:p w14:paraId="15264907" w14:textId="77777777" w:rsidR="000F6DCA" w:rsidRPr="005C5E32" w:rsidRDefault="000F6DCA">
            <w:pPr>
              <w:pStyle w:val="TableText"/>
              <w:spacing w:before="40" w:after="40"/>
              <w:jc w:val="right"/>
              <w:rPr>
                <w:b/>
                <w:bCs/>
              </w:rPr>
            </w:pPr>
            <w:r w:rsidRPr="005C5E32">
              <w:rPr>
                <w:b/>
                <w:bCs/>
              </w:rPr>
              <w:t>1,117,145</w:t>
            </w:r>
          </w:p>
        </w:tc>
        <w:tc>
          <w:tcPr>
            <w:tcW w:w="1077" w:type="dxa"/>
            <w:tcBorders>
              <w:top w:val="single" w:sz="2" w:space="0" w:color="58595B"/>
              <w:bottom w:val="single" w:sz="2" w:space="0" w:color="58595B"/>
            </w:tcBorders>
            <w:vAlign w:val="bottom"/>
          </w:tcPr>
          <w:p w14:paraId="78CC58F2" w14:textId="77777777" w:rsidR="000F6DCA" w:rsidRPr="005C5E32" w:rsidRDefault="000F6DCA">
            <w:pPr>
              <w:pStyle w:val="TableText"/>
              <w:spacing w:before="40" w:after="40"/>
              <w:jc w:val="right"/>
              <w:rPr>
                <w:b/>
                <w:bCs/>
              </w:rPr>
            </w:pPr>
            <w:r w:rsidRPr="005C5E32">
              <w:rPr>
                <w:b/>
                <w:bCs/>
              </w:rPr>
              <w:t>2,244,166</w:t>
            </w:r>
          </w:p>
        </w:tc>
        <w:tc>
          <w:tcPr>
            <w:tcW w:w="1021" w:type="dxa"/>
            <w:tcBorders>
              <w:top w:val="single" w:sz="2" w:space="0" w:color="58595B"/>
              <w:bottom w:val="single" w:sz="2" w:space="0" w:color="58595B"/>
            </w:tcBorders>
            <w:vAlign w:val="bottom"/>
          </w:tcPr>
          <w:p w14:paraId="527D4016" w14:textId="77777777" w:rsidR="000F6DCA" w:rsidRPr="005C5E32" w:rsidRDefault="000F6DCA">
            <w:pPr>
              <w:pStyle w:val="TableText"/>
              <w:spacing w:before="40" w:after="40"/>
              <w:jc w:val="right"/>
              <w:rPr>
                <w:b/>
                <w:bCs/>
              </w:rPr>
            </w:pPr>
            <w:r w:rsidRPr="005C5E32">
              <w:rPr>
                <w:b/>
                <w:bCs/>
              </w:rPr>
              <w:t>1,735,466</w:t>
            </w:r>
          </w:p>
        </w:tc>
        <w:tc>
          <w:tcPr>
            <w:tcW w:w="1077" w:type="dxa"/>
            <w:tcBorders>
              <w:top w:val="single" w:sz="2" w:space="0" w:color="58595B"/>
              <w:bottom w:val="single" w:sz="2" w:space="0" w:color="58595B"/>
            </w:tcBorders>
            <w:shd w:val="clear" w:color="auto" w:fill="E7F2F2"/>
            <w:vAlign w:val="bottom"/>
          </w:tcPr>
          <w:p w14:paraId="2A1075B8" w14:textId="77777777" w:rsidR="000F6DCA" w:rsidRPr="005C5E32" w:rsidRDefault="000F6DCA">
            <w:pPr>
              <w:pStyle w:val="TableText"/>
              <w:spacing w:before="40" w:after="40"/>
              <w:jc w:val="right"/>
              <w:rPr>
                <w:b/>
                <w:bCs/>
              </w:rPr>
            </w:pPr>
            <w:r w:rsidRPr="005C5E32">
              <w:rPr>
                <w:b/>
                <w:bCs/>
              </w:rPr>
              <w:t>1,336,250</w:t>
            </w:r>
          </w:p>
        </w:tc>
        <w:tc>
          <w:tcPr>
            <w:tcW w:w="1134" w:type="dxa"/>
            <w:tcBorders>
              <w:top w:val="single" w:sz="2" w:space="0" w:color="58595B"/>
              <w:bottom w:val="single" w:sz="2" w:space="0" w:color="58595B"/>
            </w:tcBorders>
            <w:vAlign w:val="bottom"/>
          </w:tcPr>
          <w:p w14:paraId="6D1D72EE" w14:textId="77777777" w:rsidR="000F6DCA" w:rsidRPr="005C5E32" w:rsidRDefault="000F6DCA">
            <w:pPr>
              <w:pStyle w:val="TableText"/>
              <w:spacing w:before="40" w:after="40"/>
              <w:jc w:val="right"/>
              <w:rPr>
                <w:b/>
                <w:bCs/>
              </w:rPr>
            </w:pPr>
          </w:p>
        </w:tc>
      </w:tr>
      <w:tr w:rsidR="000F6DCA" w:rsidRPr="005C5E32" w14:paraId="58A16165" w14:textId="77777777" w:rsidTr="00004DF1">
        <w:trPr>
          <w:trHeight w:val="525"/>
        </w:trPr>
        <w:tc>
          <w:tcPr>
            <w:tcW w:w="2495" w:type="dxa"/>
            <w:tcBorders>
              <w:top w:val="single" w:sz="2" w:space="0" w:color="58595B"/>
            </w:tcBorders>
          </w:tcPr>
          <w:p w14:paraId="2B027ED2" w14:textId="77777777" w:rsidR="000F6DCA" w:rsidRPr="005C5E32" w:rsidRDefault="000F6DCA">
            <w:pPr>
              <w:pStyle w:val="TableboldGreen"/>
              <w:keepNext/>
              <w:spacing w:before="40" w:after="0"/>
              <w:rPr>
                <w:rFonts w:cs="Calibri"/>
              </w:rPr>
            </w:pPr>
            <w:r w:rsidRPr="005C5E32">
              <w:rPr>
                <w:rFonts w:cs="Calibri"/>
              </w:rPr>
              <w:t>Non-departmental capital expenditure</w:t>
            </w:r>
          </w:p>
        </w:tc>
        <w:tc>
          <w:tcPr>
            <w:tcW w:w="1134" w:type="dxa"/>
            <w:vMerge w:val="restart"/>
            <w:tcBorders>
              <w:top w:val="single" w:sz="2" w:space="0" w:color="58595B"/>
              <w:bottom w:val="single" w:sz="2" w:space="0" w:color="000000" w:themeColor="text1"/>
            </w:tcBorders>
            <w:shd w:val="clear" w:color="auto" w:fill="E7F2F2"/>
            <w:vAlign w:val="bottom"/>
          </w:tcPr>
          <w:p w14:paraId="19C80F5D" w14:textId="50A52DF6" w:rsidR="000F6DCA" w:rsidRPr="005C5E32" w:rsidRDefault="000F6DCA" w:rsidP="0025639E">
            <w:pPr>
              <w:pStyle w:val="TableText"/>
              <w:spacing w:before="40" w:after="40"/>
              <w:jc w:val="right"/>
              <w:rPr>
                <w:rFonts w:cs="Calibri"/>
              </w:rPr>
            </w:pPr>
            <w:r w:rsidRPr="005C5E32">
              <w:rPr>
                <w:rFonts w:cs="Calibri"/>
              </w:rPr>
              <w:t>360</w:t>
            </w:r>
          </w:p>
        </w:tc>
        <w:tc>
          <w:tcPr>
            <w:tcW w:w="1077" w:type="dxa"/>
            <w:tcBorders>
              <w:top w:val="single" w:sz="2" w:space="0" w:color="58595B"/>
            </w:tcBorders>
            <w:vAlign w:val="bottom"/>
          </w:tcPr>
          <w:p w14:paraId="2B022ACB" w14:textId="77777777" w:rsidR="000F6DCA" w:rsidRPr="005C5E32" w:rsidRDefault="000F6DCA">
            <w:pPr>
              <w:pStyle w:val="TableText"/>
              <w:spacing w:before="40" w:after="40"/>
              <w:jc w:val="right"/>
              <w:rPr>
                <w:rFonts w:cs="Calibri"/>
              </w:rPr>
            </w:pPr>
          </w:p>
        </w:tc>
        <w:tc>
          <w:tcPr>
            <w:tcW w:w="1021" w:type="dxa"/>
            <w:tcBorders>
              <w:top w:val="single" w:sz="2" w:space="0" w:color="58595B"/>
            </w:tcBorders>
            <w:vAlign w:val="bottom"/>
          </w:tcPr>
          <w:p w14:paraId="0D307694" w14:textId="77777777" w:rsidR="000F6DCA" w:rsidRPr="005C5E32" w:rsidRDefault="000F6DCA">
            <w:pPr>
              <w:pStyle w:val="TableText"/>
              <w:spacing w:before="40" w:after="40"/>
              <w:jc w:val="right"/>
              <w:rPr>
                <w:rFonts w:cs="Calibri"/>
              </w:rPr>
            </w:pPr>
          </w:p>
        </w:tc>
        <w:tc>
          <w:tcPr>
            <w:tcW w:w="1077" w:type="dxa"/>
            <w:vMerge w:val="restart"/>
            <w:tcBorders>
              <w:top w:val="single" w:sz="2" w:space="0" w:color="58595B"/>
              <w:bottom w:val="single" w:sz="2" w:space="0" w:color="000000" w:themeColor="text1"/>
            </w:tcBorders>
            <w:shd w:val="clear" w:color="auto" w:fill="E7F2F2"/>
            <w:vAlign w:val="bottom"/>
          </w:tcPr>
          <w:p w14:paraId="1741D486" w14:textId="77777777" w:rsidR="000F6DCA" w:rsidRPr="005C5E32" w:rsidRDefault="000F6DCA">
            <w:pPr>
              <w:pStyle w:val="TableText"/>
              <w:spacing w:before="40" w:after="40"/>
              <w:jc w:val="right"/>
              <w:rPr>
                <w:rFonts w:cs="Calibri"/>
              </w:rPr>
            </w:pPr>
            <w:r w:rsidRPr="005C5E32">
              <w:t>–</w:t>
            </w:r>
          </w:p>
        </w:tc>
        <w:tc>
          <w:tcPr>
            <w:tcW w:w="1134" w:type="dxa"/>
            <w:tcBorders>
              <w:top w:val="single" w:sz="2" w:space="0" w:color="58595B"/>
            </w:tcBorders>
            <w:vAlign w:val="bottom"/>
          </w:tcPr>
          <w:p w14:paraId="5E03F380" w14:textId="77777777" w:rsidR="000F6DCA" w:rsidRPr="005C5E32" w:rsidRDefault="000F6DCA">
            <w:pPr>
              <w:pStyle w:val="TableText"/>
              <w:spacing w:before="40" w:after="40"/>
              <w:jc w:val="right"/>
              <w:rPr>
                <w:rFonts w:cs="Calibri"/>
              </w:rPr>
            </w:pPr>
          </w:p>
        </w:tc>
      </w:tr>
      <w:tr w:rsidR="000F6DCA" w:rsidRPr="005C5E32" w14:paraId="5422676A" w14:textId="77777777" w:rsidTr="00004DF1">
        <w:tc>
          <w:tcPr>
            <w:tcW w:w="2495" w:type="dxa"/>
            <w:tcBorders>
              <w:bottom w:val="single" w:sz="2" w:space="0" w:color="58595B"/>
            </w:tcBorders>
          </w:tcPr>
          <w:p w14:paraId="42224F1C" w14:textId="77777777" w:rsidR="000F6DCA" w:rsidRPr="005C5E32" w:rsidRDefault="000F6DCA">
            <w:pPr>
              <w:pStyle w:val="TableText"/>
              <w:spacing w:before="40" w:after="40"/>
              <w:rPr>
                <w:rFonts w:cs="Calibri"/>
              </w:rPr>
            </w:pPr>
            <w:r w:rsidRPr="005C5E32">
              <w:rPr>
                <w:rFonts w:cs="Calibri"/>
              </w:rPr>
              <w:t>Capital contribution to the Environmental Protection Authority</w:t>
            </w:r>
          </w:p>
        </w:tc>
        <w:tc>
          <w:tcPr>
            <w:tcW w:w="1134" w:type="dxa"/>
            <w:vMerge/>
            <w:tcBorders>
              <w:bottom w:val="single" w:sz="2" w:space="0" w:color="000000" w:themeColor="text1"/>
            </w:tcBorders>
            <w:vAlign w:val="bottom"/>
          </w:tcPr>
          <w:p w14:paraId="3941C2D5" w14:textId="77777777" w:rsidR="000F6DCA" w:rsidRPr="005C5E32" w:rsidRDefault="000F6DCA">
            <w:pPr>
              <w:pStyle w:val="TableText"/>
              <w:spacing w:before="0" w:after="40"/>
              <w:jc w:val="right"/>
              <w:rPr>
                <w:rFonts w:cs="Calibri"/>
              </w:rPr>
            </w:pPr>
          </w:p>
        </w:tc>
        <w:tc>
          <w:tcPr>
            <w:tcW w:w="1077" w:type="dxa"/>
            <w:tcBorders>
              <w:bottom w:val="single" w:sz="2" w:space="0" w:color="58595B"/>
            </w:tcBorders>
            <w:vAlign w:val="bottom"/>
          </w:tcPr>
          <w:p w14:paraId="2ADC412B" w14:textId="77777777" w:rsidR="000F6DCA" w:rsidRPr="005C5E32" w:rsidRDefault="000F6DCA">
            <w:pPr>
              <w:pStyle w:val="TableText"/>
              <w:spacing w:before="0" w:after="40"/>
              <w:jc w:val="right"/>
              <w:rPr>
                <w:rFonts w:cs="Calibri"/>
              </w:rPr>
            </w:pPr>
            <w:r w:rsidRPr="005C5E32">
              <w:t>–</w:t>
            </w:r>
          </w:p>
        </w:tc>
        <w:tc>
          <w:tcPr>
            <w:tcW w:w="1021" w:type="dxa"/>
            <w:tcBorders>
              <w:bottom w:val="single" w:sz="2" w:space="0" w:color="58595B"/>
            </w:tcBorders>
            <w:vAlign w:val="bottom"/>
          </w:tcPr>
          <w:p w14:paraId="5EBCD5A7" w14:textId="77777777" w:rsidR="000F6DCA" w:rsidRPr="005C5E32" w:rsidRDefault="000F6DCA">
            <w:pPr>
              <w:pStyle w:val="TableText"/>
              <w:spacing w:before="0" w:after="40"/>
              <w:jc w:val="right"/>
              <w:rPr>
                <w:rFonts w:cs="Calibri"/>
              </w:rPr>
            </w:pPr>
            <w:r w:rsidRPr="005C5E32">
              <w:t>–</w:t>
            </w:r>
          </w:p>
        </w:tc>
        <w:tc>
          <w:tcPr>
            <w:tcW w:w="1077" w:type="dxa"/>
            <w:vMerge/>
            <w:tcBorders>
              <w:bottom w:val="single" w:sz="2" w:space="0" w:color="000000" w:themeColor="text1"/>
            </w:tcBorders>
            <w:vAlign w:val="bottom"/>
          </w:tcPr>
          <w:p w14:paraId="0D5D4901" w14:textId="77777777" w:rsidR="000F6DCA" w:rsidRPr="005C5E32" w:rsidRDefault="000F6DCA">
            <w:pPr>
              <w:pStyle w:val="TableText"/>
              <w:spacing w:before="0" w:after="40"/>
              <w:jc w:val="right"/>
              <w:rPr>
                <w:rFonts w:cs="Calibri"/>
              </w:rPr>
            </w:pPr>
          </w:p>
        </w:tc>
        <w:tc>
          <w:tcPr>
            <w:tcW w:w="1134" w:type="dxa"/>
            <w:tcBorders>
              <w:bottom w:val="single" w:sz="2" w:space="0" w:color="58595B"/>
            </w:tcBorders>
            <w:vAlign w:val="bottom"/>
          </w:tcPr>
          <w:p w14:paraId="2AE95303" w14:textId="77777777" w:rsidR="000F6DCA" w:rsidRPr="005C5E32" w:rsidRDefault="000F6DCA">
            <w:pPr>
              <w:pStyle w:val="TableText"/>
              <w:spacing w:before="0" w:after="40"/>
              <w:jc w:val="right"/>
              <w:rPr>
                <w:rFonts w:cs="Calibri"/>
              </w:rPr>
            </w:pPr>
          </w:p>
        </w:tc>
      </w:tr>
      <w:tr w:rsidR="000F6DCA" w:rsidRPr="005C5E32" w14:paraId="24AA94F2" w14:textId="77777777" w:rsidTr="00004DF1">
        <w:tc>
          <w:tcPr>
            <w:tcW w:w="2495" w:type="dxa"/>
            <w:tcBorders>
              <w:top w:val="single" w:sz="2" w:space="0" w:color="58595B"/>
              <w:bottom w:val="single" w:sz="4" w:space="0" w:color="000000" w:themeColor="text1"/>
            </w:tcBorders>
          </w:tcPr>
          <w:p w14:paraId="46E638BB" w14:textId="77777777" w:rsidR="000F6DCA" w:rsidRPr="005C5E32" w:rsidRDefault="000F6DCA">
            <w:pPr>
              <w:pStyle w:val="TableText"/>
              <w:spacing w:before="40" w:after="40"/>
              <w:rPr>
                <w:rFonts w:cs="Calibri"/>
              </w:rPr>
            </w:pPr>
            <w:r w:rsidRPr="005C5E32">
              <w:rPr>
                <w:rFonts w:cs="Calibri"/>
              </w:rPr>
              <w:t>Repayable Capital Injection to the Environmental Protection Authority</w:t>
            </w:r>
          </w:p>
        </w:tc>
        <w:tc>
          <w:tcPr>
            <w:tcW w:w="1134" w:type="dxa"/>
            <w:tcBorders>
              <w:top w:val="single" w:sz="2" w:space="0" w:color="000000" w:themeColor="text1"/>
              <w:bottom w:val="single" w:sz="4" w:space="0" w:color="000000" w:themeColor="text1"/>
            </w:tcBorders>
            <w:shd w:val="clear" w:color="auto" w:fill="E7F2F2"/>
            <w:vAlign w:val="bottom"/>
          </w:tcPr>
          <w:p w14:paraId="091B3501" w14:textId="77777777" w:rsidR="000F6DCA" w:rsidRPr="005C5E32" w:rsidRDefault="000F6DCA">
            <w:pPr>
              <w:pStyle w:val="TableText"/>
              <w:spacing w:before="40" w:after="40"/>
              <w:jc w:val="right"/>
              <w:rPr>
                <w:rFonts w:cs="Calibri"/>
              </w:rPr>
            </w:pPr>
            <w:r w:rsidRPr="005C5E32">
              <w:t>10,000</w:t>
            </w:r>
          </w:p>
        </w:tc>
        <w:tc>
          <w:tcPr>
            <w:tcW w:w="1077" w:type="dxa"/>
            <w:tcBorders>
              <w:top w:val="single" w:sz="2" w:space="0" w:color="58595B"/>
              <w:bottom w:val="single" w:sz="4" w:space="0" w:color="000000" w:themeColor="text1"/>
            </w:tcBorders>
            <w:vAlign w:val="bottom"/>
          </w:tcPr>
          <w:p w14:paraId="73CD1D62" w14:textId="77777777" w:rsidR="000F6DCA" w:rsidRPr="005C5E32" w:rsidRDefault="000F6DCA">
            <w:pPr>
              <w:pStyle w:val="TableText"/>
              <w:spacing w:before="40" w:after="40"/>
              <w:jc w:val="right"/>
              <w:rPr>
                <w:rFonts w:cs="Calibri"/>
              </w:rPr>
            </w:pPr>
            <w:r w:rsidRPr="005C5E32">
              <w:t>–</w:t>
            </w:r>
          </w:p>
        </w:tc>
        <w:tc>
          <w:tcPr>
            <w:tcW w:w="1021" w:type="dxa"/>
            <w:tcBorders>
              <w:top w:val="single" w:sz="2" w:space="0" w:color="58595B"/>
              <w:bottom w:val="single" w:sz="4" w:space="0" w:color="000000" w:themeColor="text1"/>
            </w:tcBorders>
            <w:vAlign w:val="bottom"/>
          </w:tcPr>
          <w:p w14:paraId="1EED3762" w14:textId="77777777" w:rsidR="000F6DCA" w:rsidRPr="005C5E32" w:rsidRDefault="000F6DCA">
            <w:pPr>
              <w:pStyle w:val="TableText"/>
              <w:spacing w:before="40" w:after="40"/>
              <w:jc w:val="right"/>
              <w:rPr>
                <w:rFonts w:cs="Calibri"/>
              </w:rPr>
            </w:pPr>
            <w:r w:rsidRPr="005C5E32">
              <w:t>–</w:t>
            </w:r>
          </w:p>
        </w:tc>
        <w:tc>
          <w:tcPr>
            <w:tcW w:w="1077" w:type="dxa"/>
            <w:tcBorders>
              <w:top w:val="single" w:sz="2" w:space="0" w:color="000000" w:themeColor="text1"/>
              <w:bottom w:val="single" w:sz="4" w:space="0" w:color="000000" w:themeColor="text1"/>
            </w:tcBorders>
            <w:shd w:val="clear" w:color="auto" w:fill="E7F2F2"/>
            <w:vAlign w:val="bottom"/>
          </w:tcPr>
          <w:p w14:paraId="0D726AF8" w14:textId="77777777" w:rsidR="000F6DCA" w:rsidRPr="005C5E32" w:rsidRDefault="000F6DCA">
            <w:pPr>
              <w:pStyle w:val="TableText"/>
              <w:spacing w:before="40" w:after="40"/>
              <w:jc w:val="right"/>
              <w:rPr>
                <w:rFonts w:cs="Calibri"/>
              </w:rPr>
            </w:pPr>
            <w:r w:rsidRPr="005C5E32">
              <w:t>–</w:t>
            </w:r>
          </w:p>
        </w:tc>
        <w:tc>
          <w:tcPr>
            <w:tcW w:w="1134" w:type="dxa"/>
            <w:tcBorders>
              <w:top w:val="single" w:sz="2" w:space="0" w:color="58595B"/>
              <w:bottom w:val="single" w:sz="4" w:space="0" w:color="000000" w:themeColor="text1"/>
            </w:tcBorders>
            <w:vAlign w:val="bottom"/>
          </w:tcPr>
          <w:p w14:paraId="005053C6" w14:textId="77777777" w:rsidR="000F6DCA" w:rsidRPr="005C5E32" w:rsidRDefault="000F6DCA">
            <w:pPr>
              <w:pStyle w:val="TableText"/>
              <w:spacing w:before="40" w:after="40"/>
              <w:jc w:val="right"/>
              <w:rPr>
                <w:rFonts w:cs="Calibri"/>
              </w:rPr>
            </w:pPr>
          </w:p>
        </w:tc>
      </w:tr>
      <w:tr w:rsidR="000F6DCA" w:rsidRPr="005C5E32" w14:paraId="7A1B9E77" w14:textId="77777777" w:rsidTr="00004DF1">
        <w:tc>
          <w:tcPr>
            <w:tcW w:w="2495" w:type="dxa"/>
            <w:tcBorders>
              <w:top w:val="single" w:sz="2" w:space="0" w:color="58595B"/>
              <w:bottom w:val="single" w:sz="4" w:space="0" w:color="000000" w:themeColor="text1"/>
            </w:tcBorders>
          </w:tcPr>
          <w:p w14:paraId="3F20BC5E" w14:textId="77777777" w:rsidR="000F6DCA" w:rsidRPr="005C5E32" w:rsidRDefault="000F6DCA">
            <w:pPr>
              <w:pStyle w:val="TableText"/>
              <w:spacing w:before="40" w:after="40"/>
              <w:rPr>
                <w:rFonts w:cs="Calibri"/>
                <w:b/>
                <w:bCs/>
              </w:rPr>
            </w:pPr>
            <w:r w:rsidRPr="005C5E32">
              <w:rPr>
                <w:rFonts w:cs="Calibri"/>
                <w:b/>
                <w:bCs/>
              </w:rPr>
              <w:t>Total non-departmental capital expenditure</w:t>
            </w:r>
          </w:p>
        </w:tc>
        <w:tc>
          <w:tcPr>
            <w:tcW w:w="1134" w:type="dxa"/>
            <w:tcBorders>
              <w:top w:val="single" w:sz="2" w:space="0" w:color="58595B"/>
              <w:bottom w:val="single" w:sz="4" w:space="0" w:color="000000" w:themeColor="text1"/>
            </w:tcBorders>
            <w:shd w:val="clear" w:color="auto" w:fill="E7F2F2"/>
            <w:vAlign w:val="bottom"/>
          </w:tcPr>
          <w:p w14:paraId="65E729B4" w14:textId="77777777" w:rsidR="000F6DCA" w:rsidRPr="005C5E32" w:rsidRDefault="000F6DCA">
            <w:pPr>
              <w:pStyle w:val="TableText"/>
              <w:spacing w:before="40" w:after="40"/>
              <w:jc w:val="right"/>
              <w:rPr>
                <w:rFonts w:cs="Calibri"/>
                <w:b/>
                <w:bCs/>
              </w:rPr>
            </w:pPr>
            <w:r w:rsidRPr="005C5E32">
              <w:rPr>
                <w:rFonts w:cs="Calibri"/>
                <w:b/>
                <w:bCs/>
              </w:rPr>
              <w:t>10,360</w:t>
            </w:r>
          </w:p>
        </w:tc>
        <w:tc>
          <w:tcPr>
            <w:tcW w:w="1077" w:type="dxa"/>
            <w:tcBorders>
              <w:top w:val="single" w:sz="2" w:space="0" w:color="58595B"/>
              <w:bottom w:val="single" w:sz="4" w:space="0" w:color="000000" w:themeColor="text1"/>
            </w:tcBorders>
            <w:vAlign w:val="bottom"/>
          </w:tcPr>
          <w:p w14:paraId="7037CA23" w14:textId="77777777" w:rsidR="000F6DCA" w:rsidRPr="005C5E32" w:rsidRDefault="000F6DCA">
            <w:pPr>
              <w:pStyle w:val="TableText"/>
              <w:spacing w:before="40" w:after="40"/>
              <w:jc w:val="right"/>
              <w:rPr>
                <w:rFonts w:cs="Calibri"/>
                <w:b/>
                <w:bCs/>
              </w:rPr>
            </w:pPr>
            <w:r w:rsidRPr="005C5E32">
              <w:t>–</w:t>
            </w:r>
          </w:p>
        </w:tc>
        <w:tc>
          <w:tcPr>
            <w:tcW w:w="1021" w:type="dxa"/>
            <w:tcBorders>
              <w:top w:val="single" w:sz="2" w:space="0" w:color="58595B"/>
              <w:bottom w:val="single" w:sz="4" w:space="0" w:color="000000" w:themeColor="text1"/>
            </w:tcBorders>
            <w:vAlign w:val="bottom"/>
          </w:tcPr>
          <w:p w14:paraId="27528233" w14:textId="77777777" w:rsidR="000F6DCA" w:rsidRPr="005C5E32" w:rsidRDefault="000F6DCA">
            <w:pPr>
              <w:pStyle w:val="TableText"/>
              <w:spacing w:before="40" w:after="40"/>
              <w:jc w:val="right"/>
              <w:rPr>
                <w:rFonts w:cs="Calibri"/>
                <w:b/>
                <w:bCs/>
              </w:rPr>
            </w:pPr>
            <w:r w:rsidRPr="005C5E32">
              <w:t>–</w:t>
            </w:r>
          </w:p>
        </w:tc>
        <w:tc>
          <w:tcPr>
            <w:tcW w:w="1077" w:type="dxa"/>
            <w:tcBorders>
              <w:top w:val="single" w:sz="2" w:space="0" w:color="58595B"/>
              <w:bottom w:val="single" w:sz="4" w:space="0" w:color="000000" w:themeColor="text1"/>
            </w:tcBorders>
            <w:shd w:val="clear" w:color="auto" w:fill="E7F2F2"/>
            <w:vAlign w:val="bottom"/>
          </w:tcPr>
          <w:p w14:paraId="23599E25" w14:textId="77777777" w:rsidR="000F6DCA" w:rsidRPr="005C5E32" w:rsidRDefault="000F6DCA">
            <w:pPr>
              <w:pStyle w:val="TableText"/>
              <w:spacing w:before="40" w:after="40"/>
              <w:jc w:val="right"/>
              <w:rPr>
                <w:rFonts w:cs="Calibri"/>
                <w:b/>
                <w:bCs/>
              </w:rPr>
            </w:pPr>
            <w:r w:rsidRPr="005C5E32">
              <w:t>–</w:t>
            </w:r>
          </w:p>
        </w:tc>
        <w:tc>
          <w:tcPr>
            <w:tcW w:w="1134" w:type="dxa"/>
            <w:tcBorders>
              <w:top w:val="single" w:sz="2" w:space="0" w:color="58595B"/>
              <w:left w:val="nil"/>
              <w:bottom w:val="single" w:sz="4" w:space="0" w:color="000000" w:themeColor="text1"/>
            </w:tcBorders>
            <w:vAlign w:val="bottom"/>
          </w:tcPr>
          <w:p w14:paraId="7440EEF2" w14:textId="77777777" w:rsidR="000F6DCA" w:rsidRPr="005C5E32" w:rsidRDefault="000F6DCA">
            <w:pPr>
              <w:pStyle w:val="TableText"/>
              <w:spacing w:before="40" w:after="40"/>
              <w:jc w:val="right"/>
              <w:rPr>
                <w:rFonts w:cs="Calibri"/>
                <w:b/>
                <w:bCs/>
              </w:rPr>
            </w:pPr>
          </w:p>
        </w:tc>
      </w:tr>
      <w:tr w:rsidR="000F6DCA" w:rsidRPr="005C5E32" w14:paraId="6BB17830" w14:textId="77777777" w:rsidTr="00004DF1">
        <w:tc>
          <w:tcPr>
            <w:tcW w:w="2495" w:type="dxa"/>
            <w:tcBorders>
              <w:top w:val="single" w:sz="4" w:space="0" w:color="000000" w:themeColor="text1"/>
            </w:tcBorders>
          </w:tcPr>
          <w:p w14:paraId="109B3272" w14:textId="77777777" w:rsidR="000F6DCA" w:rsidRPr="005C5E32" w:rsidRDefault="000F6DCA">
            <w:pPr>
              <w:pStyle w:val="TableboldGreen"/>
              <w:spacing w:before="40" w:after="0"/>
              <w:rPr>
                <w:rFonts w:cs="Calibri"/>
              </w:rPr>
            </w:pPr>
            <w:r w:rsidRPr="005C5E32">
              <w:rPr>
                <w:rFonts w:cs="Calibri"/>
              </w:rPr>
              <w:t>Multi-category appropriations (MCA)</w:t>
            </w:r>
          </w:p>
        </w:tc>
        <w:tc>
          <w:tcPr>
            <w:tcW w:w="1134" w:type="dxa"/>
            <w:vMerge w:val="restart"/>
            <w:tcBorders>
              <w:top w:val="single" w:sz="4" w:space="0" w:color="000000" w:themeColor="text1"/>
            </w:tcBorders>
            <w:shd w:val="clear" w:color="auto" w:fill="E7F2F2"/>
            <w:vAlign w:val="bottom"/>
          </w:tcPr>
          <w:p w14:paraId="2CEAF297" w14:textId="77777777" w:rsidR="000F6DCA" w:rsidRPr="005C5E32" w:rsidRDefault="000F6DCA">
            <w:pPr>
              <w:pStyle w:val="TableTextbold"/>
              <w:spacing w:before="40" w:after="40"/>
              <w:jc w:val="right"/>
              <w:rPr>
                <w:rFonts w:cs="Calibri"/>
              </w:rPr>
            </w:pPr>
            <w:r w:rsidRPr="005C5E32">
              <w:rPr>
                <w:rFonts w:cs="Calibri"/>
              </w:rPr>
              <w:t>57,966</w:t>
            </w:r>
          </w:p>
        </w:tc>
        <w:tc>
          <w:tcPr>
            <w:tcW w:w="1077" w:type="dxa"/>
            <w:tcBorders>
              <w:top w:val="single" w:sz="4" w:space="0" w:color="000000" w:themeColor="text1"/>
            </w:tcBorders>
            <w:vAlign w:val="bottom"/>
          </w:tcPr>
          <w:p w14:paraId="4C696704" w14:textId="77777777" w:rsidR="000F6DCA" w:rsidRPr="005C5E32" w:rsidRDefault="000F6DCA">
            <w:pPr>
              <w:pStyle w:val="TableTextbold"/>
              <w:spacing w:before="40" w:after="0"/>
              <w:jc w:val="right"/>
              <w:rPr>
                <w:rFonts w:cs="Calibri"/>
              </w:rPr>
            </w:pPr>
          </w:p>
        </w:tc>
        <w:tc>
          <w:tcPr>
            <w:tcW w:w="1021" w:type="dxa"/>
            <w:tcBorders>
              <w:top w:val="single" w:sz="4" w:space="0" w:color="000000" w:themeColor="text1"/>
            </w:tcBorders>
            <w:vAlign w:val="bottom"/>
          </w:tcPr>
          <w:p w14:paraId="02A1EE55" w14:textId="77777777" w:rsidR="000F6DCA" w:rsidRPr="005C5E32" w:rsidRDefault="000F6DCA">
            <w:pPr>
              <w:pStyle w:val="TableTextbold"/>
              <w:spacing w:before="40" w:after="0"/>
              <w:jc w:val="right"/>
              <w:rPr>
                <w:rFonts w:cs="Calibri"/>
              </w:rPr>
            </w:pPr>
          </w:p>
        </w:tc>
        <w:tc>
          <w:tcPr>
            <w:tcW w:w="1077" w:type="dxa"/>
            <w:vMerge w:val="restart"/>
            <w:tcBorders>
              <w:top w:val="single" w:sz="4" w:space="0" w:color="000000" w:themeColor="text1"/>
            </w:tcBorders>
            <w:shd w:val="clear" w:color="auto" w:fill="E7F2F2"/>
            <w:vAlign w:val="bottom"/>
          </w:tcPr>
          <w:p w14:paraId="1940D93F" w14:textId="77777777" w:rsidR="000F6DCA" w:rsidRPr="005C5E32" w:rsidRDefault="000F6DCA">
            <w:pPr>
              <w:pStyle w:val="TableTextbold"/>
              <w:spacing w:before="40" w:after="40"/>
              <w:jc w:val="right"/>
              <w:rPr>
                <w:rFonts w:cs="Calibri"/>
              </w:rPr>
            </w:pPr>
            <w:r w:rsidRPr="005C5E32">
              <w:rPr>
                <w:rFonts w:cs="Calibri"/>
              </w:rPr>
              <w:t>56,149</w:t>
            </w:r>
          </w:p>
        </w:tc>
        <w:tc>
          <w:tcPr>
            <w:tcW w:w="1134" w:type="dxa"/>
            <w:vMerge w:val="restart"/>
            <w:tcBorders>
              <w:top w:val="single" w:sz="4" w:space="0" w:color="000000" w:themeColor="text1"/>
              <w:left w:val="nil"/>
            </w:tcBorders>
            <w:vAlign w:val="bottom"/>
          </w:tcPr>
          <w:p w14:paraId="569D4D75" w14:textId="77777777" w:rsidR="000F6DCA" w:rsidRPr="005C5E32" w:rsidRDefault="000F6DCA">
            <w:pPr>
              <w:pStyle w:val="TableTextbold"/>
              <w:spacing w:before="40" w:after="40"/>
              <w:jc w:val="right"/>
              <w:rPr>
                <w:rFonts w:cs="Calibri"/>
              </w:rPr>
            </w:pPr>
          </w:p>
        </w:tc>
      </w:tr>
      <w:tr w:rsidR="000F6DCA" w:rsidRPr="005C5E32" w14:paraId="5609CF3C" w14:textId="77777777" w:rsidTr="00446C4D">
        <w:tc>
          <w:tcPr>
            <w:tcW w:w="2495" w:type="dxa"/>
            <w:tcBorders>
              <w:bottom w:val="single" w:sz="2" w:space="0" w:color="000000" w:themeColor="text1"/>
            </w:tcBorders>
          </w:tcPr>
          <w:p w14:paraId="125CBEDA" w14:textId="77777777" w:rsidR="000F6DCA" w:rsidRPr="005C5E32" w:rsidRDefault="000F6DCA">
            <w:pPr>
              <w:pStyle w:val="TableTextbold"/>
              <w:spacing w:before="40" w:after="40"/>
              <w:rPr>
                <w:rFonts w:cs="Calibri"/>
              </w:rPr>
            </w:pPr>
            <w:r w:rsidRPr="005C5E32">
              <w:rPr>
                <w:rFonts w:cs="Calibri"/>
              </w:rPr>
              <w:t>Product Stewardship MCA</w:t>
            </w:r>
          </w:p>
        </w:tc>
        <w:tc>
          <w:tcPr>
            <w:tcW w:w="1134" w:type="dxa"/>
            <w:vMerge/>
            <w:tcBorders>
              <w:bottom w:val="single" w:sz="2" w:space="0" w:color="000000" w:themeColor="text1"/>
            </w:tcBorders>
          </w:tcPr>
          <w:p w14:paraId="0B127CF4" w14:textId="77777777" w:rsidR="000F6DCA" w:rsidRPr="005C5E32" w:rsidRDefault="000F6DCA">
            <w:pPr>
              <w:pStyle w:val="TableTextbold"/>
              <w:spacing w:before="40" w:after="40"/>
              <w:jc w:val="right"/>
              <w:rPr>
                <w:rFonts w:cs="Calibri"/>
              </w:rPr>
            </w:pPr>
          </w:p>
        </w:tc>
        <w:tc>
          <w:tcPr>
            <w:tcW w:w="1077" w:type="dxa"/>
            <w:tcBorders>
              <w:bottom w:val="single" w:sz="2" w:space="0" w:color="000000" w:themeColor="text1"/>
            </w:tcBorders>
            <w:vAlign w:val="bottom"/>
          </w:tcPr>
          <w:p w14:paraId="5F504241" w14:textId="77777777" w:rsidR="000F6DCA" w:rsidRPr="005C5E32" w:rsidRDefault="000F6DCA">
            <w:pPr>
              <w:pStyle w:val="TableTextbold"/>
              <w:spacing w:before="40" w:after="40"/>
              <w:jc w:val="right"/>
              <w:rPr>
                <w:rFonts w:cs="Calibri"/>
              </w:rPr>
            </w:pPr>
            <w:r w:rsidRPr="005C5E32">
              <w:rPr>
                <w:rFonts w:cs="Calibri"/>
              </w:rPr>
              <w:t>65,610</w:t>
            </w:r>
          </w:p>
        </w:tc>
        <w:tc>
          <w:tcPr>
            <w:tcW w:w="1021" w:type="dxa"/>
            <w:tcBorders>
              <w:bottom w:val="single" w:sz="2" w:space="0" w:color="000000" w:themeColor="text1"/>
            </w:tcBorders>
            <w:vAlign w:val="bottom"/>
          </w:tcPr>
          <w:p w14:paraId="250A987F" w14:textId="77777777" w:rsidR="000F6DCA" w:rsidRPr="005C5E32" w:rsidRDefault="000F6DCA">
            <w:pPr>
              <w:pStyle w:val="TableTextbold"/>
              <w:spacing w:before="40" w:after="40"/>
              <w:jc w:val="right"/>
              <w:rPr>
                <w:rFonts w:cs="Calibri"/>
              </w:rPr>
            </w:pPr>
            <w:r w:rsidRPr="005C5E32">
              <w:rPr>
                <w:rFonts w:cs="Calibri"/>
              </w:rPr>
              <w:t>65,610</w:t>
            </w:r>
          </w:p>
        </w:tc>
        <w:tc>
          <w:tcPr>
            <w:tcW w:w="1077" w:type="dxa"/>
            <w:vMerge/>
            <w:tcBorders>
              <w:bottom w:val="single" w:sz="2" w:space="0" w:color="000000" w:themeColor="text1"/>
            </w:tcBorders>
            <w:vAlign w:val="bottom"/>
          </w:tcPr>
          <w:p w14:paraId="228914A8" w14:textId="77777777" w:rsidR="000F6DCA" w:rsidRPr="005C5E32" w:rsidRDefault="000F6DCA">
            <w:pPr>
              <w:pStyle w:val="TableTextbold"/>
              <w:spacing w:before="40" w:after="40"/>
              <w:jc w:val="right"/>
              <w:rPr>
                <w:rFonts w:cs="Calibri"/>
              </w:rPr>
            </w:pPr>
          </w:p>
        </w:tc>
        <w:tc>
          <w:tcPr>
            <w:tcW w:w="1134" w:type="dxa"/>
            <w:vMerge/>
            <w:tcBorders>
              <w:bottom w:val="single" w:sz="2" w:space="0" w:color="000000" w:themeColor="text1"/>
            </w:tcBorders>
            <w:vAlign w:val="bottom"/>
          </w:tcPr>
          <w:p w14:paraId="59A625ED" w14:textId="77777777" w:rsidR="000F6DCA" w:rsidRPr="005C5E32" w:rsidRDefault="000F6DCA">
            <w:pPr>
              <w:pStyle w:val="TableTextbold"/>
              <w:spacing w:before="40" w:after="40"/>
              <w:jc w:val="right"/>
              <w:rPr>
                <w:rFonts w:cs="Calibri"/>
              </w:rPr>
            </w:pPr>
          </w:p>
        </w:tc>
      </w:tr>
      <w:tr w:rsidR="000F6DCA" w:rsidRPr="005C5E32" w14:paraId="33B6E06D" w14:textId="77777777" w:rsidTr="00177641">
        <w:tc>
          <w:tcPr>
            <w:tcW w:w="2495" w:type="dxa"/>
            <w:tcBorders>
              <w:top w:val="single" w:sz="2" w:space="0" w:color="000000" w:themeColor="text1"/>
            </w:tcBorders>
          </w:tcPr>
          <w:p w14:paraId="51601E57" w14:textId="77777777" w:rsidR="000F6DCA" w:rsidRPr="005C5E32" w:rsidRDefault="000F6DCA" w:rsidP="00916048">
            <w:pPr>
              <w:pStyle w:val="TableboldGreen"/>
              <w:keepNext/>
              <w:spacing w:before="40" w:after="0"/>
              <w:rPr>
                <w:rFonts w:cs="Calibri"/>
              </w:rPr>
            </w:pPr>
            <w:r w:rsidRPr="005C5E32">
              <w:rPr>
                <w:rFonts w:cs="Calibri"/>
              </w:rPr>
              <w:lastRenderedPageBreak/>
              <w:t>Departmental output expenses</w:t>
            </w:r>
          </w:p>
        </w:tc>
        <w:tc>
          <w:tcPr>
            <w:tcW w:w="1134" w:type="dxa"/>
            <w:vMerge w:val="restart"/>
            <w:tcBorders>
              <w:top w:val="single" w:sz="2" w:space="0" w:color="000000" w:themeColor="text1"/>
              <w:bottom w:val="single" w:sz="2" w:space="0" w:color="000000" w:themeColor="text1"/>
            </w:tcBorders>
            <w:shd w:val="clear" w:color="auto" w:fill="E7F2F2"/>
            <w:vAlign w:val="bottom"/>
          </w:tcPr>
          <w:p w14:paraId="6F78DEDF" w14:textId="77777777" w:rsidR="000F6DCA" w:rsidRPr="005C5E32" w:rsidRDefault="000F6DCA">
            <w:pPr>
              <w:widowControl w:val="0"/>
              <w:autoSpaceDE w:val="0"/>
              <w:autoSpaceDN w:val="0"/>
              <w:spacing w:before="40" w:after="40" w:line="240" w:lineRule="auto"/>
              <w:ind w:right="120"/>
              <w:jc w:val="right"/>
              <w:rPr>
                <w:rFonts w:eastAsia="Lato" w:cs="Calibri"/>
                <w:sz w:val="18"/>
              </w:rPr>
            </w:pPr>
            <w:r w:rsidRPr="005C5E32">
              <w:rPr>
                <w:rFonts w:eastAsia="Lato" w:cs="Calibri"/>
                <w:color w:val="414042"/>
                <w:sz w:val="18"/>
              </w:rPr>
              <w:t>624</w:t>
            </w:r>
          </w:p>
        </w:tc>
        <w:tc>
          <w:tcPr>
            <w:tcW w:w="1077" w:type="dxa"/>
            <w:tcBorders>
              <w:top w:val="single" w:sz="2" w:space="0" w:color="000000" w:themeColor="text1"/>
            </w:tcBorders>
            <w:vAlign w:val="bottom"/>
          </w:tcPr>
          <w:p w14:paraId="0B0B071A" w14:textId="77777777" w:rsidR="000F6DCA" w:rsidRPr="005C5E32" w:rsidRDefault="000F6DCA">
            <w:pPr>
              <w:spacing w:before="40" w:after="0"/>
              <w:jc w:val="right"/>
              <w:rPr>
                <w:rFonts w:eastAsia="MS Mincho" w:cs="Calibri"/>
              </w:rPr>
            </w:pPr>
          </w:p>
        </w:tc>
        <w:tc>
          <w:tcPr>
            <w:tcW w:w="1021" w:type="dxa"/>
            <w:tcBorders>
              <w:top w:val="single" w:sz="2" w:space="0" w:color="000000" w:themeColor="text1"/>
            </w:tcBorders>
            <w:vAlign w:val="bottom"/>
          </w:tcPr>
          <w:p w14:paraId="411C2E1D" w14:textId="77777777" w:rsidR="000F6DCA" w:rsidRPr="005C5E32" w:rsidRDefault="000F6DCA">
            <w:pPr>
              <w:spacing w:before="40" w:after="40"/>
              <w:jc w:val="right"/>
              <w:rPr>
                <w:rFonts w:eastAsia="MS Mincho" w:cs="Calibri"/>
              </w:rPr>
            </w:pPr>
          </w:p>
        </w:tc>
        <w:tc>
          <w:tcPr>
            <w:tcW w:w="1077" w:type="dxa"/>
            <w:vMerge w:val="restart"/>
            <w:tcBorders>
              <w:top w:val="single" w:sz="2" w:space="0" w:color="000000" w:themeColor="text1"/>
              <w:bottom w:val="single" w:sz="2" w:space="0" w:color="000000" w:themeColor="text1"/>
            </w:tcBorders>
            <w:shd w:val="clear" w:color="auto" w:fill="E7F2F2"/>
            <w:vAlign w:val="bottom"/>
          </w:tcPr>
          <w:p w14:paraId="7121D4D1" w14:textId="77777777" w:rsidR="000F6DCA" w:rsidRPr="005C5E32" w:rsidRDefault="000F6DCA">
            <w:pPr>
              <w:widowControl w:val="0"/>
              <w:autoSpaceDE w:val="0"/>
              <w:autoSpaceDN w:val="0"/>
              <w:spacing w:before="40" w:after="40" w:line="240" w:lineRule="auto"/>
              <w:ind w:right="120"/>
              <w:jc w:val="right"/>
              <w:rPr>
                <w:rFonts w:eastAsia="Lato" w:cs="Calibri"/>
                <w:color w:val="414042"/>
                <w:sz w:val="18"/>
              </w:rPr>
            </w:pPr>
            <w:r w:rsidRPr="005C5E32">
              <w:rPr>
                <w:rFonts w:eastAsia="Lato" w:cs="Calibri"/>
                <w:color w:val="414042"/>
                <w:sz w:val="18"/>
              </w:rPr>
              <w:t>552</w:t>
            </w:r>
          </w:p>
        </w:tc>
        <w:tc>
          <w:tcPr>
            <w:tcW w:w="1134" w:type="dxa"/>
            <w:tcBorders>
              <w:top w:val="single" w:sz="2" w:space="0" w:color="000000" w:themeColor="text1"/>
            </w:tcBorders>
            <w:vAlign w:val="bottom"/>
          </w:tcPr>
          <w:p w14:paraId="03D8EADD" w14:textId="77777777" w:rsidR="000F6DCA" w:rsidRPr="005C5E32" w:rsidRDefault="000F6DCA">
            <w:pPr>
              <w:spacing w:before="40" w:after="40"/>
              <w:jc w:val="right"/>
              <w:rPr>
                <w:rFonts w:eastAsia="MS Mincho" w:cs="Calibri"/>
              </w:rPr>
            </w:pPr>
          </w:p>
        </w:tc>
      </w:tr>
      <w:tr w:rsidR="000F6DCA" w:rsidRPr="005C5E32" w14:paraId="07D12DF9" w14:textId="77777777" w:rsidTr="00177641">
        <w:tc>
          <w:tcPr>
            <w:tcW w:w="2495" w:type="dxa"/>
            <w:tcBorders>
              <w:bottom w:val="single" w:sz="2" w:space="0" w:color="000000" w:themeColor="text1"/>
            </w:tcBorders>
          </w:tcPr>
          <w:p w14:paraId="09CC7BA9" w14:textId="77777777" w:rsidR="000F6DCA" w:rsidRPr="005C5E32" w:rsidRDefault="000F6DCA">
            <w:pPr>
              <w:pStyle w:val="TableText"/>
              <w:spacing w:before="40" w:after="40"/>
              <w:rPr>
                <w:rFonts w:cs="Calibri"/>
              </w:rPr>
            </w:pPr>
            <w:r w:rsidRPr="005C5E32">
              <w:rPr>
                <w:rFonts w:cs="Calibri"/>
              </w:rPr>
              <w:t>Product Stewardship Administration</w:t>
            </w:r>
          </w:p>
        </w:tc>
        <w:tc>
          <w:tcPr>
            <w:tcW w:w="1134" w:type="dxa"/>
            <w:vMerge/>
            <w:tcBorders>
              <w:bottom w:val="single" w:sz="2" w:space="0" w:color="000000" w:themeColor="text1"/>
            </w:tcBorders>
            <w:vAlign w:val="bottom"/>
          </w:tcPr>
          <w:p w14:paraId="04B0AF81" w14:textId="77777777" w:rsidR="000F6DCA" w:rsidRPr="005C5E32" w:rsidRDefault="000F6DCA">
            <w:pPr>
              <w:pStyle w:val="TableText"/>
              <w:spacing w:before="40" w:after="40"/>
              <w:jc w:val="right"/>
              <w:rPr>
                <w:rFonts w:cs="Calibri"/>
              </w:rPr>
            </w:pPr>
          </w:p>
        </w:tc>
        <w:tc>
          <w:tcPr>
            <w:tcW w:w="1077" w:type="dxa"/>
            <w:tcBorders>
              <w:bottom w:val="single" w:sz="2" w:space="0" w:color="000000" w:themeColor="text1"/>
            </w:tcBorders>
            <w:vAlign w:val="bottom"/>
          </w:tcPr>
          <w:p w14:paraId="0949A8AE" w14:textId="77777777" w:rsidR="000F6DCA" w:rsidRPr="005C5E32" w:rsidRDefault="000F6DCA">
            <w:pPr>
              <w:pStyle w:val="TableText"/>
              <w:spacing w:before="40" w:after="40"/>
              <w:jc w:val="right"/>
              <w:rPr>
                <w:rFonts w:cs="Calibri"/>
              </w:rPr>
            </w:pPr>
            <w:r w:rsidRPr="005C5E32">
              <w:rPr>
                <w:rFonts w:cs="Calibri"/>
              </w:rPr>
              <w:t>1,154</w:t>
            </w:r>
          </w:p>
        </w:tc>
        <w:tc>
          <w:tcPr>
            <w:tcW w:w="1021" w:type="dxa"/>
            <w:tcBorders>
              <w:bottom w:val="single" w:sz="2" w:space="0" w:color="000000" w:themeColor="text1"/>
            </w:tcBorders>
            <w:vAlign w:val="bottom"/>
          </w:tcPr>
          <w:p w14:paraId="69D8D341" w14:textId="77777777" w:rsidR="000F6DCA" w:rsidRPr="005C5E32" w:rsidRDefault="000F6DCA">
            <w:pPr>
              <w:pStyle w:val="TableText"/>
              <w:spacing w:before="40" w:after="40"/>
              <w:jc w:val="right"/>
              <w:rPr>
                <w:rFonts w:cs="Calibri"/>
              </w:rPr>
            </w:pPr>
            <w:r w:rsidRPr="005C5E32">
              <w:rPr>
                <w:rFonts w:cs="Calibri"/>
              </w:rPr>
              <w:t>1,154</w:t>
            </w:r>
          </w:p>
        </w:tc>
        <w:tc>
          <w:tcPr>
            <w:tcW w:w="1077" w:type="dxa"/>
            <w:vMerge/>
            <w:tcBorders>
              <w:bottom w:val="single" w:sz="2" w:space="0" w:color="000000" w:themeColor="text1"/>
            </w:tcBorders>
            <w:vAlign w:val="bottom"/>
          </w:tcPr>
          <w:p w14:paraId="3E2D5FB9" w14:textId="77777777" w:rsidR="000F6DCA" w:rsidRPr="005C5E32" w:rsidRDefault="000F6DCA">
            <w:pPr>
              <w:pStyle w:val="TableText"/>
              <w:spacing w:before="40" w:after="40"/>
              <w:jc w:val="right"/>
              <w:rPr>
                <w:rFonts w:cs="Calibri"/>
              </w:rPr>
            </w:pPr>
          </w:p>
        </w:tc>
        <w:tc>
          <w:tcPr>
            <w:tcW w:w="1134" w:type="dxa"/>
            <w:tcBorders>
              <w:bottom w:val="single" w:sz="2" w:space="0" w:color="000000" w:themeColor="text1"/>
            </w:tcBorders>
            <w:vAlign w:val="bottom"/>
          </w:tcPr>
          <w:p w14:paraId="2D21E168" w14:textId="77777777" w:rsidR="000F6DCA" w:rsidRPr="005C5E32" w:rsidRDefault="000F6DCA">
            <w:pPr>
              <w:pStyle w:val="TableText"/>
              <w:spacing w:before="40" w:after="40"/>
              <w:jc w:val="right"/>
              <w:rPr>
                <w:rFonts w:cs="Calibri"/>
              </w:rPr>
            </w:pPr>
            <w:r w:rsidRPr="005C5E32">
              <w:rPr>
                <w:rFonts w:cs="Calibri"/>
              </w:rPr>
              <w:t>a</w:t>
            </w:r>
          </w:p>
        </w:tc>
      </w:tr>
      <w:tr w:rsidR="000F6DCA" w:rsidRPr="005C5E32" w14:paraId="07BCB187" w14:textId="77777777" w:rsidTr="00177641">
        <w:tc>
          <w:tcPr>
            <w:tcW w:w="2495" w:type="dxa"/>
            <w:tcBorders>
              <w:top w:val="single" w:sz="2" w:space="0" w:color="000000" w:themeColor="text1"/>
            </w:tcBorders>
          </w:tcPr>
          <w:p w14:paraId="7EDD5F1A" w14:textId="77777777" w:rsidR="000F6DCA" w:rsidRPr="005C5E32" w:rsidRDefault="000F6DCA">
            <w:pPr>
              <w:pStyle w:val="TableboldGreen"/>
              <w:spacing w:before="40" w:after="0"/>
              <w:rPr>
                <w:rFonts w:cs="Calibri"/>
              </w:rPr>
            </w:pPr>
            <w:r w:rsidRPr="005C5E32">
              <w:rPr>
                <w:rFonts w:cs="Calibri"/>
              </w:rPr>
              <w:t>Non-departmental output expenses</w:t>
            </w:r>
          </w:p>
        </w:tc>
        <w:tc>
          <w:tcPr>
            <w:tcW w:w="1134" w:type="dxa"/>
            <w:vMerge w:val="restart"/>
            <w:tcBorders>
              <w:top w:val="single" w:sz="2" w:space="0" w:color="000000" w:themeColor="text1"/>
            </w:tcBorders>
            <w:shd w:val="clear" w:color="auto" w:fill="E7F2F2"/>
            <w:vAlign w:val="bottom"/>
          </w:tcPr>
          <w:p w14:paraId="0D966AC0" w14:textId="77777777" w:rsidR="000F6DCA" w:rsidRPr="005C5E32" w:rsidRDefault="000F6DCA">
            <w:pPr>
              <w:pStyle w:val="TableText"/>
              <w:spacing w:before="40" w:after="40"/>
              <w:jc w:val="right"/>
              <w:rPr>
                <w:rFonts w:cs="Calibri"/>
              </w:rPr>
            </w:pPr>
            <w:r w:rsidRPr="005C5E32">
              <w:rPr>
                <w:rFonts w:cs="Calibri"/>
              </w:rPr>
              <w:t>57,342</w:t>
            </w:r>
          </w:p>
        </w:tc>
        <w:tc>
          <w:tcPr>
            <w:tcW w:w="1077" w:type="dxa"/>
            <w:tcBorders>
              <w:top w:val="single" w:sz="2" w:space="0" w:color="000000" w:themeColor="text1"/>
            </w:tcBorders>
            <w:vAlign w:val="bottom"/>
          </w:tcPr>
          <w:p w14:paraId="5E89F66E" w14:textId="77777777" w:rsidR="000F6DCA" w:rsidRPr="005C5E32" w:rsidRDefault="000F6DCA">
            <w:pPr>
              <w:pStyle w:val="TableText"/>
              <w:spacing w:before="40" w:after="40"/>
              <w:jc w:val="right"/>
              <w:rPr>
                <w:rFonts w:cs="Calibri"/>
              </w:rPr>
            </w:pPr>
          </w:p>
        </w:tc>
        <w:tc>
          <w:tcPr>
            <w:tcW w:w="1021" w:type="dxa"/>
            <w:tcBorders>
              <w:top w:val="single" w:sz="2" w:space="0" w:color="000000" w:themeColor="text1"/>
            </w:tcBorders>
            <w:vAlign w:val="bottom"/>
          </w:tcPr>
          <w:p w14:paraId="6DBFBA04" w14:textId="77777777" w:rsidR="000F6DCA" w:rsidRPr="005C5E32" w:rsidRDefault="000F6DCA">
            <w:pPr>
              <w:pStyle w:val="TableText"/>
              <w:spacing w:before="40" w:after="40"/>
              <w:jc w:val="right"/>
              <w:rPr>
                <w:rFonts w:cs="Calibri"/>
              </w:rPr>
            </w:pPr>
          </w:p>
        </w:tc>
        <w:tc>
          <w:tcPr>
            <w:tcW w:w="1077" w:type="dxa"/>
            <w:vMerge w:val="restart"/>
            <w:tcBorders>
              <w:top w:val="single" w:sz="2" w:space="0" w:color="000000" w:themeColor="text1"/>
            </w:tcBorders>
            <w:shd w:val="clear" w:color="auto" w:fill="E7F2F2"/>
            <w:vAlign w:val="bottom"/>
          </w:tcPr>
          <w:p w14:paraId="6F502668" w14:textId="77777777" w:rsidR="000F6DCA" w:rsidRPr="005C5E32" w:rsidRDefault="000F6DCA">
            <w:pPr>
              <w:pStyle w:val="TableText"/>
              <w:spacing w:before="40" w:after="40"/>
              <w:jc w:val="right"/>
              <w:rPr>
                <w:rFonts w:cs="Calibri"/>
              </w:rPr>
            </w:pPr>
            <w:r w:rsidRPr="005C5E32">
              <w:rPr>
                <w:rFonts w:cs="Calibri"/>
              </w:rPr>
              <w:t>55,597</w:t>
            </w:r>
          </w:p>
        </w:tc>
        <w:tc>
          <w:tcPr>
            <w:tcW w:w="1134" w:type="dxa"/>
            <w:tcBorders>
              <w:top w:val="single" w:sz="2" w:space="0" w:color="000000" w:themeColor="text1"/>
            </w:tcBorders>
            <w:vAlign w:val="bottom"/>
          </w:tcPr>
          <w:p w14:paraId="1F1BC762" w14:textId="77777777" w:rsidR="000F6DCA" w:rsidRPr="005C5E32" w:rsidRDefault="000F6DCA">
            <w:pPr>
              <w:pStyle w:val="TableText"/>
              <w:spacing w:before="40" w:after="40"/>
              <w:jc w:val="right"/>
              <w:rPr>
                <w:rFonts w:cs="Calibri"/>
              </w:rPr>
            </w:pPr>
          </w:p>
        </w:tc>
      </w:tr>
      <w:tr w:rsidR="000F6DCA" w:rsidRPr="005C5E32" w14:paraId="18A0AC9D" w14:textId="77777777" w:rsidTr="00004DF1">
        <w:tc>
          <w:tcPr>
            <w:tcW w:w="2495" w:type="dxa"/>
            <w:tcBorders>
              <w:bottom w:val="single" w:sz="2" w:space="0" w:color="000000" w:themeColor="text1"/>
            </w:tcBorders>
          </w:tcPr>
          <w:p w14:paraId="6CF340FC" w14:textId="77777777" w:rsidR="000F6DCA" w:rsidRPr="005C5E32" w:rsidRDefault="000F6DCA">
            <w:pPr>
              <w:pStyle w:val="TableText"/>
              <w:spacing w:before="40" w:after="40"/>
            </w:pPr>
            <w:r w:rsidRPr="005C5E32">
              <w:t>Tyre stewardship fee administration</w:t>
            </w:r>
          </w:p>
        </w:tc>
        <w:tc>
          <w:tcPr>
            <w:tcW w:w="1134" w:type="dxa"/>
            <w:vMerge/>
            <w:vAlign w:val="bottom"/>
          </w:tcPr>
          <w:p w14:paraId="4B11058C" w14:textId="77777777" w:rsidR="000F6DCA" w:rsidRPr="005C5E32" w:rsidRDefault="000F6DCA">
            <w:pPr>
              <w:pStyle w:val="TableText"/>
              <w:spacing w:before="40" w:after="40"/>
            </w:pPr>
          </w:p>
        </w:tc>
        <w:tc>
          <w:tcPr>
            <w:tcW w:w="1077" w:type="dxa"/>
            <w:tcBorders>
              <w:bottom w:val="single" w:sz="2" w:space="0" w:color="000000" w:themeColor="text1"/>
            </w:tcBorders>
            <w:vAlign w:val="bottom"/>
          </w:tcPr>
          <w:p w14:paraId="670EAB64" w14:textId="77777777" w:rsidR="000F6DCA" w:rsidRPr="005C5E32" w:rsidRDefault="000F6DCA">
            <w:pPr>
              <w:pStyle w:val="TableText"/>
              <w:spacing w:before="40" w:after="40"/>
              <w:jc w:val="right"/>
            </w:pPr>
            <w:r w:rsidRPr="005C5E32">
              <w:t>64,456</w:t>
            </w:r>
          </w:p>
        </w:tc>
        <w:tc>
          <w:tcPr>
            <w:tcW w:w="1021" w:type="dxa"/>
            <w:tcBorders>
              <w:bottom w:val="single" w:sz="2" w:space="0" w:color="000000" w:themeColor="text1"/>
            </w:tcBorders>
            <w:vAlign w:val="bottom"/>
          </w:tcPr>
          <w:p w14:paraId="38D20BDF" w14:textId="77777777" w:rsidR="000F6DCA" w:rsidRPr="005C5E32" w:rsidRDefault="000F6DCA">
            <w:pPr>
              <w:pStyle w:val="TableText"/>
              <w:spacing w:before="40" w:after="40"/>
              <w:jc w:val="right"/>
            </w:pPr>
            <w:r w:rsidRPr="005C5E32">
              <w:t>64,456</w:t>
            </w:r>
          </w:p>
        </w:tc>
        <w:tc>
          <w:tcPr>
            <w:tcW w:w="1077" w:type="dxa"/>
            <w:vMerge/>
            <w:vAlign w:val="bottom"/>
          </w:tcPr>
          <w:p w14:paraId="6D1E3D1B" w14:textId="77777777" w:rsidR="000F6DCA" w:rsidRPr="005C5E32" w:rsidRDefault="000F6DCA">
            <w:pPr>
              <w:pStyle w:val="TableText"/>
              <w:spacing w:before="40" w:after="40"/>
              <w:jc w:val="right"/>
            </w:pPr>
          </w:p>
        </w:tc>
        <w:tc>
          <w:tcPr>
            <w:tcW w:w="1134" w:type="dxa"/>
            <w:tcBorders>
              <w:bottom w:val="single" w:sz="2" w:space="0" w:color="000000" w:themeColor="text1"/>
            </w:tcBorders>
            <w:vAlign w:val="bottom"/>
          </w:tcPr>
          <w:p w14:paraId="77948AE0" w14:textId="77777777" w:rsidR="000F6DCA" w:rsidRPr="005C5E32" w:rsidRDefault="000F6DCA">
            <w:pPr>
              <w:pStyle w:val="TableText"/>
              <w:spacing w:before="40" w:after="40"/>
              <w:jc w:val="right"/>
            </w:pPr>
            <w:r w:rsidRPr="005C5E32">
              <w:t>a</w:t>
            </w:r>
          </w:p>
        </w:tc>
      </w:tr>
      <w:tr w:rsidR="000F6DCA" w:rsidRPr="005C5E32" w14:paraId="19747327" w14:textId="77777777" w:rsidTr="00004DF1">
        <w:tc>
          <w:tcPr>
            <w:tcW w:w="2495" w:type="dxa"/>
            <w:tcBorders>
              <w:top w:val="single" w:sz="4" w:space="0" w:color="000000" w:themeColor="text1"/>
            </w:tcBorders>
          </w:tcPr>
          <w:p w14:paraId="670AB29D" w14:textId="77777777" w:rsidR="000F6DCA" w:rsidRPr="005C5E32" w:rsidRDefault="000F6DCA">
            <w:pPr>
              <w:pStyle w:val="TableboldGreen"/>
              <w:spacing w:before="40" w:after="0"/>
              <w:rPr>
                <w:rFonts w:cs="Calibri"/>
              </w:rPr>
            </w:pPr>
            <w:r w:rsidRPr="005C5E32">
              <w:rPr>
                <w:rFonts w:cs="Calibri"/>
              </w:rPr>
              <w:t>Multi-category appropriations (MCA)</w:t>
            </w:r>
          </w:p>
        </w:tc>
        <w:tc>
          <w:tcPr>
            <w:tcW w:w="1134" w:type="dxa"/>
            <w:vMerge w:val="restart"/>
            <w:tcBorders>
              <w:top w:val="single" w:sz="4" w:space="0" w:color="000000" w:themeColor="text1"/>
            </w:tcBorders>
            <w:shd w:val="clear" w:color="auto" w:fill="E7F2F2"/>
            <w:vAlign w:val="bottom"/>
          </w:tcPr>
          <w:p w14:paraId="207317FD" w14:textId="77777777" w:rsidR="000F6DCA" w:rsidRPr="005C5E32" w:rsidRDefault="000F6DCA">
            <w:pPr>
              <w:pStyle w:val="TableTextbold"/>
              <w:spacing w:before="40" w:after="40"/>
              <w:jc w:val="right"/>
              <w:rPr>
                <w:rFonts w:cs="Calibri"/>
              </w:rPr>
            </w:pPr>
            <w:r w:rsidRPr="005C5E32">
              <w:rPr>
                <w:rFonts w:cs="Calibri"/>
              </w:rPr>
              <w:t>164,896</w:t>
            </w:r>
          </w:p>
        </w:tc>
        <w:tc>
          <w:tcPr>
            <w:tcW w:w="1077" w:type="dxa"/>
            <w:tcBorders>
              <w:top w:val="single" w:sz="4" w:space="0" w:color="000000" w:themeColor="text1"/>
            </w:tcBorders>
            <w:vAlign w:val="bottom"/>
          </w:tcPr>
          <w:p w14:paraId="7A6C0E69" w14:textId="77777777" w:rsidR="000F6DCA" w:rsidRPr="005C5E32" w:rsidRDefault="000F6DCA">
            <w:pPr>
              <w:pStyle w:val="TableTextbold"/>
              <w:spacing w:before="40" w:after="40"/>
              <w:jc w:val="right"/>
              <w:rPr>
                <w:rFonts w:cs="Calibri"/>
              </w:rPr>
            </w:pPr>
          </w:p>
        </w:tc>
        <w:tc>
          <w:tcPr>
            <w:tcW w:w="1021" w:type="dxa"/>
            <w:tcBorders>
              <w:top w:val="single" w:sz="4" w:space="0" w:color="000000" w:themeColor="text1"/>
            </w:tcBorders>
            <w:vAlign w:val="bottom"/>
          </w:tcPr>
          <w:p w14:paraId="1E71D99E" w14:textId="77777777" w:rsidR="000F6DCA" w:rsidRPr="005C5E32" w:rsidRDefault="000F6DCA">
            <w:pPr>
              <w:pStyle w:val="TableTextbold"/>
              <w:spacing w:before="40" w:after="40"/>
              <w:jc w:val="right"/>
              <w:rPr>
                <w:rFonts w:cs="Calibri"/>
              </w:rPr>
            </w:pPr>
          </w:p>
        </w:tc>
        <w:tc>
          <w:tcPr>
            <w:tcW w:w="1077" w:type="dxa"/>
            <w:vMerge w:val="restart"/>
            <w:tcBorders>
              <w:top w:val="single" w:sz="4" w:space="0" w:color="000000" w:themeColor="text1"/>
            </w:tcBorders>
            <w:shd w:val="clear" w:color="auto" w:fill="E7F2F2"/>
            <w:vAlign w:val="bottom"/>
          </w:tcPr>
          <w:p w14:paraId="10B64576" w14:textId="77777777" w:rsidR="000F6DCA" w:rsidRPr="005C5E32" w:rsidRDefault="000F6DCA">
            <w:pPr>
              <w:pStyle w:val="TableTextbold"/>
              <w:spacing w:before="40" w:after="40"/>
              <w:jc w:val="right"/>
            </w:pPr>
            <w:r w:rsidRPr="005C5E32">
              <w:rPr>
                <w:rFonts w:cs="Calibri"/>
              </w:rPr>
              <w:t>190,063</w:t>
            </w:r>
          </w:p>
        </w:tc>
        <w:tc>
          <w:tcPr>
            <w:tcW w:w="1134" w:type="dxa"/>
            <w:vMerge w:val="restart"/>
            <w:tcBorders>
              <w:top w:val="single" w:sz="4" w:space="0" w:color="000000" w:themeColor="text1"/>
              <w:left w:val="nil"/>
            </w:tcBorders>
            <w:vAlign w:val="bottom"/>
          </w:tcPr>
          <w:p w14:paraId="26014302" w14:textId="77777777" w:rsidR="000F6DCA" w:rsidRPr="005C5E32" w:rsidRDefault="000F6DCA">
            <w:pPr>
              <w:pStyle w:val="TableTextbold"/>
              <w:spacing w:before="40" w:after="40"/>
              <w:jc w:val="right"/>
              <w:rPr>
                <w:rFonts w:cs="Calibri"/>
              </w:rPr>
            </w:pPr>
          </w:p>
        </w:tc>
      </w:tr>
      <w:tr w:rsidR="000F6DCA" w:rsidRPr="005C5E32" w14:paraId="3CD92616" w14:textId="77777777" w:rsidTr="00004DF1">
        <w:tc>
          <w:tcPr>
            <w:tcW w:w="2495" w:type="dxa"/>
            <w:tcBorders>
              <w:bottom w:val="single" w:sz="2" w:space="0" w:color="000000" w:themeColor="text1"/>
            </w:tcBorders>
          </w:tcPr>
          <w:p w14:paraId="23726753" w14:textId="77777777" w:rsidR="000F6DCA" w:rsidRPr="005C5E32" w:rsidRDefault="000F6DCA">
            <w:pPr>
              <w:pStyle w:val="TableTextbold"/>
              <w:spacing w:before="40" w:after="40"/>
              <w:rPr>
                <w:rFonts w:cs="Calibri"/>
              </w:rPr>
            </w:pPr>
            <w:r w:rsidRPr="005C5E32">
              <w:rPr>
                <w:rFonts w:cs="Calibri"/>
              </w:rPr>
              <w:t>Waste Minimisation MCA</w:t>
            </w:r>
          </w:p>
        </w:tc>
        <w:tc>
          <w:tcPr>
            <w:tcW w:w="1134" w:type="dxa"/>
            <w:vMerge/>
          </w:tcPr>
          <w:p w14:paraId="76F2B1EB" w14:textId="77777777" w:rsidR="000F6DCA" w:rsidRPr="005C5E32" w:rsidRDefault="000F6DCA">
            <w:pPr>
              <w:spacing w:before="40" w:after="40"/>
              <w:jc w:val="right"/>
              <w:rPr>
                <w:rFonts w:eastAsia="MS Mincho" w:cs="Calibri"/>
              </w:rPr>
            </w:pPr>
          </w:p>
        </w:tc>
        <w:tc>
          <w:tcPr>
            <w:tcW w:w="1077" w:type="dxa"/>
            <w:tcBorders>
              <w:bottom w:val="single" w:sz="2" w:space="0" w:color="000000" w:themeColor="text1"/>
            </w:tcBorders>
            <w:vAlign w:val="bottom"/>
          </w:tcPr>
          <w:p w14:paraId="57A06B3F" w14:textId="61EFB6E8" w:rsidR="000F6DCA" w:rsidRPr="005C5E32" w:rsidRDefault="000F6DCA">
            <w:pPr>
              <w:pStyle w:val="TableTextbold"/>
              <w:spacing w:before="40" w:after="40"/>
              <w:jc w:val="right"/>
              <w:rPr>
                <w:rFonts w:eastAsia="Lato" w:cs="Calibri"/>
                <w:b w:val="0"/>
              </w:rPr>
            </w:pPr>
            <w:r w:rsidRPr="005C5E32">
              <w:rPr>
                <w:rFonts w:cs="Calibri"/>
              </w:rPr>
              <w:t>288,080</w:t>
            </w:r>
          </w:p>
        </w:tc>
        <w:tc>
          <w:tcPr>
            <w:tcW w:w="1021" w:type="dxa"/>
            <w:tcBorders>
              <w:bottom w:val="single" w:sz="2" w:space="0" w:color="000000" w:themeColor="text1"/>
            </w:tcBorders>
            <w:vAlign w:val="bottom"/>
          </w:tcPr>
          <w:p w14:paraId="403F38DD" w14:textId="77777777" w:rsidR="000F6DCA" w:rsidRPr="005C5E32" w:rsidRDefault="000F6DCA">
            <w:pPr>
              <w:pStyle w:val="TableTextbold"/>
              <w:spacing w:before="40" w:after="40"/>
              <w:jc w:val="right"/>
              <w:rPr>
                <w:rFonts w:eastAsia="Lato" w:cs="Calibri"/>
                <w:b w:val="0"/>
              </w:rPr>
            </w:pPr>
            <w:r w:rsidRPr="005C5E32">
              <w:rPr>
                <w:rFonts w:cs="Calibri"/>
              </w:rPr>
              <w:t>269,765</w:t>
            </w:r>
          </w:p>
        </w:tc>
        <w:tc>
          <w:tcPr>
            <w:tcW w:w="1077" w:type="dxa"/>
            <w:vMerge/>
          </w:tcPr>
          <w:p w14:paraId="54753C1E" w14:textId="77777777" w:rsidR="000F6DCA" w:rsidRPr="005C5E32" w:rsidRDefault="000F6DCA">
            <w:pPr>
              <w:spacing w:before="40" w:after="40"/>
              <w:jc w:val="right"/>
              <w:rPr>
                <w:rFonts w:eastAsia="MS Mincho" w:cs="Calibri"/>
              </w:rPr>
            </w:pPr>
          </w:p>
        </w:tc>
        <w:tc>
          <w:tcPr>
            <w:tcW w:w="1134" w:type="dxa"/>
            <w:vMerge/>
          </w:tcPr>
          <w:p w14:paraId="2687A532" w14:textId="77777777" w:rsidR="000F6DCA" w:rsidRPr="005C5E32" w:rsidRDefault="000F6DCA">
            <w:pPr>
              <w:spacing w:before="40" w:after="40"/>
              <w:jc w:val="right"/>
              <w:rPr>
                <w:rFonts w:eastAsia="MS Mincho" w:cs="Calibri"/>
              </w:rPr>
            </w:pPr>
          </w:p>
        </w:tc>
      </w:tr>
      <w:tr w:rsidR="000F6DCA" w:rsidRPr="005C5E32" w14:paraId="7E881B93" w14:textId="77777777" w:rsidTr="00004DF1">
        <w:tc>
          <w:tcPr>
            <w:tcW w:w="2495" w:type="dxa"/>
            <w:tcBorders>
              <w:top w:val="single" w:sz="2" w:space="0" w:color="000000" w:themeColor="text1"/>
            </w:tcBorders>
          </w:tcPr>
          <w:p w14:paraId="7196F94C" w14:textId="77777777" w:rsidR="000F6DCA" w:rsidRPr="005C5E32" w:rsidRDefault="000F6DCA">
            <w:pPr>
              <w:pStyle w:val="TableboldGreen"/>
              <w:spacing w:before="40" w:after="0"/>
              <w:rPr>
                <w:rFonts w:cs="Calibri"/>
              </w:rPr>
            </w:pPr>
            <w:r w:rsidRPr="005C5E32">
              <w:rPr>
                <w:rFonts w:cs="Calibri"/>
              </w:rPr>
              <w:t>Departmental output expenses</w:t>
            </w:r>
          </w:p>
        </w:tc>
        <w:tc>
          <w:tcPr>
            <w:tcW w:w="1134" w:type="dxa"/>
            <w:vMerge w:val="restart"/>
            <w:tcBorders>
              <w:top w:val="single" w:sz="2" w:space="0" w:color="000000" w:themeColor="text1"/>
              <w:bottom w:val="single" w:sz="2" w:space="0" w:color="000000" w:themeColor="text1"/>
            </w:tcBorders>
            <w:shd w:val="clear" w:color="auto" w:fill="E7F2F2"/>
            <w:vAlign w:val="bottom"/>
          </w:tcPr>
          <w:p w14:paraId="47E6DA9C" w14:textId="77777777" w:rsidR="000F6DCA" w:rsidRPr="005C5E32" w:rsidRDefault="000F6DCA">
            <w:pPr>
              <w:pStyle w:val="TableText"/>
              <w:spacing w:before="40" w:after="40"/>
              <w:jc w:val="right"/>
              <w:rPr>
                <w:rFonts w:cs="Calibri"/>
              </w:rPr>
            </w:pPr>
            <w:r w:rsidRPr="005C5E32">
              <w:rPr>
                <w:rFonts w:cs="Calibri"/>
              </w:rPr>
              <w:t>16,870</w:t>
            </w:r>
          </w:p>
        </w:tc>
        <w:tc>
          <w:tcPr>
            <w:tcW w:w="1077" w:type="dxa"/>
            <w:tcBorders>
              <w:top w:val="single" w:sz="2" w:space="0" w:color="000000" w:themeColor="text1"/>
            </w:tcBorders>
            <w:vAlign w:val="bottom"/>
          </w:tcPr>
          <w:p w14:paraId="7E5D7234" w14:textId="77777777" w:rsidR="000F6DCA" w:rsidRPr="005C5E32" w:rsidRDefault="000F6DCA">
            <w:pPr>
              <w:pStyle w:val="TableText"/>
              <w:spacing w:before="40" w:after="40"/>
              <w:jc w:val="right"/>
              <w:rPr>
                <w:rFonts w:eastAsia="MS Mincho" w:cs="Calibri"/>
              </w:rPr>
            </w:pPr>
          </w:p>
        </w:tc>
        <w:tc>
          <w:tcPr>
            <w:tcW w:w="1021" w:type="dxa"/>
            <w:tcBorders>
              <w:top w:val="single" w:sz="2" w:space="0" w:color="000000" w:themeColor="text1"/>
            </w:tcBorders>
            <w:vAlign w:val="bottom"/>
          </w:tcPr>
          <w:p w14:paraId="61F3256E" w14:textId="77777777" w:rsidR="000F6DCA" w:rsidRPr="005C5E32" w:rsidRDefault="000F6DCA">
            <w:pPr>
              <w:pStyle w:val="TableText"/>
              <w:spacing w:before="40" w:after="40"/>
              <w:jc w:val="right"/>
              <w:rPr>
                <w:rFonts w:eastAsia="MS Mincho" w:cs="Calibri"/>
              </w:rPr>
            </w:pPr>
          </w:p>
        </w:tc>
        <w:tc>
          <w:tcPr>
            <w:tcW w:w="1077" w:type="dxa"/>
            <w:vMerge w:val="restart"/>
            <w:tcBorders>
              <w:top w:val="single" w:sz="2" w:space="0" w:color="000000" w:themeColor="text1"/>
              <w:bottom w:val="single" w:sz="2" w:space="0" w:color="000000" w:themeColor="text1"/>
            </w:tcBorders>
            <w:shd w:val="clear" w:color="auto" w:fill="E7F2F2"/>
            <w:vAlign w:val="bottom"/>
          </w:tcPr>
          <w:p w14:paraId="47EFE692" w14:textId="77777777" w:rsidR="000F6DCA" w:rsidRPr="005C5E32" w:rsidRDefault="000F6DCA">
            <w:pPr>
              <w:pStyle w:val="TableText"/>
              <w:spacing w:before="40" w:after="40"/>
              <w:jc w:val="right"/>
              <w:rPr>
                <w:rFonts w:cs="Calibri"/>
              </w:rPr>
            </w:pPr>
            <w:r w:rsidRPr="005C5E32">
              <w:rPr>
                <w:rFonts w:cs="Calibri"/>
              </w:rPr>
              <w:t>12,732</w:t>
            </w:r>
          </w:p>
        </w:tc>
        <w:tc>
          <w:tcPr>
            <w:tcW w:w="1134" w:type="dxa"/>
            <w:tcBorders>
              <w:top w:val="single" w:sz="2" w:space="0" w:color="000000" w:themeColor="text1"/>
            </w:tcBorders>
            <w:vAlign w:val="bottom"/>
          </w:tcPr>
          <w:p w14:paraId="4F6F5E79" w14:textId="77777777" w:rsidR="000F6DCA" w:rsidRPr="005C5E32" w:rsidRDefault="000F6DCA">
            <w:pPr>
              <w:pStyle w:val="TableText"/>
              <w:spacing w:before="40" w:after="40"/>
              <w:jc w:val="right"/>
              <w:rPr>
                <w:rFonts w:eastAsia="MS Mincho" w:cs="Calibri"/>
              </w:rPr>
            </w:pPr>
          </w:p>
        </w:tc>
      </w:tr>
      <w:tr w:rsidR="000F6DCA" w:rsidRPr="005C5E32" w14:paraId="257F6117" w14:textId="77777777" w:rsidTr="00004DF1">
        <w:tc>
          <w:tcPr>
            <w:tcW w:w="2495" w:type="dxa"/>
            <w:tcBorders>
              <w:bottom w:val="single" w:sz="2" w:space="0" w:color="000000" w:themeColor="text1"/>
            </w:tcBorders>
          </w:tcPr>
          <w:p w14:paraId="4696CB84" w14:textId="77777777" w:rsidR="000F6DCA" w:rsidRPr="005C5E32" w:rsidRDefault="000F6DCA">
            <w:pPr>
              <w:pStyle w:val="TableText"/>
              <w:spacing w:before="40" w:after="40"/>
            </w:pPr>
            <w:r w:rsidRPr="005C5E32">
              <w:t>Environment Work Programme</w:t>
            </w:r>
          </w:p>
        </w:tc>
        <w:tc>
          <w:tcPr>
            <w:tcW w:w="1134" w:type="dxa"/>
            <w:vMerge/>
            <w:vAlign w:val="bottom"/>
          </w:tcPr>
          <w:p w14:paraId="220A5D33" w14:textId="77777777" w:rsidR="000F6DCA" w:rsidRPr="005C5E32" w:rsidRDefault="000F6DCA">
            <w:pPr>
              <w:pStyle w:val="TableText"/>
              <w:spacing w:before="40" w:after="40"/>
              <w:rPr>
                <w:rFonts w:eastAsia="MS Mincho"/>
              </w:rPr>
            </w:pPr>
          </w:p>
        </w:tc>
        <w:tc>
          <w:tcPr>
            <w:tcW w:w="1077" w:type="dxa"/>
            <w:tcBorders>
              <w:bottom w:val="single" w:sz="2" w:space="0" w:color="000000" w:themeColor="text1"/>
            </w:tcBorders>
            <w:vAlign w:val="bottom"/>
          </w:tcPr>
          <w:p w14:paraId="02A623A1" w14:textId="77777777" w:rsidR="000F6DCA" w:rsidRPr="005C5E32" w:rsidRDefault="000F6DCA">
            <w:pPr>
              <w:pStyle w:val="TableText"/>
              <w:spacing w:before="40" w:after="40"/>
              <w:jc w:val="right"/>
            </w:pPr>
            <w:r w:rsidRPr="005C5E32">
              <w:t>15,223</w:t>
            </w:r>
          </w:p>
        </w:tc>
        <w:tc>
          <w:tcPr>
            <w:tcW w:w="1021" w:type="dxa"/>
            <w:tcBorders>
              <w:bottom w:val="single" w:sz="2" w:space="0" w:color="000000" w:themeColor="text1"/>
            </w:tcBorders>
            <w:vAlign w:val="bottom"/>
          </w:tcPr>
          <w:p w14:paraId="3AB19082" w14:textId="77777777" w:rsidR="000F6DCA" w:rsidRPr="005C5E32" w:rsidRDefault="000F6DCA">
            <w:pPr>
              <w:pStyle w:val="TableText"/>
              <w:spacing w:before="40" w:after="40"/>
              <w:jc w:val="right"/>
            </w:pPr>
            <w:r w:rsidRPr="005C5E32">
              <w:t>13,673</w:t>
            </w:r>
          </w:p>
        </w:tc>
        <w:tc>
          <w:tcPr>
            <w:tcW w:w="1077" w:type="dxa"/>
            <w:vMerge/>
            <w:vAlign w:val="bottom"/>
          </w:tcPr>
          <w:p w14:paraId="4901ADD6" w14:textId="77777777" w:rsidR="000F6DCA" w:rsidRPr="005C5E32" w:rsidRDefault="000F6DCA">
            <w:pPr>
              <w:pStyle w:val="TableText"/>
              <w:spacing w:before="40" w:after="40"/>
              <w:jc w:val="right"/>
              <w:rPr>
                <w:rFonts w:eastAsia="MS Mincho"/>
              </w:rPr>
            </w:pPr>
          </w:p>
        </w:tc>
        <w:tc>
          <w:tcPr>
            <w:tcW w:w="1134" w:type="dxa"/>
            <w:tcBorders>
              <w:bottom w:val="single" w:sz="2" w:space="0" w:color="000000" w:themeColor="text1"/>
            </w:tcBorders>
            <w:vAlign w:val="bottom"/>
          </w:tcPr>
          <w:p w14:paraId="454C91BA" w14:textId="77777777" w:rsidR="000F6DCA" w:rsidRPr="005C5E32" w:rsidRDefault="000F6DCA">
            <w:pPr>
              <w:pStyle w:val="TableText"/>
              <w:spacing w:before="40" w:after="40"/>
              <w:jc w:val="right"/>
            </w:pPr>
            <w:r w:rsidRPr="005C5E32">
              <w:t>a</w:t>
            </w:r>
          </w:p>
        </w:tc>
      </w:tr>
      <w:tr w:rsidR="000F6DCA" w:rsidRPr="005C5E32" w14:paraId="14C2811D" w14:textId="77777777" w:rsidTr="00004DF1">
        <w:tc>
          <w:tcPr>
            <w:tcW w:w="2495" w:type="dxa"/>
            <w:tcBorders>
              <w:top w:val="single" w:sz="2" w:space="0" w:color="000000" w:themeColor="text1"/>
            </w:tcBorders>
          </w:tcPr>
          <w:p w14:paraId="22BC8500" w14:textId="77777777" w:rsidR="000F6DCA" w:rsidRPr="005C5E32" w:rsidRDefault="000F6DCA">
            <w:pPr>
              <w:pStyle w:val="TableboldGreen"/>
              <w:spacing w:before="40" w:after="0"/>
              <w:rPr>
                <w:rFonts w:cs="Calibri"/>
              </w:rPr>
            </w:pPr>
            <w:r w:rsidRPr="005C5E32">
              <w:rPr>
                <w:rFonts w:cs="Calibri"/>
              </w:rPr>
              <w:t>Departmental output expenses</w:t>
            </w:r>
          </w:p>
        </w:tc>
        <w:tc>
          <w:tcPr>
            <w:tcW w:w="1134" w:type="dxa"/>
            <w:vMerge w:val="restart"/>
            <w:tcBorders>
              <w:top w:val="single" w:sz="2" w:space="0" w:color="000000" w:themeColor="text1"/>
            </w:tcBorders>
            <w:shd w:val="clear" w:color="auto" w:fill="E7F2F2"/>
            <w:vAlign w:val="bottom"/>
          </w:tcPr>
          <w:p w14:paraId="35471C14" w14:textId="77777777" w:rsidR="000F6DCA" w:rsidRPr="005C5E32" w:rsidRDefault="000F6DCA">
            <w:pPr>
              <w:pStyle w:val="TableText"/>
              <w:spacing w:before="40" w:after="40"/>
              <w:jc w:val="right"/>
              <w:rPr>
                <w:rFonts w:cs="Calibri"/>
              </w:rPr>
            </w:pPr>
            <w:r w:rsidRPr="005C5E32">
              <w:rPr>
                <w:rFonts w:cs="Calibri"/>
              </w:rPr>
              <w:t>12,555</w:t>
            </w:r>
          </w:p>
        </w:tc>
        <w:tc>
          <w:tcPr>
            <w:tcW w:w="1077" w:type="dxa"/>
            <w:tcBorders>
              <w:top w:val="single" w:sz="2" w:space="0" w:color="000000" w:themeColor="text1"/>
            </w:tcBorders>
            <w:vAlign w:val="bottom"/>
          </w:tcPr>
          <w:p w14:paraId="040D0542" w14:textId="77777777" w:rsidR="000F6DCA" w:rsidRPr="005C5E32" w:rsidRDefault="000F6DCA">
            <w:pPr>
              <w:pStyle w:val="TableText"/>
              <w:spacing w:before="40" w:after="40"/>
              <w:jc w:val="right"/>
              <w:rPr>
                <w:rFonts w:eastAsia="MS Mincho" w:cs="Calibri"/>
              </w:rPr>
            </w:pPr>
          </w:p>
        </w:tc>
        <w:tc>
          <w:tcPr>
            <w:tcW w:w="1021" w:type="dxa"/>
            <w:tcBorders>
              <w:top w:val="single" w:sz="2" w:space="0" w:color="000000" w:themeColor="text1"/>
            </w:tcBorders>
            <w:vAlign w:val="bottom"/>
          </w:tcPr>
          <w:p w14:paraId="028F6E3A" w14:textId="77777777" w:rsidR="000F6DCA" w:rsidRPr="005C5E32" w:rsidRDefault="000F6DCA">
            <w:pPr>
              <w:pStyle w:val="TableText"/>
              <w:spacing w:before="40" w:after="40"/>
              <w:jc w:val="right"/>
              <w:rPr>
                <w:rFonts w:eastAsia="MS Mincho" w:cs="Calibri"/>
              </w:rPr>
            </w:pPr>
          </w:p>
        </w:tc>
        <w:tc>
          <w:tcPr>
            <w:tcW w:w="1077" w:type="dxa"/>
            <w:vMerge w:val="restart"/>
            <w:tcBorders>
              <w:top w:val="single" w:sz="2" w:space="0" w:color="000000" w:themeColor="text1"/>
            </w:tcBorders>
            <w:shd w:val="clear" w:color="auto" w:fill="E7F2F2"/>
            <w:vAlign w:val="bottom"/>
          </w:tcPr>
          <w:p w14:paraId="538451DA" w14:textId="77777777" w:rsidR="000F6DCA" w:rsidRPr="005C5E32" w:rsidRDefault="000F6DCA">
            <w:pPr>
              <w:pStyle w:val="TableText"/>
              <w:spacing w:before="40" w:after="40"/>
              <w:jc w:val="right"/>
              <w:rPr>
                <w:rFonts w:cs="Calibri"/>
              </w:rPr>
            </w:pPr>
            <w:r w:rsidRPr="005C5E32">
              <w:rPr>
                <w:rFonts w:cs="Calibri"/>
              </w:rPr>
              <w:t>14,003</w:t>
            </w:r>
          </w:p>
        </w:tc>
        <w:tc>
          <w:tcPr>
            <w:tcW w:w="1134" w:type="dxa"/>
            <w:tcBorders>
              <w:top w:val="single" w:sz="2" w:space="0" w:color="000000" w:themeColor="text1"/>
            </w:tcBorders>
            <w:vAlign w:val="bottom"/>
          </w:tcPr>
          <w:p w14:paraId="72251C7B" w14:textId="77777777" w:rsidR="000F6DCA" w:rsidRPr="005C5E32" w:rsidRDefault="000F6DCA">
            <w:pPr>
              <w:pStyle w:val="TableText"/>
              <w:spacing w:before="40" w:after="40"/>
              <w:jc w:val="right"/>
              <w:rPr>
                <w:rFonts w:eastAsia="MS Mincho" w:cs="Calibri"/>
              </w:rPr>
            </w:pPr>
          </w:p>
        </w:tc>
      </w:tr>
      <w:tr w:rsidR="000F6DCA" w:rsidRPr="005C5E32" w14:paraId="134397A9" w14:textId="77777777" w:rsidTr="00004DF1">
        <w:tc>
          <w:tcPr>
            <w:tcW w:w="2495" w:type="dxa"/>
            <w:tcBorders>
              <w:bottom w:val="single" w:sz="2" w:space="0" w:color="000000" w:themeColor="text1"/>
            </w:tcBorders>
          </w:tcPr>
          <w:p w14:paraId="04DFF4B4" w14:textId="77777777" w:rsidR="000F6DCA" w:rsidRPr="005C5E32" w:rsidRDefault="000F6DCA">
            <w:pPr>
              <w:pStyle w:val="TableText"/>
              <w:spacing w:before="40" w:after="40"/>
              <w:rPr>
                <w:rFonts w:cs="Calibri"/>
              </w:rPr>
            </w:pPr>
            <w:r w:rsidRPr="005C5E32">
              <w:rPr>
                <w:rFonts w:cs="Calibri"/>
              </w:rPr>
              <w:t>Waste Minimisation Administration</w:t>
            </w:r>
          </w:p>
        </w:tc>
        <w:tc>
          <w:tcPr>
            <w:tcW w:w="1134" w:type="dxa"/>
            <w:vMerge/>
            <w:vAlign w:val="bottom"/>
          </w:tcPr>
          <w:p w14:paraId="1EBB5597" w14:textId="77777777" w:rsidR="000F6DCA" w:rsidRPr="005C5E32" w:rsidRDefault="000F6DCA">
            <w:pPr>
              <w:pStyle w:val="TableText"/>
              <w:spacing w:before="40" w:after="40"/>
              <w:jc w:val="right"/>
              <w:rPr>
                <w:rFonts w:eastAsia="MS Mincho" w:cs="Calibri"/>
              </w:rPr>
            </w:pPr>
          </w:p>
        </w:tc>
        <w:tc>
          <w:tcPr>
            <w:tcW w:w="1077" w:type="dxa"/>
            <w:tcBorders>
              <w:bottom w:val="single" w:sz="2" w:space="0" w:color="000000" w:themeColor="text1"/>
            </w:tcBorders>
            <w:vAlign w:val="bottom"/>
          </w:tcPr>
          <w:p w14:paraId="13CF3E2D" w14:textId="77777777" w:rsidR="000F6DCA" w:rsidRPr="005C5E32" w:rsidRDefault="000F6DCA">
            <w:pPr>
              <w:pStyle w:val="TableText"/>
              <w:spacing w:before="40" w:after="40"/>
              <w:jc w:val="right"/>
              <w:rPr>
                <w:rFonts w:cs="Calibri"/>
              </w:rPr>
            </w:pPr>
            <w:r w:rsidRPr="005C5E32">
              <w:rPr>
                <w:rFonts w:cs="Calibri"/>
              </w:rPr>
              <w:t>13,102</w:t>
            </w:r>
          </w:p>
        </w:tc>
        <w:tc>
          <w:tcPr>
            <w:tcW w:w="1021" w:type="dxa"/>
            <w:tcBorders>
              <w:bottom w:val="single" w:sz="2" w:space="0" w:color="000000" w:themeColor="text1"/>
            </w:tcBorders>
            <w:vAlign w:val="bottom"/>
          </w:tcPr>
          <w:p w14:paraId="1091004B" w14:textId="77777777" w:rsidR="000F6DCA" w:rsidRPr="005C5E32" w:rsidRDefault="000F6DCA">
            <w:pPr>
              <w:pStyle w:val="TableText"/>
              <w:spacing w:before="40" w:after="40"/>
              <w:jc w:val="right"/>
              <w:rPr>
                <w:rFonts w:cs="Calibri"/>
              </w:rPr>
            </w:pPr>
            <w:r w:rsidRPr="005C5E32">
              <w:rPr>
                <w:rFonts w:cs="Calibri"/>
              </w:rPr>
              <w:t>14,652</w:t>
            </w:r>
          </w:p>
        </w:tc>
        <w:tc>
          <w:tcPr>
            <w:tcW w:w="1077" w:type="dxa"/>
            <w:vMerge/>
            <w:vAlign w:val="bottom"/>
          </w:tcPr>
          <w:p w14:paraId="25C4FCB6" w14:textId="77777777" w:rsidR="000F6DCA" w:rsidRPr="005C5E32" w:rsidRDefault="000F6DCA">
            <w:pPr>
              <w:pStyle w:val="TableText"/>
              <w:spacing w:before="40" w:after="40"/>
              <w:jc w:val="right"/>
              <w:rPr>
                <w:rFonts w:eastAsia="MS Mincho" w:cs="Calibri"/>
              </w:rPr>
            </w:pPr>
          </w:p>
        </w:tc>
        <w:tc>
          <w:tcPr>
            <w:tcW w:w="1134" w:type="dxa"/>
            <w:tcBorders>
              <w:bottom w:val="single" w:sz="2" w:space="0" w:color="000000" w:themeColor="text1"/>
            </w:tcBorders>
            <w:vAlign w:val="bottom"/>
          </w:tcPr>
          <w:p w14:paraId="063751A3" w14:textId="77777777" w:rsidR="000F6DCA" w:rsidRPr="005C5E32" w:rsidRDefault="000F6DCA">
            <w:pPr>
              <w:pStyle w:val="TableText"/>
              <w:spacing w:before="40" w:after="40"/>
              <w:jc w:val="right"/>
              <w:rPr>
                <w:rFonts w:cs="Calibri"/>
              </w:rPr>
            </w:pPr>
            <w:r w:rsidRPr="005C5E32">
              <w:rPr>
                <w:rFonts w:cs="Calibri"/>
              </w:rPr>
              <w:t>a</w:t>
            </w:r>
          </w:p>
        </w:tc>
      </w:tr>
      <w:tr w:rsidR="000F6DCA" w:rsidRPr="005C5E32" w14:paraId="64E09BDA" w14:textId="77777777" w:rsidTr="00004DF1">
        <w:tc>
          <w:tcPr>
            <w:tcW w:w="2495" w:type="dxa"/>
            <w:tcBorders>
              <w:top w:val="single" w:sz="4" w:space="0" w:color="auto"/>
            </w:tcBorders>
          </w:tcPr>
          <w:p w14:paraId="231DDFC6" w14:textId="77777777" w:rsidR="000F6DCA" w:rsidRPr="005C5E32" w:rsidRDefault="000F6DCA">
            <w:pPr>
              <w:pStyle w:val="TableboldGreen"/>
              <w:spacing w:before="40" w:after="0"/>
              <w:rPr>
                <w:rFonts w:cs="Calibri"/>
              </w:rPr>
            </w:pPr>
            <w:r w:rsidRPr="005C5E32">
              <w:rPr>
                <w:rFonts w:cs="Calibri"/>
              </w:rPr>
              <w:t>Non-departmental output expenses</w:t>
            </w:r>
          </w:p>
        </w:tc>
        <w:tc>
          <w:tcPr>
            <w:tcW w:w="1134" w:type="dxa"/>
            <w:vMerge w:val="restart"/>
            <w:tcBorders>
              <w:top w:val="single" w:sz="4" w:space="0" w:color="auto"/>
            </w:tcBorders>
            <w:shd w:val="clear" w:color="auto" w:fill="E7F2F2"/>
            <w:vAlign w:val="bottom"/>
          </w:tcPr>
          <w:p w14:paraId="4C1E7D4E" w14:textId="77777777" w:rsidR="000F6DCA" w:rsidRPr="005C5E32" w:rsidRDefault="000F6DCA">
            <w:pPr>
              <w:pStyle w:val="TableText"/>
              <w:spacing w:before="40" w:after="40"/>
              <w:jc w:val="right"/>
              <w:rPr>
                <w:rFonts w:cs="Calibri"/>
              </w:rPr>
            </w:pPr>
            <w:r w:rsidRPr="005C5E32">
              <w:rPr>
                <w:rFonts w:cs="Calibri"/>
              </w:rPr>
              <w:t>5,850</w:t>
            </w:r>
          </w:p>
        </w:tc>
        <w:tc>
          <w:tcPr>
            <w:tcW w:w="1077" w:type="dxa"/>
            <w:tcBorders>
              <w:top w:val="single" w:sz="4" w:space="0" w:color="auto"/>
            </w:tcBorders>
            <w:vAlign w:val="bottom"/>
          </w:tcPr>
          <w:p w14:paraId="48B9F306" w14:textId="77777777" w:rsidR="000F6DCA" w:rsidRPr="005C5E32" w:rsidRDefault="000F6DCA">
            <w:pPr>
              <w:pStyle w:val="TableText"/>
              <w:spacing w:before="40" w:after="40"/>
              <w:jc w:val="right"/>
              <w:rPr>
                <w:rFonts w:eastAsia="MS Mincho" w:cs="Calibri"/>
              </w:rPr>
            </w:pPr>
          </w:p>
        </w:tc>
        <w:tc>
          <w:tcPr>
            <w:tcW w:w="1021" w:type="dxa"/>
            <w:tcBorders>
              <w:top w:val="single" w:sz="4" w:space="0" w:color="auto"/>
            </w:tcBorders>
            <w:vAlign w:val="bottom"/>
          </w:tcPr>
          <w:p w14:paraId="20AD1748" w14:textId="77777777" w:rsidR="000F6DCA" w:rsidRPr="005C5E32" w:rsidRDefault="000F6DCA">
            <w:pPr>
              <w:pStyle w:val="TableText"/>
              <w:spacing w:before="40" w:after="40"/>
              <w:jc w:val="right"/>
              <w:rPr>
                <w:rFonts w:eastAsia="MS Mincho" w:cs="Calibri"/>
                <w:szCs w:val="18"/>
              </w:rPr>
            </w:pPr>
          </w:p>
        </w:tc>
        <w:tc>
          <w:tcPr>
            <w:tcW w:w="1077" w:type="dxa"/>
            <w:vMerge w:val="restart"/>
            <w:tcBorders>
              <w:top w:val="single" w:sz="4" w:space="0" w:color="auto"/>
            </w:tcBorders>
            <w:shd w:val="clear" w:color="auto" w:fill="E7F2F2"/>
            <w:vAlign w:val="bottom"/>
          </w:tcPr>
          <w:p w14:paraId="2B62E06D" w14:textId="77777777" w:rsidR="000F6DCA" w:rsidRPr="005C5E32" w:rsidRDefault="000F6DCA">
            <w:pPr>
              <w:pStyle w:val="TableText"/>
              <w:spacing w:before="40" w:after="40"/>
              <w:jc w:val="right"/>
              <w:rPr>
                <w:rFonts w:cs="Calibri"/>
              </w:rPr>
            </w:pPr>
            <w:r w:rsidRPr="005C5E32">
              <w:rPr>
                <w:rFonts w:cs="Calibri"/>
              </w:rPr>
              <w:t>9,421</w:t>
            </w:r>
          </w:p>
        </w:tc>
        <w:tc>
          <w:tcPr>
            <w:tcW w:w="1134" w:type="dxa"/>
            <w:tcBorders>
              <w:top w:val="single" w:sz="4" w:space="0" w:color="auto"/>
            </w:tcBorders>
            <w:vAlign w:val="bottom"/>
          </w:tcPr>
          <w:p w14:paraId="77D942B2" w14:textId="77777777" w:rsidR="000F6DCA" w:rsidRPr="005C5E32" w:rsidRDefault="000F6DCA">
            <w:pPr>
              <w:pStyle w:val="TableText"/>
              <w:spacing w:before="40" w:after="40"/>
              <w:jc w:val="right"/>
              <w:rPr>
                <w:rFonts w:eastAsia="MS Mincho" w:cs="Calibri"/>
              </w:rPr>
            </w:pPr>
          </w:p>
        </w:tc>
      </w:tr>
      <w:tr w:rsidR="000F6DCA" w:rsidRPr="005C5E32" w14:paraId="53FAD193" w14:textId="77777777" w:rsidTr="00F0795A">
        <w:tc>
          <w:tcPr>
            <w:tcW w:w="2495" w:type="dxa"/>
            <w:tcBorders>
              <w:bottom w:val="single" w:sz="4" w:space="0" w:color="auto"/>
            </w:tcBorders>
          </w:tcPr>
          <w:p w14:paraId="17C7D755" w14:textId="77777777" w:rsidR="000F6DCA" w:rsidRPr="005C5E32" w:rsidRDefault="000F6DCA">
            <w:pPr>
              <w:pStyle w:val="TableText"/>
              <w:spacing w:before="40" w:after="40"/>
              <w:rPr>
                <w:rFonts w:cs="Calibri"/>
              </w:rPr>
            </w:pPr>
            <w:r w:rsidRPr="005C5E32">
              <w:rPr>
                <w:rFonts w:cs="Calibri"/>
              </w:rPr>
              <w:t>Contestable Waste Minimisation Fund</w:t>
            </w:r>
          </w:p>
        </w:tc>
        <w:tc>
          <w:tcPr>
            <w:tcW w:w="1134" w:type="dxa"/>
            <w:vMerge/>
            <w:tcBorders>
              <w:bottom w:val="single" w:sz="4" w:space="0" w:color="auto"/>
            </w:tcBorders>
            <w:vAlign w:val="bottom"/>
          </w:tcPr>
          <w:p w14:paraId="689CA940" w14:textId="77777777" w:rsidR="000F6DCA" w:rsidRPr="005C5E32" w:rsidRDefault="000F6DCA">
            <w:pPr>
              <w:pStyle w:val="TableText"/>
              <w:spacing w:before="40" w:after="40"/>
              <w:jc w:val="right"/>
              <w:rPr>
                <w:rFonts w:eastAsia="MS Mincho" w:cs="Calibri"/>
              </w:rPr>
            </w:pPr>
          </w:p>
        </w:tc>
        <w:tc>
          <w:tcPr>
            <w:tcW w:w="1077" w:type="dxa"/>
            <w:tcBorders>
              <w:bottom w:val="single" w:sz="4" w:space="0" w:color="auto"/>
            </w:tcBorders>
            <w:vAlign w:val="bottom"/>
          </w:tcPr>
          <w:p w14:paraId="5D15E021" w14:textId="77777777" w:rsidR="000F6DCA" w:rsidRPr="005C5E32" w:rsidRDefault="000F6DCA">
            <w:pPr>
              <w:pStyle w:val="TableText"/>
              <w:spacing w:before="40" w:after="40"/>
              <w:jc w:val="right"/>
              <w:rPr>
                <w:rFonts w:cs="Calibri"/>
              </w:rPr>
            </w:pPr>
            <w:r w:rsidRPr="005C5E32">
              <w:rPr>
                <w:rFonts w:cs="Calibri"/>
              </w:rPr>
              <w:t>34,308</w:t>
            </w:r>
          </w:p>
        </w:tc>
        <w:tc>
          <w:tcPr>
            <w:tcW w:w="1021" w:type="dxa"/>
            <w:tcBorders>
              <w:bottom w:val="single" w:sz="4" w:space="0" w:color="auto"/>
            </w:tcBorders>
            <w:vAlign w:val="bottom"/>
          </w:tcPr>
          <w:p w14:paraId="2B4430B3" w14:textId="77777777" w:rsidR="000F6DCA" w:rsidRPr="005C5E32" w:rsidRDefault="000F6DCA">
            <w:pPr>
              <w:pStyle w:val="TableText"/>
              <w:spacing w:before="40" w:after="40"/>
              <w:jc w:val="right"/>
              <w:rPr>
                <w:rFonts w:cs="Calibri"/>
                <w:szCs w:val="18"/>
              </w:rPr>
            </w:pPr>
            <w:r w:rsidRPr="005C5E32">
              <w:rPr>
                <w:rFonts w:cs="Calibri"/>
                <w:szCs w:val="18"/>
              </w:rPr>
              <w:t>30,000</w:t>
            </w:r>
          </w:p>
        </w:tc>
        <w:tc>
          <w:tcPr>
            <w:tcW w:w="1077" w:type="dxa"/>
            <w:vMerge/>
            <w:vAlign w:val="bottom"/>
          </w:tcPr>
          <w:p w14:paraId="720D0D47" w14:textId="77777777" w:rsidR="000F6DCA" w:rsidRPr="005C5E32" w:rsidRDefault="000F6DCA">
            <w:pPr>
              <w:pStyle w:val="TableText"/>
              <w:spacing w:before="40" w:after="40"/>
              <w:jc w:val="right"/>
              <w:rPr>
                <w:rFonts w:eastAsia="MS Mincho" w:cs="Calibri"/>
                <w:szCs w:val="18"/>
              </w:rPr>
            </w:pPr>
          </w:p>
        </w:tc>
        <w:tc>
          <w:tcPr>
            <w:tcW w:w="1134" w:type="dxa"/>
            <w:tcBorders>
              <w:bottom w:val="single" w:sz="4" w:space="0" w:color="auto"/>
            </w:tcBorders>
            <w:vAlign w:val="bottom"/>
          </w:tcPr>
          <w:p w14:paraId="56DC1412" w14:textId="77777777" w:rsidR="000F6DCA" w:rsidRPr="005C5E32" w:rsidRDefault="000F6DCA">
            <w:pPr>
              <w:pStyle w:val="TableText"/>
              <w:spacing w:before="40" w:after="40"/>
              <w:jc w:val="right"/>
              <w:rPr>
                <w:rFonts w:cs="Calibri"/>
              </w:rPr>
            </w:pPr>
            <w:r w:rsidRPr="005C5E32">
              <w:rPr>
                <w:rFonts w:cs="Calibri"/>
              </w:rPr>
              <w:t>a</w:t>
            </w:r>
          </w:p>
        </w:tc>
      </w:tr>
      <w:tr w:rsidR="000F6DCA" w:rsidRPr="005C5E32" w14:paraId="186D5666" w14:textId="77777777" w:rsidTr="00F0795A">
        <w:tc>
          <w:tcPr>
            <w:tcW w:w="2495" w:type="dxa"/>
            <w:tcBorders>
              <w:top w:val="single" w:sz="4" w:space="0" w:color="auto"/>
            </w:tcBorders>
          </w:tcPr>
          <w:p w14:paraId="5846E8D7" w14:textId="77777777" w:rsidR="000F6DCA" w:rsidRPr="005C5E32" w:rsidRDefault="000F6DCA">
            <w:pPr>
              <w:pStyle w:val="TableboldGreen"/>
              <w:keepNext/>
              <w:spacing w:before="40" w:after="0"/>
              <w:rPr>
                <w:rFonts w:cs="Calibri"/>
              </w:rPr>
            </w:pPr>
            <w:bookmarkStart w:id="444" w:name="_Hlk201138539"/>
            <w:r w:rsidRPr="005C5E32">
              <w:rPr>
                <w:rFonts w:cs="Calibri"/>
              </w:rPr>
              <w:t>Non-departmental output expenses</w:t>
            </w:r>
          </w:p>
        </w:tc>
        <w:tc>
          <w:tcPr>
            <w:tcW w:w="1134" w:type="dxa"/>
            <w:vMerge w:val="restart"/>
            <w:tcBorders>
              <w:top w:val="single" w:sz="4" w:space="0" w:color="auto"/>
              <w:bottom w:val="single" w:sz="4" w:space="0" w:color="auto"/>
            </w:tcBorders>
            <w:shd w:val="clear" w:color="auto" w:fill="E7F2F2"/>
            <w:vAlign w:val="bottom"/>
          </w:tcPr>
          <w:p w14:paraId="335F6449" w14:textId="77777777" w:rsidR="000F6DCA" w:rsidRPr="005C5E32" w:rsidRDefault="000F6DCA">
            <w:pPr>
              <w:pStyle w:val="TableText"/>
              <w:keepNext/>
              <w:spacing w:before="40" w:after="40"/>
              <w:jc w:val="right"/>
              <w:rPr>
                <w:rFonts w:cs="Calibri"/>
              </w:rPr>
            </w:pPr>
            <w:r w:rsidRPr="005C5E32">
              <w:rPr>
                <w:rFonts w:cs="Calibri"/>
              </w:rPr>
              <w:t>–</w:t>
            </w:r>
          </w:p>
        </w:tc>
        <w:tc>
          <w:tcPr>
            <w:tcW w:w="1077" w:type="dxa"/>
            <w:tcBorders>
              <w:top w:val="single" w:sz="4" w:space="0" w:color="auto"/>
            </w:tcBorders>
            <w:vAlign w:val="bottom"/>
          </w:tcPr>
          <w:p w14:paraId="6D9718BD" w14:textId="77777777" w:rsidR="000F6DCA" w:rsidRPr="005C5E32" w:rsidRDefault="000F6DCA">
            <w:pPr>
              <w:pStyle w:val="TableText"/>
              <w:keepNext/>
              <w:spacing w:before="40" w:after="40"/>
              <w:jc w:val="right"/>
              <w:rPr>
                <w:rFonts w:eastAsia="MS Mincho" w:cs="Calibri"/>
              </w:rPr>
            </w:pPr>
          </w:p>
        </w:tc>
        <w:tc>
          <w:tcPr>
            <w:tcW w:w="1021" w:type="dxa"/>
            <w:tcBorders>
              <w:top w:val="single" w:sz="4" w:space="0" w:color="auto"/>
            </w:tcBorders>
            <w:vAlign w:val="bottom"/>
          </w:tcPr>
          <w:p w14:paraId="589CEACB" w14:textId="77777777" w:rsidR="000F6DCA" w:rsidRPr="005C5E32" w:rsidRDefault="000F6DCA">
            <w:pPr>
              <w:pStyle w:val="TableText"/>
              <w:keepNext/>
              <w:spacing w:before="40" w:after="40"/>
              <w:jc w:val="right"/>
              <w:rPr>
                <w:rFonts w:eastAsia="MS Mincho" w:cs="Calibri"/>
                <w:szCs w:val="18"/>
              </w:rPr>
            </w:pPr>
          </w:p>
        </w:tc>
        <w:tc>
          <w:tcPr>
            <w:tcW w:w="1077" w:type="dxa"/>
            <w:vMerge w:val="restart"/>
            <w:tcBorders>
              <w:top w:val="single" w:sz="4" w:space="0" w:color="auto"/>
            </w:tcBorders>
            <w:shd w:val="clear" w:color="auto" w:fill="E7F2F2"/>
            <w:vAlign w:val="bottom"/>
          </w:tcPr>
          <w:p w14:paraId="16E84963" w14:textId="77777777" w:rsidR="000F6DCA" w:rsidRPr="005C5E32" w:rsidRDefault="000F6DCA">
            <w:pPr>
              <w:pStyle w:val="TableText"/>
              <w:keepNext/>
              <w:spacing w:before="40" w:after="40"/>
              <w:jc w:val="right"/>
              <w:rPr>
                <w:rFonts w:cs="Calibri"/>
              </w:rPr>
            </w:pPr>
            <w:r w:rsidRPr="005C5E32">
              <w:rPr>
                <w:rFonts w:cs="Calibri"/>
              </w:rPr>
              <w:t>45,284</w:t>
            </w:r>
          </w:p>
        </w:tc>
        <w:tc>
          <w:tcPr>
            <w:tcW w:w="1134" w:type="dxa"/>
            <w:tcBorders>
              <w:top w:val="single" w:sz="4" w:space="0" w:color="auto"/>
            </w:tcBorders>
            <w:vAlign w:val="bottom"/>
          </w:tcPr>
          <w:p w14:paraId="7C926D05" w14:textId="77777777" w:rsidR="000F6DCA" w:rsidRPr="005C5E32" w:rsidRDefault="000F6DCA">
            <w:pPr>
              <w:pStyle w:val="TableText"/>
              <w:keepNext/>
              <w:spacing w:before="40" w:after="40"/>
              <w:jc w:val="right"/>
              <w:rPr>
                <w:rFonts w:eastAsia="MS Mincho" w:cs="Calibri"/>
              </w:rPr>
            </w:pPr>
          </w:p>
        </w:tc>
      </w:tr>
      <w:tr w:rsidR="000F6DCA" w:rsidRPr="005C5E32" w14:paraId="46F58DA5" w14:textId="77777777" w:rsidTr="00F0795A">
        <w:tc>
          <w:tcPr>
            <w:tcW w:w="2495" w:type="dxa"/>
            <w:tcBorders>
              <w:bottom w:val="single" w:sz="4" w:space="0" w:color="auto"/>
            </w:tcBorders>
          </w:tcPr>
          <w:p w14:paraId="35984B04" w14:textId="77777777" w:rsidR="000F6DCA" w:rsidRPr="005C5E32" w:rsidRDefault="000F6DCA">
            <w:pPr>
              <w:pStyle w:val="TableText"/>
              <w:spacing w:before="40" w:after="40"/>
              <w:rPr>
                <w:rFonts w:cs="Calibri"/>
              </w:rPr>
            </w:pPr>
            <w:r w:rsidRPr="005C5E32">
              <w:rPr>
                <w:rFonts w:cs="Calibri"/>
              </w:rPr>
              <w:t>Environmental Investment Fund</w:t>
            </w:r>
          </w:p>
        </w:tc>
        <w:tc>
          <w:tcPr>
            <w:tcW w:w="1134" w:type="dxa"/>
            <w:vMerge/>
            <w:tcBorders>
              <w:bottom w:val="single" w:sz="4" w:space="0" w:color="auto"/>
            </w:tcBorders>
            <w:vAlign w:val="bottom"/>
          </w:tcPr>
          <w:p w14:paraId="2E82A8A1" w14:textId="77777777" w:rsidR="000F6DCA" w:rsidRPr="005C5E32" w:rsidRDefault="000F6DCA">
            <w:pPr>
              <w:pStyle w:val="TableText"/>
              <w:spacing w:before="40" w:after="40"/>
              <w:jc w:val="right"/>
              <w:rPr>
                <w:rFonts w:eastAsia="MS Mincho" w:cs="Calibri"/>
              </w:rPr>
            </w:pPr>
          </w:p>
        </w:tc>
        <w:tc>
          <w:tcPr>
            <w:tcW w:w="1077" w:type="dxa"/>
            <w:tcBorders>
              <w:bottom w:val="single" w:sz="4" w:space="0" w:color="auto"/>
            </w:tcBorders>
            <w:vAlign w:val="bottom"/>
          </w:tcPr>
          <w:p w14:paraId="658BE999" w14:textId="77777777" w:rsidR="000F6DCA" w:rsidRPr="005C5E32" w:rsidRDefault="000F6DCA">
            <w:pPr>
              <w:pStyle w:val="TableText"/>
              <w:spacing w:before="40" w:after="40"/>
              <w:jc w:val="right"/>
              <w:rPr>
                <w:rFonts w:cs="Calibri"/>
              </w:rPr>
            </w:pPr>
            <w:r w:rsidRPr="005C5E32">
              <w:rPr>
                <w:rFonts w:cs="Calibri"/>
                <w:szCs w:val="18"/>
              </w:rPr>
              <w:t>97,586</w:t>
            </w:r>
          </w:p>
        </w:tc>
        <w:tc>
          <w:tcPr>
            <w:tcW w:w="1021" w:type="dxa"/>
            <w:tcBorders>
              <w:bottom w:val="single" w:sz="4" w:space="0" w:color="auto"/>
            </w:tcBorders>
            <w:vAlign w:val="bottom"/>
          </w:tcPr>
          <w:p w14:paraId="438D8CDD" w14:textId="77777777" w:rsidR="000F6DCA" w:rsidRPr="005C5E32" w:rsidRDefault="000F6DCA">
            <w:pPr>
              <w:pStyle w:val="TableText"/>
              <w:spacing w:before="40" w:after="40"/>
              <w:jc w:val="right"/>
              <w:rPr>
                <w:rFonts w:cs="Calibri"/>
                <w:szCs w:val="18"/>
              </w:rPr>
            </w:pPr>
            <w:r w:rsidRPr="005C5E32">
              <w:rPr>
                <w:rFonts w:cs="Calibri"/>
                <w:szCs w:val="18"/>
              </w:rPr>
              <w:t>89,377</w:t>
            </w:r>
          </w:p>
        </w:tc>
        <w:tc>
          <w:tcPr>
            <w:tcW w:w="1077" w:type="dxa"/>
            <w:vMerge/>
            <w:vAlign w:val="bottom"/>
          </w:tcPr>
          <w:p w14:paraId="2861E4E9" w14:textId="77777777" w:rsidR="000F6DCA" w:rsidRPr="005C5E32" w:rsidRDefault="000F6DCA">
            <w:pPr>
              <w:pStyle w:val="TableText"/>
              <w:spacing w:before="40" w:after="40"/>
              <w:jc w:val="right"/>
              <w:rPr>
                <w:rFonts w:eastAsia="MS Mincho" w:cs="Calibri"/>
                <w:szCs w:val="18"/>
              </w:rPr>
            </w:pPr>
          </w:p>
        </w:tc>
        <w:tc>
          <w:tcPr>
            <w:tcW w:w="1134" w:type="dxa"/>
            <w:tcBorders>
              <w:bottom w:val="single" w:sz="4" w:space="0" w:color="auto"/>
            </w:tcBorders>
            <w:vAlign w:val="bottom"/>
          </w:tcPr>
          <w:p w14:paraId="25BC6182" w14:textId="77777777" w:rsidR="000F6DCA" w:rsidRPr="005C5E32" w:rsidRDefault="000F6DCA">
            <w:pPr>
              <w:pStyle w:val="TableText"/>
              <w:spacing w:before="40" w:after="40"/>
              <w:jc w:val="right"/>
              <w:rPr>
                <w:rFonts w:cs="Calibri"/>
              </w:rPr>
            </w:pPr>
            <w:r w:rsidRPr="005C5E32">
              <w:rPr>
                <w:rFonts w:cs="Calibri"/>
              </w:rPr>
              <w:t>a</w:t>
            </w:r>
          </w:p>
        </w:tc>
      </w:tr>
      <w:tr w:rsidR="000F6DCA" w:rsidRPr="005C5E32" w14:paraId="634F4C50" w14:textId="77777777" w:rsidTr="00004DF1">
        <w:tc>
          <w:tcPr>
            <w:tcW w:w="2495" w:type="dxa"/>
            <w:tcBorders>
              <w:top w:val="single" w:sz="4" w:space="0" w:color="auto"/>
            </w:tcBorders>
          </w:tcPr>
          <w:p w14:paraId="5547CF7A" w14:textId="77777777" w:rsidR="000F6DCA" w:rsidRPr="005C5E32" w:rsidRDefault="000F6DCA">
            <w:pPr>
              <w:pStyle w:val="TableboldGreen"/>
              <w:keepNext/>
              <w:spacing w:before="40" w:after="0"/>
              <w:rPr>
                <w:rFonts w:cs="Calibri"/>
              </w:rPr>
            </w:pPr>
            <w:r w:rsidRPr="005C5E32">
              <w:rPr>
                <w:rFonts w:cs="Calibri"/>
              </w:rPr>
              <w:t>Non-departmental output expenses</w:t>
            </w:r>
          </w:p>
        </w:tc>
        <w:tc>
          <w:tcPr>
            <w:tcW w:w="1134" w:type="dxa"/>
            <w:vMerge w:val="restart"/>
            <w:tcBorders>
              <w:top w:val="single" w:sz="4" w:space="0" w:color="auto"/>
            </w:tcBorders>
            <w:shd w:val="clear" w:color="auto" w:fill="E7F2F2"/>
            <w:vAlign w:val="bottom"/>
          </w:tcPr>
          <w:p w14:paraId="3EEF61AC" w14:textId="77777777" w:rsidR="000F6DCA" w:rsidRPr="005C5E32" w:rsidRDefault="000F6DCA">
            <w:pPr>
              <w:pStyle w:val="TableText"/>
              <w:spacing w:before="40" w:after="40"/>
              <w:jc w:val="right"/>
              <w:rPr>
                <w:rFonts w:cs="Calibri"/>
                <w:szCs w:val="18"/>
              </w:rPr>
            </w:pPr>
            <w:r w:rsidRPr="005C5E32">
              <w:rPr>
                <w:rFonts w:cs="Calibri"/>
                <w:szCs w:val="18"/>
              </w:rPr>
              <w:t>926</w:t>
            </w:r>
          </w:p>
        </w:tc>
        <w:tc>
          <w:tcPr>
            <w:tcW w:w="1077" w:type="dxa"/>
            <w:tcBorders>
              <w:top w:val="single" w:sz="4" w:space="0" w:color="auto"/>
            </w:tcBorders>
            <w:vAlign w:val="bottom"/>
          </w:tcPr>
          <w:p w14:paraId="0082E1F9" w14:textId="77777777" w:rsidR="000F6DCA" w:rsidRPr="005C5E32" w:rsidRDefault="000F6DCA">
            <w:pPr>
              <w:pStyle w:val="TableText"/>
              <w:keepNext/>
              <w:spacing w:before="40" w:after="40"/>
              <w:jc w:val="right"/>
              <w:rPr>
                <w:rFonts w:eastAsia="MS Mincho" w:cs="Calibri"/>
              </w:rPr>
            </w:pPr>
          </w:p>
        </w:tc>
        <w:tc>
          <w:tcPr>
            <w:tcW w:w="1021" w:type="dxa"/>
            <w:tcBorders>
              <w:top w:val="single" w:sz="4" w:space="0" w:color="auto"/>
            </w:tcBorders>
            <w:vAlign w:val="bottom"/>
          </w:tcPr>
          <w:p w14:paraId="3823C2CF" w14:textId="77777777" w:rsidR="000F6DCA" w:rsidRPr="005C5E32" w:rsidRDefault="000F6DCA">
            <w:pPr>
              <w:pStyle w:val="TableText"/>
              <w:keepNext/>
              <w:spacing w:before="40" w:after="40"/>
              <w:jc w:val="right"/>
              <w:rPr>
                <w:rFonts w:eastAsia="MS Mincho" w:cs="Calibri"/>
                <w:szCs w:val="18"/>
              </w:rPr>
            </w:pPr>
          </w:p>
        </w:tc>
        <w:tc>
          <w:tcPr>
            <w:tcW w:w="1077" w:type="dxa"/>
            <w:vMerge w:val="restart"/>
            <w:tcBorders>
              <w:top w:val="single" w:sz="4" w:space="0" w:color="auto"/>
            </w:tcBorders>
            <w:shd w:val="clear" w:color="auto" w:fill="E7F2F2"/>
            <w:vAlign w:val="bottom"/>
          </w:tcPr>
          <w:p w14:paraId="4EF53F43" w14:textId="77777777" w:rsidR="000F6DCA" w:rsidRPr="005C5E32" w:rsidRDefault="000F6DCA">
            <w:pPr>
              <w:pStyle w:val="TableText"/>
              <w:spacing w:before="40" w:after="40"/>
              <w:jc w:val="right"/>
              <w:rPr>
                <w:rFonts w:cs="Calibri"/>
                <w:szCs w:val="18"/>
              </w:rPr>
            </w:pPr>
            <w:r w:rsidRPr="005C5E32">
              <w:rPr>
                <w:rFonts w:cs="Calibri"/>
                <w:szCs w:val="18"/>
              </w:rPr>
              <w:t>–</w:t>
            </w:r>
          </w:p>
        </w:tc>
        <w:tc>
          <w:tcPr>
            <w:tcW w:w="1134" w:type="dxa"/>
            <w:tcBorders>
              <w:top w:val="single" w:sz="4" w:space="0" w:color="auto"/>
            </w:tcBorders>
            <w:vAlign w:val="bottom"/>
          </w:tcPr>
          <w:p w14:paraId="6AC3598C" w14:textId="77777777" w:rsidR="000F6DCA" w:rsidRPr="005C5E32" w:rsidRDefault="000F6DCA">
            <w:pPr>
              <w:pStyle w:val="TableText"/>
              <w:keepNext/>
              <w:spacing w:before="40" w:after="40"/>
              <w:jc w:val="right"/>
              <w:rPr>
                <w:rFonts w:eastAsia="MS Mincho" w:cs="Calibri"/>
              </w:rPr>
            </w:pPr>
          </w:p>
        </w:tc>
      </w:tr>
      <w:tr w:rsidR="000F6DCA" w:rsidRPr="005C5E32" w14:paraId="1A4AFF81" w14:textId="77777777" w:rsidTr="00004DF1">
        <w:tc>
          <w:tcPr>
            <w:tcW w:w="2495" w:type="dxa"/>
            <w:tcBorders>
              <w:bottom w:val="single" w:sz="4" w:space="0" w:color="auto"/>
            </w:tcBorders>
          </w:tcPr>
          <w:p w14:paraId="742F8DF3" w14:textId="77777777" w:rsidR="000F6DCA" w:rsidRPr="005C5E32" w:rsidRDefault="000F6DCA">
            <w:pPr>
              <w:pStyle w:val="TableText"/>
              <w:spacing w:before="40" w:after="40"/>
              <w:rPr>
                <w:rFonts w:cs="Calibri"/>
              </w:rPr>
            </w:pPr>
            <w:r w:rsidRPr="005C5E32">
              <w:rPr>
                <w:rFonts w:cs="Calibri"/>
              </w:rPr>
              <w:t>Contaminated Sites and Vulnerable Landfills Fund</w:t>
            </w:r>
          </w:p>
        </w:tc>
        <w:tc>
          <w:tcPr>
            <w:tcW w:w="1134" w:type="dxa"/>
            <w:vMerge/>
            <w:vAlign w:val="bottom"/>
          </w:tcPr>
          <w:p w14:paraId="5F658AE7" w14:textId="77777777" w:rsidR="000F6DCA" w:rsidRPr="005C5E32" w:rsidRDefault="000F6DCA">
            <w:pPr>
              <w:pStyle w:val="TableText"/>
              <w:spacing w:before="40" w:after="40"/>
              <w:jc w:val="right"/>
              <w:rPr>
                <w:rFonts w:eastAsia="MS Mincho" w:cs="Calibri"/>
              </w:rPr>
            </w:pPr>
          </w:p>
        </w:tc>
        <w:tc>
          <w:tcPr>
            <w:tcW w:w="1077" w:type="dxa"/>
            <w:tcBorders>
              <w:bottom w:val="single" w:sz="4" w:space="0" w:color="auto"/>
            </w:tcBorders>
            <w:vAlign w:val="bottom"/>
          </w:tcPr>
          <w:p w14:paraId="558EA1D9" w14:textId="77777777" w:rsidR="000F6DCA" w:rsidRPr="005C5E32" w:rsidRDefault="000F6DCA">
            <w:pPr>
              <w:pStyle w:val="TableText"/>
              <w:spacing w:before="40" w:after="40"/>
              <w:jc w:val="right"/>
              <w:rPr>
                <w:rFonts w:cs="Calibri"/>
              </w:rPr>
            </w:pPr>
            <w:r w:rsidRPr="005C5E32">
              <w:rPr>
                <w:rFonts w:cs="Calibri"/>
                <w:szCs w:val="18"/>
              </w:rPr>
              <w:t>–</w:t>
            </w:r>
          </w:p>
        </w:tc>
        <w:tc>
          <w:tcPr>
            <w:tcW w:w="1021" w:type="dxa"/>
            <w:tcBorders>
              <w:bottom w:val="single" w:sz="4" w:space="0" w:color="auto"/>
            </w:tcBorders>
            <w:vAlign w:val="bottom"/>
          </w:tcPr>
          <w:p w14:paraId="5BE3EB2E" w14:textId="77777777" w:rsidR="000F6DCA" w:rsidRPr="005C5E32" w:rsidRDefault="000F6DCA">
            <w:pPr>
              <w:pStyle w:val="TableText"/>
              <w:spacing w:before="40" w:after="40"/>
              <w:jc w:val="right"/>
              <w:rPr>
                <w:rFonts w:cs="Calibri"/>
                <w:szCs w:val="18"/>
              </w:rPr>
            </w:pPr>
            <w:r w:rsidRPr="005C5E32">
              <w:t>–</w:t>
            </w:r>
          </w:p>
        </w:tc>
        <w:tc>
          <w:tcPr>
            <w:tcW w:w="1077" w:type="dxa"/>
            <w:vMerge/>
            <w:vAlign w:val="bottom"/>
          </w:tcPr>
          <w:p w14:paraId="51C22C63" w14:textId="77777777" w:rsidR="000F6DCA" w:rsidRPr="005C5E32" w:rsidRDefault="000F6DCA">
            <w:pPr>
              <w:pStyle w:val="TableText"/>
              <w:spacing w:before="40" w:after="40"/>
              <w:jc w:val="right"/>
              <w:rPr>
                <w:rFonts w:eastAsia="MS Mincho" w:cs="Calibri"/>
                <w:szCs w:val="18"/>
              </w:rPr>
            </w:pPr>
          </w:p>
        </w:tc>
        <w:tc>
          <w:tcPr>
            <w:tcW w:w="1134" w:type="dxa"/>
            <w:tcBorders>
              <w:bottom w:val="single" w:sz="4" w:space="0" w:color="auto"/>
            </w:tcBorders>
            <w:vAlign w:val="bottom"/>
          </w:tcPr>
          <w:p w14:paraId="6EB7BFEE" w14:textId="77777777" w:rsidR="000F6DCA" w:rsidRPr="005C5E32" w:rsidRDefault="000F6DCA">
            <w:pPr>
              <w:pStyle w:val="TableText"/>
              <w:spacing w:before="40" w:after="40"/>
              <w:jc w:val="right"/>
              <w:rPr>
                <w:rFonts w:cs="Calibri"/>
              </w:rPr>
            </w:pPr>
          </w:p>
        </w:tc>
      </w:tr>
      <w:tr w:rsidR="000F6DCA" w:rsidRPr="005C5E32" w14:paraId="410A55C4" w14:textId="77777777" w:rsidTr="00004DF1">
        <w:tc>
          <w:tcPr>
            <w:tcW w:w="2495" w:type="dxa"/>
            <w:tcBorders>
              <w:top w:val="single" w:sz="4" w:space="0" w:color="auto"/>
            </w:tcBorders>
          </w:tcPr>
          <w:p w14:paraId="4A38BD06" w14:textId="77777777" w:rsidR="000F6DCA" w:rsidRPr="005C5E32" w:rsidRDefault="000F6DCA">
            <w:pPr>
              <w:pStyle w:val="TableboldGreen"/>
              <w:keepNext/>
              <w:spacing w:before="40" w:after="0"/>
              <w:rPr>
                <w:rFonts w:cs="Calibri"/>
              </w:rPr>
            </w:pPr>
            <w:r w:rsidRPr="005C5E32">
              <w:rPr>
                <w:rFonts w:cs="Calibri"/>
              </w:rPr>
              <w:t>Non-departmental output expenses</w:t>
            </w:r>
          </w:p>
        </w:tc>
        <w:tc>
          <w:tcPr>
            <w:tcW w:w="1134" w:type="dxa"/>
            <w:vMerge w:val="restart"/>
            <w:tcBorders>
              <w:top w:val="single" w:sz="4" w:space="0" w:color="auto"/>
            </w:tcBorders>
            <w:shd w:val="clear" w:color="auto" w:fill="E7F2F2"/>
            <w:vAlign w:val="bottom"/>
          </w:tcPr>
          <w:p w14:paraId="7DB85BC1" w14:textId="77777777" w:rsidR="000F6DCA" w:rsidRPr="005C5E32" w:rsidRDefault="000F6DCA">
            <w:pPr>
              <w:pStyle w:val="TableText"/>
              <w:keepNext/>
              <w:spacing w:before="40" w:after="40"/>
              <w:jc w:val="right"/>
              <w:rPr>
                <w:rFonts w:cs="Calibri"/>
              </w:rPr>
            </w:pPr>
            <w:r w:rsidRPr="005C5E32">
              <w:rPr>
                <w:rFonts w:cs="Calibri"/>
              </w:rPr>
              <w:t>15,037</w:t>
            </w:r>
          </w:p>
        </w:tc>
        <w:tc>
          <w:tcPr>
            <w:tcW w:w="1077" w:type="dxa"/>
            <w:tcBorders>
              <w:top w:val="single" w:sz="4" w:space="0" w:color="auto"/>
            </w:tcBorders>
            <w:vAlign w:val="bottom"/>
          </w:tcPr>
          <w:p w14:paraId="24A4ED62" w14:textId="77777777" w:rsidR="000F6DCA" w:rsidRPr="005C5E32" w:rsidRDefault="000F6DCA">
            <w:pPr>
              <w:pStyle w:val="TableText"/>
              <w:keepNext/>
              <w:spacing w:before="40" w:after="40"/>
              <w:jc w:val="right"/>
              <w:rPr>
                <w:rFonts w:eastAsia="MS Mincho" w:cs="Calibri"/>
              </w:rPr>
            </w:pPr>
          </w:p>
        </w:tc>
        <w:tc>
          <w:tcPr>
            <w:tcW w:w="1021" w:type="dxa"/>
            <w:tcBorders>
              <w:top w:val="single" w:sz="4" w:space="0" w:color="auto"/>
            </w:tcBorders>
            <w:vAlign w:val="bottom"/>
          </w:tcPr>
          <w:p w14:paraId="66337C3A" w14:textId="77777777" w:rsidR="000F6DCA" w:rsidRPr="005C5E32" w:rsidRDefault="000F6DCA">
            <w:pPr>
              <w:pStyle w:val="TableText"/>
              <w:keepNext/>
              <w:spacing w:before="40" w:after="40"/>
              <w:jc w:val="right"/>
              <w:rPr>
                <w:rFonts w:eastAsia="MS Mincho" w:cs="Calibri"/>
                <w:szCs w:val="18"/>
              </w:rPr>
            </w:pPr>
          </w:p>
        </w:tc>
        <w:tc>
          <w:tcPr>
            <w:tcW w:w="1077" w:type="dxa"/>
            <w:vMerge w:val="restart"/>
            <w:tcBorders>
              <w:top w:val="single" w:sz="4" w:space="0" w:color="auto"/>
            </w:tcBorders>
            <w:shd w:val="clear" w:color="auto" w:fill="E7F2F2"/>
            <w:vAlign w:val="bottom"/>
          </w:tcPr>
          <w:p w14:paraId="60319CAD" w14:textId="77777777" w:rsidR="000F6DCA" w:rsidRPr="005C5E32" w:rsidRDefault="000F6DCA">
            <w:pPr>
              <w:pStyle w:val="TableText"/>
              <w:keepNext/>
              <w:spacing w:before="40" w:after="40"/>
              <w:jc w:val="right"/>
              <w:rPr>
                <w:rFonts w:cs="Calibri"/>
                <w:szCs w:val="18"/>
              </w:rPr>
            </w:pPr>
            <w:r w:rsidRPr="005C5E32">
              <w:t>–</w:t>
            </w:r>
          </w:p>
        </w:tc>
        <w:tc>
          <w:tcPr>
            <w:tcW w:w="1134" w:type="dxa"/>
            <w:tcBorders>
              <w:top w:val="single" w:sz="4" w:space="0" w:color="auto"/>
            </w:tcBorders>
            <w:vAlign w:val="bottom"/>
          </w:tcPr>
          <w:p w14:paraId="4932E865" w14:textId="77777777" w:rsidR="000F6DCA" w:rsidRPr="005C5E32" w:rsidRDefault="000F6DCA">
            <w:pPr>
              <w:pStyle w:val="TableText"/>
              <w:keepNext/>
              <w:spacing w:before="40" w:after="40"/>
              <w:jc w:val="right"/>
              <w:rPr>
                <w:rFonts w:eastAsia="MS Mincho" w:cs="Calibri"/>
              </w:rPr>
            </w:pPr>
          </w:p>
        </w:tc>
      </w:tr>
      <w:tr w:rsidR="000F6DCA" w:rsidRPr="005C5E32" w14:paraId="315D63BC" w14:textId="77777777" w:rsidTr="00004DF1">
        <w:tc>
          <w:tcPr>
            <w:tcW w:w="2495" w:type="dxa"/>
            <w:tcBorders>
              <w:bottom w:val="single" w:sz="2" w:space="0" w:color="000000" w:themeColor="text1"/>
            </w:tcBorders>
          </w:tcPr>
          <w:p w14:paraId="44890955" w14:textId="77777777" w:rsidR="000F6DCA" w:rsidRPr="005C5E32" w:rsidRDefault="000F6DCA">
            <w:pPr>
              <w:pStyle w:val="TableText"/>
              <w:spacing w:before="40" w:after="40"/>
              <w:rPr>
                <w:rFonts w:cs="Calibri"/>
              </w:rPr>
            </w:pPr>
            <w:r w:rsidRPr="005C5E32">
              <w:rPr>
                <w:rFonts w:cs="Calibri"/>
              </w:rPr>
              <w:t>Freshwater Improvement Fund</w:t>
            </w:r>
          </w:p>
        </w:tc>
        <w:tc>
          <w:tcPr>
            <w:tcW w:w="1134" w:type="dxa"/>
            <w:vMerge/>
            <w:vAlign w:val="bottom"/>
          </w:tcPr>
          <w:p w14:paraId="5837E682" w14:textId="77777777" w:rsidR="000F6DCA" w:rsidRPr="005C5E32" w:rsidRDefault="000F6DCA">
            <w:pPr>
              <w:pStyle w:val="TableText"/>
              <w:spacing w:before="40" w:after="40"/>
              <w:jc w:val="right"/>
              <w:rPr>
                <w:rFonts w:eastAsia="MS Mincho" w:cs="Calibri"/>
              </w:rPr>
            </w:pPr>
          </w:p>
        </w:tc>
        <w:tc>
          <w:tcPr>
            <w:tcW w:w="1077" w:type="dxa"/>
            <w:tcBorders>
              <w:bottom w:val="single" w:sz="2" w:space="0" w:color="000000" w:themeColor="text1"/>
            </w:tcBorders>
            <w:vAlign w:val="bottom"/>
          </w:tcPr>
          <w:p w14:paraId="7392E0E4" w14:textId="77777777" w:rsidR="000F6DCA" w:rsidRPr="005C5E32" w:rsidRDefault="000F6DCA">
            <w:pPr>
              <w:pStyle w:val="TableText"/>
              <w:spacing w:before="40" w:after="40"/>
              <w:jc w:val="right"/>
              <w:rPr>
                <w:rFonts w:cs="Calibri"/>
              </w:rPr>
            </w:pPr>
            <w:r w:rsidRPr="005C5E32">
              <w:t>–</w:t>
            </w:r>
          </w:p>
        </w:tc>
        <w:tc>
          <w:tcPr>
            <w:tcW w:w="1021" w:type="dxa"/>
            <w:tcBorders>
              <w:bottom w:val="single" w:sz="2" w:space="0" w:color="000000" w:themeColor="text1"/>
            </w:tcBorders>
            <w:vAlign w:val="bottom"/>
          </w:tcPr>
          <w:p w14:paraId="64CA7899" w14:textId="77777777" w:rsidR="000F6DCA" w:rsidRPr="005C5E32" w:rsidRDefault="000F6DCA">
            <w:pPr>
              <w:pStyle w:val="TableText"/>
              <w:spacing w:before="40" w:after="40"/>
              <w:jc w:val="right"/>
              <w:rPr>
                <w:rFonts w:cs="Calibri"/>
                <w:szCs w:val="18"/>
              </w:rPr>
            </w:pPr>
            <w:r w:rsidRPr="005C5E32">
              <w:t>–</w:t>
            </w:r>
          </w:p>
        </w:tc>
        <w:tc>
          <w:tcPr>
            <w:tcW w:w="1077" w:type="dxa"/>
            <w:vMerge/>
            <w:vAlign w:val="bottom"/>
          </w:tcPr>
          <w:p w14:paraId="46816378" w14:textId="77777777" w:rsidR="000F6DCA" w:rsidRPr="005C5E32" w:rsidRDefault="000F6DCA">
            <w:pPr>
              <w:pStyle w:val="TableText"/>
              <w:spacing w:before="40" w:after="40"/>
              <w:jc w:val="right"/>
              <w:rPr>
                <w:rFonts w:eastAsia="MS Mincho" w:cs="Calibri"/>
                <w:szCs w:val="18"/>
              </w:rPr>
            </w:pPr>
          </w:p>
        </w:tc>
        <w:tc>
          <w:tcPr>
            <w:tcW w:w="1134" w:type="dxa"/>
            <w:tcBorders>
              <w:bottom w:val="single" w:sz="2" w:space="0" w:color="000000" w:themeColor="text1"/>
            </w:tcBorders>
            <w:vAlign w:val="bottom"/>
          </w:tcPr>
          <w:p w14:paraId="45498AC4" w14:textId="77777777" w:rsidR="000F6DCA" w:rsidRPr="005C5E32" w:rsidRDefault="000F6DCA">
            <w:pPr>
              <w:pStyle w:val="TableText"/>
              <w:spacing w:before="40" w:after="40"/>
              <w:jc w:val="right"/>
              <w:rPr>
                <w:rFonts w:cs="Calibri"/>
              </w:rPr>
            </w:pPr>
          </w:p>
        </w:tc>
      </w:tr>
      <w:bookmarkEnd w:id="444"/>
      <w:tr w:rsidR="000F6DCA" w:rsidRPr="005C5E32" w14:paraId="210A42AD" w14:textId="77777777" w:rsidTr="00004DF1">
        <w:tc>
          <w:tcPr>
            <w:tcW w:w="2495" w:type="dxa"/>
            <w:tcBorders>
              <w:top w:val="single" w:sz="2" w:space="0" w:color="000000" w:themeColor="text1"/>
            </w:tcBorders>
          </w:tcPr>
          <w:p w14:paraId="66C7F7AA" w14:textId="77777777" w:rsidR="000F6DCA" w:rsidRPr="005C5E32" w:rsidRDefault="000F6DCA">
            <w:pPr>
              <w:pStyle w:val="TableboldGreen"/>
              <w:spacing w:before="40" w:after="0"/>
              <w:rPr>
                <w:rFonts w:cs="Calibri"/>
              </w:rPr>
            </w:pPr>
            <w:r w:rsidRPr="005C5E32">
              <w:rPr>
                <w:rFonts w:cs="Calibri"/>
              </w:rPr>
              <w:t>Non-departmental output expenses</w:t>
            </w:r>
          </w:p>
        </w:tc>
        <w:tc>
          <w:tcPr>
            <w:tcW w:w="1134" w:type="dxa"/>
            <w:vMerge w:val="restart"/>
            <w:tcBorders>
              <w:top w:val="single" w:sz="2" w:space="0" w:color="000000" w:themeColor="text1"/>
            </w:tcBorders>
            <w:shd w:val="clear" w:color="auto" w:fill="E7F2F2"/>
            <w:vAlign w:val="bottom"/>
          </w:tcPr>
          <w:p w14:paraId="207522D4" w14:textId="77777777" w:rsidR="000F6DCA" w:rsidRPr="005C5E32" w:rsidRDefault="000F6DCA">
            <w:pPr>
              <w:pStyle w:val="TableText"/>
              <w:spacing w:before="40" w:after="40"/>
              <w:jc w:val="right"/>
              <w:rPr>
                <w:rFonts w:cs="Calibri"/>
              </w:rPr>
            </w:pPr>
            <w:r w:rsidRPr="005C5E32">
              <w:rPr>
                <w:rFonts w:cs="Calibri"/>
              </w:rPr>
              <w:t>4,386</w:t>
            </w:r>
          </w:p>
        </w:tc>
        <w:tc>
          <w:tcPr>
            <w:tcW w:w="1077" w:type="dxa"/>
            <w:tcBorders>
              <w:top w:val="single" w:sz="2" w:space="0" w:color="000000" w:themeColor="text1"/>
            </w:tcBorders>
            <w:vAlign w:val="bottom"/>
          </w:tcPr>
          <w:p w14:paraId="48C5F256" w14:textId="77777777" w:rsidR="000F6DCA" w:rsidRPr="005C5E32" w:rsidRDefault="000F6DCA">
            <w:pPr>
              <w:pStyle w:val="TableText"/>
              <w:spacing w:before="40" w:after="40"/>
              <w:jc w:val="right"/>
              <w:rPr>
                <w:rFonts w:eastAsia="MS Mincho" w:cs="Calibri"/>
              </w:rPr>
            </w:pPr>
          </w:p>
        </w:tc>
        <w:tc>
          <w:tcPr>
            <w:tcW w:w="1021" w:type="dxa"/>
            <w:tcBorders>
              <w:top w:val="single" w:sz="2" w:space="0" w:color="000000" w:themeColor="text1"/>
            </w:tcBorders>
            <w:vAlign w:val="bottom"/>
          </w:tcPr>
          <w:p w14:paraId="6CEEA67B" w14:textId="77777777" w:rsidR="000F6DCA" w:rsidRPr="005C5E32" w:rsidRDefault="000F6DCA">
            <w:pPr>
              <w:pStyle w:val="TableText"/>
              <w:spacing w:before="40" w:after="40"/>
              <w:jc w:val="right"/>
              <w:rPr>
                <w:rFonts w:eastAsia="MS Mincho" w:cs="Calibri"/>
                <w:szCs w:val="18"/>
              </w:rPr>
            </w:pPr>
          </w:p>
        </w:tc>
        <w:tc>
          <w:tcPr>
            <w:tcW w:w="1077" w:type="dxa"/>
            <w:vMerge w:val="restart"/>
            <w:tcBorders>
              <w:top w:val="single" w:sz="2" w:space="0" w:color="000000" w:themeColor="text1"/>
            </w:tcBorders>
            <w:shd w:val="clear" w:color="auto" w:fill="E7F2F2"/>
            <w:vAlign w:val="bottom"/>
          </w:tcPr>
          <w:p w14:paraId="1A75A357" w14:textId="77777777" w:rsidR="000F6DCA" w:rsidRPr="005C5E32" w:rsidRDefault="000F6DCA">
            <w:pPr>
              <w:pStyle w:val="TableText"/>
              <w:spacing w:before="40" w:after="40"/>
              <w:jc w:val="right"/>
              <w:rPr>
                <w:rFonts w:cs="Calibri"/>
                <w:szCs w:val="18"/>
              </w:rPr>
            </w:pPr>
            <w:r w:rsidRPr="005C5E32">
              <w:t>–</w:t>
            </w:r>
          </w:p>
        </w:tc>
        <w:tc>
          <w:tcPr>
            <w:tcW w:w="1134" w:type="dxa"/>
            <w:tcBorders>
              <w:top w:val="single" w:sz="2" w:space="0" w:color="000000" w:themeColor="text1"/>
            </w:tcBorders>
            <w:vAlign w:val="bottom"/>
          </w:tcPr>
          <w:p w14:paraId="01512522" w14:textId="77777777" w:rsidR="000F6DCA" w:rsidRPr="005C5E32" w:rsidRDefault="000F6DCA">
            <w:pPr>
              <w:pStyle w:val="TableText"/>
              <w:spacing w:before="40" w:after="40"/>
              <w:jc w:val="right"/>
              <w:rPr>
                <w:rFonts w:eastAsia="MS Mincho" w:cs="Calibri"/>
              </w:rPr>
            </w:pPr>
          </w:p>
        </w:tc>
      </w:tr>
      <w:tr w:rsidR="000F6DCA" w:rsidRPr="005C5E32" w14:paraId="67146D52" w14:textId="77777777" w:rsidTr="008A4D86">
        <w:tc>
          <w:tcPr>
            <w:tcW w:w="2495" w:type="dxa"/>
            <w:tcBorders>
              <w:bottom w:val="single" w:sz="4" w:space="0" w:color="auto"/>
            </w:tcBorders>
          </w:tcPr>
          <w:p w14:paraId="21AC989A" w14:textId="77777777" w:rsidR="000F6DCA" w:rsidRPr="005C5E32" w:rsidRDefault="000F6DCA">
            <w:pPr>
              <w:pStyle w:val="TableText"/>
              <w:spacing w:before="40" w:after="40"/>
              <w:rPr>
                <w:rFonts w:cs="Calibri"/>
              </w:rPr>
            </w:pPr>
            <w:r w:rsidRPr="005C5E32">
              <w:rPr>
                <w:rFonts w:cs="Calibri"/>
              </w:rPr>
              <w:t>Kaipara Moana Remediation</w:t>
            </w:r>
          </w:p>
        </w:tc>
        <w:tc>
          <w:tcPr>
            <w:tcW w:w="1134" w:type="dxa"/>
            <w:vMerge/>
            <w:tcBorders>
              <w:bottom w:val="single" w:sz="4" w:space="0" w:color="auto"/>
            </w:tcBorders>
            <w:vAlign w:val="bottom"/>
          </w:tcPr>
          <w:p w14:paraId="7567224C" w14:textId="77777777" w:rsidR="000F6DCA" w:rsidRPr="005C5E32" w:rsidRDefault="000F6DCA">
            <w:pPr>
              <w:pStyle w:val="TableText"/>
              <w:spacing w:before="40" w:after="40"/>
              <w:jc w:val="right"/>
              <w:rPr>
                <w:rFonts w:eastAsia="MS Mincho" w:cs="Calibri"/>
              </w:rPr>
            </w:pPr>
          </w:p>
        </w:tc>
        <w:tc>
          <w:tcPr>
            <w:tcW w:w="1077" w:type="dxa"/>
            <w:tcBorders>
              <w:bottom w:val="single" w:sz="4" w:space="0" w:color="auto"/>
            </w:tcBorders>
            <w:vAlign w:val="bottom"/>
          </w:tcPr>
          <w:p w14:paraId="109BB7B5" w14:textId="77777777" w:rsidR="000F6DCA" w:rsidRPr="005C5E32" w:rsidRDefault="000F6DCA">
            <w:pPr>
              <w:pStyle w:val="TableText"/>
              <w:spacing w:before="40" w:after="40"/>
              <w:jc w:val="right"/>
              <w:rPr>
                <w:rFonts w:cs="Calibri"/>
              </w:rPr>
            </w:pPr>
            <w:r w:rsidRPr="005C5E32">
              <w:t>–</w:t>
            </w:r>
          </w:p>
        </w:tc>
        <w:tc>
          <w:tcPr>
            <w:tcW w:w="1021" w:type="dxa"/>
            <w:tcBorders>
              <w:bottom w:val="single" w:sz="4" w:space="0" w:color="auto"/>
            </w:tcBorders>
            <w:vAlign w:val="bottom"/>
          </w:tcPr>
          <w:p w14:paraId="40E360D0" w14:textId="77777777" w:rsidR="000F6DCA" w:rsidRPr="005C5E32" w:rsidRDefault="000F6DCA">
            <w:pPr>
              <w:pStyle w:val="TableText"/>
              <w:spacing w:before="40" w:after="40"/>
              <w:jc w:val="right"/>
              <w:rPr>
                <w:rFonts w:cs="Calibri"/>
                <w:szCs w:val="18"/>
              </w:rPr>
            </w:pPr>
            <w:r w:rsidRPr="005C5E32">
              <w:t>–</w:t>
            </w:r>
          </w:p>
        </w:tc>
        <w:tc>
          <w:tcPr>
            <w:tcW w:w="1077" w:type="dxa"/>
            <w:vMerge/>
            <w:tcBorders>
              <w:bottom w:val="single" w:sz="4" w:space="0" w:color="auto"/>
            </w:tcBorders>
            <w:vAlign w:val="bottom"/>
          </w:tcPr>
          <w:p w14:paraId="6E05DF08" w14:textId="77777777" w:rsidR="000F6DCA" w:rsidRPr="005C5E32" w:rsidRDefault="000F6DCA">
            <w:pPr>
              <w:pStyle w:val="TableText"/>
              <w:spacing w:before="40" w:after="40"/>
              <w:jc w:val="right"/>
              <w:rPr>
                <w:rFonts w:eastAsia="MS Mincho" w:cs="Calibri"/>
                <w:szCs w:val="18"/>
              </w:rPr>
            </w:pPr>
          </w:p>
        </w:tc>
        <w:tc>
          <w:tcPr>
            <w:tcW w:w="1134" w:type="dxa"/>
            <w:tcBorders>
              <w:bottom w:val="single" w:sz="4" w:space="0" w:color="auto"/>
            </w:tcBorders>
            <w:vAlign w:val="bottom"/>
          </w:tcPr>
          <w:p w14:paraId="204A8D1E" w14:textId="77777777" w:rsidR="000F6DCA" w:rsidRPr="005C5E32" w:rsidRDefault="000F6DCA">
            <w:pPr>
              <w:pStyle w:val="TableText"/>
              <w:spacing w:before="40" w:after="40"/>
              <w:jc w:val="right"/>
              <w:rPr>
                <w:rFonts w:cs="Calibri"/>
              </w:rPr>
            </w:pPr>
          </w:p>
        </w:tc>
      </w:tr>
      <w:tr w:rsidR="000F6DCA" w:rsidRPr="005C5E32" w14:paraId="6A4D8269" w14:textId="77777777" w:rsidTr="00F0795A">
        <w:tc>
          <w:tcPr>
            <w:tcW w:w="2495" w:type="dxa"/>
            <w:tcBorders>
              <w:top w:val="single" w:sz="4" w:space="0" w:color="auto"/>
            </w:tcBorders>
          </w:tcPr>
          <w:p w14:paraId="15B2D030" w14:textId="77777777" w:rsidR="000F6DCA" w:rsidRPr="005C5E32" w:rsidRDefault="000F6DCA">
            <w:pPr>
              <w:pStyle w:val="TableboldGreen"/>
              <w:spacing w:before="40" w:after="0"/>
              <w:rPr>
                <w:rFonts w:cs="Calibri"/>
              </w:rPr>
            </w:pPr>
            <w:r w:rsidRPr="005C5E32">
              <w:rPr>
                <w:rFonts w:cs="Calibri"/>
              </w:rPr>
              <w:t>Non-departmental output expenses</w:t>
            </w:r>
          </w:p>
        </w:tc>
        <w:tc>
          <w:tcPr>
            <w:tcW w:w="1134" w:type="dxa"/>
            <w:vMerge w:val="restart"/>
            <w:tcBorders>
              <w:top w:val="single" w:sz="4" w:space="0" w:color="auto"/>
              <w:bottom w:val="single" w:sz="4" w:space="0" w:color="auto"/>
            </w:tcBorders>
            <w:shd w:val="clear" w:color="auto" w:fill="E7F2F2"/>
            <w:vAlign w:val="bottom"/>
          </w:tcPr>
          <w:p w14:paraId="07E97C69" w14:textId="77777777" w:rsidR="000F6DCA" w:rsidRPr="005C5E32" w:rsidRDefault="000F6DCA">
            <w:pPr>
              <w:pStyle w:val="TableText"/>
              <w:spacing w:before="40" w:after="40"/>
              <w:jc w:val="right"/>
              <w:rPr>
                <w:rFonts w:cs="Calibri"/>
              </w:rPr>
            </w:pPr>
            <w:r w:rsidRPr="005C5E32">
              <w:rPr>
                <w:rFonts w:cs="Calibri"/>
              </w:rPr>
              <w:t>9,340</w:t>
            </w:r>
          </w:p>
        </w:tc>
        <w:tc>
          <w:tcPr>
            <w:tcW w:w="1077" w:type="dxa"/>
            <w:tcBorders>
              <w:top w:val="single" w:sz="4" w:space="0" w:color="auto"/>
            </w:tcBorders>
            <w:vAlign w:val="bottom"/>
          </w:tcPr>
          <w:p w14:paraId="235679C0" w14:textId="77777777" w:rsidR="000F6DCA" w:rsidRPr="005C5E32" w:rsidRDefault="000F6DCA">
            <w:pPr>
              <w:pStyle w:val="TableText"/>
              <w:spacing w:before="40" w:after="40"/>
              <w:jc w:val="right"/>
              <w:rPr>
                <w:rFonts w:eastAsia="MS Mincho" w:cs="Calibri"/>
              </w:rPr>
            </w:pPr>
          </w:p>
        </w:tc>
        <w:tc>
          <w:tcPr>
            <w:tcW w:w="1021" w:type="dxa"/>
            <w:tcBorders>
              <w:top w:val="single" w:sz="4" w:space="0" w:color="auto"/>
            </w:tcBorders>
            <w:shd w:val="clear" w:color="auto" w:fill="FFFFFF" w:themeFill="background1"/>
            <w:vAlign w:val="bottom"/>
          </w:tcPr>
          <w:p w14:paraId="478977AB" w14:textId="77777777" w:rsidR="000F6DCA" w:rsidRPr="005C5E32" w:rsidRDefault="000F6DCA">
            <w:pPr>
              <w:pStyle w:val="TableText"/>
              <w:spacing w:before="40" w:after="40"/>
              <w:jc w:val="right"/>
              <w:rPr>
                <w:rFonts w:eastAsia="MS Mincho" w:cs="Calibri"/>
                <w:szCs w:val="18"/>
              </w:rPr>
            </w:pPr>
          </w:p>
        </w:tc>
        <w:tc>
          <w:tcPr>
            <w:tcW w:w="1077" w:type="dxa"/>
            <w:vMerge w:val="restart"/>
            <w:tcBorders>
              <w:top w:val="single" w:sz="4" w:space="0" w:color="auto"/>
              <w:bottom w:val="single" w:sz="4" w:space="0" w:color="auto"/>
            </w:tcBorders>
            <w:shd w:val="clear" w:color="auto" w:fill="E7F2F2"/>
            <w:vAlign w:val="bottom"/>
          </w:tcPr>
          <w:p w14:paraId="7FC0A872" w14:textId="77777777" w:rsidR="000F6DCA" w:rsidRPr="005C5E32" w:rsidRDefault="000F6DCA">
            <w:pPr>
              <w:pStyle w:val="TableText"/>
              <w:spacing w:before="40" w:after="40"/>
              <w:jc w:val="right"/>
              <w:rPr>
                <w:rFonts w:cs="Calibri"/>
                <w:szCs w:val="18"/>
              </w:rPr>
            </w:pPr>
            <w:r w:rsidRPr="005C5E32">
              <w:t>–</w:t>
            </w:r>
          </w:p>
        </w:tc>
        <w:tc>
          <w:tcPr>
            <w:tcW w:w="1134" w:type="dxa"/>
            <w:tcBorders>
              <w:top w:val="single" w:sz="4" w:space="0" w:color="auto"/>
            </w:tcBorders>
            <w:vAlign w:val="bottom"/>
          </w:tcPr>
          <w:p w14:paraId="4B572C5B" w14:textId="77777777" w:rsidR="000F6DCA" w:rsidRPr="005C5E32" w:rsidRDefault="000F6DCA">
            <w:pPr>
              <w:pStyle w:val="TableText"/>
              <w:spacing w:before="40" w:after="40"/>
              <w:jc w:val="right"/>
              <w:rPr>
                <w:rFonts w:eastAsia="MS Mincho" w:cs="Calibri"/>
              </w:rPr>
            </w:pPr>
          </w:p>
        </w:tc>
      </w:tr>
      <w:tr w:rsidR="000F6DCA" w:rsidRPr="005C5E32" w14:paraId="6373FA73" w14:textId="77777777" w:rsidTr="008A4D86">
        <w:tc>
          <w:tcPr>
            <w:tcW w:w="2495" w:type="dxa"/>
            <w:tcBorders>
              <w:bottom w:val="single" w:sz="4" w:space="0" w:color="auto"/>
            </w:tcBorders>
          </w:tcPr>
          <w:p w14:paraId="3A90F0CE" w14:textId="77777777" w:rsidR="000F6DCA" w:rsidRPr="005C5E32" w:rsidRDefault="000F6DCA">
            <w:pPr>
              <w:pStyle w:val="TableText"/>
              <w:spacing w:before="40" w:after="40"/>
              <w:rPr>
                <w:rFonts w:cs="Calibri"/>
              </w:rPr>
            </w:pPr>
            <w:r w:rsidRPr="005C5E32">
              <w:rPr>
                <w:rFonts w:cs="Calibri"/>
              </w:rPr>
              <w:t>Reducing Emissions from Waste</w:t>
            </w:r>
          </w:p>
        </w:tc>
        <w:tc>
          <w:tcPr>
            <w:tcW w:w="1134" w:type="dxa"/>
            <w:vMerge/>
            <w:tcBorders>
              <w:bottom w:val="single" w:sz="4" w:space="0" w:color="auto"/>
            </w:tcBorders>
            <w:vAlign w:val="bottom"/>
          </w:tcPr>
          <w:p w14:paraId="6572CF92" w14:textId="77777777" w:rsidR="000F6DCA" w:rsidRPr="005C5E32" w:rsidRDefault="000F6DCA">
            <w:pPr>
              <w:pStyle w:val="TableText"/>
              <w:spacing w:before="40" w:after="40"/>
              <w:jc w:val="right"/>
              <w:rPr>
                <w:rFonts w:eastAsia="MS Mincho" w:cs="Calibri"/>
              </w:rPr>
            </w:pPr>
          </w:p>
        </w:tc>
        <w:tc>
          <w:tcPr>
            <w:tcW w:w="1077" w:type="dxa"/>
            <w:tcBorders>
              <w:bottom w:val="single" w:sz="4" w:space="0" w:color="auto"/>
            </w:tcBorders>
            <w:vAlign w:val="bottom"/>
          </w:tcPr>
          <w:p w14:paraId="009211D9" w14:textId="77777777" w:rsidR="000F6DCA" w:rsidRPr="005C5E32" w:rsidRDefault="000F6DCA">
            <w:pPr>
              <w:pStyle w:val="TableText"/>
              <w:spacing w:before="40" w:after="40"/>
              <w:jc w:val="right"/>
              <w:rPr>
                <w:rFonts w:cs="Calibri"/>
              </w:rPr>
            </w:pPr>
            <w:r w:rsidRPr="005C5E32">
              <w:t>–</w:t>
            </w:r>
          </w:p>
        </w:tc>
        <w:tc>
          <w:tcPr>
            <w:tcW w:w="1021" w:type="dxa"/>
            <w:tcBorders>
              <w:bottom w:val="single" w:sz="4" w:space="0" w:color="auto"/>
            </w:tcBorders>
            <w:vAlign w:val="bottom"/>
          </w:tcPr>
          <w:p w14:paraId="7EC36455" w14:textId="77777777" w:rsidR="000F6DCA" w:rsidRPr="005C5E32" w:rsidRDefault="000F6DCA">
            <w:pPr>
              <w:pStyle w:val="TableText"/>
              <w:spacing w:before="40" w:after="40"/>
              <w:jc w:val="right"/>
              <w:rPr>
                <w:rFonts w:cs="Calibri"/>
                <w:szCs w:val="18"/>
              </w:rPr>
            </w:pPr>
            <w:r w:rsidRPr="005C5E32">
              <w:t>–</w:t>
            </w:r>
          </w:p>
        </w:tc>
        <w:tc>
          <w:tcPr>
            <w:tcW w:w="1077" w:type="dxa"/>
            <w:vMerge/>
            <w:tcBorders>
              <w:top w:val="single" w:sz="4" w:space="0" w:color="auto"/>
              <w:bottom w:val="single" w:sz="4" w:space="0" w:color="auto"/>
            </w:tcBorders>
            <w:vAlign w:val="bottom"/>
          </w:tcPr>
          <w:p w14:paraId="28ECFB0E" w14:textId="77777777" w:rsidR="000F6DCA" w:rsidRPr="005C5E32" w:rsidRDefault="000F6DCA">
            <w:pPr>
              <w:pStyle w:val="TableText"/>
              <w:spacing w:before="40" w:after="40"/>
              <w:jc w:val="right"/>
              <w:rPr>
                <w:rFonts w:eastAsia="MS Mincho" w:cs="Calibri"/>
                <w:szCs w:val="18"/>
              </w:rPr>
            </w:pPr>
          </w:p>
        </w:tc>
        <w:tc>
          <w:tcPr>
            <w:tcW w:w="1134" w:type="dxa"/>
            <w:tcBorders>
              <w:bottom w:val="single" w:sz="4" w:space="0" w:color="auto"/>
            </w:tcBorders>
            <w:vAlign w:val="bottom"/>
          </w:tcPr>
          <w:p w14:paraId="021E6777" w14:textId="77777777" w:rsidR="000F6DCA" w:rsidRPr="005C5E32" w:rsidRDefault="000F6DCA">
            <w:pPr>
              <w:pStyle w:val="TableText"/>
              <w:spacing w:before="40" w:after="40"/>
              <w:jc w:val="right"/>
              <w:rPr>
                <w:rFonts w:cs="Calibri"/>
              </w:rPr>
            </w:pPr>
          </w:p>
        </w:tc>
      </w:tr>
      <w:tr w:rsidR="000F6DCA" w:rsidRPr="005C5E32" w14:paraId="2FDC804B" w14:textId="77777777" w:rsidTr="00F0795A">
        <w:tc>
          <w:tcPr>
            <w:tcW w:w="2495" w:type="dxa"/>
            <w:tcBorders>
              <w:top w:val="single" w:sz="2" w:space="0" w:color="000000" w:themeColor="text1"/>
            </w:tcBorders>
          </w:tcPr>
          <w:p w14:paraId="735BECC9" w14:textId="77777777" w:rsidR="000F6DCA" w:rsidRPr="005C5E32" w:rsidRDefault="000F6DCA">
            <w:pPr>
              <w:pStyle w:val="TableboldGreen"/>
              <w:spacing w:before="40" w:after="0"/>
              <w:rPr>
                <w:rFonts w:cs="Calibri"/>
              </w:rPr>
            </w:pPr>
            <w:r w:rsidRPr="005C5E32">
              <w:rPr>
                <w:rFonts w:cs="Calibri"/>
              </w:rPr>
              <w:t>Non-departmental other expenses</w:t>
            </w:r>
          </w:p>
        </w:tc>
        <w:tc>
          <w:tcPr>
            <w:tcW w:w="1134" w:type="dxa"/>
            <w:vMerge w:val="restart"/>
            <w:tcBorders>
              <w:top w:val="single" w:sz="4" w:space="0" w:color="auto"/>
            </w:tcBorders>
            <w:shd w:val="clear" w:color="auto" w:fill="E7F2F2"/>
            <w:vAlign w:val="bottom"/>
          </w:tcPr>
          <w:p w14:paraId="2897D827" w14:textId="77777777" w:rsidR="000F6DCA" w:rsidRPr="005C5E32" w:rsidRDefault="000F6DCA">
            <w:pPr>
              <w:pStyle w:val="TableText"/>
              <w:spacing w:before="40" w:after="40"/>
              <w:jc w:val="right"/>
              <w:rPr>
                <w:rFonts w:cs="Calibri"/>
              </w:rPr>
            </w:pPr>
            <w:r w:rsidRPr="005C5E32">
              <w:rPr>
                <w:rFonts w:cs="Calibri"/>
              </w:rPr>
              <w:t>99,932</w:t>
            </w:r>
          </w:p>
        </w:tc>
        <w:tc>
          <w:tcPr>
            <w:tcW w:w="1077" w:type="dxa"/>
            <w:tcBorders>
              <w:top w:val="single" w:sz="2" w:space="0" w:color="000000" w:themeColor="text1"/>
            </w:tcBorders>
            <w:vAlign w:val="bottom"/>
          </w:tcPr>
          <w:p w14:paraId="644C10D4" w14:textId="77777777" w:rsidR="000F6DCA" w:rsidRPr="005C5E32" w:rsidRDefault="000F6DCA">
            <w:pPr>
              <w:pStyle w:val="TableText"/>
              <w:spacing w:before="40" w:after="40"/>
              <w:jc w:val="right"/>
              <w:rPr>
                <w:rFonts w:eastAsia="MS Mincho" w:cs="Calibri"/>
              </w:rPr>
            </w:pPr>
          </w:p>
        </w:tc>
        <w:tc>
          <w:tcPr>
            <w:tcW w:w="1021" w:type="dxa"/>
            <w:tcBorders>
              <w:top w:val="single" w:sz="2" w:space="0" w:color="000000" w:themeColor="text1"/>
            </w:tcBorders>
            <w:vAlign w:val="bottom"/>
          </w:tcPr>
          <w:p w14:paraId="552E8BDA" w14:textId="77777777" w:rsidR="000F6DCA" w:rsidRPr="005C5E32" w:rsidRDefault="000F6DCA">
            <w:pPr>
              <w:pStyle w:val="TableText"/>
              <w:spacing w:before="40" w:after="40"/>
              <w:jc w:val="right"/>
              <w:rPr>
                <w:rFonts w:eastAsia="MS Mincho" w:cs="Calibri"/>
              </w:rPr>
            </w:pPr>
          </w:p>
        </w:tc>
        <w:tc>
          <w:tcPr>
            <w:tcW w:w="1077" w:type="dxa"/>
            <w:vMerge w:val="restart"/>
            <w:tcBorders>
              <w:top w:val="single" w:sz="4" w:space="0" w:color="auto"/>
            </w:tcBorders>
            <w:shd w:val="clear" w:color="auto" w:fill="E7F2F2"/>
            <w:vAlign w:val="bottom"/>
          </w:tcPr>
          <w:p w14:paraId="75B8072E" w14:textId="77777777" w:rsidR="000F6DCA" w:rsidRPr="005C5E32" w:rsidRDefault="000F6DCA">
            <w:pPr>
              <w:pStyle w:val="TableText"/>
              <w:spacing w:before="40" w:after="40"/>
              <w:jc w:val="right"/>
            </w:pPr>
            <w:r w:rsidRPr="005C5E32">
              <w:rPr>
                <w:rFonts w:cs="Calibri"/>
              </w:rPr>
              <w:t>108,623</w:t>
            </w:r>
          </w:p>
        </w:tc>
        <w:tc>
          <w:tcPr>
            <w:tcW w:w="1134" w:type="dxa"/>
            <w:tcBorders>
              <w:top w:val="single" w:sz="2" w:space="0" w:color="000000" w:themeColor="text1"/>
            </w:tcBorders>
            <w:vAlign w:val="bottom"/>
          </w:tcPr>
          <w:p w14:paraId="658EBC59" w14:textId="77777777" w:rsidR="000F6DCA" w:rsidRPr="005C5E32" w:rsidRDefault="000F6DCA">
            <w:pPr>
              <w:pStyle w:val="TableText"/>
              <w:spacing w:before="40" w:after="40"/>
              <w:jc w:val="right"/>
              <w:rPr>
                <w:rFonts w:eastAsia="MS Mincho" w:cs="Calibri"/>
              </w:rPr>
            </w:pPr>
          </w:p>
        </w:tc>
      </w:tr>
      <w:tr w:rsidR="000F6DCA" w:rsidRPr="005C5E32" w14:paraId="4BBB5AFA" w14:textId="77777777" w:rsidTr="00004DF1">
        <w:tc>
          <w:tcPr>
            <w:tcW w:w="2495" w:type="dxa"/>
            <w:tcBorders>
              <w:bottom w:val="single" w:sz="2" w:space="0" w:color="58595B"/>
            </w:tcBorders>
          </w:tcPr>
          <w:p w14:paraId="39328E8B" w14:textId="77777777" w:rsidR="000F6DCA" w:rsidRPr="005C5E32" w:rsidRDefault="000F6DCA">
            <w:pPr>
              <w:pStyle w:val="TableText"/>
              <w:spacing w:before="40" w:after="40"/>
              <w:rPr>
                <w:rFonts w:cs="Calibri"/>
              </w:rPr>
            </w:pPr>
            <w:r w:rsidRPr="005C5E32">
              <w:rPr>
                <w:rFonts w:cs="Calibri"/>
              </w:rPr>
              <w:t>Waste Disposal Levy Disbursements to Territorial Local Authorities</w:t>
            </w:r>
          </w:p>
        </w:tc>
        <w:tc>
          <w:tcPr>
            <w:tcW w:w="1134" w:type="dxa"/>
            <w:vMerge/>
            <w:vAlign w:val="bottom"/>
          </w:tcPr>
          <w:p w14:paraId="63934768" w14:textId="77777777" w:rsidR="000F6DCA" w:rsidRPr="005C5E32" w:rsidRDefault="000F6DCA">
            <w:pPr>
              <w:pStyle w:val="TableText"/>
              <w:spacing w:before="40" w:after="40"/>
              <w:jc w:val="right"/>
              <w:rPr>
                <w:rFonts w:eastAsia="MS Mincho" w:cs="Calibri"/>
              </w:rPr>
            </w:pPr>
          </w:p>
        </w:tc>
        <w:tc>
          <w:tcPr>
            <w:tcW w:w="1077" w:type="dxa"/>
            <w:tcBorders>
              <w:bottom w:val="single" w:sz="2" w:space="0" w:color="58595B"/>
            </w:tcBorders>
            <w:vAlign w:val="bottom"/>
          </w:tcPr>
          <w:p w14:paraId="2427439D" w14:textId="77777777" w:rsidR="000F6DCA" w:rsidRPr="005C5E32" w:rsidRDefault="000F6DCA">
            <w:pPr>
              <w:pStyle w:val="TableText"/>
              <w:spacing w:before="40" w:after="40"/>
              <w:jc w:val="right"/>
              <w:rPr>
                <w:rFonts w:cs="Calibri"/>
              </w:rPr>
            </w:pPr>
            <w:r w:rsidRPr="005C5E32">
              <w:rPr>
                <w:rFonts w:cs="Calibri"/>
              </w:rPr>
              <w:t>127,861</w:t>
            </w:r>
          </w:p>
        </w:tc>
        <w:tc>
          <w:tcPr>
            <w:tcW w:w="1021" w:type="dxa"/>
            <w:tcBorders>
              <w:bottom w:val="single" w:sz="2" w:space="0" w:color="58595B"/>
            </w:tcBorders>
            <w:vAlign w:val="bottom"/>
          </w:tcPr>
          <w:p w14:paraId="1159A7EB" w14:textId="77777777" w:rsidR="000F6DCA" w:rsidRPr="005C5E32" w:rsidRDefault="000F6DCA">
            <w:pPr>
              <w:pStyle w:val="TableText"/>
              <w:spacing w:before="40" w:after="40"/>
              <w:jc w:val="right"/>
              <w:rPr>
                <w:rFonts w:cs="Calibri"/>
              </w:rPr>
            </w:pPr>
            <w:r w:rsidRPr="005C5E32">
              <w:rPr>
                <w:rFonts w:cs="Calibri"/>
              </w:rPr>
              <w:t>122,063</w:t>
            </w:r>
          </w:p>
        </w:tc>
        <w:tc>
          <w:tcPr>
            <w:tcW w:w="1077" w:type="dxa"/>
            <w:vMerge/>
            <w:vAlign w:val="bottom"/>
          </w:tcPr>
          <w:p w14:paraId="378B9998" w14:textId="77777777" w:rsidR="000F6DCA" w:rsidRPr="005C5E32" w:rsidRDefault="000F6DCA">
            <w:pPr>
              <w:pStyle w:val="TableText"/>
              <w:spacing w:before="40" w:after="40"/>
              <w:jc w:val="right"/>
              <w:rPr>
                <w:rFonts w:eastAsia="MS Mincho" w:cs="Calibri"/>
              </w:rPr>
            </w:pPr>
          </w:p>
        </w:tc>
        <w:tc>
          <w:tcPr>
            <w:tcW w:w="1134" w:type="dxa"/>
            <w:tcBorders>
              <w:bottom w:val="single" w:sz="2" w:space="0" w:color="58595B"/>
            </w:tcBorders>
            <w:vAlign w:val="bottom"/>
          </w:tcPr>
          <w:p w14:paraId="13B617CA" w14:textId="77777777" w:rsidR="000F6DCA" w:rsidRPr="005C5E32" w:rsidRDefault="000F6DCA">
            <w:pPr>
              <w:pStyle w:val="TableText"/>
              <w:spacing w:before="40" w:after="40"/>
              <w:jc w:val="right"/>
              <w:rPr>
                <w:rFonts w:cs="Calibri"/>
              </w:rPr>
            </w:pPr>
            <w:r w:rsidRPr="005C5E32">
              <w:rPr>
                <w:rFonts w:cs="Calibri"/>
              </w:rPr>
              <w:t>a</w:t>
            </w:r>
          </w:p>
        </w:tc>
      </w:tr>
      <w:tr w:rsidR="000F6DCA" w:rsidRPr="005C5E32" w14:paraId="79A0587F" w14:textId="77777777" w:rsidTr="00004DF1">
        <w:tc>
          <w:tcPr>
            <w:tcW w:w="2495" w:type="dxa"/>
            <w:tcBorders>
              <w:top w:val="single" w:sz="2" w:space="0" w:color="58595B"/>
              <w:bottom w:val="single" w:sz="2" w:space="0" w:color="58595B"/>
            </w:tcBorders>
          </w:tcPr>
          <w:p w14:paraId="6D9E0FCF" w14:textId="77777777" w:rsidR="000F6DCA" w:rsidRPr="005C5E32" w:rsidRDefault="000F6DCA">
            <w:pPr>
              <w:pStyle w:val="TableTextbold"/>
              <w:spacing w:before="40" w:after="40"/>
              <w:rPr>
                <w:rFonts w:cs="Calibri"/>
              </w:rPr>
            </w:pPr>
            <w:r w:rsidRPr="005C5E32">
              <w:rPr>
                <w:rFonts w:cs="Calibri"/>
              </w:rPr>
              <w:t>Total multi-category appropriations</w:t>
            </w:r>
          </w:p>
        </w:tc>
        <w:tc>
          <w:tcPr>
            <w:tcW w:w="1134" w:type="dxa"/>
            <w:tcBorders>
              <w:top w:val="single" w:sz="2" w:space="0" w:color="58595B"/>
              <w:bottom w:val="single" w:sz="2" w:space="0" w:color="58595B"/>
            </w:tcBorders>
            <w:shd w:val="clear" w:color="auto" w:fill="E7F2F2"/>
            <w:vAlign w:val="bottom"/>
          </w:tcPr>
          <w:p w14:paraId="63D15868" w14:textId="77777777" w:rsidR="000F6DCA" w:rsidRPr="005C5E32" w:rsidRDefault="000F6DCA">
            <w:pPr>
              <w:pStyle w:val="TableTextbold"/>
              <w:spacing w:before="40" w:after="40"/>
              <w:jc w:val="right"/>
              <w:rPr>
                <w:rFonts w:cs="Calibri"/>
              </w:rPr>
            </w:pPr>
            <w:r w:rsidRPr="005C5E32">
              <w:rPr>
                <w:rFonts w:cs="Calibri"/>
              </w:rPr>
              <w:t>222,862</w:t>
            </w:r>
          </w:p>
        </w:tc>
        <w:tc>
          <w:tcPr>
            <w:tcW w:w="1077" w:type="dxa"/>
            <w:tcBorders>
              <w:top w:val="single" w:sz="2" w:space="0" w:color="58595B"/>
              <w:bottom w:val="single" w:sz="2" w:space="0" w:color="58595B"/>
            </w:tcBorders>
            <w:vAlign w:val="bottom"/>
          </w:tcPr>
          <w:p w14:paraId="7139704F" w14:textId="77777777" w:rsidR="000F6DCA" w:rsidRPr="005C5E32" w:rsidRDefault="000F6DCA">
            <w:pPr>
              <w:pStyle w:val="TableTextbold"/>
              <w:spacing w:before="40" w:after="40"/>
              <w:jc w:val="right"/>
              <w:rPr>
                <w:rFonts w:cs="Calibri"/>
                <w:highlight w:val="yellow"/>
              </w:rPr>
            </w:pPr>
            <w:r w:rsidRPr="005C5E32">
              <w:rPr>
                <w:rFonts w:cs="Calibri"/>
              </w:rPr>
              <w:t>353,690</w:t>
            </w:r>
          </w:p>
        </w:tc>
        <w:tc>
          <w:tcPr>
            <w:tcW w:w="1021" w:type="dxa"/>
            <w:tcBorders>
              <w:top w:val="single" w:sz="2" w:space="0" w:color="58595B"/>
              <w:bottom w:val="single" w:sz="2" w:space="0" w:color="58595B"/>
            </w:tcBorders>
            <w:vAlign w:val="bottom"/>
          </w:tcPr>
          <w:p w14:paraId="4396816F" w14:textId="77777777" w:rsidR="000F6DCA" w:rsidRPr="005C5E32" w:rsidRDefault="000F6DCA">
            <w:pPr>
              <w:pStyle w:val="TableTextbold"/>
              <w:spacing w:before="40" w:after="40"/>
              <w:jc w:val="right"/>
              <w:rPr>
                <w:rFonts w:cs="Calibri"/>
                <w:highlight w:val="yellow"/>
              </w:rPr>
            </w:pPr>
            <w:r w:rsidRPr="005C5E32">
              <w:rPr>
                <w:rFonts w:cs="Calibri"/>
              </w:rPr>
              <w:t>335,375</w:t>
            </w:r>
          </w:p>
        </w:tc>
        <w:tc>
          <w:tcPr>
            <w:tcW w:w="1077" w:type="dxa"/>
            <w:tcBorders>
              <w:top w:val="single" w:sz="2" w:space="0" w:color="58595B"/>
              <w:bottom w:val="single" w:sz="2" w:space="0" w:color="58595B"/>
            </w:tcBorders>
            <w:shd w:val="clear" w:color="auto" w:fill="E7F2F2"/>
            <w:vAlign w:val="bottom"/>
          </w:tcPr>
          <w:p w14:paraId="7FF0472D" w14:textId="77777777" w:rsidR="000F6DCA" w:rsidRPr="005C5E32" w:rsidRDefault="000F6DCA">
            <w:pPr>
              <w:pStyle w:val="TableTextbold"/>
              <w:spacing w:before="40" w:after="40"/>
              <w:jc w:val="right"/>
            </w:pPr>
            <w:r w:rsidRPr="005C5E32">
              <w:rPr>
                <w:rFonts w:cs="Calibri"/>
              </w:rPr>
              <w:t>246,212</w:t>
            </w:r>
          </w:p>
        </w:tc>
        <w:tc>
          <w:tcPr>
            <w:tcW w:w="1134" w:type="dxa"/>
            <w:tcBorders>
              <w:top w:val="single" w:sz="2" w:space="0" w:color="58595B"/>
              <w:left w:val="nil"/>
              <w:bottom w:val="single" w:sz="2" w:space="0" w:color="58595B"/>
            </w:tcBorders>
            <w:vAlign w:val="bottom"/>
          </w:tcPr>
          <w:p w14:paraId="31B14B3E" w14:textId="77777777" w:rsidR="000F6DCA" w:rsidRPr="005C5E32" w:rsidRDefault="000F6DCA">
            <w:pPr>
              <w:pStyle w:val="TableTextbold"/>
              <w:spacing w:before="40" w:after="40"/>
              <w:jc w:val="right"/>
              <w:rPr>
                <w:rFonts w:cs="Calibri"/>
              </w:rPr>
            </w:pPr>
          </w:p>
        </w:tc>
      </w:tr>
      <w:tr w:rsidR="000F6DCA" w:rsidRPr="005C5E32" w14:paraId="1918252A" w14:textId="77777777" w:rsidTr="00004DF1">
        <w:tc>
          <w:tcPr>
            <w:tcW w:w="2495" w:type="dxa"/>
            <w:tcBorders>
              <w:top w:val="single" w:sz="2" w:space="0" w:color="58595B"/>
              <w:bottom w:val="single" w:sz="2" w:space="0" w:color="58595B"/>
            </w:tcBorders>
          </w:tcPr>
          <w:p w14:paraId="176FEB36" w14:textId="77777777" w:rsidR="000F6DCA" w:rsidRPr="005C5E32" w:rsidRDefault="000F6DCA">
            <w:pPr>
              <w:pStyle w:val="TableTextbold"/>
              <w:spacing w:before="40" w:after="40"/>
              <w:rPr>
                <w:rFonts w:cs="Calibri"/>
              </w:rPr>
            </w:pPr>
            <w:r w:rsidRPr="005C5E32">
              <w:rPr>
                <w:rFonts w:cs="Calibri"/>
              </w:rPr>
              <w:t>Total annual and permanent appropriations</w:t>
            </w:r>
          </w:p>
        </w:tc>
        <w:tc>
          <w:tcPr>
            <w:tcW w:w="1134" w:type="dxa"/>
            <w:tcBorders>
              <w:top w:val="single" w:sz="2" w:space="0" w:color="58595B"/>
              <w:bottom w:val="single" w:sz="2" w:space="0" w:color="58595B"/>
            </w:tcBorders>
            <w:shd w:val="clear" w:color="auto" w:fill="E7F2F2"/>
            <w:vAlign w:val="bottom"/>
          </w:tcPr>
          <w:p w14:paraId="3B9F3FD3" w14:textId="77777777" w:rsidR="000F6DCA" w:rsidRPr="005C5E32" w:rsidRDefault="000F6DCA">
            <w:pPr>
              <w:pStyle w:val="TableTextbold"/>
              <w:spacing w:before="40" w:after="40"/>
              <w:jc w:val="right"/>
              <w:rPr>
                <w:rFonts w:cs="Calibri"/>
                <w:highlight w:val="yellow"/>
              </w:rPr>
            </w:pPr>
            <w:r w:rsidRPr="005C5E32">
              <w:rPr>
                <w:rFonts w:cs="Calibri"/>
              </w:rPr>
              <w:t>1,564,673</w:t>
            </w:r>
          </w:p>
        </w:tc>
        <w:tc>
          <w:tcPr>
            <w:tcW w:w="1077" w:type="dxa"/>
            <w:tcBorders>
              <w:top w:val="single" w:sz="2" w:space="0" w:color="58595B"/>
              <w:bottom w:val="single" w:sz="2" w:space="0" w:color="58595B"/>
            </w:tcBorders>
            <w:vAlign w:val="bottom"/>
          </w:tcPr>
          <w:p w14:paraId="676046E2" w14:textId="77777777" w:rsidR="000F6DCA" w:rsidRPr="005C5E32" w:rsidRDefault="000F6DCA">
            <w:pPr>
              <w:pStyle w:val="TableTextbold"/>
              <w:spacing w:before="40" w:after="40"/>
              <w:jc w:val="right"/>
              <w:rPr>
                <w:rFonts w:cs="Calibri"/>
              </w:rPr>
            </w:pPr>
            <w:r w:rsidRPr="005C5E32">
              <w:rPr>
                <w:rFonts w:cs="Calibri"/>
              </w:rPr>
              <w:t>2,833,518</w:t>
            </w:r>
          </w:p>
        </w:tc>
        <w:tc>
          <w:tcPr>
            <w:tcW w:w="1021" w:type="dxa"/>
            <w:tcBorders>
              <w:top w:val="single" w:sz="2" w:space="0" w:color="58595B"/>
              <w:bottom w:val="single" w:sz="2" w:space="0" w:color="58595B"/>
            </w:tcBorders>
            <w:vAlign w:val="bottom"/>
          </w:tcPr>
          <w:p w14:paraId="738C4602" w14:textId="77777777" w:rsidR="000F6DCA" w:rsidRPr="005C5E32" w:rsidRDefault="000F6DCA">
            <w:pPr>
              <w:pStyle w:val="TableTextbold"/>
              <w:spacing w:before="40" w:after="40"/>
              <w:jc w:val="right"/>
              <w:rPr>
                <w:rFonts w:cs="Calibri"/>
              </w:rPr>
            </w:pPr>
            <w:r w:rsidRPr="005C5E32">
              <w:rPr>
                <w:rFonts w:cs="Calibri"/>
              </w:rPr>
              <w:t>2,311,499</w:t>
            </w:r>
          </w:p>
        </w:tc>
        <w:tc>
          <w:tcPr>
            <w:tcW w:w="1077" w:type="dxa"/>
            <w:tcBorders>
              <w:top w:val="single" w:sz="2" w:space="0" w:color="58595B"/>
              <w:bottom w:val="single" w:sz="2" w:space="0" w:color="58595B"/>
            </w:tcBorders>
            <w:shd w:val="clear" w:color="auto" w:fill="E7F2F2"/>
            <w:vAlign w:val="bottom"/>
          </w:tcPr>
          <w:p w14:paraId="6766A8DE" w14:textId="77777777" w:rsidR="000F6DCA" w:rsidRPr="005C5E32" w:rsidRDefault="000F6DCA">
            <w:pPr>
              <w:pStyle w:val="TableTextbold"/>
              <w:spacing w:before="40" w:after="40"/>
              <w:jc w:val="right"/>
            </w:pPr>
            <w:r w:rsidRPr="005C5E32">
              <w:rPr>
                <w:rFonts w:cs="Calibri"/>
              </w:rPr>
              <w:t>1,807,254</w:t>
            </w:r>
          </w:p>
        </w:tc>
        <w:tc>
          <w:tcPr>
            <w:tcW w:w="1134" w:type="dxa"/>
            <w:tcBorders>
              <w:top w:val="single" w:sz="2" w:space="0" w:color="58595B"/>
              <w:left w:val="nil"/>
              <w:bottom w:val="single" w:sz="2" w:space="0" w:color="58595B"/>
            </w:tcBorders>
            <w:vAlign w:val="bottom"/>
          </w:tcPr>
          <w:p w14:paraId="2ACD17D6" w14:textId="77777777" w:rsidR="000F6DCA" w:rsidRPr="005C5E32" w:rsidRDefault="000F6DCA">
            <w:pPr>
              <w:pStyle w:val="TableTextbold"/>
              <w:spacing w:before="40" w:after="40"/>
              <w:jc w:val="right"/>
              <w:rPr>
                <w:rFonts w:cs="Calibri"/>
              </w:rPr>
            </w:pPr>
          </w:p>
        </w:tc>
      </w:tr>
    </w:tbl>
    <w:p w14:paraId="4E568D7B" w14:textId="77777777" w:rsidR="00D06CB2" w:rsidRPr="005C5E32" w:rsidRDefault="00D06CB2">
      <w:pPr>
        <w:pStyle w:val="Note"/>
      </w:pPr>
      <w:r w:rsidRPr="005C5E32">
        <w:t>* The statement of accounting policies explains the basis for these figures, which are not subject to audit.</w:t>
      </w:r>
    </w:p>
    <w:p w14:paraId="697E7DA0" w14:textId="77777777" w:rsidR="00D06CB2" w:rsidRPr="005C5E32" w:rsidRDefault="00D06CB2">
      <w:pPr>
        <w:pStyle w:val="Heading3"/>
      </w:pPr>
      <w:bookmarkStart w:id="445" w:name="_Toc112144668"/>
      <w:r w:rsidRPr="005C5E32">
        <w:lastRenderedPageBreak/>
        <w:t>Remeasurement</w:t>
      </w:r>
      <w:bookmarkEnd w:id="445"/>
    </w:p>
    <w:p w14:paraId="34A64A14" w14:textId="77777777" w:rsidR="00D06CB2" w:rsidRPr="005C5E32" w:rsidRDefault="00D06CB2">
      <w:pPr>
        <w:pStyle w:val="BodyText"/>
        <w:rPr>
          <w:spacing w:val="-2"/>
        </w:rPr>
      </w:pPr>
      <w:r w:rsidRPr="005C5E32">
        <w:rPr>
          <w:spacing w:val="-2"/>
        </w:rPr>
        <w:t xml:space="preserve">In 2025/26, the Crown has reported </w:t>
      </w:r>
      <w:bookmarkStart w:id="446" w:name="_Hlk143161572"/>
      <w:r w:rsidRPr="005C5E32">
        <w:rPr>
          <w:spacing w:val="-2"/>
        </w:rPr>
        <w:t xml:space="preserve">a remeasurement gain of </w:t>
      </w:r>
      <w:bookmarkEnd w:id="446"/>
      <w:r w:rsidRPr="005C5E32">
        <w:rPr>
          <w:spacing w:val="-2"/>
        </w:rPr>
        <w:t>$509 million in relation to the provision of the Allocation of New Zealand Units under the NZ ETS (2024/25: $1,027 million loss).</w:t>
      </w:r>
    </w:p>
    <w:p w14:paraId="6A74AAC5" w14:textId="77777777" w:rsidR="00D06CB2" w:rsidRPr="005C5E32" w:rsidRDefault="00D06CB2">
      <w:pPr>
        <w:pStyle w:val="BodyText"/>
      </w:pPr>
      <w:r w:rsidRPr="005C5E32">
        <w:t>The remeasurement of the provisions takes account of the revisions in the price of NZUs. In accordance with section 4(2)(a) of</w:t>
      </w:r>
      <w:r w:rsidRPr="005C5E32" w:rsidDel="00507E6D">
        <w:t xml:space="preserve"> </w:t>
      </w:r>
      <w:r w:rsidRPr="005C5E32">
        <w:t>the Public Finance Amendment Act 2004, changes in assets and liabilities due to remeasurements do not require appropriations.</w:t>
      </w:r>
    </w:p>
    <w:p w14:paraId="18C828AD" w14:textId="77777777" w:rsidR="00D06CB2" w:rsidRPr="005C5E32" w:rsidRDefault="00D06CB2">
      <w:pPr>
        <w:pStyle w:val="BodyText"/>
        <w:spacing w:before="0" w:after="0"/>
      </w:pPr>
      <w:bookmarkStart w:id="447" w:name="_Toc112144669"/>
      <w:r w:rsidRPr="005C5E32">
        <w:br w:type="page"/>
      </w:r>
    </w:p>
    <w:p w14:paraId="51CD37E8" w14:textId="77777777" w:rsidR="00D06CB2" w:rsidRPr="005C5E32" w:rsidRDefault="00D06CB2">
      <w:pPr>
        <w:pStyle w:val="Heading2green"/>
      </w:pPr>
      <w:bookmarkStart w:id="448" w:name="_Toc207017424"/>
      <w:bookmarkStart w:id="449" w:name="_Toc207017513"/>
      <w:bookmarkStart w:id="450" w:name="_Toc207192330"/>
      <w:bookmarkStart w:id="451" w:name="_Toc240445596"/>
      <w:r w:rsidRPr="005C5E32">
        <w:lastRenderedPageBreak/>
        <w:t>Statement of budgeted and actual expenses and capital expenditure incurred against appropriations</w:t>
      </w:r>
      <w:bookmarkEnd w:id="447"/>
      <w:bookmarkEnd w:id="448"/>
      <w:bookmarkEnd w:id="449"/>
      <w:bookmarkEnd w:id="450"/>
      <w:bookmarkEnd w:id="451"/>
    </w:p>
    <w:p w14:paraId="48E6AEED" w14:textId="77777777" w:rsidR="00D06CB2" w:rsidRPr="005C5E32" w:rsidRDefault="00D06CB2">
      <w:pPr>
        <w:rPr>
          <w:rFonts w:eastAsia="MS Mincho" w:cs="Arial"/>
          <w:sz w:val="28"/>
          <w:szCs w:val="28"/>
        </w:rPr>
      </w:pPr>
      <w:r w:rsidRPr="005C5E32">
        <w:rPr>
          <w:rFonts w:eastAsia="MS Mincho" w:cs="Arial"/>
          <w:sz w:val="28"/>
          <w:szCs w:val="28"/>
        </w:rPr>
        <w:t>for the year ended 30 June 2026 (continued)</w:t>
      </w:r>
    </w:p>
    <w:p w14:paraId="54D1864C" w14:textId="77777777" w:rsidR="00D06CB2" w:rsidRPr="005C5E32" w:rsidRDefault="00D06CB2" w:rsidP="007C6680">
      <w:pPr>
        <w:pStyle w:val="Heading3"/>
        <w:spacing w:before="280"/>
      </w:pPr>
      <w:bookmarkStart w:id="452" w:name="_Toc112144670"/>
      <w:r w:rsidRPr="005C5E32">
        <w:t>Details of multi-year appropriations</w:t>
      </w:r>
      <w:bookmarkEnd w:id="452"/>
    </w:p>
    <w:p w14:paraId="051A0767" w14:textId="77777777" w:rsidR="00D06CB2" w:rsidRPr="005C5E32" w:rsidRDefault="00D06CB2" w:rsidP="007C6680">
      <w:pPr>
        <w:pStyle w:val="Heading4"/>
        <w:spacing w:before="120"/>
      </w:pPr>
      <w:r w:rsidRPr="005C5E32">
        <w:t>Fresh Start for Fresh Water: Rotorua Te Arawa Lakes Programme</w:t>
      </w:r>
    </w:p>
    <w:p w14:paraId="529A9C36" w14:textId="77777777" w:rsidR="00D06CB2" w:rsidRPr="005C5E32" w:rsidRDefault="00D06CB2">
      <w:pPr>
        <w:pStyle w:val="BodyText"/>
        <w:spacing w:after="240"/>
      </w:pPr>
      <w:r w:rsidRPr="005C5E32">
        <w:t xml:space="preserve">On 1 July 2025, this multi-year appropriation was established in Vote Environment, non-departmental output expense from the Fresh Start for Fresh Water: Rotorua Te Arawa Lakes Programme that expired on 30 June 2025. This appropriation is established for maintaining and improving the water quality of the Rotorua lakes. </w:t>
      </w:r>
      <w:r w:rsidRPr="005C5E32" w:rsidDel="00027AC4">
        <w:t>This appropriation</w:t>
      </w:r>
      <w:r w:rsidRPr="005C5E32">
        <w:t xml:space="preserve"> expires on 30 June 2030.</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3852"/>
        <w:gridCol w:w="1960"/>
        <w:gridCol w:w="1466"/>
        <w:gridCol w:w="1227"/>
      </w:tblGrid>
      <w:tr w:rsidR="00D06CB2" w:rsidRPr="005C5E32" w14:paraId="06A37018" w14:textId="77777777">
        <w:trPr>
          <w:trHeight w:val="20"/>
        </w:trPr>
        <w:tc>
          <w:tcPr>
            <w:tcW w:w="3852" w:type="dxa"/>
            <w:tcBorders>
              <w:top w:val="single" w:sz="8" w:space="0" w:color="0E7C7E"/>
              <w:bottom w:val="single" w:sz="2" w:space="0" w:color="000000" w:themeColor="text1"/>
            </w:tcBorders>
            <w:vAlign w:val="bottom"/>
          </w:tcPr>
          <w:p w14:paraId="10679A63" w14:textId="77777777" w:rsidR="00D06CB2" w:rsidRPr="005C5E32" w:rsidRDefault="00D06CB2" w:rsidP="007C6680">
            <w:pPr>
              <w:pStyle w:val="TableboldGreen"/>
              <w:spacing w:before="30" w:after="30"/>
            </w:pPr>
          </w:p>
        </w:tc>
        <w:tc>
          <w:tcPr>
            <w:tcW w:w="1960" w:type="dxa"/>
            <w:tcBorders>
              <w:top w:val="single" w:sz="8" w:space="0" w:color="0E7C7E"/>
              <w:bottom w:val="single" w:sz="2" w:space="0" w:color="000000" w:themeColor="text1"/>
            </w:tcBorders>
            <w:vAlign w:val="bottom"/>
          </w:tcPr>
          <w:p w14:paraId="719A887A" w14:textId="77777777" w:rsidR="00D06CB2" w:rsidRPr="005C5E32" w:rsidRDefault="00D06CB2" w:rsidP="007C6680">
            <w:pPr>
              <w:pStyle w:val="TableboldGreen"/>
              <w:spacing w:before="30" w:after="30"/>
              <w:rPr>
                <w:rFonts w:eastAsia="Lato"/>
              </w:rPr>
            </w:pPr>
          </w:p>
        </w:tc>
        <w:tc>
          <w:tcPr>
            <w:tcW w:w="1466" w:type="dxa"/>
            <w:tcBorders>
              <w:top w:val="single" w:sz="8" w:space="0" w:color="0E7C7E"/>
              <w:bottom w:val="single" w:sz="2" w:space="0" w:color="000000" w:themeColor="text1"/>
            </w:tcBorders>
            <w:vAlign w:val="bottom"/>
          </w:tcPr>
          <w:p w14:paraId="50729938" w14:textId="77777777" w:rsidR="00D06CB2" w:rsidRPr="005C5E32" w:rsidRDefault="00D06CB2" w:rsidP="007C6680">
            <w:pPr>
              <w:pStyle w:val="TableboldGreen"/>
              <w:spacing w:before="30" w:after="30"/>
              <w:jc w:val="right"/>
              <w:rPr>
                <w:rFonts w:eastAsia="Lato"/>
              </w:rPr>
            </w:pPr>
            <w:r w:rsidRPr="005C5E32">
              <w:rPr>
                <w:rFonts w:eastAsia="Lato"/>
                <w:color w:val="0E7C7E"/>
              </w:rPr>
              <w:t>2025/26</w:t>
            </w:r>
            <w:r w:rsidRPr="005C5E32">
              <w:rPr>
                <w:rFonts w:eastAsia="Lato"/>
                <w:color w:val="0E7C7E"/>
              </w:rPr>
              <w:br/>
            </w:r>
            <w:r w:rsidRPr="005C5E32">
              <w:rPr>
                <w:rFonts w:eastAsia="Lato"/>
                <w:color w:val="0E7C7E"/>
                <w:w w:val="95"/>
              </w:rPr>
              <w:t xml:space="preserve">Revised </w:t>
            </w:r>
            <w:r w:rsidRPr="005C5E32" w:rsidDel="00985DFE">
              <w:rPr>
                <w:rFonts w:eastAsia="Lato"/>
                <w:color w:val="0E7C7E"/>
              </w:rPr>
              <w:t>B</w:t>
            </w:r>
            <w:r w:rsidRPr="005C5E32">
              <w:rPr>
                <w:rFonts w:eastAsia="Lato"/>
                <w:color w:val="0E7C7E"/>
              </w:rPr>
              <w:t>udget*</w:t>
            </w:r>
            <w:r w:rsidRPr="005C5E32">
              <w:rPr>
                <w:rFonts w:eastAsia="Lato"/>
                <w:color w:val="0E7C7E"/>
              </w:rPr>
              <w:br/>
              <w:t>$000</w:t>
            </w:r>
          </w:p>
        </w:tc>
        <w:tc>
          <w:tcPr>
            <w:tcW w:w="1227" w:type="dxa"/>
            <w:tcBorders>
              <w:top w:val="single" w:sz="8" w:space="0" w:color="0E7C7E"/>
              <w:bottom w:val="single" w:sz="2" w:space="0" w:color="000000" w:themeColor="text1"/>
            </w:tcBorders>
            <w:shd w:val="clear" w:color="auto" w:fill="E7F2F2"/>
            <w:vAlign w:val="bottom"/>
          </w:tcPr>
          <w:p w14:paraId="576CDE92" w14:textId="77777777" w:rsidR="00D06CB2" w:rsidRPr="005C5E32" w:rsidRDefault="00D06CB2" w:rsidP="007C6680">
            <w:pPr>
              <w:pStyle w:val="TableboldGreen"/>
              <w:spacing w:before="30" w:after="30"/>
              <w:jc w:val="right"/>
              <w:rPr>
                <w:rFonts w:eastAsia="Lato"/>
              </w:rPr>
            </w:pPr>
            <w:r w:rsidRPr="005C5E32">
              <w:rPr>
                <w:rFonts w:eastAsia="Lato"/>
                <w:color w:val="0E7C7E"/>
              </w:rPr>
              <w:t>2025/26</w:t>
            </w:r>
            <w:r w:rsidRPr="005C5E32">
              <w:rPr>
                <w:rFonts w:eastAsia="Lato"/>
                <w:color w:val="0E7C7E"/>
              </w:rPr>
              <w:br/>
              <w:t>Actual</w:t>
            </w:r>
            <w:r w:rsidRPr="005C5E32">
              <w:rPr>
                <w:rFonts w:eastAsia="Lato"/>
                <w:color w:val="0E7C7E"/>
              </w:rPr>
              <w:br/>
              <w:t>$000</w:t>
            </w:r>
          </w:p>
        </w:tc>
      </w:tr>
      <w:tr w:rsidR="00D06CB2" w:rsidRPr="005C5E32" w14:paraId="2DDBB54C" w14:textId="77777777">
        <w:trPr>
          <w:trHeight w:val="20"/>
        </w:trPr>
        <w:tc>
          <w:tcPr>
            <w:tcW w:w="5812" w:type="dxa"/>
            <w:gridSpan w:val="2"/>
            <w:tcBorders>
              <w:top w:val="single" w:sz="2" w:space="0" w:color="000000" w:themeColor="text1"/>
            </w:tcBorders>
          </w:tcPr>
          <w:p w14:paraId="470FEF28" w14:textId="77777777" w:rsidR="00D06CB2" w:rsidRPr="005C5E32" w:rsidRDefault="00D06CB2" w:rsidP="007C6680">
            <w:pPr>
              <w:pStyle w:val="TableboldGreen"/>
              <w:spacing w:before="30" w:after="30"/>
            </w:pPr>
            <w:r w:rsidRPr="005C5E32">
              <w:t>Appropriation for non-departmental output expenses:</w:t>
            </w:r>
          </w:p>
        </w:tc>
        <w:tc>
          <w:tcPr>
            <w:tcW w:w="1466" w:type="dxa"/>
            <w:tcBorders>
              <w:top w:val="single" w:sz="2" w:space="0" w:color="000000" w:themeColor="text1"/>
            </w:tcBorders>
          </w:tcPr>
          <w:p w14:paraId="4956B257" w14:textId="77777777" w:rsidR="00D06CB2" w:rsidRPr="005C5E32" w:rsidRDefault="00D06CB2" w:rsidP="007C6680">
            <w:pPr>
              <w:pStyle w:val="TableText"/>
              <w:spacing w:before="30" w:after="30"/>
            </w:pPr>
          </w:p>
        </w:tc>
        <w:tc>
          <w:tcPr>
            <w:tcW w:w="1227" w:type="dxa"/>
            <w:vMerge w:val="restart"/>
            <w:tcBorders>
              <w:top w:val="single" w:sz="2" w:space="0" w:color="000000" w:themeColor="text1"/>
            </w:tcBorders>
            <w:shd w:val="clear" w:color="auto" w:fill="E7F2F2"/>
            <w:vAlign w:val="bottom"/>
          </w:tcPr>
          <w:p w14:paraId="1E048129" w14:textId="77777777" w:rsidR="00D06CB2" w:rsidRPr="005C5E32" w:rsidRDefault="00D06CB2" w:rsidP="007C6680">
            <w:pPr>
              <w:pStyle w:val="TableText"/>
              <w:spacing w:before="30" w:after="30"/>
              <w:jc w:val="right"/>
              <w:rPr>
                <w:rFonts w:eastAsia="Lato"/>
              </w:rPr>
            </w:pPr>
            <w:r w:rsidRPr="005C5E32">
              <w:t>–</w:t>
            </w:r>
          </w:p>
        </w:tc>
      </w:tr>
      <w:tr w:rsidR="00D06CB2" w:rsidRPr="005C5E32" w14:paraId="336BC2E3" w14:textId="77777777">
        <w:trPr>
          <w:trHeight w:val="20"/>
        </w:trPr>
        <w:tc>
          <w:tcPr>
            <w:tcW w:w="5812" w:type="dxa"/>
            <w:gridSpan w:val="2"/>
          </w:tcPr>
          <w:p w14:paraId="60C6EF50" w14:textId="77777777" w:rsidR="00D06CB2" w:rsidRPr="005C5E32" w:rsidRDefault="00D06CB2" w:rsidP="007C6680">
            <w:pPr>
              <w:pStyle w:val="Tablegreen"/>
              <w:spacing w:before="30" w:after="30"/>
            </w:pPr>
            <w:r w:rsidRPr="005C5E32">
              <w:t>Fresh Start for Fresh Water: Rotorua Te Arawa Lakes Programme**</w:t>
            </w:r>
          </w:p>
        </w:tc>
        <w:tc>
          <w:tcPr>
            <w:tcW w:w="1466" w:type="dxa"/>
          </w:tcPr>
          <w:p w14:paraId="4AD7AD93" w14:textId="77777777" w:rsidR="00D06CB2" w:rsidRPr="005C5E32" w:rsidRDefault="00D06CB2" w:rsidP="007C6680">
            <w:pPr>
              <w:pStyle w:val="TableText"/>
              <w:spacing w:before="30" w:after="30"/>
            </w:pPr>
          </w:p>
        </w:tc>
        <w:tc>
          <w:tcPr>
            <w:tcW w:w="1227" w:type="dxa"/>
            <w:vMerge/>
            <w:shd w:val="clear" w:color="auto" w:fill="E7F2F2"/>
          </w:tcPr>
          <w:p w14:paraId="4F2AAE41" w14:textId="77777777" w:rsidR="00D06CB2" w:rsidRPr="005C5E32" w:rsidRDefault="00D06CB2" w:rsidP="007C6680">
            <w:pPr>
              <w:spacing w:before="30" w:after="30"/>
              <w:rPr>
                <w:rFonts w:asciiTheme="minorHAnsi" w:eastAsia="MS Mincho" w:hAnsiTheme="minorHAnsi" w:cstheme="minorHAnsi"/>
              </w:rPr>
            </w:pPr>
          </w:p>
        </w:tc>
      </w:tr>
      <w:tr w:rsidR="00D06CB2" w:rsidRPr="005C5E32" w14:paraId="5B8F7F96" w14:textId="77777777">
        <w:trPr>
          <w:trHeight w:val="20"/>
        </w:trPr>
        <w:tc>
          <w:tcPr>
            <w:tcW w:w="3852" w:type="dxa"/>
            <w:tcBorders>
              <w:bottom w:val="single" w:sz="2" w:space="0" w:color="58595B"/>
            </w:tcBorders>
          </w:tcPr>
          <w:p w14:paraId="48205F0C" w14:textId="77777777" w:rsidR="00D06CB2" w:rsidRPr="005C5E32" w:rsidRDefault="00D06CB2" w:rsidP="007C6680">
            <w:pPr>
              <w:pStyle w:val="TableText"/>
              <w:spacing w:before="30" w:after="30"/>
            </w:pPr>
            <w:r w:rsidRPr="005C5E32">
              <w:t>Cumulative expenses to 1 July</w:t>
            </w:r>
          </w:p>
        </w:tc>
        <w:tc>
          <w:tcPr>
            <w:tcW w:w="1960" w:type="dxa"/>
            <w:tcBorders>
              <w:bottom w:val="single" w:sz="2" w:space="0" w:color="58595B"/>
            </w:tcBorders>
          </w:tcPr>
          <w:p w14:paraId="1CEB2E5F" w14:textId="77777777" w:rsidR="00D06CB2" w:rsidRPr="005C5E32" w:rsidRDefault="00D06CB2" w:rsidP="007C6680">
            <w:pPr>
              <w:pStyle w:val="TableText"/>
              <w:spacing w:before="30" w:after="30"/>
            </w:pPr>
          </w:p>
        </w:tc>
        <w:tc>
          <w:tcPr>
            <w:tcW w:w="1466" w:type="dxa"/>
            <w:tcBorders>
              <w:bottom w:val="single" w:sz="2" w:space="0" w:color="58595B"/>
            </w:tcBorders>
          </w:tcPr>
          <w:p w14:paraId="055EB248" w14:textId="77777777" w:rsidR="00D06CB2" w:rsidRPr="005C5E32" w:rsidRDefault="00D06CB2" w:rsidP="007C6680">
            <w:pPr>
              <w:pStyle w:val="TableText"/>
              <w:spacing w:before="30" w:after="30"/>
              <w:jc w:val="right"/>
            </w:pPr>
            <w:r w:rsidRPr="005C5E32">
              <w:t>–</w:t>
            </w:r>
          </w:p>
        </w:tc>
        <w:tc>
          <w:tcPr>
            <w:tcW w:w="1227" w:type="dxa"/>
            <w:vMerge/>
            <w:tcBorders>
              <w:bottom w:val="single" w:sz="2" w:space="0" w:color="58595B"/>
            </w:tcBorders>
            <w:shd w:val="clear" w:color="auto" w:fill="E7F2F2"/>
          </w:tcPr>
          <w:p w14:paraId="1CEA1760" w14:textId="77777777" w:rsidR="00D06CB2" w:rsidRPr="005C5E32" w:rsidRDefault="00D06CB2" w:rsidP="007C6680">
            <w:pPr>
              <w:pStyle w:val="TableText"/>
              <w:spacing w:before="30" w:after="30"/>
              <w:jc w:val="right"/>
            </w:pPr>
          </w:p>
        </w:tc>
      </w:tr>
      <w:tr w:rsidR="00D06CB2" w:rsidRPr="005C5E32" w14:paraId="1977A58D" w14:textId="77777777">
        <w:trPr>
          <w:trHeight w:val="20"/>
        </w:trPr>
        <w:tc>
          <w:tcPr>
            <w:tcW w:w="3852" w:type="dxa"/>
            <w:tcBorders>
              <w:top w:val="single" w:sz="2" w:space="0" w:color="58595B"/>
              <w:bottom w:val="single" w:sz="2" w:space="0" w:color="58595B"/>
            </w:tcBorders>
          </w:tcPr>
          <w:p w14:paraId="2B1E82CC" w14:textId="77777777" w:rsidR="00D06CB2" w:rsidRPr="005C5E32" w:rsidRDefault="00D06CB2" w:rsidP="007C6680">
            <w:pPr>
              <w:pStyle w:val="TableText"/>
              <w:spacing w:before="30" w:after="30"/>
            </w:pPr>
            <w:r w:rsidRPr="005C5E32">
              <w:t>Current year expenses</w:t>
            </w:r>
          </w:p>
        </w:tc>
        <w:tc>
          <w:tcPr>
            <w:tcW w:w="1960" w:type="dxa"/>
            <w:tcBorders>
              <w:top w:val="single" w:sz="2" w:space="0" w:color="58595B"/>
              <w:bottom w:val="single" w:sz="2" w:space="0" w:color="58595B"/>
            </w:tcBorders>
          </w:tcPr>
          <w:p w14:paraId="4C8C95C3" w14:textId="77777777" w:rsidR="00D06CB2" w:rsidRPr="005C5E32" w:rsidRDefault="00D06CB2" w:rsidP="007C6680">
            <w:pPr>
              <w:pStyle w:val="TableText"/>
              <w:spacing w:before="30" w:after="30"/>
            </w:pPr>
          </w:p>
        </w:tc>
        <w:tc>
          <w:tcPr>
            <w:tcW w:w="1466" w:type="dxa"/>
            <w:tcBorders>
              <w:top w:val="single" w:sz="2" w:space="0" w:color="58595B"/>
              <w:bottom w:val="single" w:sz="2" w:space="0" w:color="58595B"/>
            </w:tcBorders>
          </w:tcPr>
          <w:p w14:paraId="485A48E2" w14:textId="77777777" w:rsidR="00D06CB2" w:rsidRPr="005C5E32" w:rsidRDefault="00D06CB2" w:rsidP="007C6680">
            <w:pPr>
              <w:pStyle w:val="TableText"/>
              <w:spacing w:before="30" w:after="30"/>
              <w:jc w:val="right"/>
            </w:pPr>
            <w:r w:rsidRPr="005C5E32">
              <w:t>1,800</w:t>
            </w:r>
          </w:p>
        </w:tc>
        <w:tc>
          <w:tcPr>
            <w:tcW w:w="1227" w:type="dxa"/>
            <w:tcBorders>
              <w:top w:val="single" w:sz="2" w:space="0" w:color="58595B"/>
              <w:bottom w:val="single" w:sz="2" w:space="0" w:color="58595B"/>
            </w:tcBorders>
            <w:shd w:val="clear" w:color="auto" w:fill="E7F2F2"/>
          </w:tcPr>
          <w:p w14:paraId="4AAAE749" w14:textId="77777777" w:rsidR="00D06CB2" w:rsidRPr="005C5E32" w:rsidRDefault="00D06CB2" w:rsidP="007C6680">
            <w:pPr>
              <w:pStyle w:val="TableText"/>
              <w:spacing w:before="30" w:after="30"/>
              <w:jc w:val="right"/>
            </w:pPr>
            <w:r w:rsidRPr="005C5E32">
              <w:t>900</w:t>
            </w:r>
          </w:p>
        </w:tc>
      </w:tr>
      <w:tr w:rsidR="00D06CB2" w:rsidRPr="005C5E32" w14:paraId="4EA025DD" w14:textId="77777777">
        <w:trPr>
          <w:trHeight w:val="20"/>
        </w:trPr>
        <w:tc>
          <w:tcPr>
            <w:tcW w:w="3852" w:type="dxa"/>
            <w:tcBorders>
              <w:top w:val="single" w:sz="2" w:space="0" w:color="58595B"/>
              <w:bottom w:val="single" w:sz="2" w:space="0" w:color="58595B"/>
            </w:tcBorders>
          </w:tcPr>
          <w:p w14:paraId="1E16D762" w14:textId="77777777" w:rsidR="00D06CB2" w:rsidRPr="005C5E32" w:rsidRDefault="00D06CB2" w:rsidP="007C6680">
            <w:pPr>
              <w:pStyle w:val="TableText"/>
              <w:spacing w:before="30" w:after="30"/>
            </w:pPr>
            <w:r w:rsidRPr="005C5E32">
              <w:t>Cumulative expenses to 30 June</w:t>
            </w:r>
          </w:p>
        </w:tc>
        <w:tc>
          <w:tcPr>
            <w:tcW w:w="1960" w:type="dxa"/>
            <w:tcBorders>
              <w:top w:val="single" w:sz="2" w:space="0" w:color="58595B"/>
              <w:bottom w:val="single" w:sz="2" w:space="0" w:color="58595B"/>
            </w:tcBorders>
          </w:tcPr>
          <w:p w14:paraId="6D51972D" w14:textId="77777777" w:rsidR="00D06CB2" w:rsidRPr="005C5E32" w:rsidRDefault="00D06CB2" w:rsidP="007C6680">
            <w:pPr>
              <w:pStyle w:val="TableText"/>
              <w:spacing w:before="30" w:after="30"/>
            </w:pPr>
          </w:p>
        </w:tc>
        <w:tc>
          <w:tcPr>
            <w:tcW w:w="1466" w:type="dxa"/>
            <w:tcBorders>
              <w:top w:val="single" w:sz="2" w:space="0" w:color="58595B"/>
              <w:bottom w:val="single" w:sz="2" w:space="0" w:color="58595B"/>
            </w:tcBorders>
          </w:tcPr>
          <w:p w14:paraId="6E218B9C" w14:textId="77777777" w:rsidR="00D06CB2" w:rsidRPr="005C5E32" w:rsidRDefault="00D06CB2" w:rsidP="007C6680">
            <w:pPr>
              <w:pStyle w:val="TableText"/>
              <w:spacing w:before="30" w:after="30"/>
              <w:jc w:val="right"/>
            </w:pPr>
            <w:r w:rsidRPr="005C5E32">
              <w:t>1,800</w:t>
            </w:r>
          </w:p>
        </w:tc>
        <w:tc>
          <w:tcPr>
            <w:tcW w:w="1227" w:type="dxa"/>
            <w:tcBorders>
              <w:top w:val="single" w:sz="2" w:space="0" w:color="58595B"/>
              <w:bottom w:val="single" w:sz="2" w:space="0" w:color="58595B"/>
            </w:tcBorders>
            <w:shd w:val="clear" w:color="auto" w:fill="E7F2F2"/>
          </w:tcPr>
          <w:p w14:paraId="17F5E007" w14:textId="77777777" w:rsidR="00D06CB2" w:rsidRPr="005C5E32" w:rsidRDefault="00D06CB2" w:rsidP="007C6680">
            <w:pPr>
              <w:pStyle w:val="TableText"/>
              <w:spacing w:before="30" w:after="30"/>
              <w:jc w:val="right"/>
            </w:pPr>
            <w:r w:rsidRPr="005C5E32">
              <w:t>900</w:t>
            </w:r>
          </w:p>
        </w:tc>
      </w:tr>
      <w:tr w:rsidR="00D06CB2" w:rsidRPr="005C5E32" w14:paraId="44F2123A" w14:textId="77777777">
        <w:trPr>
          <w:trHeight w:val="20"/>
        </w:trPr>
        <w:tc>
          <w:tcPr>
            <w:tcW w:w="3852" w:type="dxa"/>
            <w:tcBorders>
              <w:top w:val="single" w:sz="2" w:space="0" w:color="58595B"/>
              <w:bottom w:val="single" w:sz="2" w:space="0" w:color="58595B"/>
            </w:tcBorders>
          </w:tcPr>
          <w:p w14:paraId="70D96766" w14:textId="77777777" w:rsidR="00D06CB2" w:rsidRPr="005C5E32" w:rsidRDefault="00D06CB2" w:rsidP="007C6680">
            <w:pPr>
              <w:pStyle w:val="TableText"/>
              <w:spacing w:before="30" w:after="30"/>
            </w:pPr>
            <w:r w:rsidRPr="005C5E32">
              <w:t>Remaining appropriation</w:t>
            </w:r>
          </w:p>
        </w:tc>
        <w:tc>
          <w:tcPr>
            <w:tcW w:w="1960" w:type="dxa"/>
            <w:tcBorders>
              <w:top w:val="single" w:sz="2" w:space="0" w:color="58595B"/>
              <w:bottom w:val="single" w:sz="2" w:space="0" w:color="58595B"/>
            </w:tcBorders>
          </w:tcPr>
          <w:p w14:paraId="5F60A545" w14:textId="77777777" w:rsidR="00D06CB2" w:rsidRPr="005C5E32" w:rsidRDefault="00D06CB2" w:rsidP="007C6680">
            <w:pPr>
              <w:pStyle w:val="TableText"/>
              <w:spacing w:before="30" w:after="30"/>
            </w:pPr>
          </w:p>
        </w:tc>
        <w:tc>
          <w:tcPr>
            <w:tcW w:w="1466" w:type="dxa"/>
            <w:tcBorders>
              <w:top w:val="single" w:sz="2" w:space="0" w:color="58595B"/>
              <w:bottom w:val="single" w:sz="2" w:space="0" w:color="58595B"/>
            </w:tcBorders>
          </w:tcPr>
          <w:p w14:paraId="19B13397" w14:textId="77777777" w:rsidR="00D06CB2" w:rsidRPr="005C5E32" w:rsidRDefault="00D06CB2" w:rsidP="007C6680">
            <w:pPr>
              <w:pStyle w:val="TableText"/>
              <w:spacing w:before="30" w:after="30"/>
              <w:jc w:val="right"/>
            </w:pPr>
            <w:r w:rsidRPr="005C5E32">
              <w:t>3,517</w:t>
            </w:r>
          </w:p>
        </w:tc>
        <w:tc>
          <w:tcPr>
            <w:tcW w:w="1227" w:type="dxa"/>
            <w:tcBorders>
              <w:top w:val="single" w:sz="2" w:space="0" w:color="58595B"/>
              <w:bottom w:val="single" w:sz="2" w:space="0" w:color="58595B"/>
            </w:tcBorders>
            <w:shd w:val="clear" w:color="auto" w:fill="E7F2F2"/>
          </w:tcPr>
          <w:p w14:paraId="3E14F46F" w14:textId="77777777" w:rsidR="00D06CB2" w:rsidRPr="005C5E32" w:rsidRDefault="00D06CB2" w:rsidP="007C6680">
            <w:pPr>
              <w:pStyle w:val="TableText"/>
              <w:spacing w:before="30" w:after="30"/>
              <w:jc w:val="right"/>
            </w:pPr>
            <w:r w:rsidRPr="005C5E32">
              <w:t>4,417</w:t>
            </w:r>
          </w:p>
        </w:tc>
      </w:tr>
      <w:tr w:rsidR="00D06CB2" w:rsidRPr="005C5E32" w14:paraId="6D67B71A" w14:textId="77777777">
        <w:trPr>
          <w:trHeight w:val="20"/>
        </w:trPr>
        <w:tc>
          <w:tcPr>
            <w:tcW w:w="3852" w:type="dxa"/>
            <w:tcBorders>
              <w:top w:val="single" w:sz="2" w:space="0" w:color="58595B"/>
              <w:bottom w:val="single" w:sz="2" w:space="0" w:color="58595B"/>
            </w:tcBorders>
          </w:tcPr>
          <w:p w14:paraId="15B214FD" w14:textId="77777777" w:rsidR="00D06CB2" w:rsidRPr="005C5E32" w:rsidRDefault="00D06CB2" w:rsidP="007C6680">
            <w:pPr>
              <w:pStyle w:val="TableTextbold"/>
              <w:spacing w:before="30" w:after="30"/>
            </w:pPr>
            <w:r w:rsidRPr="005C5E32">
              <w:t>Total appropriation</w:t>
            </w:r>
          </w:p>
        </w:tc>
        <w:tc>
          <w:tcPr>
            <w:tcW w:w="1960" w:type="dxa"/>
            <w:tcBorders>
              <w:top w:val="single" w:sz="2" w:space="0" w:color="58595B"/>
              <w:bottom w:val="single" w:sz="2" w:space="0" w:color="58595B"/>
            </w:tcBorders>
          </w:tcPr>
          <w:p w14:paraId="6BDBE02F" w14:textId="77777777" w:rsidR="00D06CB2" w:rsidRPr="005C5E32" w:rsidRDefault="00D06CB2" w:rsidP="007C6680">
            <w:pPr>
              <w:pStyle w:val="TableTextbold"/>
              <w:spacing w:before="30" w:after="30"/>
            </w:pPr>
          </w:p>
        </w:tc>
        <w:tc>
          <w:tcPr>
            <w:tcW w:w="1466" w:type="dxa"/>
            <w:tcBorders>
              <w:top w:val="single" w:sz="2" w:space="0" w:color="58595B"/>
              <w:bottom w:val="single" w:sz="2" w:space="0" w:color="58595B"/>
            </w:tcBorders>
          </w:tcPr>
          <w:p w14:paraId="6D3466B4" w14:textId="77777777" w:rsidR="00D06CB2" w:rsidRPr="005C5E32" w:rsidRDefault="00D06CB2" w:rsidP="007C6680">
            <w:pPr>
              <w:pStyle w:val="TableTextbold"/>
              <w:spacing w:before="30" w:after="30"/>
              <w:jc w:val="right"/>
            </w:pPr>
            <w:r w:rsidRPr="005C5E32">
              <w:t>5,317</w:t>
            </w:r>
          </w:p>
        </w:tc>
        <w:tc>
          <w:tcPr>
            <w:tcW w:w="1227" w:type="dxa"/>
            <w:tcBorders>
              <w:top w:val="single" w:sz="2" w:space="0" w:color="58595B"/>
              <w:bottom w:val="single" w:sz="2" w:space="0" w:color="58595B"/>
            </w:tcBorders>
            <w:shd w:val="clear" w:color="auto" w:fill="E7F2F2"/>
          </w:tcPr>
          <w:p w14:paraId="0E54FC82" w14:textId="77777777" w:rsidR="00D06CB2" w:rsidRPr="005C5E32" w:rsidRDefault="00D06CB2" w:rsidP="007C6680">
            <w:pPr>
              <w:pStyle w:val="TableTextbold"/>
              <w:spacing w:before="30" w:after="30"/>
              <w:jc w:val="right"/>
              <w:rPr>
                <w:bCs/>
                <w:szCs w:val="18"/>
                <w:highlight w:val="yellow"/>
              </w:rPr>
            </w:pPr>
            <w:r w:rsidRPr="005C5E32">
              <w:rPr>
                <w:bCs/>
                <w:szCs w:val="18"/>
              </w:rPr>
              <w:t>5,317</w:t>
            </w:r>
          </w:p>
        </w:tc>
      </w:tr>
    </w:tbl>
    <w:p w14:paraId="3EE86345" w14:textId="77777777" w:rsidR="00D06CB2" w:rsidRPr="005C5E32" w:rsidRDefault="00D06CB2" w:rsidP="007C6680">
      <w:pPr>
        <w:pStyle w:val="Note"/>
        <w:spacing w:before="80" w:after="80"/>
      </w:pPr>
      <w:r w:rsidRPr="005C5E32">
        <w:t>* The statement of accounting policies explains the basis for these figures, which are not subject to audit.</w:t>
      </w:r>
    </w:p>
    <w:p w14:paraId="74352D99" w14:textId="77777777" w:rsidR="00D06CB2" w:rsidRPr="005C5E32" w:rsidRDefault="00D06CB2">
      <w:pPr>
        <w:pStyle w:val="Note"/>
        <w:spacing w:before="0" w:after="0"/>
      </w:pPr>
      <w:r w:rsidRPr="005C5E32">
        <w:t>** The year-end information for the above multi-year appropriation is reported by the Minister for the Environment in a report appended to this annual report.</w:t>
      </w:r>
    </w:p>
    <w:p w14:paraId="5D0699DE" w14:textId="77777777" w:rsidR="00D06CB2" w:rsidRPr="005C5E32" w:rsidRDefault="00D06CB2" w:rsidP="007C6680">
      <w:pPr>
        <w:pStyle w:val="Heading4"/>
      </w:pPr>
      <w:bookmarkStart w:id="453" w:name="_Hlk143179682"/>
      <w:r w:rsidRPr="005C5E32">
        <w:t>Supporting Equitable Transitions and Climate Resilience for Māori</w:t>
      </w:r>
    </w:p>
    <w:p w14:paraId="6149D248" w14:textId="77777777" w:rsidR="00D06CB2" w:rsidRPr="005C5E32" w:rsidRDefault="00D06CB2" w:rsidP="007C6680">
      <w:pPr>
        <w:pStyle w:val="BodyText"/>
        <w:spacing w:after="180"/>
      </w:pPr>
      <w:r w:rsidRPr="005C5E32">
        <w:t>On 1 July 2022, a multi-year appropriation, Supporting Equitable Transitions and Climate Resilience for Māori, was established in Vote Environment, non-departmental output expense for contributing towards the equitable transitions for communities through New Zealand’s climate response. This appropriation expires on 30 June 2027.</w:t>
      </w:r>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5670"/>
        <w:gridCol w:w="1604"/>
        <w:gridCol w:w="1231"/>
      </w:tblGrid>
      <w:tr w:rsidR="00D06CB2" w:rsidRPr="005C5E32" w14:paraId="68632860" w14:textId="77777777">
        <w:tc>
          <w:tcPr>
            <w:tcW w:w="7274" w:type="dxa"/>
            <w:gridSpan w:val="2"/>
            <w:tcBorders>
              <w:top w:val="single" w:sz="8" w:space="0" w:color="0E7C7E"/>
              <w:bottom w:val="single" w:sz="2" w:space="0" w:color="000000"/>
            </w:tcBorders>
          </w:tcPr>
          <w:p w14:paraId="6814FEED" w14:textId="77777777" w:rsidR="00D06CB2" w:rsidRPr="005C5E32" w:rsidRDefault="00D06CB2">
            <w:pPr>
              <w:pStyle w:val="TableboldGreen"/>
              <w:keepNext/>
              <w:spacing w:before="40" w:after="40"/>
              <w:jc w:val="right"/>
            </w:pPr>
            <w:r w:rsidRPr="005C5E32">
              <w:t>2025/26</w:t>
            </w:r>
            <w:r w:rsidRPr="005C5E32">
              <w:br/>
              <w:t xml:space="preserve">Revised </w:t>
            </w:r>
            <w:r w:rsidRPr="005C5E32" w:rsidDel="00852353">
              <w:t>B</w:t>
            </w:r>
            <w:r w:rsidRPr="005C5E32">
              <w:t>udget*</w:t>
            </w:r>
            <w:r w:rsidRPr="005C5E32">
              <w:br/>
              <w:t>$000</w:t>
            </w:r>
          </w:p>
        </w:tc>
        <w:tc>
          <w:tcPr>
            <w:tcW w:w="1231" w:type="dxa"/>
            <w:tcBorders>
              <w:top w:val="single" w:sz="8" w:space="0" w:color="0E7C7E"/>
              <w:bottom w:val="single" w:sz="2" w:space="0" w:color="000000"/>
            </w:tcBorders>
            <w:shd w:val="clear" w:color="auto" w:fill="E7F2F2"/>
          </w:tcPr>
          <w:p w14:paraId="0884C416" w14:textId="77777777" w:rsidR="00D06CB2" w:rsidRPr="005C5E32" w:rsidRDefault="00D06CB2">
            <w:pPr>
              <w:pStyle w:val="TableboldGreen"/>
              <w:keepNext/>
              <w:spacing w:before="40" w:after="40"/>
              <w:jc w:val="right"/>
            </w:pPr>
            <w:r w:rsidRPr="005C5E32">
              <w:t>2025/26</w:t>
            </w:r>
            <w:r w:rsidRPr="005C5E32">
              <w:br/>
              <w:t>Actual</w:t>
            </w:r>
            <w:r w:rsidRPr="005C5E32">
              <w:br/>
              <w:t>$000</w:t>
            </w:r>
          </w:p>
        </w:tc>
      </w:tr>
      <w:tr w:rsidR="00D06CB2" w:rsidRPr="005C5E32" w14:paraId="590A190E" w14:textId="77777777">
        <w:tc>
          <w:tcPr>
            <w:tcW w:w="5670" w:type="dxa"/>
            <w:tcBorders>
              <w:top w:val="single" w:sz="2" w:space="0" w:color="000000"/>
            </w:tcBorders>
          </w:tcPr>
          <w:p w14:paraId="3F10E768" w14:textId="77777777" w:rsidR="00D06CB2" w:rsidRPr="005C5E32" w:rsidRDefault="00D06CB2" w:rsidP="007C6680">
            <w:pPr>
              <w:pStyle w:val="TableboldGreen"/>
              <w:keepNext/>
              <w:spacing w:before="30" w:after="30"/>
            </w:pPr>
            <w:r w:rsidRPr="005C5E32">
              <w:t>Appropriation for non-departmental output expenses:</w:t>
            </w:r>
          </w:p>
        </w:tc>
        <w:tc>
          <w:tcPr>
            <w:tcW w:w="1604" w:type="dxa"/>
            <w:tcBorders>
              <w:top w:val="single" w:sz="2" w:space="0" w:color="000000"/>
            </w:tcBorders>
          </w:tcPr>
          <w:p w14:paraId="068A5647" w14:textId="77777777" w:rsidR="00D06CB2" w:rsidRPr="005C5E32" w:rsidRDefault="00D06CB2" w:rsidP="007C6680">
            <w:pPr>
              <w:pStyle w:val="TableText"/>
              <w:keepNext/>
              <w:spacing w:before="30" w:after="30"/>
            </w:pPr>
          </w:p>
        </w:tc>
        <w:tc>
          <w:tcPr>
            <w:tcW w:w="1231" w:type="dxa"/>
            <w:vMerge w:val="restart"/>
            <w:tcBorders>
              <w:top w:val="single" w:sz="2" w:space="0" w:color="000000"/>
            </w:tcBorders>
            <w:shd w:val="clear" w:color="auto" w:fill="E7F2F2"/>
            <w:vAlign w:val="bottom"/>
          </w:tcPr>
          <w:p w14:paraId="041C9EF0" w14:textId="77777777" w:rsidR="00D06CB2" w:rsidRPr="005C5E32" w:rsidRDefault="00D06CB2" w:rsidP="007C6680">
            <w:pPr>
              <w:pStyle w:val="TableText"/>
              <w:keepNext/>
              <w:spacing w:before="30" w:after="30"/>
              <w:jc w:val="right"/>
            </w:pPr>
            <w:r w:rsidRPr="005C5E32">
              <w:t>930</w:t>
            </w:r>
          </w:p>
        </w:tc>
      </w:tr>
      <w:tr w:rsidR="00D06CB2" w:rsidRPr="005C5E32" w14:paraId="1EE168B0" w14:textId="77777777">
        <w:tc>
          <w:tcPr>
            <w:tcW w:w="5670" w:type="dxa"/>
          </w:tcPr>
          <w:p w14:paraId="73700CF1" w14:textId="77777777" w:rsidR="00D06CB2" w:rsidRPr="005C5E32" w:rsidRDefault="00D06CB2" w:rsidP="007C6680">
            <w:pPr>
              <w:pStyle w:val="Tablegreen"/>
              <w:keepNext/>
              <w:spacing w:before="30" w:after="30"/>
            </w:pPr>
            <w:bookmarkStart w:id="454" w:name="_Hlk143180720"/>
            <w:r w:rsidRPr="005C5E32">
              <w:t>Supporting Equitable Transitions and Climate Resilience for Māori</w:t>
            </w:r>
            <w:bookmarkEnd w:id="454"/>
          </w:p>
        </w:tc>
        <w:tc>
          <w:tcPr>
            <w:tcW w:w="1604" w:type="dxa"/>
          </w:tcPr>
          <w:p w14:paraId="2CAD781B" w14:textId="77777777" w:rsidR="00D06CB2" w:rsidRPr="005C5E32" w:rsidRDefault="00D06CB2" w:rsidP="007C6680">
            <w:pPr>
              <w:pStyle w:val="TableText"/>
              <w:keepNext/>
              <w:spacing w:before="30" w:after="30"/>
            </w:pPr>
          </w:p>
        </w:tc>
        <w:tc>
          <w:tcPr>
            <w:tcW w:w="1231" w:type="dxa"/>
            <w:vMerge/>
            <w:shd w:val="clear" w:color="auto" w:fill="E7F2F2"/>
          </w:tcPr>
          <w:p w14:paraId="15E575B5" w14:textId="77777777" w:rsidR="00D06CB2" w:rsidRPr="005C5E32" w:rsidRDefault="00D06CB2" w:rsidP="007C6680">
            <w:pPr>
              <w:pStyle w:val="TableText"/>
              <w:keepNext/>
              <w:spacing w:before="30" w:after="30"/>
            </w:pPr>
          </w:p>
        </w:tc>
      </w:tr>
      <w:tr w:rsidR="00D06CB2" w:rsidRPr="005C5E32" w14:paraId="3D937B9A" w14:textId="77777777">
        <w:tc>
          <w:tcPr>
            <w:tcW w:w="5670" w:type="dxa"/>
            <w:tcBorders>
              <w:bottom w:val="single" w:sz="2" w:space="0" w:color="58595B"/>
            </w:tcBorders>
          </w:tcPr>
          <w:p w14:paraId="4879E9CD" w14:textId="77777777" w:rsidR="00D06CB2" w:rsidRPr="005C5E32" w:rsidRDefault="00D06CB2" w:rsidP="007C6680">
            <w:pPr>
              <w:pStyle w:val="TableText"/>
              <w:keepNext/>
              <w:spacing w:before="30" w:after="30"/>
            </w:pPr>
            <w:r w:rsidRPr="005C5E32">
              <w:t>Cumulative expenses to 1 July</w:t>
            </w:r>
          </w:p>
        </w:tc>
        <w:tc>
          <w:tcPr>
            <w:tcW w:w="1604" w:type="dxa"/>
            <w:tcBorders>
              <w:bottom w:val="single" w:sz="2" w:space="0" w:color="58595B"/>
            </w:tcBorders>
          </w:tcPr>
          <w:p w14:paraId="080B2A5A" w14:textId="77777777" w:rsidR="00D06CB2" w:rsidRPr="005C5E32" w:rsidRDefault="00D06CB2" w:rsidP="007C6680">
            <w:pPr>
              <w:pStyle w:val="TableText"/>
              <w:keepNext/>
              <w:spacing w:before="30" w:after="30"/>
              <w:jc w:val="right"/>
            </w:pPr>
            <w:r w:rsidRPr="005C5E32">
              <w:t>930</w:t>
            </w:r>
          </w:p>
        </w:tc>
        <w:tc>
          <w:tcPr>
            <w:tcW w:w="1231" w:type="dxa"/>
            <w:vMerge/>
            <w:shd w:val="clear" w:color="auto" w:fill="E7F2F2"/>
          </w:tcPr>
          <w:p w14:paraId="2F64801C" w14:textId="77777777" w:rsidR="00D06CB2" w:rsidRPr="005C5E32" w:rsidRDefault="00D06CB2" w:rsidP="007C6680">
            <w:pPr>
              <w:pStyle w:val="TableText"/>
              <w:keepNext/>
              <w:spacing w:before="30" w:after="30"/>
              <w:jc w:val="right"/>
            </w:pPr>
          </w:p>
        </w:tc>
      </w:tr>
      <w:tr w:rsidR="00D06CB2" w:rsidRPr="005C5E32" w14:paraId="61669456" w14:textId="77777777">
        <w:tc>
          <w:tcPr>
            <w:tcW w:w="5670" w:type="dxa"/>
            <w:tcBorders>
              <w:top w:val="single" w:sz="2" w:space="0" w:color="58595B"/>
              <w:bottom w:val="single" w:sz="4" w:space="0" w:color="58595B"/>
            </w:tcBorders>
          </w:tcPr>
          <w:p w14:paraId="5DF99D15" w14:textId="77777777" w:rsidR="00D06CB2" w:rsidRPr="005C5E32" w:rsidRDefault="00D06CB2" w:rsidP="007C6680">
            <w:pPr>
              <w:pStyle w:val="TableText"/>
              <w:keepNext/>
              <w:spacing w:before="30" w:after="30"/>
            </w:pPr>
            <w:r w:rsidRPr="005C5E32">
              <w:t>Current year expenses</w:t>
            </w:r>
          </w:p>
        </w:tc>
        <w:tc>
          <w:tcPr>
            <w:tcW w:w="1604" w:type="dxa"/>
            <w:tcBorders>
              <w:top w:val="single" w:sz="2" w:space="0" w:color="58595B"/>
              <w:bottom w:val="single" w:sz="4" w:space="0" w:color="58595B"/>
            </w:tcBorders>
          </w:tcPr>
          <w:p w14:paraId="4C0C1C2C" w14:textId="77777777" w:rsidR="00D06CB2" w:rsidRPr="005C5E32" w:rsidRDefault="00D06CB2" w:rsidP="007C6680">
            <w:pPr>
              <w:pStyle w:val="TableText"/>
              <w:keepNext/>
              <w:spacing w:before="30" w:after="30"/>
              <w:jc w:val="right"/>
            </w:pPr>
            <w:r w:rsidRPr="005C5E32">
              <w:t>12,660</w:t>
            </w:r>
          </w:p>
        </w:tc>
        <w:tc>
          <w:tcPr>
            <w:tcW w:w="1231" w:type="dxa"/>
            <w:tcBorders>
              <w:top w:val="single" w:sz="2" w:space="0" w:color="58595B"/>
              <w:bottom w:val="single" w:sz="4" w:space="0" w:color="58595B"/>
            </w:tcBorders>
            <w:shd w:val="clear" w:color="auto" w:fill="E7F2F2"/>
          </w:tcPr>
          <w:p w14:paraId="07A1B342" w14:textId="77777777" w:rsidR="00D06CB2" w:rsidRPr="005C5E32" w:rsidRDefault="00D06CB2" w:rsidP="007C6680">
            <w:pPr>
              <w:pStyle w:val="TableText"/>
              <w:keepNext/>
              <w:spacing w:before="30" w:after="30"/>
              <w:jc w:val="right"/>
            </w:pPr>
            <w:r w:rsidRPr="005C5E32">
              <w:t>8,213</w:t>
            </w:r>
          </w:p>
        </w:tc>
      </w:tr>
      <w:tr w:rsidR="00D06CB2" w:rsidRPr="005C5E32" w14:paraId="588AC496" w14:textId="77777777">
        <w:tc>
          <w:tcPr>
            <w:tcW w:w="5670" w:type="dxa"/>
            <w:tcBorders>
              <w:top w:val="single" w:sz="4" w:space="0" w:color="58595B"/>
              <w:bottom w:val="single" w:sz="4" w:space="0" w:color="58595B"/>
            </w:tcBorders>
          </w:tcPr>
          <w:p w14:paraId="37558B46" w14:textId="77777777" w:rsidR="00D06CB2" w:rsidRPr="005C5E32" w:rsidRDefault="00D06CB2" w:rsidP="007C6680">
            <w:pPr>
              <w:pStyle w:val="TableText"/>
              <w:spacing w:before="30" w:after="30"/>
            </w:pPr>
            <w:r w:rsidRPr="005C5E32">
              <w:t>Cumulative expenses to 30 June</w:t>
            </w:r>
          </w:p>
        </w:tc>
        <w:tc>
          <w:tcPr>
            <w:tcW w:w="1604" w:type="dxa"/>
            <w:tcBorders>
              <w:top w:val="single" w:sz="4" w:space="0" w:color="58595B"/>
              <w:bottom w:val="single" w:sz="4" w:space="0" w:color="58595B"/>
            </w:tcBorders>
          </w:tcPr>
          <w:p w14:paraId="67CCC2B6" w14:textId="77777777" w:rsidR="00D06CB2" w:rsidRPr="005C5E32" w:rsidRDefault="00D06CB2" w:rsidP="007C6680">
            <w:pPr>
              <w:pStyle w:val="TableText"/>
              <w:spacing w:before="30" w:after="30"/>
              <w:jc w:val="right"/>
            </w:pPr>
            <w:r w:rsidRPr="005C5E32">
              <w:t>13,590</w:t>
            </w:r>
          </w:p>
        </w:tc>
        <w:tc>
          <w:tcPr>
            <w:tcW w:w="1231" w:type="dxa"/>
            <w:tcBorders>
              <w:top w:val="single" w:sz="4" w:space="0" w:color="58595B"/>
              <w:bottom w:val="single" w:sz="4" w:space="0" w:color="58595B"/>
            </w:tcBorders>
            <w:shd w:val="clear" w:color="auto" w:fill="E7F2F2"/>
          </w:tcPr>
          <w:p w14:paraId="3556A87E" w14:textId="77777777" w:rsidR="00D06CB2" w:rsidRPr="005C5E32" w:rsidRDefault="00D06CB2" w:rsidP="007C6680">
            <w:pPr>
              <w:pStyle w:val="TableText"/>
              <w:spacing w:before="30" w:after="30"/>
              <w:jc w:val="right"/>
            </w:pPr>
            <w:r w:rsidRPr="005C5E32">
              <w:t>9,143</w:t>
            </w:r>
          </w:p>
        </w:tc>
      </w:tr>
      <w:tr w:rsidR="00D06CB2" w:rsidRPr="005C5E32" w14:paraId="0E9D1CAD" w14:textId="77777777">
        <w:tc>
          <w:tcPr>
            <w:tcW w:w="5670" w:type="dxa"/>
            <w:tcBorders>
              <w:top w:val="single" w:sz="4" w:space="0" w:color="58595B"/>
              <w:bottom w:val="single" w:sz="4" w:space="0" w:color="58595B"/>
            </w:tcBorders>
          </w:tcPr>
          <w:p w14:paraId="5EA48E06" w14:textId="77777777" w:rsidR="00D06CB2" w:rsidRPr="005C5E32" w:rsidRDefault="00D06CB2" w:rsidP="007C6680">
            <w:pPr>
              <w:pStyle w:val="TableText"/>
              <w:spacing w:before="30" w:after="30"/>
            </w:pPr>
            <w:r w:rsidRPr="005C5E32">
              <w:t>Remaining appropriation</w:t>
            </w:r>
          </w:p>
        </w:tc>
        <w:tc>
          <w:tcPr>
            <w:tcW w:w="1604" w:type="dxa"/>
            <w:tcBorders>
              <w:top w:val="single" w:sz="4" w:space="0" w:color="58595B"/>
              <w:bottom w:val="single" w:sz="4" w:space="0" w:color="58595B"/>
            </w:tcBorders>
          </w:tcPr>
          <w:p w14:paraId="69E96CB8" w14:textId="77777777" w:rsidR="00D06CB2" w:rsidRPr="005C5E32" w:rsidRDefault="00D06CB2" w:rsidP="007C6680">
            <w:pPr>
              <w:pStyle w:val="TableText"/>
              <w:spacing w:before="30" w:after="30"/>
              <w:jc w:val="right"/>
            </w:pPr>
            <w:r w:rsidRPr="005C5E32">
              <w:t>410</w:t>
            </w:r>
          </w:p>
        </w:tc>
        <w:tc>
          <w:tcPr>
            <w:tcW w:w="1231" w:type="dxa"/>
            <w:tcBorders>
              <w:top w:val="single" w:sz="4" w:space="0" w:color="58595B"/>
              <w:bottom w:val="single" w:sz="4" w:space="0" w:color="58595B"/>
            </w:tcBorders>
            <w:shd w:val="clear" w:color="auto" w:fill="E7F2F2"/>
          </w:tcPr>
          <w:p w14:paraId="3AFCC84E" w14:textId="77777777" w:rsidR="00D06CB2" w:rsidRPr="005C5E32" w:rsidRDefault="00D06CB2" w:rsidP="007C6680">
            <w:pPr>
              <w:pStyle w:val="TableText"/>
              <w:spacing w:before="30" w:after="30"/>
              <w:jc w:val="right"/>
            </w:pPr>
            <w:r w:rsidRPr="005C5E32">
              <w:t>4,857</w:t>
            </w:r>
          </w:p>
        </w:tc>
      </w:tr>
      <w:tr w:rsidR="00D06CB2" w:rsidRPr="005C5E32" w14:paraId="73A8ED88" w14:textId="77777777">
        <w:tc>
          <w:tcPr>
            <w:tcW w:w="5670" w:type="dxa"/>
            <w:tcBorders>
              <w:top w:val="single" w:sz="4" w:space="0" w:color="58595B"/>
              <w:bottom w:val="single" w:sz="4" w:space="0" w:color="58595B"/>
            </w:tcBorders>
          </w:tcPr>
          <w:p w14:paraId="3C61BF23" w14:textId="77777777" w:rsidR="00D06CB2" w:rsidRPr="005C5E32" w:rsidRDefault="00D06CB2" w:rsidP="007C6680">
            <w:pPr>
              <w:pStyle w:val="TableTextbold"/>
              <w:spacing w:before="30" w:after="30"/>
            </w:pPr>
            <w:r w:rsidRPr="005C5E32">
              <w:t>Total appropriation</w:t>
            </w:r>
          </w:p>
        </w:tc>
        <w:tc>
          <w:tcPr>
            <w:tcW w:w="1604" w:type="dxa"/>
            <w:tcBorders>
              <w:top w:val="single" w:sz="4" w:space="0" w:color="58595B"/>
              <w:bottom w:val="single" w:sz="4" w:space="0" w:color="58595B"/>
            </w:tcBorders>
          </w:tcPr>
          <w:p w14:paraId="0CEE7497" w14:textId="77777777" w:rsidR="00D06CB2" w:rsidRPr="005C5E32" w:rsidRDefault="00D06CB2" w:rsidP="007C6680">
            <w:pPr>
              <w:pStyle w:val="TableTextbold"/>
              <w:spacing w:before="30" w:after="30"/>
              <w:jc w:val="right"/>
            </w:pPr>
            <w:r w:rsidRPr="005C5E32">
              <w:t>14,000</w:t>
            </w:r>
          </w:p>
        </w:tc>
        <w:tc>
          <w:tcPr>
            <w:tcW w:w="1231" w:type="dxa"/>
            <w:tcBorders>
              <w:top w:val="single" w:sz="4" w:space="0" w:color="58595B"/>
              <w:bottom w:val="single" w:sz="4" w:space="0" w:color="58595B"/>
            </w:tcBorders>
            <w:shd w:val="clear" w:color="auto" w:fill="E7F2F2"/>
          </w:tcPr>
          <w:p w14:paraId="32FB7449" w14:textId="77777777" w:rsidR="00D06CB2" w:rsidRPr="005C5E32" w:rsidRDefault="00D06CB2" w:rsidP="007C6680">
            <w:pPr>
              <w:pStyle w:val="TableTextbold"/>
              <w:spacing w:before="30" w:after="30"/>
              <w:jc w:val="right"/>
            </w:pPr>
            <w:r w:rsidRPr="005C5E32">
              <w:t>14,000</w:t>
            </w:r>
          </w:p>
        </w:tc>
      </w:tr>
    </w:tbl>
    <w:bookmarkEnd w:id="453"/>
    <w:p w14:paraId="32AD7284" w14:textId="77777777" w:rsidR="00D06CB2" w:rsidRPr="005C5E32" w:rsidRDefault="00D06CB2" w:rsidP="007C6680">
      <w:pPr>
        <w:pStyle w:val="Note"/>
        <w:spacing w:before="80" w:after="80"/>
      </w:pPr>
      <w:r w:rsidRPr="005C5E32">
        <w:t>* The statement of accounting policies explains the basis for these figures, which are not subject to audit.</w:t>
      </w:r>
    </w:p>
    <w:p w14:paraId="430F1263" w14:textId="77777777" w:rsidR="00D06CB2" w:rsidRPr="005C5E32" w:rsidRDefault="00D06CB2" w:rsidP="007C6680">
      <w:pPr>
        <w:pStyle w:val="Note"/>
        <w:spacing w:before="0" w:after="80"/>
      </w:pPr>
      <w:r w:rsidRPr="005C5E32">
        <w:t>** The year-end information for the above multi-year appropriation is reported by the Minister for the Environment in a report appended to this annual report.</w:t>
      </w:r>
    </w:p>
    <w:p w14:paraId="19225BA8" w14:textId="2A774530" w:rsidR="00DE5E34" w:rsidRPr="005C5E32" w:rsidRDefault="00A70086" w:rsidP="007C6680">
      <w:pPr>
        <w:pStyle w:val="Heading2green"/>
        <w:spacing w:after="240"/>
      </w:pPr>
      <w:bookmarkStart w:id="455" w:name="_Toc240445597"/>
      <w:bookmarkStart w:id="456" w:name="_Toc207017425"/>
      <w:bookmarkStart w:id="457" w:name="_Toc207017514"/>
      <w:bookmarkStart w:id="458" w:name="_Toc207192331"/>
      <w:r w:rsidRPr="005C5E32">
        <w:lastRenderedPageBreak/>
        <w:t xml:space="preserve">Reconciliation of </w:t>
      </w:r>
      <w:r w:rsidR="006B0BD9" w:rsidRPr="005C5E32">
        <w:t>a</w:t>
      </w:r>
      <w:r w:rsidRPr="005C5E32">
        <w:t xml:space="preserve">ctual </w:t>
      </w:r>
      <w:r w:rsidR="006B0BD9" w:rsidRPr="005C5E32">
        <w:t>d</w:t>
      </w:r>
      <w:r w:rsidRPr="005C5E32">
        <w:t>epartmental and</w:t>
      </w:r>
      <w:r w:rsidR="00F33888" w:rsidRPr="005C5E32">
        <w:t> </w:t>
      </w:r>
      <w:r w:rsidR="006B0BD9" w:rsidRPr="005C5E32">
        <w:t>n</w:t>
      </w:r>
      <w:r w:rsidRPr="005C5E32">
        <w:t xml:space="preserve">on-departmental </w:t>
      </w:r>
      <w:r w:rsidR="006B0BD9" w:rsidRPr="005C5E32">
        <w:t>e</w:t>
      </w:r>
      <w:r w:rsidRPr="005C5E32">
        <w:t xml:space="preserve">xpense and </w:t>
      </w:r>
      <w:r w:rsidR="006B0BD9" w:rsidRPr="005C5E32">
        <w:t>c</w:t>
      </w:r>
      <w:r w:rsidRPr="005C5E32">
        <w:t>apital</w:t>
      </w:r>
      <w:r w:rsidR="00F33888" w:rsidRPr="005C5E32">
        <w:t> </w:t>
      </w:r>
      <w:r w:rsidR="006B0BD9" w:rsidRPr="005C5E32">
        <w:t>e</w:t>
      </w:r>
      <w:r w:rsidRPr="005C5E32">
        <w:t>xpenditure</w:t>
      </w:r>
      <w:bookmarkEnd w:id="455"/>
    </w:p>
    <w:tbl>
      <w:tblPr>
        <w:tblW w:w="8505" w:type="dxa"/>
        <w:tblBorders>
          <w:top w:val="nil"/>
          <w:left w:val="nil"/>
          <w:bottom w:val="nil"/>
          <w:right w:val="nil"/>
          <w:insideH w:val="nil"/>
          <w:insideV w:val="nil"/>
        </w:tblBorders>
        <w:tblLayout w:type="fixed"/>
        <w:tblCellMar>
          <w:left w:w="85" w:type="dxa"/>
          <w:right w:w="85" w:type="dxa"/>
        </w:tblCellMar>
        <w:tblLook w:val="01E0" w:firstRow="1" w:lastRow="1" w:firstColumn="1" w:lastColumn="1" w:noHBand="0" w:noVBand="0"/>
      </w:tblPr>
      <w:tblGrid>
        <w:gridCol w:w="6207"/>
        <w:gridCol w:w="1149"/>
        <w:gridCol w:w="1149"/>
      </w:tblGrid>
      <w:tr w:rsidR="00AC1D8C" w:rsidRPr="005C5E32" w14:paraId="3FF63E5B" w14:textId="77777777" w:rsidTr="00AC1D8C">
        <w:tc>
          <w:tcPr>
            <w:tcW w:w="6127" w:type="dxa"/>
            <w:tcBorders>
              <w:top w:val="single" w:sz="8" w:space="0" w:color="0E7C7E"/>
              <w:bottom w:val="single" w:sz="2" w:space="0" w:color="000000"/>
              <w:right w:val="nil"/>
            </w:tcBorders>
          </w:tcPr>
          <w:p w14:paraId="02870926" w14:textId="77777777" w:rsidR="00AC1D8C" w:rsidRPr="005C5E32" w:rsidRDefault="00AC1D8C" w:rsidP="00AC1D8C">
            <w:pPr>
              <w:pStyle w:val="TableboldGreen"/>
              <w:spacing w:before="0" w:after="0"/>
            </w:pPr>
          </w:p>
          <w:p w14:paraId="7D15B575" w14:textId="77777777" w:rsidR="00AC1D8C" w:rsidRPr="005C5E32" w:rsidRDefault="00AC1D8C" w:rsidP="00AC1D8C">
            <w:pPr>
              <w:pStyle w:val="TableboldGreen"/>
              <w:spacing w:before="0" w:after="0"/>
            </w:pPr>
          </w:p>
          <w:p w14:paraId="404087F9" w14:textId="45F221B5" w:rsidR="00AC1D8C" w:rsidRPr="005C5E32" w:rsidRDefault="00AC1D8C" w:rsidP="00AC1D8C">
            <w:pPr>
              <w:pStyle w:val="TableboldGreen"/>
              <w:spacing w:before="0" w:after="0"/>
            </w:pPr>
          </w:p>
        </w:tc>
        <w:tc>
          <w:tcPr>
            <w:tcW w:w="1134" w:type="dxa"/>
            <w:tcBorders>
              <w:top w:val="single" w:sz="8" w:space="0" w:color="0E7C7E"/>
              <w:left w:val="nil"/>
              <w:bottom w:val="single" w:sz="2" w:space="0" w:color="000000"/>
            </w:tcBorders>
          </w:tcPr>
          <w:p w14:paraId="16BAE2B4" w14:textId="77777777" w:rsidR="00AC1D8C" w:rsidRPr="005C5E32" w:rsidRDefault="00AC1D8C" w:rsidP="00AC1D8C">
            <w:pPr>
              <w:pStyle w:val="TableboldGreen"/>
              <w:keepNext/>
              <w:spacing w:before="40" w:after="40"/>
              <w:jc w:val="right"/>
            </w:pPr>
            <w:r w:rsidRPr="005C5E32">
              <w:t>2024/25</w:t>
            </w:r>
            <w:r w:rsidRPr="005C5E32">
              <w:br/>
              <w:t>Actual</w:t>
            </w:r>
            <w:r w:rsidRPr="005C5E32">
              <w:br/>
              <w:t>$000</w:t>
            </w:r>
          </w:p>
        </w:tc>
        <w:tc>
          <w:tcPr>
            <w:tcW w:w="1134" w:type="dxa"/>
            <w:tcBorders>
              <w:top w:val="single" w:sz="8" w:space="0" w:color="0E7C7E"/>
              <w:bottom w:val="single" w:sz="2" w:space="0" w:color="000000"/>
            </w:tcBorders>
            <w:shd w:val="clear" w:color="auto" w:fill="E7F2F2"/>
          </w:tcPr>
          <w:p w14:paraId="06AD4329" w14:textId="4D42CCE2" w:rsidR="00AC1D8C" w:rsidRPr="005C5E32" w:rsidRDefault="00AC1D8C">
            <w:pPr>
              <w:pStyle w:val="TableboldGreen"/>
              <w:keepNext/>
              <w:spacing w:before="40" w:after="40"/>
              <w:jc w:val="right"/>
            </w:pPr>
            <w:r w:rsidRPr="005C5E32">
              <w:t>2025/26</w:t>
            </w:r>
            <w:r w:rsidRPr="005C5E32">
              <w:br/>
              <w:t>Actual</w:t>
            </w:r>
            <w:r w:rsidRPr="005C5E32">
              <w:br/>
              <w:t>$000</w:t>
            </w:r>
          </w:p>
        </w:tc>
      </w:tr>
      <w:tr w:rsidR="006E7F19" w:rsidRPr="005C5E32" w14:paraId="32BF1B3C" w14:textId="77777777" w:rsidTr="00AC1D8C">
        <w:tc>
          <w:tcPr>
            <w:tcW w:w="6124" w:type="dxa"/>
            <w:tcBorders>
              <w:bottom w:val="single" w:sz="2" w:space="0" w:color="58595B"/>
            </w:tcBorders>
          </w:tcPr>
          <w:p w14:paraId="57217483" w14:textId="5B41A46A" w:rsidR="006E7F19" w:rsidRPr="005C5E32" w:rsidRDefault="0086542D">
            <w:pPr>
              <w:pStyle w:val="TableText"/>
              <w:keepNext/>
              <w:spacing w:before="40" w:after="40"/>
            </w:pPr>
            <w:r w:rsidRPr="005C5E32">
              <w:t xml:space="preserve">Total expenses in </w:t>
            </w:r>
            <w:r w:rsidR="00876EA3" w:rsidRPr="005C5E32">
              <w:t>d</w:t>
            </w:r>
            <w:r w:rsidRPr="005C5E32">
              <w:t xml:space="preserve">epartmental </w:t>
            </w:r>
            <w:r w:rsidR="00876EA3" w:rsidRPr="005C5E32">
              <w:t>s</w:t>
            </w:r>
            <w:r w:rsidRPr="005C5E32">
              <w:t xml:space="preserve">tatement of </w:t>
            </w:r>
            <w:r w:rsidR="00876EA3" w:rsidRPr="005C5E32">
              <w:t>c</w:t>
            </w:r>
            <w:r w:rsidRPr="005C5E32">
              <w:t xml:space="preserve">omprehensive </w:t>
            </w:r>
            <w:r w:rsidR="00876EA3" w:rsidRPr="005C5E32">
              <w:t>r</w:t>
            </w:r>
            <w:r w:rsidRPr="005C5E32">
              <w:t xml:space="preserve">evenue and </w:t>
            </w:r>
            <w:r w:rsidR="00876EA3" w:rsidRPr="005C5E32">
              <w:t>e</w:t>
            </w:r>
            <w:r w:rsidRPr="005C5E32">
              <w:t>xpenses</w:t>
            </w:r>
          </w:p>
        </w:tc>
        <w:tc>
          <w:tcPr>
            <w:tcW w:w="1134" w:type="dxa"/>
            <w:tcBorders>
              <w:bottom w:val="single" w:sz="2" w:space="0" w:color="58595B"/>
            </w:tcBorders>
            <w:vAlign w:val="bottom"/>
          </w:tcPr>
          <w:p w14:paraId="397FB1F0" w14:textId="6ED88A06" w:rsidR="006E7F19" w:rsidRPr="005C5E32" w:rsidRDefault="00E57417">
            <w:pPr>
              <w:pStyle w:val="TableText"/>
              <w:keepNext/>
              <w:spacing w:before="40" w:after="40"/>
              <w:jc w:val="right"/>
            </w:pPr>
            <w:r w:rsidRPr="005C5E32">
              <w:t>180,210</w:t>
            </w:r>
          </w:p>
        </w:tc>
        <w:tc>
          <w:tcPr>
            <w:tcW w:w="1134" w:type="dxa"/>
            <w:shd w:val="clear" w:color="auto" w:fill="E7F2F2"/>
            <w:vAlign w:val="bottom"/>
          </w:tcPr>
          <w:p w14:paraId="72DA10B0" w14:textId="2F1C83A3" w:rsidR="006E7F19" w:rsidRPr="005C5E32" w:rsidRDefault="006341D8">
            <w:pPr>
              <w:pStyle w:val="TableText"/>
              <w:keepNext/>
              <w:spacing w:before="40" w:after="40"/>
              <w:jc w:val="right"/>
            </w:pPr>
            <w:r w:rsidRPr="005C5E32">
              <w:t>195,077</w:t>
            </w:r>
          </w:p>
        </w:tc>
      </w:tr>
      <w:tr w:rsidR="006E7F19" w:rsidRPr="005C5E32" w14:paraId="37FE6024" w14:textId="77777777" w:rsidTr="00AC1D8C">
        <w:tc>
          <w:tcPr>
            <w:tcW w:w="6124" w:type="dxa"/>
            <w:tcBorders>
              <w:top w:val="single" w:sz="2" w:space="0" w:color="58595B"/>
              <w:bottom w:val="single" w:sz="4" w:space="0" w:color="58595B"/>
            </w:tcBorders>
          </w:tcPr>
          <w:p w14:paraId="6884AAD4" w14:textId="5DC0BCA9" w:rsidR="006E7F19" w:rsidRPr="005C5E32" w:rsidRDefault="000F12D5">
            <w:pPr>
              <w:pStyle w:val="TableText"/>
              <w:keepNext/>
              <w:spacing w:before="40" w:after="40"/>
            </w:pPr>
            <w:r w:rsidRPr="005C5E32">
              <w:t xml:space="preserve">Total expenses in </w:t>
            </w:r>
            <w:r w:rsidR="00876EA3" w:rsidRPr="005C5E32">
              <w:t>n</w:t>
            </w:r>
            <w:r w:rsidRPr="005C5E32">
              <w:t xml:space="preserve">on-departmental </w:t>
            </w:r>
            <w:r w:rsidR="00876EA3" w:rsidRPr="005C5E32">
              <w:t>s</w:t>
            </w:r>
            <w:r w:rsidRPr="005C5E32">
              <w:t xml:space="preserve">chedule of </w:t>
            </w:r>
            <w:r w:rsidR="00876EA3" w:rsidRPr="005C5E32">
              <w:t>e</w:t>
            </w:r>
            <w:r w:rsidRPr="005C5E32">
              <w:t>xpenses</w:t>
            </w:r>
          </w:p>
        </w:tc>
        <w:tc>
          <w:tcPr>
            <w:tcW w:w="1134" w:type="dxa"/>
            <w:tcBorders>
              <w:top w:val="single" w:sz="2" w:space="0" w:color="58595B"/>
              <w:bottom w:val="single" w:sz="4" w:space="0" w:color="58595B"/>
            </w:tcBorders>
          </w:tcPr>
          <w:p w14:paraId="449A85A5" w14:textId="058DC613" w:rsidR="006E7F19" w:rsidRPr="005C5E32" w:rsidRDefault="006341D8">
            <w:pPr>
              <w:pStyle w:val="TableText"/>
              <w:keepNext/>
              <w:spacing w:before="40" w:after="40"/>
              <w:jc w:val="right"/>
            </w:pPr>
            <w:r w:rsidRPr="005C5E32">
              <w:t>2,522,036</w:t>
            </w:r>
          </w:p>
        </w:tc>
        <w:tc>
          <w:tcPr>
            <w:tcW w:w="1134" w:type="dxa"/>
            <w:tcBorders>
              <w:top w:val="single" w:sz="2" w:space="0" w:color="58595B"/>
              <w:bottom w:val="single" w:sz="4" w:space="0" w:color="58595B"/>
            </w:tcBorders>
            <w:shd w:val="clear" w:color="auto" w:fill="E7F2F2"/>
          </w:tcPr>
          <w:p w14:paraId="7705E3BA" w14:textId="30665DCD" w:rsidR="006E7F19" w:rsidRPr="005C5E32" w:rsidRDefault="006341D8">
            <w:pPr>
              <w:pStyle w:val="TableText"/>
              <w:keepNext/>
              <w:spacing w:before="40" w:after="40"/>
              <w:jc w:val="right"/>
            </w:pPr>
            <w:r w:rsidRPr="005C5E32">
              <w:t>1,663,016</w:t>
            </w:r>
          </w:p>
        </w:tc>
      </w:tr>
      <w:tr w:rsidR="006E7F19" w:rsidRPr="005C5E32" w14:paraId="342BF979" w14:textId="77777777" w:rsidTr="00AC1D8C">
        <w:tc>
          <w:tcPr>
            <w:tcW w:w="6124" w:type="dxa"/>
            <w:tcBorders>
              <w:top w:val="single" w:sz="4" w:space="0" w:color="58595B"/>
              <w:bottom w:val="single" w:sz="4" w:space="0" w:color="58595B"/>
            </w:tcBorders>
          </w:tcPr>
          <w:p w14:paraId="34BB0B70" w14:textId="18A1438E" w:rsidR="006E7F19" w:rsidRPr="005C5E32" w:rsidRDefault="000F12D5">
            <w:pPr>
              <w:pStyle w:val="TableText"/>
              <w:spacing w:before="40" w:after="40"/>
              <w:rPr>
                <w:b/>
                <w:bCs/>
              </w:rPr>
            </w:pPr>
            <w:r w:rsidRPr="005C5E32">
              <w:rPr>
                <w:b/>
                <w:bCs/>
              </w:rPr>
              <w:t>Total expenses as presented in the departmental financial statements and non</w:t>
            </w:r>
            <w:r w:rsidR="00AC1D8C" w:rsidRPr="005C5E32">
              <w:rPr>
                <w:b/>
                <w:bCs/>
              </w:rPr>
              <w:noBreakHyphen/>
            </w:r>
            <w:r w:rsidRPr="005C5E32">
              <w:rPr>
                <w:b/>
                <w:bCs/>
              </w:rPr>
              <w:t>departmental schedules</w:t>
            </w:r>
          </w:p>
        </w:tc>
        <w:tc>
          <w:tcPr>
            <w:tcW w:w="1134" w:type="dxa"/>
            <w:tcBorders>
              <w:top w:val="single" w:sz="4" w:space="0" w:color="58595B"/>
              <w:bottom w:val="single" w:sz="4" w:space="0" w:color="58595B"/>
            </w:tcBorders>
            <w:vAlign w:val="bottom"/>
          </w:tcPr>
          <w:p w14:paraId="06B290AC" w14:textId="3C42DA08" w:rsidR="006E7F19" w:rsidRPr="005C5E32" w:rsidRDefault="006341D8">
            <w:pPr>
              <w:pStyle w:val="TableText"/>
              <w:spacing w:before="40" w:after="40"/>
              <w:jc w:val="right"/>
              <w:rPr>
                <w:b/>
                <w:bCs/>
              </w:rPr>
            </w:pPr>
            <w:r w:rsidRPr="005C5E32">
              <w:rPr>
                <w:b/>
                <w:bCs/>
              </w:rPr>
              <w:t>2,702,246</w:t>
            </w:r>
          </w:p>
        </w:tc>
        <w:tc>
          <w:tcPr>
            <w:tcW w:w="1134" w:type="dxa"/>
            <w:tcBorders>
              <w:top w:val="single" w:sz="4" w:space="0" w:color="58595B"/>
              <w:bottom w:val="single" w:sz="4" w:space="0" w:color="58595B"/>
            </w:tcBorders>
            <w:shd w:val="clear" w:color="auto" w:fill="E7F2F2"/>
            <w:vAlign w:val="bottom"/>
          </w:tcPr>
          <w:p w14:paraId="0B64C6D1" w14:textId="6B90BA32" w:rsidR="006E7F19" w:rsidRPr="005C5E32" w:rsidRDefault="006341D8">
            <w:pPr>
              <w:pStyle w:val="TableText"/>
              <w:spacing w:before="40" w:after="40"/>
              <w:jc w:val="right"/>
              <w:rPr>
                <w:b/>
                <w:bCs/>
              </w:rPr>
            </w:pPr>
            <w:r w:rsidRPr="005C5E32">
              <w:rPr>
                <w:b/>
                <w:bCs/>
              </w:rPr>
              <w:t>1,858,093</w:t>
            </w:r>
          </w:p>
        </w:tc>
      </w:tr>
      <w:tr w:rsidR="006E7F19" w:rsidRPr="005C5E32" w14:paraId="48689BAD" w14:textId="77777777" w:rsidTr="00AC1D8C">
        <w:tc>
          <w:tcPr>
            <w:tcW w:w="6124" w:type="dxa"/>
            <w:tcBorders>
              <w:top w:val="single" w:sz="4" w:space="0" w:color="58595B"/>
              <w:bottom w:val="single" w:sz="4" w:space="0" w:color="58595B"/>
            </w:tcBorders>
          </w:tcPr>
          <w:p w14:paraId="160E5D9E" w14:textId="59F0449A" w:rsidR="006E7F19" w:rsidRPr="005C5E32" w:rsidRDefault="00A65E11">
            <w:pPr>
              <w:pStyle w:val="TableText"/>
              <w:spacing w:before="40" w:after="40"/>
            </w:pPr>
            <w:r w:rsidRPr="005C5E32">
              <w:t>Departmental property, plant and equipment and intangible asset additions</w:t>
            </w:r>
          </w:p>
        </w:tc>
        <w:tc>
          <w:tcPr>
            <w:tcW w:w="1134" w:type="dxa"/>
            <w:tcBorders>
              <w:top w:val="single" w:sz="4" w:space="0" w:color="58595B"/>
              <w:bottom w:val="single" w:sz="4" w:space="0" w:color="58595B"/>
            </w:tcBorders>
            <w:vAlign w:val="bottom"/>
          </w:tcPr>
          <w:p w14:paraId="402A34E4" w14:textId="3A43AE6D" w:rsidR="006E7F19" w:rsidRPr="005C5E32" w:rsidRDefault="001E2FEF">
            <w:pPr>
              <w:pStyle w:val="TableText"/>
              <w:spacing w:before="40" w:after="40"/>
              <w:jc w:val="right"/>
            </w:pPr>
            <w:r w:rsidRPr="005C5E32">
              <w:t>224</w:t>
            </w:r>
          </w:p>
        </w:tc>
        <w:tc>
          <w:tcPr>
            <w:tcW w:w="1134" w:type="dxa"/>
            <w:tcBorders>
              <w:top w:val="single" w:sz="4" w:space="0" w:color="58595B"/>
              <w:bottom w:val="single" w:sz="4" w:space="0" w:color="58595B"/>
            </w:tcBorders>
            <w:shd w:val="clear" w:color="auto" w:fill="E7F2F2"/>
            <w:vAlign w:val="bottom"/>
          </w:tcPr>
          <w:p w14:paraId="2E3BD50A" w14:textId="6D6CB3B3" w:rsidR="006E7F19" w:rsidRPr="005C5E32" w:rsidRDefault="001E2FEF">
            <w:pPr>
              <w:pStyle w:val="TableText"/>
              <w:spacing w:before="40" w:after="40"/>
              <w:jc w:val="right"/>
            </w:pPr>
            <w:r w:rsidRPr="005C5E32">
              <w:t>750</w:t>
            </w:r>
          </w:p>
        </w:tc>
      </w:tr>
      <w:tr w:rsidR="006E7F19" w:rsidRPr="005C5E32" w14:paraId="204735A5" w14:textId="77777777" w:rsidTr="00AC1D8C">
        <w:tc>
          <w:tcPr>
            <w:tcW w:w="6124" w:type="dxa"/>
            <w:tcBorders>
              <w:top w:val="single" w:sz="4" w:space="0" w:color="58595B"/>
              <w:bottom w:val="single" w:sz="4" w:space="0" w:color="58595B"/>
            </w:tcBorders>
          </w:tcPr>
          <w:p w14:paraId="70291AC7" w14:textId="37D8B9FA" w:rsidR="006E7F19" w:rsidRPr="005C5E32" w:rsidRDefault="00A65E11">
            <w:pPr>
              <w:pStyle w:val="TableTextbold"/>
              <w:spacing w:before="40" w:after="40"/>
              <w:rPr>
                <w:b w:val="0"/>
                <w:bCs/>
              </w:rPr>
            </w:pPr>
            <w:r w:rsidRPr="005C5E32">
              <w:rPr>
                <w:b w:val="0"/>
                <w:bCs/>
              </w:rPr>
              <w:t>Non-departmental property, plant and equipment and intangible asset additions</w:t>
            </w:r>
          </w:p>
        </w:tc>
        <w:tc>
          <w:tcPr>
            <w:tcW w:w="1134" w:type="dxa"/>
            <w:tcBorders>
              <w:top w:val="single" w:sz="4" w:space="0" w:color="58595B"/>
              <w:bottom w:val="single" w:sz="4" w:space="0" w:color="58595B"/>
            </w:tcBorders>
            <w:vAlign w:val="bottom"/>
          </w:tcPr>
          <w:p w14:paraId="73F549D0" w14:textId="520AD0C0" w:rsidR="006E7F19" w:rsidRPr="005C5E32" w:rsidRDefault="001E2FEF">
            <w:pPr>
              <w:pStyle w:val="TableTextbold"/>
              <w:spacing w:before="40" w:after="40"/>
              <w:jc w:val="right"/>
              <w:rPr>
                <w:b w:val="0"/>
                <w:bCs/>
              </w:rPr>
            </w:pPr>
            <w:r w:rsidRPr="005C5E32">
              <w:rPr>
                <w:b w:val="0"/>
                <w:bCs/>
              </w:rPr>
              <w:t>10,360</w:t>
            </w:r>
          </w:p>
        </w:tc>
        <w:tc>
          <w:tcPr>
            <w:tcW w:w="1134" w:type="dxa"/>
            <w:tcBorders>
              <w:top w:val="single" w:sz="4" w:space="0" w:color="58595B"/>
              <w:bottom w:val="single" w:sz="4" w:space="0" w:color="58595B"/>
            </w:tcBorders>
            <w:shd w:val="clear" w:color="auto" w:fill="E7F2F2"/>
            <w:vAlign w:val="bottom"/>
          </w:tcPr>
          <w:p w14:paraId="241DA4C7" w14:textId="3D174CCA" w:rsidR="006E7F19" w:rsidRPr="005C5E32" w:rsidRDefault="001E2FEF">
            <w:pPr>
              <w:pStyle w:val="TableTextbold"/>
              <w:spacing w:before="40" w:after="40"/>
              <w:jc w:val="right"/>
              <w:rPr>
                <w:b w:val="0"/>
                <w:bCs/>
              </w:rPr>
            </w:pPr>
            <w:r w:rsidRPr="005C5E32">
              <w:rPr>
                <w:b w:val="0"/>
                <w:bCs/>
              </w:rPr>
              <w:t>–</w:t>
            </w:r>
          </w:p>
        </w:tc>
      </w:tr>
      <w:tr w:rsidR="00A65E11" w:rsidRPr="005C5E32" w14:paraId="00FC98F3" w14:textId="77777777" w:rsidTr="00AC1D8C">
        <w:tc>
          <w:tcPr>
            <w:tcW w:w="6124" w:type="dxa"/>
            <w:tcBorders>
              <w:top w:val="single" w:sz="4" w:space="0" w:color="58595B"/>
              <w:bottom w:val="single" w:sz="4" w:space="0" w:color="58595B"/>
            </w:tcBorders>
          </w:tcPr>
          <w:p w14:paraId="2D9DE5F7" w14:textId="06E78ECB" w:rsidR="00A65E11" w:rsidRPr="005C5E32" w:rsidRDefault="001233C4">
            <w:pPr>
              <w:pStyle w:val="TableTextbold"/>
              <w:spacing w:before="40" w:after="40"/>
              <w:rPr>
                <w:b w:val="0"/>
                <w:bCs/>
              </w:rPr>
            </w:pPr>
            <w:r w:rsidRPr="005C5E32">
              <w:rPr>
                <w:b w:val="0"/>
                <w:bCs/>
              </w:rPr>
              <w:t xml:space="preserve">Net change in carbon price of NZ </w:t>
            </w:r>
            <w:r w:rsidR="00CD57FB" w:rsidRPr="005C5E32">
              <w:rPr>
                <w:b w:val="0"/>
                <w:bCs/>
              </w:rPr>
              <w:t>U</w:t>
            </w:r>
            <w:r w:rsidRPr="005C5E32">
              <w:rPr>
                <w:b w:val="0"/>
                <w:bCs/>
              </w:rPr>
              <w:t>nits – recorded in expenses</w:t>
            </w:r>
          </w:p>
        </w:tc>
        <w:tc>
          <w:tcPr>
            <w:tcW w:w="1134" w:type="dxa"/>
            <w:tcBorders>
              <w:top w:val="single" w:sz="4" w:space="0" w:color="58595B"/>
              <w:bottom w:val="single" w:sz="4" w:space="0" w:color="58595B"/>
            </w:tcBorders>
          </w:tcPr>
          <w:p w14:paraId="1D8C1311" w14:textId="2E52BBC0" w:rsidR="00A65E11" w:rsidRPr="005C5E32" w:rsidRDefault="004856EE">
            <w:pPr>
              <w:pStyle w:val="TableTextbold"/>
              <w:spacing w:before="40" w:after="40"/>
              <w:jc w:val="right"/>
              <w:rPr>
                <w:b w:val="0"/>
                <w:bCs/>
              </w:rPr>
            </w:pPr>
            <w:r w:rsidRPr="005C5E32">
              <w:rPr>
                <w:b w:val="0"/>
                <w:bCs/>
              </w:rPr>
              <w:t>(1,026,907)</w:t>
            </w:r>
          </w:p>
        </w:tc>
        <w:tc>
          <w:tcPr>
            <w:tcW w:w="1134" w:type="dxa"/>
            <w:tcBorders>
              <w:top w:val="single" w:sz="4" w:space="0" w:color="58595B"/>
              <w:bottom w:val="single" w:sz="4" w:space="0" w:color="58595B"/>
            </w:tcBorders>
            <w:shd w:val="clear" w:color="auto" w:fill="E7F2F2"/>
          </w:tcPr>
          <w:p w14:paraId="21C440F4" w14:textId="09BB04E3" w:rsidR="00A65E11" w:rsidRPr="005C5E32" w:rsidRDefault="004856EE">
            <w:pPr>
              <w:pStyle w:val="TableTextbold"/>
              <w:spacing w:before="40" w:after="40"/>
              <w:jc w:val="right"/>
              <w:rPr>
                <w:b w:val="0"/>
                <w:bCs/>
              </w:rPr>
            </w:pPr>
            <w:r w:rsidRPr="005C5E32">
              <w:t>–</w:t>
            </w:r>
          </w:p>
        </w:tc>
      </w:tr>
      <w:tr w:rsidR="00A65E11" w:rsidRPr="005C5E32" w14:paraId="655BAD7A" w14:textId="77777777" w:rsidTr="00AC1D8C">
        <w:tc>
          <w:tcPr>
            <w:tcW w:w="6124" w:type="dxa"/>
            <w:tcBorders>
              <w:top w:val="single" w:sz="4" w:space="0" w:color="58595B"/>
              <w:bottom w:val="single" w:sz="4" w:space="0" w:color="58595B"/>
            </w:tcBorders>
          </w:tcPr>
          <w:p w14:paraId="3F16468A" w14:textId="2E45758E" w:rsidR="00A65E11" w:rsidRPr="005C5E32" w:rsidRDefault="001233C4">
            <w:pPr>
              <w:pStyle w:val="TableTextbold"/>
              <w:spacing w:before="40" w:after="40"/>
              <w:rPr>
                <w:b w:val="0"/>
                <w:bCs/>
              </w:rPr>
            </w:pPr>
            <w:r w:rsidRPr="005C5E32">
              <w:rPr>
                <w:b w:val="0"/>
                <w:bCs/>
              </w:rPr>
              <w:t>GST on Crown spending</w:t>
            </w:r>
          </w:p>
        </w:tc>
        <w:tc>
          <w:tcPr>
            <w:tcW w:w="1134" w:type="dxa"/>
            <w:tcBorders>
              <w:top w:val="single" w:sz="4" w:space="0" w:color="58595B"/>
              <w:bottom w:val="single" w:sz="4" w:space="0" w:color="58595B"/>
            </w:tcBorders>
          </w:tcPr>
          <w:p w14:paraId="549CE782" w14:textId="44861799" w:rsidR="00A65E11" w:rsidRPr="005C5E32" w:rsidRDefault="004856EE">
            <w:pPr>
              <w:pStyle w:val="TableTextbold"/>
              <w:spacing w:before="40" w:after="40"/>
              <w:jc w:val="right"/>
              <w:rPr>
                <w:b w:val="0"/>
                <w:bCs/>
              </w:rPr>
            </w:pPr>
            <w:r w:rsidRPr="005C5E32">
              <w:rPr>
                <w:b w:val="0"/>
                <w:bCs/>
              </w:rPr>
              <w:t>(51,180)</w:t>
            </w:r>
          </w:p>
        </w:tc>
        <w:tc>
          <w:tcPr>
            <w:tcW w:w="1134" w:type="dxa"/>
            <w:tcBorders>
              <w:top w:val="single" w:sz="4" w:space="0" w:color="58595B"/>
              <w:bottom w:val="single" w:sz="4" w:space="0" w:color="58595B"/>
            </w:tcBorders>
            <w:shd w:val="clear" w:color="auto" w:fill="E7F2F2"/>
          </w:tcPr>
          <w:p w14:paraId="226A5C17" w14:textId="2D0C8276" w:rsidR="00A65E11" w:rsidRPr="005C5E32" w:rsidRDefault="004856EE">
            <w:pPr>
              <w:pStyle w:val="TableTextbold"/>
              <w:spacing w:before="40" w:after="40"/>
              <w:jc w:val="right"/>
              <w:rPr>
                <w:b w:val="0"/>
                <w:bCs/>
              </w:rPr>
            </w:pPr>
            <w:r w:rsidRPr="005C5E32">
              <w:rPr>
                <w:b w:val="0"/>
                <w:bCs/>
              </w:rPr>
              <w:t>(</w:t>
            </w:r>
            <w:r w:rsidR="00782237" w:rsidRPr="005C5E32">
              <w:rPr>
                <w:b w:val="0"/>
                <w:bCs/>
              </w:rPr>
              <w:t>42,745)</w:t>
            </w:r>
          </w:p>
        </w:tc>
      </w:tr>
      <w:tr w:rsidR="00A65E11" w:rsidRPr="005C5E32" w14:paraId="4C7C28F1" w14:textId="77777777" w:rsidTr="00AC1D8C">
        <w:tc>
          <w:tcPr>
            <w:tcW w:w="6124" w:type="dxa"/>
            <w:tcBorders>
              <w:top w:val="single" w:sz="4" w:space="0" w:color="58595B"/>
              <w:bottom w:val="single" w:sz="4" w:space="0" w:color="58595B"/>
            </w:tcBorders>
          </w:tcPr>
          <w:p w14:paraId="042474F5" w14:textId="49EB3CB1" w:rsidR="00A65E11" w:rsidRPr="005C5E32" w:rsidRDefault="001233C4">
            <w:pPr>
              <w:pStyle w:val="TableTextbold"/>
              <w:spacing w:before="40" w:after="40"/>
              <w:rPr>
                <w:b w:val="0"/>
                <w:bCs/>
              </w:rPr>
            </w:pPr>
            <w:r w:rsidRPr="005C5E32">
              <w:rPr>
                <w:b w:val="0"/>
                <w:bCs/>
              </w:rPr>
              <w:t>Other reconciling items</w:t>
            </w:r>
          </w:p>
        </w:tc>
        <w:tc>
          <w:tcPr>
            <w:tcW w:w="1134" w:type="dxa"/>
            <w:tcBorders>
              <w:top w:val="single" w:sz="4" w:space="0" w:color="58595B"/>
              <w:bottom w:val="single" w:sz="4" w:space="0" w:color="58595B"/>
            </w:tcBorders>
          </w:tcPr>
          <w:p w14:paraId="05A79E98" w14:textId="3D29D44E" w:rsidR="00A65E11" w:rsidRPr="005C5E32" w:rsidRDefault="00782237">
            <w:pPr>
              <w:pStyle w:val="TableTextbold"/>
              <w:spacing w:before="40" w:after="40"/>
              <w:jc w:val="right"/>
              <w:rPr>
                <w:b w:val="0"/>
                <w:bCs/>
              </w:rPr>
            </w:pPr>
            <w:r w:rsidRPr="005C5E32">
              <w:rPr>
                <w:b w:val="0"/>
                <w:bCs/>
              </w:rPr>
              <w:t>209</w:t>
            </w:r>
          </w:p>
        </w:tc>
        <w:tc>
          <w:tcPr>
            <w:tcW w:w="1134" w:type="dxa"/>
            <w:tcBorders>
              <w:top w:val="single" w:sz="4" w:space="0" w:color="58595B"/>
              <w:bottom w:val="single" w:sz="4" w:space="0" w:color="58595B"/>
            </w:tcBorders>
            <w:shd w:val="clear" w:color="auto" w:fill="E7F2F2"/>
          </w:tcPr>
          <w:p w14:paraId="0A7BDA8E" w14:textId="7A0C9D6D" w:rsidR="00A65E11" w:rsidRPr="005C5E32" w:rsidRDefault="00782237">
            <w:pPr>
              <w:pStyle w:val="TableTextbold"/>
              <w:spacing w:before="40" w:after="40"/>
              <w:jc w:val="right"/>
              <w:rPr>
                <w:b w:val="0"/>
                <w:bCs/>
              </w:rPr>
            </w:pPr>
            <w:r w:rsidRPr="005C5E32">
              <w:rPr>
                <w:b w:val="0"/>
                <w:bCs/>
              </w:rPr>
              <w:t>269</w:t>
            </w:r>
          </w:p>
        </w:tc>
      </w:tr>
      <w:tr w:rsidR="00A65E11" w:rsidRPr="005C5E32" w14:paraId="419D4989" w14:textId="77777777" w:rsidTr="00AC1D8C">
        <w:tc>
          <w:tcPr>
            <w:tcW w:w="6124" w:type="dxa"/>
            <w:tcBorders>
              <w:top w:val="single" w:sz="4" w:space="0" w:color="58595B"/>
              <w:bottom w:val="single" w:sz="4" w:space="0" w:color="58595B"/>
            </w:tcBorders>
          </w:tcPr>
          <w:p w14:paraId="5785B17D" w14:textId="6EF5E6DD" w:rsidR="00A65E11" w:rsidRPr="005C5E32" w:rsidRDefault="001233C4">
            <w:pPr>
              <w:pStyle w:val="TableTextbold"/>
              <w:spacing w:before="40" w:after="40"/>
            </w:pPr>
            <w:r w:rsidRPr="005C5E32">
              <w:t>Total annual appropriation, permanent appropriation and multi-year appropriation</w:t>
            </w:r>
          </w:p>
        </w:tc>
        <w:tc>
          <w:tcPr>
            <w:tcW w:w="1134" w:type="dxa"/>
            <w:tcBorders>
              <w:top w:val="single" w:sz="4" w:space="0" w:color="58595B"/>
              <w:bottom w:val="single" w:sz="4" w:space="0" w:color="58595B"/>
            </w:tcBorders>
            <w:vAlign w:val="bottom"/>
          </w:tcPr>
          <w:p w14:paraId="3EF6EA31" w14:textId="5ED5F6E0" w:rsidR="00A65E11" w:rsidRPr="005C5E32" w:rsidRDefault="004D50CA">
            <w:pPr>
              <w:pStyle w:val="TableTextbold"/>
              <w:spacing w:before="40" w:after="40"/>
              <w:jc w:val="right"/>
            </w:pPr>
            <w:r w:rsidRPr="005C5E32">
              <w:t>1,634,952</w:t>
            </w:r>
          </w:p>
        </w:tc>
        <w:tc>
          <w:tcPr>
            <w:tcW w:w="1134" w:type="dxa"/>
            <w:tcBorders>
              <w:top w:val="single" w:sz="4" w:space="0" w:color="58595B"/>
              <w:bottom w:val="single" w:sz="4" w:space="0" w:color="58595B"/>
            </w:tcBorders>
            <w:shd w:val="clear" w:color="auto" w:fill="E7F2F2"/>
            <w:vAlign w:val="bottom"/>
          </w:tcPr>
          <w:p w14:paraId="21833537" w14:textId="7C35D58C" w:rsidR="00A65E11" w:rsidRPr="005C5E32" w:rsidRDefault="004D50CA">
            <w:pPr>
              <w:pStyle w:val="TableTextbold"/>
              <w:spacing w:before="40" w:after="40"/>
              <w:jc w:val="right"/>
            </w:pPr>
            <w:r w:rsidRPr="005C5E32">
              <w:t>1,816,</w:t>
            </w:r>
            <w:r w:rsidR="00E4412B" w:rsidRPr="005C5E32">
              <w:t>367</w:t>
            </w:r>
          </w:p>
        </w:tc>
      </w:tr>
      <w:tr w:rsidR="001233C4" w:rsidRPr="005C5E32" w14:paraId="2E13F49F" w14:textId="77777777" w:rsidTr="00AC1D8C">
        <w:tc>
          <w:tcPr>
            <w:tcW w:w="6124" w:type="dxa"/>
            <w:tcBorders>
              <w:top w:val="single" w:sz="4" w:space="0" w:color="58595B"/>
              <w:bottom w:val="single" w:sz="4" w:space="0" w:color="58595B"/>
            </w:tcBorders>
          </w:tcPr>
          <w:p w14:paraId="2FA6CEC4" w14:textId="2993DE53" w:rsidR="001233C4" w:rsidRPr="005C5E32" w:rsidRDefault="00596916">
            <w:pPr>
              <w:pStyle w:val="TableTextbold"/>
              <w:spacing w:before="40" w:after="40"/>
              <w:rPr>
                <w:b w:val="0"/>
                <w:bCs/>
              </w:rPr>
            </w:pPr>
            <w:r w:rsidRPr="005C5E32">
              <w:rPr>
                <w:b w:val="0"/>
                <w:bCs/>
              </w:rPr>
              <w:t>Actual expenditure against annual and permanent appropriations</w:t>
            </w:r>
          </w:p>
        </w:tc>
        <w:tc>
          <w:tcPr>
            <w:tcW w:w="1134" w:type="dxa"/>
            <w:tcBorders>
              <w:top w:val="single" w:sz="4" w:space="0" w:color="58595B"/>
              <w:bottom w:val="single" w:sz="4" w:space="0" w:color="58595B"/>
            </w:tcBorders>
          </w:tcPr>
          <w:p w14:paraId="2D56F2DF" w14:textId="12367D3E" w:rsidR="001233C4" w:rsidRPr="005C5E32" w:rsidRDefault="0096770F">
            <w:pPr>
              <w:pStyle w:val="TableTextbold"/>
              <w:spacing w:before="40" w:after="40"/>
              <w:jc w:val="right"/>
              <w:rPr>
                <w:b w:val="0"/>
                <w:bCs/>
              </w:rPr>
            </w:pPr>
            <w:r w:rsidRPr="005C5E32">
              <w:rPr>
                <w:b w:val="0"/>
                <w:bCs/>
              </w:rPr>
              <w:t>1,564,673</w:t>
            </w:r>
          </w:p>
        </w:tc>
        <w:tc>
          <w:tcPr>
            <w:tcW w:w="1134" w:type="dxa"/>
            <w:tcBorders>
              <w:top w:val="single" w:sz="4" w:space="0" w:color="58595B"/>
              <w:bottom w:val="single" w:sz="4" w:space="0" w:color="58595B"/>
            </w:tcBorders>
            <w:shd w:val="clear" w:color="auto" w:fill="E7F2F2"/>
          </w:tcPr>
          <w:p w14:paraId="7BB01B4B" w14:textId="236A10E1" w:rsidR="001233C4" w:rsidRPr="005C5E32" w:rsidRDefault="0096770F">
            <w:pPr>
              <w:pStyle w:val="TableTextbold"/>
              <w:spacing w:before="40" w:after="40"/>
              <w:jc w:val="right"/>
              <w:rPr>
                <w:b w:val="0"/>
                <w:bCs/>
              </w:rPr>
            </w:pPr>
            <w:r w:rsidRPr="005C5E32">
              <w:rPr>
                <w:b w:val="0"/>
                <w:bCs/>
              </w:rPr>
              <w:t>1,807,254</w:t>
            </w:r>
          </w:p>
        </w:tc>
      </w:tr>
      <w:tr w:rsidR="001233C4" w:rsidRPr="005C5E32" w14:paraId="326940A4" w14:textId="77777777" w:rsidTr="00AC1D8C">
        <w:tc>
          <w:tcPr>
            <w:tcW w:w="6124" w:type="dxa"/>
            <w:tcBorders>
              <w:top w:val="single" w:sz="4" w:space="0" w:color="58595B"/>
              <w:bottom w:val="single" w:sz="4" w:space="0" w:color="58595B"/>
            </w:tcBorders>
          </w:tcPr>
          <w:p w14:paraId="3B5CEEC6" w14:textId="1E227DBA" w:rsidR="001233C4" w:rsidRPr="005C5E32" w:rsidRDefault="00596916">
            <w:pPr>
              <w:pStyle w:val="TableTextbold"/>
              <w:spacing w:before="40" w:after="40"/>
              <w:rPr>
                <w:b w:val="0"/>
                <w:bCs/>
              </w:rPr>
            </w:pPr>
            <w:r w:rsidRPr="005C5E32">
              <w:rPr>
                <w:b w:val="0"/>
                <w:bCs/>
              </w:rPr>
              <w:t>Actual expenditure against multi-year appropriations</w:t>
            </w:r>
          </w:p>
        </w:tc>
        <w:tc>
          <w:tcPr>
            <w:tcW w:w="1134" w:type="dxa"/>
            <w:tcBorders>
              <w:top w:val="single" w:sz="4" w:space="0" w:color="58595B"/>
              <w:bottom w:val="single" w:sz="4" w:space="0" w:color="58595B"/>
            </w:tcBorders>
          </w:tcPr>
          <w:p w14:paraId="7740FDDD" w14:textId="024FB4F6" w:rsidR="001233C4" w:rsidRPr="005C5E32" w:rsidRDefault="0096770F">
            <w:pPr>
              <w:pStyle w:val="TableTextbold"/>
              <w:spacing w:before="40" w:after="40"/>
              <w:jc w:val="right"/>
              <w:rPr>
                <w:b w:val="0"/>
                <w:bCs/>
              </w:rPr>
            </w:pPr>
            <w:r w:rsidRPr="005C5E32">
              <w:rPr>
                <w:b w:val="0"/>
                <w:bCs/>
              </w:rPr>
              <w:t>70,279</w:t>
            </w:r>
          </w:p>
        </w:tc>
        <w:tc>
          <w:tcPr>
            <w:tcW w:w="1134" w:type="dxa"/>
            <w:tcBorders>
              <w:top w:val="single" w:sz="4" w:space="0" w:color="58595B"/>
              <w:bottom w:val="single" w:sz="4" w:space="0" w:color="58595B"/>
            </w:tcBorders>
            <w:shd w:val="clear" w:color="auto" w:fill="E7F2F2"/>
          </w:tcPr>
          <w:p w14:paraId="1358029F" w14:textId="3AF9A212" w:rsidR="001233C4" w:rsidRPr="005C5E32" w:rsidRDefault="0096770F">
            <w:pPr>
              <w:pStyle w:val="TableTextbold"/>
              <w:spacing w:before="40" w:after="40"/>
              <w:jc w:val="right"/>
              <w:rPr>
                <w:b w:val="0"/>
                <w:bCs/>
              </w:rPr>
            </w:pPr>
            <w:r w:rsidRPr="005C5E32">
              <w:rPr>
                <w:b w:val="0"/>
                <w:bCs/>
              </w:rPr>
              <w:t>9,113</w:t>
            </w:r>
          </w:p>
        </w:tc>
      </w:tr>
      <w:tr w:rsidR="001233C4" w:rsidRPr="005C5E32" w14:paraId="195E383F" w14:textId="77777777" w:rsidTr="00AC1D8C">
        <w:tc>
          <w:tcPr>
            <w:tcW w:w="6124" w:type="dxa"/>
            <w:tcBorders>
              <w:top w:val="single" w:sz="4" w:space="0" w:color="58595B"/>
              <w:bottom w:val="single" w:sz="4" w:space="0" w:color="58595B"/>
            </w:tcBorders>
          </w:tcPr>
          <w:p w14:paraId="31A6BD8B" w14:textId="7434AA79" w:rsidR="001233C4" w:rsidRPr="005C5E32" w:rsidRDefault="00596916">
            <w:pPr>
              <w:pStyle w:val="TableTextbold"/>
              <w:spacing w:before="40" w:after="40"/>
            </w:pPr>
            <w:r w:rsidRPr="005C5E32">
              <w:t>Total annual appropriation, permanent appropriation and multi-year appropriation</w:t>
            </w:r>
          </w:p>
        </w:tc>
        <w:tc>
          <w:tcPr>
            <w:tcW w:w="1134" w:type="dxa"/>
            <w:tcBorders>
              <w:top w:val="single" w:sz="4" w:space="0" w:color="58595B"/>
              <w:bottom w:val="single" w:sz="4" w:space="0" w:color="58595B"/>
            </w:tcBorders>
            <w:vAlign w:val="bottom"/>
          </w:tcPr>
          <w:p w14:paraId="64C23E15" w14:textId="0F721D2A" w:rsidR="001233C4" w:rsidRPr="005C5E32" w:rsidRDefault="0096770F">
            <w:pPr>
              <w:pStyle w:val="TableTextbold"/>
              <w:spacing w:before="40" w:after="40"/>
              <w:jc w:val="right"/>
            </w:pPr>
            <w:r w:rsidRPr="005C5E32">
              <w:t>1,634,952</w:t>
            </w:r>
          </w:p>
        </w:tc>
        <w:tc>
          <w:tcPr>
            <w:tcW w:w="1134" w:type="dxa"/>
            <w:tcBorders>
              <w:top w:val="single" w:sz="4" w:space="0" w:color="58595B"/>
              <w:bottom w:val="single" w:sz="4" w:space="0" w:color="58595B"/>
            </w:tcBorders>
            <w:shd w:val="clear" w:color="auto" w:fill="E7F2F2"/>
            <w:vAlign w:val="bottom"/>
          </w:tcPr>
          <w:p w14:paraId="0AD49B80" w14:textId="1AFD8769" w:rsidR="001233C4" w:rsidRPr="005C5E32" w:rsidRDefault="0096770F">
            <w:pPr>
              <w:pStyle w:val="TableTextbold"/>
              <w:spacing w:before="40" w:after="40"/>
              <w:jc w:val="right"/>
            </w:pPr>
            <w:r w:rsidRPr="005C5E32">
              <w:t>1,816,</w:t>
            </w:r>
            <w:r w:rsidR="00D46D7A" w:rsidRPr="005C5E32">
              <w:t>36</w:t>
            </w:r>
            <w:r w:rsidRPr="005C5E32">
              <w:t>7</w:t>
            </w:r>
          </w:p>
        </w:tc>
      </w:tr>
    </w:tbl>
    <w:p w14:paraId="7920B435" w14:textId="77777777" w:rsidR="007C6680" w:rsidRPr="005C5E32" w:rsidRDefault="007C6680" w:rsidP="007C6680">
      <w:pPr>
        <w:pStyle w:val="BodyText"/>
      </w:pPr>
    </w:p>
    <w:p w14:paraId="440314A4" w14:textId="51AD1C3A" w:rsidR="00D06CB2" w:rsidRPr="005C5E32" w:rsidRDefault="00D06CB2" w:rsidP="007C6680">
      <w:pPr>
        <w:pStyle w:val="BodyText"/>
      </w:pPr>
      <w:r w:rsidRPr="005C5E32">
        <w:br w:type="page"/>
      </w:r>
    </w:p>
    <w:p w14:paraId="453BA069" w14:textId="77777777" w:rsidR="00D06CB2" w:rsidRPr="005C5E32" w:rsidRDefault="00D06CB2">
      <w:pPr>
        <w:pStyle w:val="Heading2green"/>
      </w:pPr>
      <w:bookmarkStart w:id="459" w:name="_Toc240445598"/>
      <w:r w:rsidRPr="005C5E32">
        <w:lastRenderedPageBreak/>
        <w:t>Statement of expenses and capital expenditure incurred without, or in excess of, appropriation or other authority</w:t>
      </w:r>
      <w:bookmarkEnd w:id="456"/>
      <w:bookmarkEnd w:id="457"/>
      <w:bookmarkEnd w:id="458"/>
      <w:bookmarkEnd w:id="459"/>
    </w:p>
    <w:p w14:paraId="1B85A4E7" w14:textId="77777777" w:rsidR="00D06CB2" w:rsidRPr="005C5E32" w:rsidRDefault="00D06CB2">
      <w:pPr>
        <w:pStyle w:val="BodyText"/>
        <w:rPr>
          <w:sz w:val="28"/>
          <w:szCs w:val="28"/>
        </w:rPr>
      </w:pPr>
      <w:r w:rsidRPr="005C5E32">
        <w:rPr>
          <w:sz w:val="28"/>
          <w:szCs w:val="28"/>
        </w:rPr>
        <w:t>for the year ended 30 June 2026</w:t>
      </w:r>
    </w:p>
    <w:p w14:paraId="7113F3B4" w14:textId="77777777" w:rsidR="00D06CB2" w:rsidRPr="005C5E32" w:rsidRDefault="00D06CB2">
      <w:pPr>
        <w:pStyle w:val="BodyText"/>
        <w:spacing w:before="240"/>
      </w:pPr>
      <w:r w:rsidRPr="005C5E32">
        <w:t>In the 2025/26 financial year, there were no instances of expenses and capital expenditure incurred without, or in excess of, appropriation or other authority (2024/25: $nil).</w:t>
      </w:r>
    </w:p>
    <w:p w14:paraId="25792CAA" w14:textId="77777777" w:rsidR="00D06CB2" w:rsidRPr="005C5E32" w:rsidRDefault="00D06CB2">
      <w:pPr>
        <w:pStyle w:val="Heading2green"/>
      </w:pPr>
      <w:bookmarkStart w:id="460" w:name="_Toc207017426"/>
      <w:bookmarkStart w:id="461" w:name="_Toc207017515"/>
      <w:bookmarkStart w:id="462" w:name="_Toc207192332"/>
      <w:bookmarkStart w:id="463" w:name="_Toc240445599"/>
      <w:r w:rsidRPr="005C5E32">
        <w:t>Statement of expenses and capital expenditure incurred outside of scope of an appropriation and without other authority</w:t>
      </w:r>
      <w:bookmarkEnd w:id="460"/>
      <w:bookmarkEnd w:id="461"/>
      <w:bookmarkEnd w:id="462"/>
      <w:bookmarkEnd w:id="463"/>
    </w:p>
    <w:p w14:paraId="34B33B5E" w14:textId="77777777" w:rsidR="00D06CB2" w:rsidRPr="005C5E32" w:rsidRDefault="00D06CB2">
      <w:pPr>
        <w:pStyle w:val="BodyText"/>
        <w:rPr>
          <w:sz w:val="28"/>
          <w:szCs w:val="28"/>
        </w:rPr>
      </w:pPr>
      <w:r w:rsidRPr="005C5E32">
        <w:rPr>
          <w:sz w:val="28"/>
          <w:szCs w:val="28"/>
        </w:rPr>
        <w:t>for the year ended 30 June 2026</w:t>
      </w:r>
    </w:p>
    <w:p w14:paraId="5AF9552C" w14:textId="77777777" w:rsidR="00D06CB2" w:rsidRPr="005C5E32" w:rsidRDefault="00D06CB2">
      <w:pPr>
        <w:pStyle w:val="BodyText"/>
        <w:spacing w:before="240"/>
      </w:pPr>
      <w:r w:rsidRPr="005C5E32">
        <w:t>In the 2025/26 financial year, there were no instances of expenses and capital expenditure incurred outside of the scope of an appropriation and without other authority (2024/25: $nil).</w:t>
      </w:r>
    </w:p>
    <w:p w14:paraId="2A455286" w14:textId="77777777" w:rsidR="00D06CB2" w:rsidRPr="005C5E32" w:rsidRDefault="00D06CB2">
      <w:pPr>
        <w:pStyle w:val="BodyText"/>
      </w:pPr>
      <w:r w:rsidRPr="005C5E32">
        <w:t>All other expenses in relation to the activities of, or appropriations administered by, the Ministry during 2025/26 were within appropriation.</w:t>
      </w:r>
    </w:p>
    <w:p w14:paraId="407BBAD7" w14:textId="77777777" w:rsidR="00D06CB2" w:rsidRPr="005C5E32" w:rsidRDefault="00D06CB2">
      <w:pPr>
        <w:pStyle w:val="Heading2green"/>
      </w:pPr>
      <w:bookmarkStart w:id="464" w:name="_Toc207017427"/>
      <w:bookmarkStart w:id="465" w:name="_Toc207017516"/>
      <w:bookmarkStart w:id="466" w:name="_Toc207192333"/>
      <w:bookmarkStart w:id="467" w:name="_Toc240445600"/>
      <w:r w:rsidRPr="005C5E32">
        <w:t>Statement of departmental capital injections</w:t>
      </w:r>
      <w:bookmarkEnd w:id="464"/>
      <w:bookmarkEnd w:id="465"/>
      <w:bookmarkEnd w:id="466"/>
      <w:bookmarkEnd w:id="467"/>
    </w:p>
    <w:p w14:paraId="65BBB3FA" w14:textId="77777777" w:rsidR="00D06CB2" w:rsidRPr="005C5E32" w:rsidRDefault="00D06CB2">
      <w:pPr>
        <w:pStyle w:val="BodyText"/>
        <w:rPr>
          <w:sz w:val="28"/>
          <w:szCs w:val="28"/>
        </w:rPr>
      </w:pPr>
      <w:r w:rsidRPr="005C5E32">
        <w:rPr>
          <w:sz w:val="28"/>
          <w:szCs w:val="28"/>
        </w:rPr>
        <w:t>for the year ended 30 June 2026</w:t>
      </w:r>
    </w:p>
    <w:p w14:paraId="6CF470E8" w14:textId="77777777" w:rsidR="00D06CB2" w:rsidRPr="005C5E32" w:rsidRDefault="00D06CB2">
      <w:pPr>
        <w:pStyle w:val="BodyText"/>
      </w:pPr>
      <w:r w:rsidRPr="005C5E32">
        <w:t>The Ministry has not received any capital injections for the year ended 30 June 2026 (2024/25: $nil).</w:t>
      </w:r>
    </w:p>
    <w:p w14:paraId="789C747B" w14:textId="77777777" w:rsidR="00D06CB2" w:rsidRPr="005C5E32" w:rsidRDefault="00D06CB2">
      <w:pPr>
        <w:pStyle w:val="Heading2green"/>
      </w:pPr>
      <w:bookmarkStart w:id="468" w:name="_Toc207017428"/>
      <w:bookmarkStart w:id="469" w:name="_Toc207017517"/>
      <w:bookmarkStart w:id="470" w:name="_Toc207192334"/>
      <w:bookmarkStart w:id="471" w:name="_Toc240445601"/>
      <w:r w:rsidRPr="005C5E32">
        <w:t>Statement of departmental capital injections without, or in excess of, authority</w:t>
      </w:r>
      <w:bookmarkEnd w:id="468"/>
      <w:bookmarkEnd w:id="469"/>
      <w:bookmarkEnd w:id="470"/>
      <w:bookmarkEnd w:id="471"/>
    </w:p>
    <w:p w14:paraId="252D8ACC" w14:textId="77777777" w:rsidR="00D06CB2" w:rsidRPr="005C5E32" w:rsidRDefault="00D06CB2">
      <w:pPr>
        <w:pStyle w:val="BodyText"/>
        <w:rPr>
          <w:sz w:val="28"/>
          <w:szCs w:val="28"/>
        </w:rPr>
      </w:pPr>
      <w:r w:rsidRPr="005C5E32">
        <w:rPr>
          <w:sz w:val="28"/>
          <w:szCs w:val="28"/>
        </w:rPr>
        <w:t>for the year ended 30 June 2026</w:t>
      </w:r>
    </w:p>
    <w:p w14:paraId="6A000606" w14:textId="27A495F6" w:rsidR="00D06CB2" w:rsidRPr="005C5E32" w:rsidRDefault="00D06CB2" w:rsidP="007D47CB">
      <w:pPr>
        <w:pStyle w:val="BodyText"/>
        <w:spacing w:before="240"/>
      </w:pPr>
      <w:r w:rsidRPr="005C5E32">
        <w:t xml:space="preserve">The Ministry has not received any capital injections during the year without, or in excess of, authority. </w:t>
      </w:r>
    </w:p>
    <w:p w14:paraId="34AA0ED4" w14:textId="3489A630" w:rsidR="0079642D" w:rsidRPr="005C5E32" w:rsidRDefault="00BA12E1">
      <w:pPr>
        <w:spacing w:before="0" w:after="200" w:line="276" w:lineRule="auto"/>
        <w:jc w:val="left"/>
      </w:pPr>
      <w:r>
        <w:br w:type="page"/>
      </w:r>
    </w:p>
    <w:p w14:paraId="1FB94832" w14:textId="009B2696" w:rsidR="0079642D" w:rsidRDefault="005D146F" w:rsidP="00D11F96">
      <w:pPr>
        <w:pStyle w:val="Heading1green"/>
      </w:pPr>
      <w:bookmarkStart w:id="472" w:name="_Toc240445602"/>
      <w:r>
        <w:rPr>
          <w:noProof/>
        </w:rPr>
        <w:lastRenderedPageBreak/>
        <w:drawing>
          <wp:anchor distT="0" distB="0" distL="114300" distR="114300" simplePos="0" relativeHeight="251658241" behindDoc="0" locked="0" layoutInCell="1" allowOverlap="1" wp14:anchorId="4DE05C4C" wp14:editId="7C2C0402">
            <wp:simplePos x="0" y="0"/>
            <wp:positionH relativeFrom="column">
              <wp:posOffset>3239135</wp:posOffset>
            </wp:positionH>
            <wp:positionV relativeFrom="paragraph">
              <wp:posOffset>56567</wp:posOffset>
            </wp:positionV>
            <wp:extent cx="1965960" cy="657636"/>
            <wp:effectExtent l="0" t="0" r="0" b="0"/>
            <wp:wrapNone/>
            <wp:docPr id="587524258"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24258" name="Graphic 587524258"/>
                    <pic:cNvPicPr/>
                  </pic:nvPicPr>
                  <pic:blipFill>
                    <a:blip r:embed="rId103">
                      <a:extLst>
                        <a:ext uri="{96DAC541-7B7A-43D3-8B79-37D633B846F1}">
                          <asvg:svgBlip xmlns:asvg="http://schemas.microsoft.com/office/drawing/2016/SVG/main" r:embed="rId104"/>
                        </a:ext>
                      </a:extLst>
                    </a:blip>
                    <a:stretch>
                      <a:fillRect/>
                    </a:stretch>
                  </pic:blipFill>
                  <pic:spPr>
                    <a:xfrm>
                      <a:off x="0" y="0"/>
                      <a:ext cx="1970378" cy="659114"/>
                    </a:xfrm>
                    <a:prstGeom prst="rect">
                      <a:avLst/>
                    </a:prstGeom>
                  </pic:spPr>
                </pic:pic>
              </a:graphicData>
            </a:graphic>
            <wp14:sizeRelH relativeFrom="margin">
              <wp14:pctWidth>0</wp14:pctWidth>
            </wp14:sizeRelH>
            <wp14:sizeRelV relativeFrom="margin">
              <wp14:pctHeight>0</wp14:pctHeight>
            </wp14:sizeRelV>
          </wp:anchor>
        </w:drawing>
      </w:r>
      <w:r w:rsidR="00BA12E1">
        <w:t xml:space="preserve">Independent </w:t>
      </w:r>
      <w:r w:rsidR="00D70909">
        <w:br/>
      </w:r>
      <w:r w:rsidR="0039558B">
        <w:t>auditor’s report</w:t>
      </w:r>
      <w:bookmarkEnd w:id="472"/>
    </w:p>
    <w:p w14:paraId="39B1401F" w14:textId="77777777" w:rsidR="00024DC0" w:rsidRDefault="00024DC0" w:rsidP="009B7069">
      <w:pPr>
        <w:pStyle w:val="AOHeading-L2"/>
        <w:spacing w:after="120"/>
        <w:jc w:val="center"/>
        <w:rPr>
          <w:lang w:val="en-GB"/>
        </w:rPr>
      </w:pPr>
      <w:r>
        <w:rPr>
          <w:lang w:val="en-GB"/>
        </w:rPr>
        <w:t>Independent Auditor’s Report</w:t>
      </w:r>
    </w:p>
    <w:p w14:paraId="5FF5B61C" w14:textId="77777777" w:rsidR="00024DC0" w:rsidRDefault="00024DC0" w:rsidP="00F10556">
      <w:pPr>
        <w:pStyle w:val="AOHeading-L2"/>
        <w:spacing w:before="240"/>
        <w:jc w:val="center"/>
        <w:rPr>
          <w:lang w:val="en-GB"/>
        </w:rPr>
      </w:pPr>
      <w:r w:rsidRPr="00B94E96">
        <w:rPr>
          <w:lang w:val="en-GB"/>
        </w:rPr>
        <w:t xml:space="preserve">To the readers of </w:t>
      </w:r>
      <w:r>
        <w:rPr>
          <w:lang w:val="en-GB"/>
        </w:rPr>
        <w:t>Ministry for the Environment</w:t>
      </w:r>
      <w:r w:rsidRPr="00B94E96">
        <w:rPr>
          <w:lang w:val="en-GB"/>
        </w:rPr>
        <w:t>’s annual report</w:t>
      </w:r>
      <w:r w:rsidRPr="00B94E96">
        <w:rPr>
          <w:lang w:val="en-GB"/>
        </w:rPr>
        <w:br/>
        <w:t xml:space="preserve">for the year ended </w:t>
      </w:r>
      <w:r>
        <w:rPr>
          <w:lang w:val="en-GB"/>
        </w:rPr>
        <w:t>30 June 2026</w:t>
      </w:r>
    </w:p>
    <w:p w14:paraId="204F3F8A" w14:textId="77777777" w:rsidR="00E03230" w:rsidRPr="00B94E96" w:rsidRDefault="00E03230" w:rsidP="00E03230">
      <w:pPr>
        <w:pStyle w:val="AOBodyText"/>
        <w:rPr>
          <w:lang w:val="en-GB"/>
        </w:rPr>
      </w:pPr>
      <w:r w:rsidRPr="00B94E96">
        <w:rPr>
          <w:lang w:val="en-GB"/>
        </w:rPr>
        <w:t xml:space="preserve">The Auditor-General is the auditor of </w:t>
      </w:r>
      <w:r>
        <w:rPr>
          <w:lang w:val="en-GB"/>
        </w:rPr>
        <w:t>Ministry for the Environment (the ‘Ministry’)</w:t>
      </w:r>
      <w:r w:rsidRPr="00B94E96">
        <w:rPr>
          <w:lang w:val="en-GB"/>
        </w:rPr>
        <w:t>. The Auditor-General has appointed me,</w:t>
      </w:r>
      <w:r>
        <w:rPr>
          <w:lang w:val="en-GB"/>
        </w:rPr>
        <w:t xml:space="preserve"> Anthony Heffernan</w:t>
      </w:r>
      <w:r w:rsidRPr="00B94E96">
        <w:rPr>
          <w:lang w:val="en-GB"/>
        </w:rPr>
        <w:t xml:space="preserve">, using the staff and resources of </w:t>
      </w:r>
      <w:r>
        <w:rPr>
          <w:lang w:val="en-GB"/>
        </w:rPr>
        <w:t>The Audit Office</w:t>
      </w:r>
      <w:r w:rsidRPr="00B94E96">
        <w:rPr>
          <w:lang w:val="en-GB"/>
        </w:rPr>
        <w:t>, to carry out the audit of the information required to be audited on his behalf.</w:t>
      </w:r>
    </w:p>
    <w:p w14:paraId="1B454AFB" w14:textId="77777777" w:rsidR="00E03230" w:rsidRPr="00B94E96" w:rsidDel="00E02A3B" w:rsidRDefault="00E03230" w:rsidP="00E03230">
      <w:pPr>
        <w:pStyle w:val="AOHeading-L2"/>
        <w:rPr>
          <w:lang w:val="en-AU"/>
        </w:rPr>
      </w:pPr>
      <w:r w:rsidRPr="00B94E96" w:rsidDel="00E02A3B">
        <w:rPr>
          <w:lang w:val="en-AU"/>
        </w:rPr>
        <w:t>Opinion</w:t>
      </w:r>
    </w:p>
    <w:p w14:paraId="4C5A3B5A" w14:textId="77777777" w:rsidR="00E03230" w:rsidRPr="00B94E96" w:rsidRDefault="00E03230" w:rsidP="00E03230">
      <w:pPr>
        <w:pStyle w:val="AOBodyText"/>
        <w:rPr>
          <w:lang w:val="en-AU"/>
        </w:rPr>
      </w:pPr>
      <w:r w:rsidRPr="00B94E96">
        <w:rPr>
          <w:lang w:val="en-GB"/>
        </w:rPr>
        <w:t>We have audited:</w:t>
      </w:r>
    </w:p>
    <w:p w14:paraId="3CA3C011" w14:textId="77777777" w:rsidR="00E03230" w:rsidRPr="00B94E96" w:rsidRDefault="00E03230" w:rsidP="00E03230">
      <w:pPr>
        <w:pStyle w:val="AOBulletLevel1"/>
        <w:ind w:left="360" w:hanging="360"/>
        <w:rPr>
          <w:lang w:val="en-AU"/>
        </w:rPr>
      </w:pPr>
      <w:r w:rsidRPr="00B94E96">
        <w:rPr>
          <w:lang w:val="en-AU"/>
        </w:rPr>
        <w:t xml:space="preserve">The financial statements of the </w:t>
      </w:r>
      <w:r>
        <w:rPr>
          <w:lang w:val="en-AU"/>
        </w:rPr>
        <w:t xml:space="preserve">Ministry </w:t>
      </w:r>
      <w:r w:rsidRPr="00B94E96">
        <w:rPr>
          <w:lang w:val="en-AU"/>
        </w:rPr>
        <w:t xml:space="preserve">that comprise the statement of financial position, statement of commitments, and statement of contingent assets and contingent liabilities as at </w:t>
      </w:r>
      <w:r>
        <w:rPr>
          <w:lang w:val="en-AU"/>
        </w:rPr>
        <w:t>30 June 2026</w:t>
      </w:r>
      <w:r w:rsidRPr="00B94E96">
        <w:rPr>
          <w:lang w:val="en-AU"/>
        </w:rPr>
        <w:t xml:space="preserve">, the statement of comprehensive revenue and expenses, statement of changes in equity, and statement of cash flows for the year ended on that date, and the notes to the financial statements that include accounting policies and other explanatory information on pages </w:t>
      </w:r>
      <w:r>
        <w:rPr>
          <w:lang w:val="en-AU"/>
        </w:rPr>
        <w:t>72 t</w:t>
      </w:r>
      <w:r w:rsidRPr="00B94E96">
        <w:rPr>
          <w:lang w:val="en-AU"/>
        </w:rPr>
        <w:t xml:space="preserve">o </w:t>
      </w:r>
      <w:r>
        <w:rPr>
          <w:lang w:val="en-AU"/>
        </w:rPr>
        <w:t>99.</w:t>
      </w:r>
    </w:p>
    <w:p w14:paraId="710C13E1" w14:textId="77777777" w:rsidR="00E03230" w:rsidRPr="00B94E96" w:rsidRDefault="00E03230" w:rsidP="00E03230">
      <w:pPr>
        <w:pStyle w:val="AOBulletLevel1"/>
        <w:ind w:left="360" w:hanging="360"/>
        <w:rPr>
          <w:lang w:val="en-AU"/>
        </w:rPr>
      </w:pPr>
      <w:r w:rsidRPr="00B94E96">
        <w:rPr>
          <w:lang w:val="en-AU"/>
        </w:rPr>
        <w:t xml:space="preserve">The end-of-year performance information for appropriations of the </w:t>
      </w:r>
      <w:r>
        <w:rPr>
          <w:lang w:val="en-AU"/>
        </w:rPr>
        <w:t>Ministry</w:t>
      </w:r>
      <w:r w:rsidRPr="00B94E96">
        <w:rPr>
          <w:lang w:val="en-AU"/>
        </w:rPr>
        <w:t xml:space="preserve"> for the year ended </w:t>
      </w:r>
      <w:r>
        <w:rPr>
          <w:lang w:val="en-AU"/>
        </w:rPr>
        <w:t>30 June 2026</w:t>
      </w:r>
      <w:r w:rsidRPr="00B94E96">
        <w:rPr>
          <w:lang w:val="en-AU"/>
        </w:rPr>
        <w:t xml:space="preserve"> on pages </w:t>
      </w:r>
      <w:r>
        <w:rPr>
          <w:lang w:val="en-AU"/>
        </w:rPr>
        <w:t xml:space="preserve">33 </w:t>
      </w:r>
      <w:r w:rsidRPr="00B94E96">
        <w:rPr>
          <w:lang w:val="en-AU"/>
        </w:rPr>
        <w:t xml:space="preserve">to </w:t>
      </w:r>
      <w:r>
        <w:rPr>
          <w:lang w:val="en-AU"/>
        </w:rPr>
        <w:t>52</w:t>
      </w:r>
      <w:r w:rsidRPr="00B94E96">
        <w:rPr>
          <w:lang w:val="en-AU"/>
        </w:rPr>
        <w:t>.</w:t>
      </w:r>
    </w:p>
    <w:p w14:paraId="7763986B" w14:textId="4C3E2803" w:rsidR="00E03230" w:rsidRPr="00B94E96" w:rsidRDefault="00E03230" w:rsidP="00E03230">
      <w:pPr>
        <w:pStyle w:val="AOBulletLevel1"/>
        <w:ind w:left="360" w:hanging="360"/>
        <w:rPr>
          <w:lang w:val="en-AU"/>
        </w:rPr>
      </w:pPr>
      <w:r w:rsidRPr="00B94E96">
        <w:rPr>
          <w:lang w:val="en-AU"/>
        </w:rPr>
        <w:t xml:space="preserve">The statements of expenses and capital expenditure </w:t>
      </w:r>
      <w:bookmarkStart w:id="473" w:name="_Hlk193798182"/>
      <w:r w:rsidRPr="00B94E96">
        <w:rPr>
          <w:lang w:val="en-AU"/>
        </w:rPr>
        <w:t xml:space="preserve">of the </w:t>
      </w:r>
      <w:r w:rsidR="00296B64">
        <w:rPr>
          <w:lang w:val="en-AU"/>
        </w:rPr>
        <w:t>M</w:t>
      </w:r>
      <w:r>
        <w:rPr>
          <w:lang w:val="en-AU"/>
        </w:rPr>
        <w:t>inistry</w:t>
      </w:r>
      <w:r w:rsidRPr="00B94E96">
        <w:rPr>
          <w:lang w:val="en-AU"/>
        </w:rPr>
        <w:t xml:space="preserve"> </w:t>
      </w:r>
      <w:bookmarkEnd w:id="473"/>
      <w:r w:rsidRPr="00B94E96">
        <w:rPr>
          <w:lang w:val="en-AU"/>
        </w:rPr>
        <w:t xml:space="preserve">for the year ended </w:t>
      </w:r>
      <w:r>
        <w:rPr>
          <w:lang w:val="en-AU"/>
        </w:rPr>
        <w:t>30 June 2026</w:t>
      </w:r>
      <w:r w:rsidRPr="00B94E96">
        <w:rPr>
          <w:lang w:val="en-AU"/>
        </w:rPr>
        <w:t xml:space="preserve"> </w:t>
      </w:r>
      <w:bookmarkStart w:id="474" w:name="_Hlk198212722"/>
      <w:r w:rsidRPr="00B94E96">
        <w:rPr>
          <w:lang w:val="en-AU"/>
        </w:rPr>
        <w:t xml:space="preserve">on pages </w:t>
      </w:r>
      <w:r>
        <w:rPr>
          <w:lang w:val="en-AU"/>
        </w:rPr>
        <w:t>127</w:t>
      </w:r>
      <w:r w:rsidRPr="00B94E96">
        <w:rPr>
          <w:lang w:val="en-AU"/>
        </w:rPr>
        <w:t xml:space="preserve"> to </w:t>
      </w:r>
      <w:r>
        <w:rPr>
          <w:lang w:val="en-AU"/>
        </w:rPr>
        <w:t>134</w:t>
      </w:r>
      <w:bookmarkEnd w:id="474"/>
      <w:r w:rsidRPr="00B94E96">
        <w:rPr>
          <w:lang w:val="en-AU"/>
        </w:rPr>
        <w:t>.</w:t>
      </w:r>
    </w:p>
    <w:p w14:paraId="42DB4079" w14:textId="77777777" w:rsidR="00E03230" w:rsidRPr="00B94E96" w:rsidRDefault="00E03230" w:rsidP="00E03230">
      <w:pPr>
        <w:pStyle w:val="AOBulletLevel1"/>
        <w:ind w:left="360" w:hanging="360"/>
        <w:rPr>
          <w:lang w:val="en-AU"/>
        </w:rPr>
      </w:pPr>
      <w:r w:rsidRPr="00B94E96">
        <w:rPr>
          <w:lang w:val="en-AU"/>
        </w:rPr>
        <w:t xml:space="preserve">The schedules of non-departmental activities managed by the </w:t>
      </w:r>
      <w:r>
        <w:rPr>
          <w:lang w:val="en-AU"/>
        </w:rPr>
        <w:t>Ministry</w:t>
      </w:r>
      <w:r w:rsidRPr="00B94E96">
        <w:rPr>
          <w:lang w:val="en-AU"/>
        </w:rPr>
        <w:t xml:space="preserve"> on behalf of the Crown, that comprises the schedules of assets, liabilities, commitments, contingent assets, and contingent liabilities as at </w:t>
      </w:r>
      <w:r>
        <w:rPr>
          <w:lang w:val="en-AU"/>
        </w:rPr>
        <w:t>30 June 2026</w:t>
      </w:r>
      <w:r w:rsidRPr="00B94E96">
        <w:rPr>
          <w:lang w:val="en-AU"/>
        </w:rPr>
        <w:t xml:space="preserve">, the schedules of expenses and revenue for the year ended </w:t>
      </w:r>
      <w:r>
        <w:rPr>
          <w:lang w:val="en-AU"/>
        </w:rPr>
        <w:t>30 June 2026</w:t>
      </w:r>
      <w:r w:rsidRPr="00B94E96">
        <w:rPr>
          <w:lang w:val="en-AU"/>
        </w:rPr>
        <w:t xml:space="preserve">, and the notes to the schedules that include accounting policies and other explanatory information on pages </w:t>
      </w:r>
      <w:r>
        <w:rPr>
          <w:lang w:val="en-AU"/>
        </w:rPr>
        <w:t>100</w:t>
      </w:r>
      <w:r w:rsidRPr="00B94E96">
        <w:rPr>
          <w:lang w:val="en-AU"/>
        </w:rPr>
        <w:t xml:space="preserve"> to </w:t>
      </w:r>
      <w:r>
        <w:rPr>
          <w:lang w:val="en-AU"/>
        </w:rPr>
        <w:t>126.</w:t>
      </w:r>
    </w:p>
    <w:p w14:paraId="704548AE" w14:textId="77777777" w:rsidR="00E03230" w:rsidRPr="00B94E96" w:rsidRDefault="00E03230" w:rsidP="00E03230">
      <w:pPr>
        <w:pStyle w:val="AOBodyText"/>
        <w:rPr>
          <w:lang w:val="en-AU"/>
        </w:rPr>
      </w:pPr>
      <w:r w:rsidRPr="00B94E96">
        <w:rPr>
          <w:lang w:val="en-AU"/>
        </w:rPr>
        <w:t>In our opinion:</w:t>
      </w:r>
    </w:p>
    <w:p w14:paraId="2D023C8A" w14:textId="77777777" w:rsidR="00E03230" w:rsidRPr="00B94E96" w:rsidRDefault="00E03230" w:rsidP="00E03230">
      <w:pPr>
        <w:pStyle w:val="AOBulletLevel1"/>
        <w:ind w:left="360" w:hanging="360"/>
        <w:rPr>
          <w:lang w:val="en-AU"/>
        </w:rPr>
      </w:pPr>
      <w:r w:rsidRPr="00B94E96">
        <w:rPr>
          <w:lang w:val="en-AU"/>
        </w:rPr>
        <w:t xml:space="preserve">The financial statements of the </w:t>
      </w:r>
      <w:r>
        <w:rPr>
          <w:lang w:val="en-AU"/>
        </w:rPr>
        <w:t>Ministry</w:t>
      </w:r>
      <w:r w:rsidRPr="00B94E96">
        <w:rPr>
          <w:lang w:val="en-AU"/>
        </w:rPr>
        <w:t xml:space="preserve"> present fairly, in all material respects, its financial position as at </w:t>
      </w:r>
      <w:r>
        <w:rPr>
          <w:lang w:val="en-AU"/>
        </w:rPr>
        <w:t>30 June 2026</w:t>
      </w:r>
      <w:r w:rsidRPr="00B94E96">
        <w:rPr>
          <w:lang w:val="en-AU"/>
        </w:rPr>
        <w:t xml:space="preserve">, and its financial performance and cash flows for the year then ended, in accordance with </w:t>
      </w:r>
      <w:r>
        <w:rPr>
          <w:lang w:val="en-AU"/>
        </w:rPr>
        <w:t>Public Benefit Entity Standards.</w:t>
      </w:r>
      <w:r w:rsidRPr="00B94E96">
        <w:rPr>
          <w:lang w:val="en-AU"/>
        </w:rPr>
        <w:t xml:space="preserve"> </w:t>
      </w:r>
    </w:p>
    <w:p w14:paraId="49D94164" w14:textId="77777777" w:rsidR="00E03230" w:rsidRPr="00B94E96" w:rsidRDefault="00E03230" w:rsidP="00E03230">
      <w:pPr>
        <w:pStyle w:val="AOBulletLevel1"/>
        <w:ind w:left="360" w:hanging="360"/>
        <w:rPr>
          <w:lang w:val="en-AU"/>
        </w:rPr>
      </w:pPr>
      <w:r w:rsidRPr="00B94E96">
        <w:rPr>
          <w:lang w:val="en-AU"/>
        </w:rPr>
        <w:t xml:space="preserve">The end-of-year performance information for </w:t>
      </w:r>
      <w:r>
        <w:rPr>
          <w:lang w:val="en-AU"/>
        </w:rPr>
        <w:t xml:space="preserve">each </w:t>
      </w:r>
      <w:r w:rsidRPr="00B94E96">
        <w:rPr>
          <w:lang w:val="en-AU"/>
        </w:rPr>
        <w:t xml:space="preserve">appropriation for the year ended </w:t>
      </w:r>
      <w:r>
        <w:rPr>
          <w:lang w:val="en-AU"/>
        </w:rPr>
        <w:t>30 June 2026</w:t>
      </w:r>
      <w:r w:rsidRPr="00B94E96">
        <w:rPr>
          <w:lang w:val="en-AU"/>
        </w:rPr>
        <w:t xml:space="preserve"> is appropriate and meaningful and prepared in accordance with the </w:t>
      </w:r>
      <w:r>
        <w:rPr>
          <w:lang w:val="en-AU"/>
        </w:rPr>
        <w:t>Ministry</w:t>
      </w:r>
      <w:r w:rsidRPr="00B94E96">
        <w:rPr>
          <w:lang w:val="en-AU"/>
        </w:rPr>
        <w:t xml:space="preserve">’s measurement bases or evaluation methods and </w:t>
      </w:r>
      <w:r>
        <w:rPr>
          <w:lang w:val="en-AU"/>
        </w:rPr>
        <w:t>Public Benefit Entity Standards</w:t>
      </w:r>
      <w:r w:rsidRPr="00B94E96">
        <w:rPr>
          <w:lang w:val="en-AU"/>
        </w:rPr>
        <w:t>, and presents fairly, in all material respects:</w:t>
      </w:r>
    </w:p>
    <w:p w14:paraId="2EAE6934" w14:textId="77777777" w:rsidR="00E03230" w:rsidRPr="00B94E96" w:rsidRDefault="00E03230" w:rsidP="00E03230">
      <w:pPr>
        <w:pStyle w:val="AOBulletLevel2"/>
        <w:spacing w:after="120"/>
        <w:ind w:left="714" w:hanging="357"/>
      </w:pPr>
      <w:bookmarkStart w:id="475" w:name="_Hlk193806628"/>
      <w:bookmarkStart w:id="476" w:name="_Hlk170824131"/>
      <w:r w:rsidRPr="00B94E96">
        <w:lastRenderedPageBreak/>
        <w:t>what has been achieved with the appropriation; and</w:t>
      </w:r>
    </w:p>
    <w:bookmarkEnd w:id="475"/>
    <w:p w14:paraId="7406BB7E" w14:textId="77777777" w:rsidR="00E03230" w:rsidRPr="00B94E96" w:rsidRDefault="00E03230" w:rsidP="00E03230">
      <w:pPr>
        <w:pStyle w:val="AOBulletLevel2"/>
        <w:rPr>
          <w:lang w:val="en-AU"/>
        </w:rPr>
      </w:pPr>
      <w:r w:rsidRPr="00B94E96">
        <w:t>the actual expenses or capital expenditure incurred in relation to the appropriation as compared with the expenses or capital expenditure that were appropriated or forecast to be incurred.</w:t>
      </w:r>
    </w:p>
    <w:bookmarkEnd w:id="476"/>
    <w:p w14:paraId="4153B52D" w14:textId="77777777" w:rsidR="00E03230" w:rsidRPr="00B94E96" w:rsidRDefault="00E03230" w:rsidP="00E03230">
      <w:pPr>
        <w:pStyle w:val="AOBulletLevel1"/>
        <w:ind w:left="360" w:hanging="360"/>
        <w:rPr>
          <w:lang w:val="en-AU"/>
        </w:rPr>
      </w:pPr>
      <w:r w:rsidRPr="00B94E96">
        <w:rPr>
          <w:lang w:val="en-AU"/>
        </w:rPr>
        <w:t>The statements of expenses and capital expenditure have been prepared, in all material respects, in accordance with the requirements of section 45A of the Public Finance Act 1989.</w:t>
      </w:r>
    </w:p>
    <w:p w14:paraId="435A6879" w14:textId="77777777" w:rsidR="00E03230" w:rsidRPr="00B94E96" w:rsidRDefault="00E03230" w:rsidP="00652AD8">
      <w:pPr>
        <w:pStyle w:val="AOBulletLevel1"/>
        <w:spacing w:after="0"/>
        <w:ind w:left="357" w:hanging="357"/>
        <w:rPr>
          <w:lang w:val="en-AU"/>
        </w:rPr>
      </w:pPr>
      <w:r w:rsidRPr="00B94E96">
        <w:rPr>
          <w:lang w:val="en-AU"/>
        </w:rPr>
        <w:t xml:space="preserve">The schedules of non-departmental activities which are managed by the </w:t>
      </w:r>
      <w:r>
        <w:rPr>
          <w:lang w:val="en-AU"/>
        </w:rPr>
        <w:t>Ministry</w:t>
      </w:r>
      <w:r w:rsidRPr="00B94E96">
        <w:rPr>
          <w:lang w:val="en-AU"/>
        </w:rPr>
        <w:t xml:space="preserve"> on behalf of the Crown have been prepared, in all material respects, in accordance with the Treasury Instructions.</w:t>
      </w:r>
    </w:p>
    <w:p w14:paraId="7E66BDB9" w14:textId="77777777" w:rsidR="00E03230" w:rsidRPr="00515C49" w:rsidRDefault="00E03230" w:rsidP="00A51791">
      <w:pPr>
        <w:pStyle w:val="ANZHeading-L1"/>
      </w:pPr>
      <w:r>
        <w:t xml:space="preserve">Emphasis of matter — </w:t>
      </w:r>
      <w:r w:rsidRPr="00A40BC8">
        <w:t>Disestablishment of the Ministry</w:t>
      </w:r>
    </w:p>
    <w:p w14:paraId="46896542" w14:textId="77777777" w:rsidR="00E03230" w:rsidRDefault="00E03230" w:rsidP="00A51791">
      <w:pPr>
        <w:pStyle w:val="ANZBodyText"/>
        <w:rPr>
          <w:lang w:val="en-GB"/>
        </w:rPr>
      </w:pPr>
      <w:r w:rsidRPr="00DF1D87">
        <w:rPr>
          <w:lang w:val="en-GB"/>
        </w:rPr>
        <w:t xml:space="preserve">Without modifying our opinion, we draw attention to the disclosure in </w:t>
      </w:r>
      <w:r>
        <w:rPr>
          <w:lang w:val="en-GB"/>
        </w:rPr>
        <w:t>N</w:t>
      </w:r>
      <w:r w:rsidRPr="00DF1D87">
        <w:rPr>
          <w:lang w:val="en-GB"/>
        </w:rPr>
        <w:t xml:space="preserve">ote 1 </w:t>
      </w:r>
      <w:r>
        <w:rPr>
          <w:lang w:val="en-GB"/>
        </w:rPr>
        <w:t>on pages 79</w:t>
      </w:r>
      <w:r w:rsidRPr="00DF1D87">
        <w:rPr>
          <w:lang w:val="en-GB"/>
        </w:rPr>
        <w:t xml:space="preserve"> </w:t>
      </w:r>
      <w:r>
        <w:rPr>
          <w:lang w:val="en-GB"/>
        </w:rPr>
        <w:t>and 80 of the financial statements, which explains the disestablishment of the Ministry and the basis for the preparation of the financial statements</w:t>
      </w:r>
      <w:r w:rsidRPr="00DF1D87">
        <w:rPr>
          <w:lang w:val="en-GB"/>
        </w:rPr>
        <w:t>. The note explains that</w:t>
      </w:r>
      <w:r w:rsidRPr="00786320">
        <w:t xml:space="preserve"> </w:t>
      </w:r>
      <w:r w:rsidRPr="00684032">
        <w:t xml:space="preserve">the Ministry </w:t>
      </w:r>
      <w:r>
        <w:t xml:space="preserve">was disestablished and its </w:t>
      </w:r>
      <w:r w:rsidRPr="00684032">
        <w:t xml:space="preserve">existing functions, assets, liabilities and appropriations transferred and amalgamated into </w:t>
      </w:r>
      <w:r>
        <w:t xml:space="preserve">the </w:t>
      </w:r>
      <w:r w:rsidRPr="00DF1D87">
        <w:rPr>
          <w:lang w:val="en-GB"/>
        </w:rPr>
        <w:t xml:space="preserve">new Ministry for Cities, Environment, Regions </w:t>
      </w:r>
      <w:r>
        <w:rPr>
          <w:lang w:val="en-GB"/>
        </w:rPr>
        <w:t>and</w:t>
      </w:r>
      <w:r w:rsidRPr="00DF1D87">
        <w:rPr>
          <w:lang w:val="en-GB"/>
        </w:rPr>
        <w:t xml:space="preserve"> Transport</w:t>
      </w:r>
      <w:r w:rsidRPr="00684032">
        <w:t xml:space="preserve"> </w:t>
      </w:r>
      <w:r>
        <w:t>(</w:t>
      </w:r>
      <w:r w:rsidRPr="00684032">
        <w:t>MCERT</w:t>
      </w:r>
      <w:r>
        <w:t>)</w:t>
      </w:r>
      <w:r w:rsidRPr="00684032">
        <w:t xml:space="preserve"> on 1 July 2026</w:t>
      </w:r>
      <w:r>
        <w:t>.</w:t>
      </w:r>
    </w:p>
    <w:p w14:paraId="1FFE62FB" w14:textId="77777777" w:rsidR="00E03230" w:rsidRPr="00B94E96" w:rsidRDefault="00E03230" w:rsidP="00A51791">
      <w:pPr>
        <w:pStyle w:val="ANZBodyText"/>
        <w:spacing w:after="0"/>
        <w:rPr>
          <w:lang w:val="en-AU"/>
        </w:rPr>
      </w:pPr>
      <w:r w:rsidRPr="00A40BC8">
        <w:t xml:space="preserve">While the Ministry ceased to exist as a separate legal entity </w:t>
      </w:r>
      <w:r w:rsidRPr="00B51C73">
        <w:t>from 1 July 2026, its operations and service delivery have continued without material change within MCERT. Accordingly</w:t>
      </w:r>
      <w:r w:rsidRPr="00A40BC8">
        <w:t>, the accounting policies have been applied consistently throughout the year, and no changes have been made to the recognition and measurement, or presentation of assets and liabilities in the Ministry’s financial statements for the year ended 30 June 2026, as these are expected to be realised or settled in the normal course of operations within MCERT.</w:t>
      </w:r>
    </w:p>
    <w:p w14:paraId="7D27EE07" w14:textId="77777777" w:rsidR="00E03230" w:rsidRPr="00B94E96" w:rsidRDefault="00E03230" w:rsidP="00E03230">
      <w:pPr>
        <w:pStyle w:val="AOHeading-L2"/>
        <w:rPr>
          <w:lang w:val="en-AU"/>
        </w:rPr>
      </w:pPr>
      <w:r w:rsidRPr="00B94E96">
        <w:rPr>
          <w:lang w:val="en-AU"/>
        </w:rPr>
        <w:t>Basis for our opinion</w:t>
      </w:r>
    </w:p>
    <w:p w14:paraId="7FE3813E" w14:textId="77777777" w:rsidR="00E03230" w:rsidRPr="00B94E96" w:rsidRDefault="00E03230" w:rsidP="00E03230">
      <w:pPr>
        <w:pStyle w:val="AOBodyText"/>
        <w:rPr>
          <w:lang w:val="en-AU"/>
        </w:rPr>
      </w:pPr>
      <w:r w:rsidRPr="00B94E96">
        <w:rPr>
          <w:lang w:val="en-AU"/>
        </w:rPr>
        <w:t xml:space="preserve">We carried out our audit in accordance with </w:t>
      </w:r>
      <w:bookmarkStart w:id="477" w:name="_Hlk138350727"/>
      <w:r w:rsidRPr="00B94E96">
        <w:rPr>
          <w:lang w:val="en-AU"/>
        </w:rPr>
        <w:t>the Auditor-General’s Auditing Standards</w:t>
      </w:r>
      <w:bookmarkEnd w:id="477"/>
      <w:r w:rsidRPr="00B94E96">
        <w:rPr>
          <w:lang w:val="en-AU"/>
        </w:rPr>
        <w:t>, which incorporate the Professional and Ethical Standards, the International Standards on Auditing (</w:t>
      </w:r>
      <w:r>
        <w:rPr>
          <w:lang w:val="en-AU"/>
        </w:rPr>
        <w:t>New Zealand</w:t>
      </w:r>
      <w:r w:rsidRPr="00B94E96">
        <w:rPr>
          <w:lang w:val="en-AU"/>
        </w:rPr>
        <w:t xml:space="preserve">), and </w:t>
      </w:r>
      <w:r>
        <w:rPr>
          <w:lang w:val="en-AU"/>
        </w:rPr>
        <w:t>New Zealand</w:t>
      </w:r>
      <w:r w:rsidRPr="00B94E96">
        <w:rPr>
          <w:lang w:val="en-AU"/>
        </w:rPr>
        <w:t xml:space="preserve"> Auditing Standard 1 (Revised): </w:t>
      </w:r>
      <w:r w:rsidRPr="00B94E96">
        <w:rPr>
          <w:i/>
          <w:iCs/>
          <w:lang w:val="en-AU"/>
        </w:rPr>
        <w:t>The Audit of Service Performance Information</w:t>
      </w:r>
      <w:r w:rsidRPr="00B94E96">
        <w:rPr>
          <w:lang w:val="en-AU"/>
        </w:rPr>
        <w:t xml:space="preserve"> issued by the </w:t>
      </w:r>
      <w:r>
        <w:rPr>
          <w:lang w:val="en-AU"/>
        </w:rPr>
        <w:t>New Zealand</w:t>
      </w:r>
      <w:r w:rsidRPr="00B94E96">
        <w:rPr>
          <w:lang w:val="en-AU"/>
        </w:rPr>
        <w:t xml:space="preserve"> Auditing and Assurance Standards Board. Our responsibilities under those standards are further described in the </w:t>
      </w:r>
      <w:r w:rsidRPr="00B94E96">
        <w:rPr>
          <w:i/>
          <w:iCs/>
          <w:lang w:val="en-AU"/>
        </w:rPr>
        <w:t xml:space="preserve">Responsibilities of the auditor for the information to be audited </w:t>
      </w:r>
      <w:r w:rsidRPr="00B94E96">
        <w:rPr>
          <w:lang w:val="en-AU"/>
        </w:rPr>
        <w:t>section of our report.</w:t>
      </w:r>
    </w:p>
    <w:p w14:paraId="55E22DB8" w14:textId="77777777" w:rsidR="00E03230" w:rsidRPr="00B94E96" w:rsidRDefault="00E03230" w:rsidP="00E03230">
      <w:pPr>
        <w:pStyle w:val="AOBodyText"/>
        <w:rPr>
          <w:lang w:val="en-AU"/>
        </w:rPr>
      </w:pPr>
      <w:r w:rsidRPr="00B94E96">
        <w:rPr>
          <w:lang w:val="en-AU"/>
        </w:rPr>
        <w:t xml:space="preserve">We have fulfilled our responsibilities in accordance with the Auditor-General’s Auditing Standards. </w:t>
      </w:r>
    </w:p>
    <w:p w14:paraId="6100D1F8" w14:textId="77777777" w:rsidR="00E03230" w:rsidRPr="00B94E96" w:rsidRDefault="00E03230" w:rsidP="00E03230">
      <w:pPr>
        <w:pStyle w:val="AOBodyText"/>
        <w:rPr>
          <w:lang w:val="en-AU"/>
        </w:rPr>
      </w:pPr>
      <w:r w:rsidRPr="00B94E96">
        <w:rPr>
          <w:lang w:val="en-AU"/>
        </w:rPr>
        <w:t>We believe that the audit evidence we have obtained is sufficient and appropriate to provide a basis for our audit opinion.</w:t>
      </w:r>
    </w:p>
    <w:p w14:paraId="77840709" w14:textId="77777777" w:rsidR="00E03230" w:rsidRPr="00B94E96" w:rsidRDefault="00E03230" w:rsidP="00E03230">
      <w:pPr>
        <w:pStyle w:val="AOHeading-L2"/>
        <w:rPr>
          <w:lang w:val="en-AU"/>
        </w:rPr>
      </w:pPr>
      <w:r w:rsidRPr="00B94E96">
        <w:rPr>
          <w:lang w:val="en-AU"/>
        </w:rPr>
        <w:lastRenderedPageBreak/>
        <w:t>Responsibilities of the Chief Executive for the information to be audited</w:t>
      </w:r>
    </w:p>
    <w:p w14:paraId="1F0ECC59" w14:textId="77777777" w:rsidR="00E03230" w:rsidRPr="00B94E96" w:rsidRDefault="00E03230" w:rsidP="00E03230">
      <w:pPr>
        <w:pStyle w:val="AOBodyText"/>
        <w:rPr>
          <w:lang w:val="en-AU"/>
        </w:rPr>
      </w:pPr>
      <w:r w:rsidRPr="00B94E96">
        <w:rPr>
          <w:lang w:val="en-AU"/>
        </w:rPr>
        <w:t xml:space="preserve">The Chief Executive is responsible on behalf of the </w:t>
      </w:r>
      <w:r>
        <w:rPr>
          <w:lang w:val="en-GB"/>
        </w:rPr>
        <w:t>Ministry</w:t>
      </w:r>
      <w:r w:rsidRPr="00B94E96">
        <w:rPr>
          <w:lang w:val="en-GB"/>
        </w:rPr>
        <w:t xml:space="preserve"> </w:t>
      </w:r>
      <w:r w:rsidRPr="00B94E96">
        <w:rPr>
          <w:lang w:val="en-AU"/>
        </w:rPr>
        <w:t>for preparing</w:t>
      </w:r>
      <w:r>
        <w:rPr>
          <w:lang w:val="en-AU"/>
        </w:rPr>
        <w:t xml:space="preserve"> </w:t>
      </w:r>
      <w:r w:rsidRPr="00B94E96">
        <w:rPr>
          <w:lang w:val="en-AU"/>
        </w:rPr>
        <w:t>financial statements and end-of-year performance information for appropriations that are fairly</w:t>
      </w:r>
      <w:r w:rsidRPr="00B94E96" w:rsidDel="00D07277">
        <w:rPr>
          <w:lang w:val="en-AU"/>
        </w:rPr>
        <w:t xml:space="preserve"> </w:t>
      </w:r>
      <w:r w:rsidRPr="00B94E96">
        <w:rPr>
          <w:lang w:val="en-AU"/>
        </w:rPr>
        <w:t xml:space="preserve">presented and comply with </w:t>
      </w:r>
      <w:r>
        <w:rPr>
          <w:lang w:val="en-AU"/>
        </w:rPr>
        <w:t>Public Benefit Entity Standards</w:t>
      </w:r>
      <w:r w:rsidRPr="00B94E96">
        <w:rPr>
          <w:lang w:val="en-AU"/>
        </w:rPr>
        <w:t xml:space="preserve"> and legislative requirements. </w:t>
      </w:r>
    </w:p>
    <w:p w14:paraId="15C2315A" w14:textId="77777777" w:rsidR="00E03230" w:rsidRPr="00B94E96" w:rsidRDefault="00E03230" w:rsidP="00E03230">
      <w:pPr>
        <w:pStyle w:val="AOBodyText"/>
        <w:rPr>
          <w:lang w:val="en-AU"/>
        </w:rPr>
      </w:pPr>
      <w:r w:rsidRPr="00B94E96">
        <w:rPr>
          <w:lang w:val="en-AU"/>
        </w:rPr>
        <w:t>This includes:</w:t>
      </w:r>
    </w:p>
    <w:p w14:paraId="55EBF3F4" w14:textId="77777777" w:rsidR="00E03230" w:rsidRPr="00B94E96" w:rsidRDefault="00E03230" w:rsidP="00E03230">
      <w:pPr>
        <w:pStyle w:val="AOBulletLevel1"/>
        <w:ind w:left="360" w:hanging="360"/>
        <w:rPr>
          <w:lang w:val="en-AU"/>
        </w:rPr>
      </w:pPr>
      <w:r w:rsidRPr="00B94E96">
        <w:rPr>
          <w:lang w:val="en-AU"/>
        </w:rPr>
        <w:t>the selection of elements/aspects of service performance, performance measures and/or descriptions, and measurement bases or evaluation methods to enable the presentation of end of year performance information for an appropriation that is appropriate and meaningful; and</w:t>
      </w:r>
    </w:p>
    <w:p w14:paraId="57FAC290" w14:textId="77777777" w:rsidR="00E03230" w:rsidRPr="00B94E96" w:rsidRDefault="00E03230" w:rsidP="00E03230">
      <w:pPr>
        <w:pStyle w:val="AOBulletLevel1"/>
        <w:ind w:left="360" w:hanging="360"/>
        <w:rPr>
          <w:lang w:val="en-AU"/>
        </w:rPr>
      </w:pPr>
      <w:r w:rsidRPr="00B94E96">
        <w:rPr>
          <w:lang w:val="en-AU"/>
        </w:rPr>
        <w:t xml:space="preserve">the preparation of end-of-year performance information for an appropriation in accordance with the </w:t>
      </w:r>
      <w:r>
        <w:rPr>
          <w:lang w:val="en-AU"/>
        </w:rPr>
        <w:t>Ministry</w:t>
      </w:r>
      <w:r w:rsidRPr="00B94E96">
        <w:rPr>
          <w:lang w:val="en-AU"/>
        </w:rPr>
        <w:t xml:space="preserve">’s measurement bases or evaluation methods and </w:t>
      </w:r>
      <w:r>
        <w:rPr>
          <w:lang w:val="en-AU"/>
        </w:rPr>
        <w:t>Public Benefit Entity Standards</w:t>
      </w:r>
      <w:r w:rsidRPr="00B94E96">
        <w:rPr>
          <w:lang w:val="en-AU"/>
        </w:rPr>
        <w:t xml:space="preserve"> and legislative requirements.</w:t>
      </w:r>
    </w:p>
    <w:p w14:paraId="4A06EFDE" w14:textId="77777777" w:rsidR="00E03230" w:rsidRPr="00B94E96" w:rsidRDefault="00E03230" w:rsidP="00E03230">
      <w:pPr>
        <w:pStyle w:val="AOBodyText"/>
        <w:rPr>
          <w:lang w:val="en-AU"/>
        </w:rPr>
      </w:pPr>
      <w:r w:rsidRPr="00B94E96">
        <w:rPr>
          <w:lang w:val="en-AU"/>
        </w:rPr>
        <w:t xml:space="preserve">The Chief Executive is responsible on behalf of the </w:t>
      </w:r>
      <w:r>
        <w:rPr>
          <w:lang w:val="en-GB"/>
        </w:rPr>
        <w:t>Ministry</w:t>
      </w:r>
      <w:r w:rsidRPr="00B94E96">
        <w:rPr>
          <w:lang w:val="en-GB"/>
        </w:rPr>
        <w:t xml:space="preserve"> </w:t>
      </w:r>
      <w:r w:rsidRPr="00B94E96">
        <w:rPr>
          <w:lang w:val="en-AU"/>
        </w:rPr>
        <w:t xml:space="preserve">for preparing Statements of expenses and capital expenditure, </w:t>
      </w:r>
      <w:bookmarkStart w:id="478" w:name="_Hlk194416249"/>
      <w:r w:rsidRPr="00B94E96">
        <w:rPr>
          <w:lang w:val="en-AU"/>
        </w:rPr>
        <w:t>schedules of non-departmental activities</w:t>
      </w:r>
      <w:bookmarkEnd w:id="478"/>
      <w:r w:rsidRPr="00B94E96">
        <w:rPr>
          <w:lang w:val="en-AU"/>
        </w:rPr>
        <w:t xml:space="preserve"> managed by the </w:t>
      </w:r>
      <w:r>
        <w:rPr>
          <w:lang w:val="en-AU"/>
        </w:rPr>
        <w:t>Ministry</w:t>
      </w:r>
      <w:r w:rsidRPr="00B94E96">
        <w:rPr>
          <w:lang w:val="en-AU"/>
        </w:rPr>
        <w:t xml:space="preserve"> on behalf of the Crown in accordance with the Public Finance Act 1989 and Treasury Instructions.</w:t>
      </w:r>
    </w:p>
    <w:p w14:paraId="072D0486" w14:textId="77777777" w:rsidR="00E03230" w:rsidRPr="00B94E96" w:rsidRDefault="00E03230" w:rsidP="00E03230">
      <w:pPr>
        <w:pStyle w:val="AOBodyText"/>
        <w:rPr>
          <w:lang w:val="en-AU"/>
        </w:rPr>
      </w:pPr>
      <w:r w:rsidRPr="00B94E96">
        <w:rPr>
          <w:lang w:val="en-AU"/>
        </w:rPr>
        <w:t xml:space="preserve">The Chief Executive is responsible for such internal control as is determined is necessary to enable the preparation of the information to be audited that is free from material misstatement, whether due to fraud or error. </w:t>
      </w:r>
    </w:p>
    <w:p w14:paraId="6513393B" w14:textId="04FB73D6" w:rsidR="00E03230" w:rsidRPr="00425892" w:rsidRDefault="00E03230" w:rsidP="00A51791">
      <w:pPr>
        <w:pStyle w:val="ANZHeading-L1"/>
        <w:spacing w:before="0"/>
        <w:rPr>
          <w:b w:val="0"/>
          <w:kern w:val="0"/>
          <w:sz w:val="22"/>
          <w:szCs w:val="22"/>
          <w:lang w:val="en-AU" w:eastAsia="en-GB"/>
        </w:rPr>
      </w:pPr>
      <w:r w:rsidRPr="00A40BC8">
        <w:rPr>
          <w:b w:val="0"/>
          <w:kern w:val="0"/>
          <w:sz w:val="22"/>
          <w:szCs w:val="22"/>
          <w:lang w:val="en-AU" w:eastAsia="en-GB"/>
        </w:rPr>
        <w:t>In preparing the information to be audited, the Chief Executive is responsible on behalf of the Ministry for assessing the Ministry’s ability to continue as a going concern</w:t>
      </w:r>
      <w:r w:rsidRPr="00D142FD">
        <w:rPr>
          <w:b w:val="0"/>
          <w:kern w:val="0"/>
          <w:sz w:val="22"/>
          <w:szCs w:val="22"/>
          <w:lang w:val="en-AU" w:eastAsia="en-GB"/>
        </w:rPr>
        <w:t xml:space="preserve">. </w:t>
      </w:r>
      <w:r>
        <w:rPr>
          <w:b w:val="0"/>
          <w:kern w:val="0"/>
          <w:sz w:val="22"/>
          <w:szCs w:val="22"/>
          <w:lang w:val="en-AU" w:eastAsia="en-GB"/>
        </w:rPr>
        <w:t xml:space="preserve">The Chief Executive is also responsible for disclosing, as applicable, matters related to going concern, including that the Ministry ceased to exist as a separate legal entity from 1 July 2026.   </w:t>
      </w:r>
    </w:p>
    <w:p w14:paraId="2D878140" w14:textId="77777777" w:rsidR="00E03230" w:rsidRPr="00B94E96" w:rsidRDefault="00E03230" w:rsidP="00652AD8">
      <w:pPr>
        <w:pStyle w:val="AOBodyText"/>
        <w:spacing w:after="0"/>
        <w:rPr>
          <w:lang w:val="en-AU"/>
        </w:rPr>
      </w:pPr>
      <w:r w:rsidRPr="00B94E96">
        <w:rPr>
          <w:lang w:val="en-GB"/>
        </w:rPr>
        <w:t xml:space="preserve">The </w:t>
      </w:r>
      <w:r w:rsidRPr="00B94E96">
        <w:rPr>
          <w:lang w:val="en-AU"/>
        </w:rPr>
        <w:t>Chief Executive</w:t>
      </w:r>
      <w:r w:rsidRPr="00B94E96">
        <w:rPr>
          <w:lang w:val="en-GB"/>
        </w:rPr>
        <w:t xml:space="preserve">’s </w:t>
      </w:r>
      <w:r w:rsidRPr="00B94E96">
        <w:rPr>
          <w:lang w:val="en-AU"/>
        </w:rPr>
        <w:t>responsibilities arise from the Public Finance Act 1989.</w:t>
      </w:r>
    </w:p>
    <w:p w14:paraId="42762E8B" w14:textId="77777777" w:rsidR="00E03230" w:rsidRPr="00B94E96" w:rsidRDefault="00E03230" w:rsidP="00E03230">
      <w:pPr>
        <w:pStyle w:val="AOHeading-L2"/>
        <w:rPr>
          <w:lang w:val="en-AU"/>
        </w:rPr>
      </w:pPr>
      <w:r w:rsidRPr="00B94E96">
        <w:rPr>
          <w:lang w:val="en-AU"/>
        </w:rPr>
        <w:t>Responsibilities of the auditor for the information to be audited</w:t>
      </w:r>
    </w:p>
    <w:p w14:paraId="4AE47079" w14:textId="77777777" w:rsidR="00E03230" w:rsidRPr="00B94E96" w:rsidRDefault="00E03230" w:rsidP="00E03230">
      <w:pPr>
        <w:pStyle w:val="AOBodyText"/>
        <w:rPr>
          <w:lang w:val="en-AU"/>
        </w:rPr>
      </w:pPr>
      <w:r w:rsidRPr="00B94E96">
        <w:rPr>
          <w:lang w:val="en-AU"/>
        </w:rPr>
        <w:t xml:space="preserve">Our objectives are to obtain reasonable assurance about whether the information we audited, as a whole, is free from material misstatement, whether due to fraud or error, and to issue an auditor’s report that includes our opinion. </w:t>
      </w:r>
    </w:p>
    <w:p w14:paraId="38BBB3F7" w14:textId="77777777" w:rsidR="00E03230" w:rsidRPr="00B94E96" w:rsidRDefault="00E03230" w:rsidP="00E03230">
      <w:pPr>
        <w:pStyle w:val="AOBodyText"/>
        <w:rPr>
          <w:lang w:val="en-AU"/>
        </w:rPr>
      </w:pPr>
      <w:r w:rsidRPr="00B94E96">
        <w:rPr>
          <w:lang w:val="en-AU"/>
        </w:rPr>
        <w:t>Reasonable assurance is a high level of assurance, but is not a guarantee that an audit carried out in accordance with the Auditor-General’s Auditing Standards will always detect a material misstatement when it exists. Misstatements are differences or omissions of amounts or disclosures, and can arise from fraud or error. Misstatements are considered material if, individually or in the aggregate, they could reasonably be expected to influence the decisions of readers, taken on the basis of the information we audited.</w:t>
      </w:r>
    </w:p>
    <w:p w14:paraId="13F3D4B0" w14:textId="77777777" w:rsidR="00E03230" w:rsidRPr="00B94E96" w:rsidRDefault="00E03230" w:rsidP="00E03230">
      <w:pPr>
        <w:pStyle w:val="AOBodyText"/>
        <w:rPr>
          <w:lang w:val="en-AU"/>
        </w:rPr>
      </w:pPr>
      <w:r w:rsidRPr="00B94E96">
        <w:rPr>
          <w:lang w:val="en-AU"/>
        </w:rPr>
        <w:t xml:space="preserve">For the budget information reported in the information we audit, our procedures are limited to checking that the information agrees to the Estimates of Appropriations for the Government of </w:t>
      </w:r>
      <w:r>
        <w:rPr>
          <w:lang w:val="en-AU"/>
        </w:rPr>
        <w:t>New Zealand</w:t>
      </w:r>
      <w:r w:rsidRPr="00B94E96">
        <w:rPr>
          <w:lang w:val="en-AU"/>
        </w:rPr>
        <w:t xml:space="preserve"> for the Year Ending </w:t>
      </w:r>
      <w:r>
        <w:rPr>
          <w:lang w:val="en-AU"/>
        </w:rPr>
        <w:t>30 June 2026</w:t>
      </w:r>
      <w:r w:rsidRPr="00B94E96">
        <w:rPr>
          <w:lang w:val="en-AU"/>
        </w:rPr>
        <w:t xml:space="preserve">. For performance information </w:t>
      </w:r>
      <w:r w:rsidRPr="00B94E96">
        <w:rPr>
          <w:lang w:val="en-AU"/>
        </w:rPr>
        <w:lastRenderedPageBreak/>
        <w:t xml:space="preserve">for appropriations, we agree any changes from the performance measures and standards in the Estimates to the Supplementary Estimates. </w:t>
      </w:r>
    </w:p>
    <w:p w14:paraId="0C332222" w14:textId="77777777" w:rsidR="00E03230" w:rsidRPr="00B94E96" w:rsidRDefault="00E03230" w:rsidP="00E03230">
      <w:pPr>
        <w:pStyle w:val="AOBodyText"/>
        <w:rPr>
          <w:lang w:val="en-AU"/>
        </w:rPr>
      </w:pPr>
      <w:r w:rsidRPr="00B94E96">
        <w:rPr>
          <w:lang w:val="en-AU"/>
        </w:rPr>
        <w:t>As part of an audit in accordance with the Auditor-General’s Auditing Standards, we exercise professional judgement and maintain professional scepticism throughout the audit. Also:</w:t>
      </w:r>
    </w:p>
    <w:p w14:paraId="20B11CB0" w14:textId="77777777" w:rsidR="00E03230" w:rsidRPr="00B94E96" w:rsidRDefault="00E03230" w:rsidP="00E03230">
      <w:pPr>
        <w:pStyle w:val="AOBulletLevel1"/>
        <w:ind w:left="360" w:hanging="360"/>
        <w:rPr>
          <w:lang w:val="en-AU"/>
        </w:rPr>
      </w:pPr>
      <w:r w:rsidRPr="00B94E96">
        <w:rPr>
          <w:lang w:val="en-AU"/>
        </w:rPr>
        <w:t>We identify and assess the risks of material misstatement of the information we audited, whether due to fraud or error, design and perform audit procedures responsive to those risks, and obtain audit evidence that is sufficient and appropriate to provide a basis for our opinion. The risk of not detecting a material misstatement resulting from fraud is higher than for one resulting from error, as fraud may involve collusion, forgery, intentional omissions, misrepresentations, or the override of internal control.</w:t>
      </w:r>
    </w:p>
    <w:p w14:paraId="45A65777" w14:textId="77777777" w:rsidR="00E03230" w:rsidRPr="00B94E96" w:rsidRDefault="00E03230" w:rsidP="00E03230">
      <w:pPr>
        <w:pStyle w:val="AOBulletLevel1"/>
        <w:ind w:left="360" w:hanging="360"/>
        <w:rPr>
          <w:lang w:val="en-AU"/>
        </w:rPr>
      </w:pPr>
      <w:r w:rsidRPr="00B94E96">
        <w:rPr>
          <w:lang w:val="en-AU"/>
        </w:rPr>
        <w:t xml:space="preserve">We obtain an understanding of internal control relevant to the audit in order to design audit procedures that are appropriate in the circumstances, but not for the purpose of expressing an opinion on the effectiveness of the </w:t>
      </w:r>
      <w:r>
        <w:rPr>
          <w:lang w:val="en-AU"/>
        </w:rPr>
        <w:t>Ministry</w:t>
      </w:r>
      <w:r w:rsidRPr="00B94E96">
        <w:rPr>
          <w:lang w:val="en-AU"/>
        </w:rPr>
        <w:t>’s internal control.</w:t>
      </w:r>
    </w:p>
    <w:p w14:paraId="19764DAB" w14:textId="77777777" w:rsidR="00E03230" w:rsidRPr="00B94E96" w:rsidRDefault="00E03230" w:rsidP="00E03230">
      <w:pPr>
        <w:pStyle w:val="AOBulletLevel1"/>
        <w:ind w:left="360" w:hanging="360"/>
        <w:rPr>
          <w:lang w:val="en-AU"/>
        </w:rPr>
      </w:pPr>
      <w:r w:rsidRPr="00B94E96">
        <w:rPr>
          <w:lang w:val="en-AU"/>
        </w:rPr>
        <w:t>We evaluate the appropriateness of accounting policies used and the reasonableness of accounting estimates and related disclosures made by the Chief Executive.</w:t>
      </w:r>
    </w:p>
    <w:p w14:paraId="6A8E6000" w14:textId="77777777" w:rsidR="00E03230" w:rsidRPr="00B94E96" w:rsidRDefault="00E03230" w:rsidP="00E03230">
      <w:pPr>
        <w:pStyle w:val="AOBulletLevel1"/>
        <w:ind w:left="360" w:hanging="360"/>
        <w:rPr>
          <w:lang w:val="en-AU"/>
        </w:rPr>
      </w:pPr>
      <w:r w:rsidRPr="00B94E96">
        <w:t>In respect of the end-of-year performance information for appropriations, we:</w:t>
      </w:r>
    </w:p>
    <w:p w14:paraId="7305D9C1" w14:textId="5B4C6463" w:rsidR="00E03230" w:rsidRPr="00B94E96" w:rsidRDefault="00E03230" w:rsidP="00E03230">
      <w:pPr>
        <w:pStyle w:val="AOBulletLevel2"/>
        <w:rPr>
          <w:lang w:val="en-AU"/>
        </w:rPr>
      </w:pPr>
      <w:r w:rsidRPr="00B94E96">
        <w:t xml:space="preserve">obtain an understanding of the process applied by the </w:t>
      </w:r>
      <w:r>
        <w:t>Ministry</w:t>
      </w:r>
      <w:r w:rsidRPr="00B94E96">
        <w:t xml:space="preserve"> to select its elements/aspects of service performance, performance measures and/or descriptions and the measurement bases or evaluation methods and evaluate whether these present an appropriate and meaningful assessment of the </w:t>
      </w:r>
      <w:r>
        <w:t>Ministry</w:t>
      </w:r>
      <w:r w:rsidRPr="00B94E96">
        <w:t>’s service performance</w:t>
      </w:r>
    </w:p>
    <w:p w14:paraId="427FC7AF" w14:textId="77777777" w:rsidR="00E03230" w:rsidRPr="00B94E96" w:rsidRDefault="00E03230" w:rsidP="00E03230">
      <w:pPr>
        <w:pStyle w:val="AOBulletLevel2"/>
        <w:rPr>
          <w:lang w:val="en-AU"/>
        </w:rPr>
      </w:pPr>
      <w:r w:rsidRPr="00B94E96">
        <w:rPr>
          <w:lang w:val="en-AU"/>
        </w:rPr>
        <w:t xml:space="preserve">evaluate whether the end-of-year performance information for appropriations is prepared in accordance with the </w:t>
      </w:r>
      <w:r>
        <w:rPr>
          <w:lang w:val="en-AU"/>
        </w:rPr>
        <w:t>Ministry</w:t>
      </w:r>
      <w:r w:rsidRPr="00B94E96">
        <w:rPr>
          <w:lang w:val="en-AU"/>
        </w:rPr>
        <w:t xml:space="preserve">’s measurement bases or evaluation methods, in accordance with </w:t>
      </w:r>
      <w:r>
        <w:rPr>
          <w:lang w:val="en-AU"/>
        </w:rPr>
        <w:t>Public Benefit Entity Standards</w:t>
      </w:r>
      <w:r w:rsidRPr="00B94E96">
        <w:rPr>
          <w:lang w:val="en-AU"/>
        </w:rPr>
        <w:t>.</w:t>
      </w:r>
    </w:p>
    <w:p w14:paraId="3B1C671B" w14:textId="77777777" w:rsidR="00E03230" w:rsidRPr="00381A8A" w:rsidRDefault="00E03230" w:rsidP="00A51791">
      <w:pPr>
        <w:pStyle w:val="AOBulletLevel1"/>
        <w:ind w:left="360" w:hanging="360"/>
        <w:rPr>
          <w:lang w:val="en-AU"/>
        </w:rPr>
      </w:pPr>
      <w:r w:rsidRPr="00B94E96">
        <w:rPr>
          <w:lang w:val="en-AU"/>
        </w:rPr>
        <w:t>We evaluate whether the statements of expenses and capital expenditure, schedules of non-departmental activities</w:t>
      </w:r>
      <w:r w:rsidRPr="004427D3">
        <w:rPr>
          <w:lang w:val="en-AU"/>
        </w:rPr>
        <w:t xml:space="preserve">, </w:t>
      </w:r>
      <w:r w:rsidRPr="00B94E96">
        <w:rPr>
          <w:lang w:val="en-AU"/>
        </w:rPr>
        <w:t xml:space="preserve">have been prepared in accordance </w:t>
      </w:r>
      <w:r w:rsidRPr="00381A8A">
        <w:rPr>
          <w:lang w:val="en-AU"/>
        </w:rPr>
        <w:t xml:space="preserve">with legislative requirements. </w:t>
      </w:r>
    </w:p>
    <w:p w14:paraId="4BAC4B2D" w14:textId="77777777" w:rsidR="00E03230" w:rsidRPr="00194C22" w:rsidRDefault="00E03230" w:rsidP="00A51791">
      <w:pPr>
        <w:pStyle w:val="AOBulletLevel1"/>
        <w:ind w:left="360" w:hanging="360"/>
      </w:pPr>
      <w:r>
        <w:t xml:space="preserve">We conclude on the appropriateness of the basis of preparation adopted by the Chief Executive. As described in the </w:t>
      </w:r>
      <w:r w:rsidRPr="00320833">
        <w:rPr>
          <w:i/>
          <w:iCs/>
        </w:rPr>
        <w:t>Emphasis of Matter — Disestablishment of the Ministry</w:t>
      </w:r>
      <w:r>
        <w:rPr>
          <w:i/>
          <w:iCs/>
        </w:rPr>
        <w:t>,</w:t>
      </w:r>
      <w:r>
        <w:t xml:space="preserve"> the Ministry ceased to exist as a separate legal entity from 1 July 2026.</w:t>
      </w:r>
    </w:p>
    <w:p w14:paraId="2BCCEB6B" w14:textId="77777777" w:rsidR="00E03230" w:rsidRPr="00B94E96" w:rsidRDefault="00E03230" w:rsidP="00A51791">
      <w:pPr>
        <w:pStyle w:val="AOBulletLevel1"/>
        <w:ind w:left="360" w:hanging="360"/>
        <w:rPr>
          <w:lang w:val="en-AU"/>
        </w:rPr>
      </w:pPr>
      <w:r w:rsidRPr="00B94E96">
        <w:rPr>
          <w:lang w:val="en-AU"/>
        </w:rPr>
        <w:t>We evaluate the overall presentation, structure and content of the information we audited, including the disclosures, and whether the information we audited</w:t>
      </w:r>
      <w:r w:rsidRPr="00B94E96">
        <w:rPr>
          <w:lang w:val="en-GB"/>
        </w:rPr>
        <w:t xml:space="preserve"> </w:t>
      </w:r>
      <w:r w:rsidRPr="00B94E96">
        <w:rPr>
          <w:lang w:val="en-AU"/>
        </w:rPr>
        <w:t>represents the underlying transactions and events in a manner that achieves fair presentation.</w:t>
      </w:r>
    </w:p>
    <w:p w14:paraId="6F703B30" w14:textId="77777777" w:rsidR="00E03230" w:rsidRPr="00B94E96" w:rsidRDefault="00E03230" w:rsidP="00A51791">
      <w:pPr>
        <w:pStyle w:val="AOBodyText"/>
        <w:rPr>
          <w:lang w:val="en-AU"/>
        </w:rPr>
      </w:pPr>
      <w:r w:rsidRPr="00B94E96">
        <w:rPr>
          <w:lang w:val="en-AU"/>
        </w:rPr>
        <w:t>We communicate with the</w:t>
      </w:r>
      <w:r>
        <w:rPr>
          <w:lang w:val="en-AU"/>
        </w:rPr>
        <w:t xml:space="preserve"> </w:t>
      </w:r>
      <w:r w:rsidRPr="00B94E96">
        <w:rPr>
          <w:lang w:val="en-AU"/>
        </w:rPr>
        <w:t xml:space="preserve">Chief Executive regarding, among other matters, the planned scope and timing of the audit and significant audit findings, including any significant deficiencies in internal control that we identify during our audit. </w:t>
      </w:r>
    </w:p>
    <w:p w14:paraId="3F9BA00A" w14:textId="77777777" w:rsidR="00E03230" w:rsidRPr="00B94E96" w:rsidRDefault="00E03230" w:rsidP="00E03230">
      <w:pPr>
        <w:pStyle w:val="AOBodyText"/>
        <w:rPr>
          <w:lang w:val="en-AU"/>
        </w:rPr>
      </w:pPr>
      <w:r w:rsidRPr="00B94E96">
        <w:rPr>
          <w:lang w:val="en-AU"/>
        </w:rPr>
        <w:t>Our responsibilities arise from the Public Audit Act 2001.</w:t>
      </w:r>
    </w:p>
    <w:p w14:paraId="5057865C" w14:textId="77777777" w:rsidR="00E03230" w:rsidRPr="00B94E96" w:rsidRDefault="00E03230" w:rsidP="00E03230">
      <w:pPr>
        <w:pStyle w:val="AOHeading-L2"/>
        <w:rPr>
          <w:lang w:val="en-GB"/>
        </w:rPr>
      </w:pPr>
      <w:r w:rsidRPr="00B94E96">
        <w:rPr>
          <w:lang w:val="en-GB"/>
        </w:rPr>
        <w:lastRenderedPageBreak/>
        <w:t>Other information</w:t>
      </w:r>
    </w:p>
    <w:p w14:paraId="48CA5262" w14:textId="77777777" w:rsidR="00E03230" w:rsidRPr="00B94E96" w:rsidRDefault="00E03230" w:rsidP="00E03230">
      <w:pPr>
        <w:pStyle w:val="AOBodyText"/>
        <w:rPr>
          <w:lang w:val="en-AU"/>
        </w:rPr>
      </w:pPr>
      <w:r w:rsidRPr="00B94E96">
        <w:rPr>
          <w:lang w:val="en-AU"/>
        </w:rPr>
        <w:t>The Chief Executive is responsible for the other information. The other information comprises all of the information included in the annual report other than the information we audited and our auditor’s report thereon.</w:t>
      </w:r>
    </w:p>
    <w:p w14:paraId="14C76713" w14:textId="77777777" w:rsidR="00E03230" w:rsidRPr="00B94E96" w:rsidRDefault="00E03230" w:rsidP="00E03230">
      <w:pPr>
        <w:pStyle w:val="AOBodyText"/>
        <w:rPr>
          <w:lang w:val="en-AU"/>
        </w:rPr>
      </w:pPr>
      <w:r w:rsidRPr="00B94E96">
        <w:rPr>
          <w:lang w:val="en-AU"/>
        </w:rPr>
        <w:t>Our opinion on the information we audited does not cover the other information and we do not express any form of audit opinion or assurance conclusion thereon.</w:t>
      </w:r>
    </w:p>
    <w:p w14:paraId="40CA05D7" w14:textId="77777777" w:rsidR="00E03230" w:rsidRPr="00B94E96" w:rsidRDefault="00E03230" w:rsidP="00303855">
      <w:pPr>
        <w:pStyle w:val="AOBodyText"/>
        <w:spacing w:after="0"/>
        <w:rPr>
          <w:lang w:val="en-AU"/>
        </w:rPr>
      </w:pPr>
      <w:r w:rsidRPr="00B94E96">
        <w:rPr>
          <w:lang w:val="en-AU"/>
        </w:rPr>
        <w:t>Our responsibility is to read the other information. In doing so, we consider whether the other information is materially inconsistent with the information we audited or our knowledge obtained in the audit, or otherwise appears to be materially misstated. If, based on our work, we conclude that there is a material misstatement of this other information, we are required to report that fact. We have nothing to report in this regard.</w:t>
      </w:r>
    </w:p>
    <w:p w14:paraId="214EDCF4" w14:textId="77777777" w:rsidR="00E03230" w:rsidRPr="00B94E96" w:rsidRDefault="00E03230" w:rsidP="00E03230">
      <w:pPr>
        <w:pStyle w:val="AOHeading-L2"/>
        <w:rPr>
          <w:lang w:val="en-GB"/>
        </w:rPr>
      </w:pPr>
      <w:r w:rsidRPr="00B94E96">
        <w:rPr>
          <w:lang w:val="en-GB"/>
        </w:rPr>
        <w:t>Independence</w:t>
      </w:r>
    </w:p>
    <w:p w14:paraId="697F39EE" w14:textId="77777777" w:rsidR="00E03230" w:rsidRPr="00B94E96" w:rsidRDefault="00E03230" w:rsidP="00E03230">
      <w:pPr>
        <w:pStyle w:val="AOBodyText"/>
        <w:rPr>
          <w:lang w:val="en-GB"/>
        </w:rPr>
      </w:pPr>
      <w:r w:rsidRPr="00B94E96">
        <w:rPr>
          <w:lang w:val="en-GB"/>
        </w:rPr>
        <w:t xml:space="preserve">We are independent of the </w:t>
      </w:r>
      <w:r>
        <w:rPr>
          <w:lang w:val="en-GB"/>
        </w:rPr>
        <w:t>Ministry</w:t>
      </w:r>
      <w:r w:rsidRPr="00B94E96">
        <w:rPr>
          <w:lang w:val="en-GB"/>
        </w:rPr>
        <w:t xml:space="preserve"> in accordance with the Auditor-General’s Auditing Standards, which incorporate the independence requirements of Professional and Ethical Standard 1:</w:t>
      </w:r>
      <w:r w:rsidRPr="00B94E96">
        <w:rPr>
          <w:lang w:val="en-AU"/>
        </w:rPr>
        <w:t xml:space="preserve"> </w:t>
      </w:r>
      <w:r w:rsidRPr="00B94E96">
        <w:rPr>
          <w:i/>
          <w:iCs/>
          <w:lang w:val="en-GB"/>
        </w:rPr>
        <w:t>International Code of Ethics for Assurance Practitioners (including International Independence Standards) (</w:t>
      </w:r>
      <w:r>
        <w:rPr>
          <w:i/>
          <w:iCs/>
          <w:lang w:val="en-GB"/>
        </w:rPr>
        <w:t>New Zealand</w:t>
      </w:r>
      <w:r w:rsidRPr="00B94E96">
        <w:rPr>
          <w:i/>
          <w:iCs/>
          <w:lang w:val="en-GB"/>
        </w:rPr>
        <w:t>)</w:t>
      </w:r>
      <w:r w:rsidRPr="00B94E96">
        <w:rPr>
          <w:lang w:val="en-GB"/>
        </w:rPr>
        <w:t xml:space="preserve"> as applicable for audits of public interest entities issued by the </w:t>
      </w:r>
      <w:r>
        <w:rPr>
          <w:lang w:val="en-GB"/>
        </w:rPr>
        <w:t>New Zealand</w:t>
      </w:r>
      <w:r w:rsidRPr="00B94E96">
        <w:rPr>
          <w:lang w:val="en-GB"/>
        </w:rPr>
        <w:t xml:space="preserve"> Auditing and Assurance Standards Board.  </w:t>
      </w:r>
    </w:p>
    <w:p w14:paraId="7BA1AA1A" w14:textId="5C035F57" w:rsidR="00E03230" w:rsidRDefault="00E03230" w:rsidP="00E03230">
      <w:pPr>
        <w:pStyle w:val="AOBodyText"/>
        <w:rPr>
          <w:lang w:val="en-AU"/>
        </w:rPr>
      </w:pPr>
      <w:r w:rsidRPr="00B94E96">
        <w:rPr>
          <w:lang w:val="en-AU"/>
        </w:rPr>
        <w:t xml:space="preserve">Other than in our capacity as auditor, we have no relationship with, or interests, in the </w:t>
      </w:r>
      <w:r>
        <w:rPr>
          <w:lang w:val="en-AU"/>
        </w:rPr>
        <w:t>Ministry for the Environment</w:t>
      </w:r>
      <w:r w:rsidRPr="00B94E96">
        <w:rPr>
          <w:lang w:val="en-AU"/>
        </w:rPr>
        <w:t>.</w:t>
      </w:r>
    </w:p>
    <w:p w14:paraId="4F4DE7B8" w14:textId="77777777" w:rsidR="00123E97" w:rsidRPr="005A21A3" w:rsidRDefault="00123E97" w:rsidP="00123E97">
      <w:pPr>
        <w:pStyle w:val="AOBodyText"/>
        <w:spacing w:after="0"/>
        <w:rPr>
          <w:lang w:val="en-GB"/>
        </w:rPr>
      </w:pPr>
    </w:p>
    <w:p w14:paraId="0407A6C1" w14:textId="6E971461" w:rsidR="00E03230" w:rsidRDefault="005A21A3" w:rsidP="00E03230">
      <w:pPr>
        <w:pStyle w:val="AOBodyText"/>
        <w:rPr>
          <w:lang w:val="en-AU"/>
        </w:rPr>
      </w:pPr>
      <w:r>
        <w:rPr>
          <w:noProof/>
          <w:lang w:val="en-AU"/>
        </w:rPr>
        <w:drawing>
          <wp:inline distT="0" distB="0" distL="0" distR="0" wp14:anchorId="0E52994B" wp14:editId="0CD92F3E">
            <wp:extent cx="1847027" cy="537704"/>
            <wp:effectExtent l="0" t="0" r="1270" b="0"/>
            <wp:docPr id="1758435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435073" name="Picture 1758435073"/>
                    <pic:cNvPicPr/>
                  </pic:nvPicPr>
                  <pic:blipFill>
                    <a:blip r:embed="rId105"/>
                    <a:stretch>
                      <a:fillRect/>
                    </a:stretch>
                  </pic:blipFill>
                  <pic:spPr>
                    <a:xfrm>
                      <a:off x="0" y="0"/>
                      <a:ext cx="1847027" cy="537704"/>
                    </a:xfrm>
                    <a:prstGeom prst="rect">
                      <a:avLst/>
                    </a:prstGeom>
                  </pic:spPr>
                </pic:pic>
              </a:graphicData>
            </a:graphic>
          </wp:inline>
        </w:drawing>
      </w:r>
    </w:p>
    <w:p w14:paraId="3494DE9B" w14:textId="77777777" w:rsidR="00E03230" w:rsidRPr="00B94E96" w:rsidRDefault="00E03230" w:rsidP="00E03230">
      <w:pPr>
        <w:pStyle w:val="AOBodyText"/>
        <w:spacing w:after="0"/>
        <w:rPr>
          <w:lang w:val="en-AU"/>
        </w:rPr>
      </w:pPr>
      <w:r>
        <w:rPr>
          <w:lang w:val="en-AU"/>
        </w:rPr>
        <w:t xml:space="preserve">Anthony Heffernan </w:t>
      </w:r>
    </w:p>
    <w:p w14:paraId="4E2CA564" w14:textId="77777777" w:rsidR="00E03230" w:rsidRPr="00B94E96" w:rsidRDefault="00E03230" w:rsidP="00E03230">
      <w:pPr>
        <w:pStyle w:val="AOBodyText"/>
        <w:spacing w:after="0"/>
        <w:rPr>
          <w:lang w:val="en-AU"/>
        </w:rPr>
      </w:pPr>
      <w:r>
        <w:rPr>
          <w:lang w:val="en-AU"/>
        </w:rPr>
        <w:t>The Audit Office</w:t>
      </w:r>
    </w:p>
    <w:p w14:paraId="21D1D94D" w14:textId="77777777" w:rsidR="00E03230" w:rsidRPr="00B94E96" w:rsidRDefault="00E03230" w:rsidP="00E03230">
      <w:pPr>
        <w:pStyle w:val="AOBodyText"/>
        <w:spacing w:after="0"/>
        <w:rPr>
          <w:lang w:val="en-AU"/>
        </w:rPr>
      </w:pPr>
      <w:r w:rsidRPr="00B94E96">
        <w:rPr>
          <w:lang w:val="en-AU"/>
        </w:rPr>
        <w:t>On behalf of the Auditor-General</w:t>
      </w:r>
    </w:p>
    <w:p w14:paraId="0A8A2F00" w14:textId="77777777" w:rsidR="00E03230" w:rsidRPr="00B94E96" w:rsidRDefault="00E03230" w:rsidP="00E03230">
      <w:pPr>
        <w:pStyle w:val="AOBodyText"/>
        <w:spacing w:after="0"/>
        <w:rPr>
          <w:lang w:val="en-AU"/>
        </w:rPr>
      </w:pPr>
      <w:r>
        <w:rPr>
          <w:lang w:val="en-AU"/>
        </w:rPr>
        <w:t>Wellington</w:t>
      </w:r>
      <w:r w:rsidRPr="00B94E96">
        <w:rPr>
          <w:lang w:val="en-AU"/>
        </w:rPr>
        <w:t xml:space="preserve">, </w:t>
      </w:r>
      <w:r>
        <w:rPr>
          <w:lang w:val="en-AU"/>
        </w:rPr>
        <w:t>New Zealand</w:t>
      </w:r>
    </w:p>
    <w:p w14:paraId="19EE35FF" w14:textId="5CFAF7D2" w:rsidR="005D146F" w:rsidRPr="0045120F" w:rsidRDefault="00E03230" w:rsidP="0045120F">
      <w:pPr>
        <w:pStyle w:val="AOBodyText"/>
        <w:rPr>
          <w:lang w:val="en-AU"/>
        </w:rPr>
      </w:pPr>
      <w:r>
        <w:rPr>
          <w:lang w:val="en-AU"/>
        </w:rPr>
        <w:t>30 September 2026</w:t>
      </w:r>
    </w:p>
    <w:p w14:paraId="0E529264" w14:textId="77777777" w:rsidR="0039558B" w:rsidRPr="005C5E32" w:rsidRDefault="0039558B" w:rsidP="00B654DE">
      <w:pPr>
        <w:pStyle w:val="BodyText"/>
      </w:pPr>
    </w:p>
    <w:p w14:paraId="6BC8C82C" w14:textId="77777777" w:rsidR="00DC55A6" w:rsidRDefault="00DC55A6">
      <w:pPr>
        <w:spacing w:before="0" w:after="200" w:line="276" w:lineRule="auto"/>
        <w:jc w:val="left"/>
        <w:sectPr w:rsidR="00DC55A6" w:rsidSect="001B56AC">
          <w:footerReference w:type="even" r:id="rId106"/>
          <w:type w:val="continuous"/>
          <w:pgSz w:w="11907" w:h="16840" w:code="9"/>
          <w:pgMar w:top="1134" w:right="1474" w:bottom="1134" w:left="1418" w:header="567" w:footer="567" w:gutter="510"/>
          <w:cols w:space="720"/>
          <w:docGrid w:linePitch="299"/>
        </w:sectPr>
      </w:pPr>
    </w:p>
    <w:p w14:paraId="5324A926" w14:textId="605672AD" w:rsidR="00366BED" w:rsidRPr="00977BEE" w:rsidRDefault="00366BED" w:rsidP="00D11F96">
      <w:pPr>
        <w:pStyle w:val="Heading1"/>
        <w:rPr>
          <w:rStyle w:val="Heading1Char"/>
          <w:b/>
          <w:i/>
          <w:iCs/>
        </w:rPr>
      </w:pPr>
      <w:bookmarkStart w:id="479" w:name="_Toc207017433"/>
      <w:bookmarkStart w:id="480" w:name="_Toc210136392"/>
      <w:bookmarkStart w:id="481" w:name="_Toc240445603"/>
      <w:bookmarkStart w:id="482" w:name="_Toc177626501"/>
      <w:r w:rsidRPr="00D11F96">
        <w:rPr>
          <w:rStyle w:val="Heading1Char"/>
          <w:b/>
        </w:rPr>
        <w:lastRenderedPageBreak/>
        <w:t>5.</w:t>
      </w:r>
      <w:r w:rsidRPr="00D11F96">
        <w:rPr>
          <w:rStyle w:val="Heading1Char"/>
          <w:b/>
        </w:rPr>
        <w:tab/>
        <w:t>Non-departmental performance reports</w:t>
      </w:r>
      <w:r w:rsidRPr="00D11F96">
        <w:rPr>
          <w:rStyle w:val="Heading1Char"/>
          <w:b/>
        </w:rPr>
        <w:br/>
      </w:r>
      <w:r w:rsidRPr="00977BEE">
        <w:rPr>
          <w:rStyle w:val="Heading1Char"/>
          <w:b/>
          <w:i/>
          <w:iCs/>
        </w:rPr>
        <w:t>Ngā pūrongo whakatutuki kore</w:t>
      </w:r>
      <w:r w:rsidR="008C6C6C">
        <w:rPr>
          <w:rStyle w:val="Heading1Char"/>
          <w:b/>
          <w:i/>
        </w:rPr>
        <w:t>-</w:t>
      </w:r>
      <w:r w:rsidRPr="00977BEE">
        <w:rPr>
          <w:rStyle w:val="Heading1Char"/>
          <w:b/>
          <w:i/>
          <w:iCs/>
        </w:rPr>
        <w:t>tari</w:t>
      </w:r>
      <w:bookmarkEnd w:id="479"/>
      <w:bookmarkEnd w:id="480"/>
      <w:bookmarkEnd w:id="481"/>
    </w:p>
    <w:p w14:paraId="4079EBEC" w14:textId="77777777" w:rsidR="00366BED" w:rsidRPr="005C5E32" w:rsidRDefault="00366BED" w:rsidP="00771BA2">
      <w:pPr>
        <w:pStyle w:val="Heading2"/>
        <w:spacing w:before="240"/>
        <w:rPr>
          <w:color w:val="1B556B" w:themeColor="text2"/>
          <w:sz w:val="32"/>
        </w:rPr>
      </w:pPr>
      <w:r w:rsidRPr="005C5E32">
        <w:rPr>
          <w:color w:val="1B556B" w:themeColor="text2"/>
          <w:sz w:val="32"/>
        </w:rPr>
        <w:t>How we performed against non-departmental appropriations in 2025/26</w:t>
      </w:r>
    </w:p>
    <w:bookmarkEnd w:id="482"/>
    <w:p w14:paraId="205CA3C3" w14:textId="77777777" w:rsidR="00366BED" w:rsidRPr="005C5E32" w:rsidRDefault="00366BED" w:rsidP="00924764">
      <w:pPr>
        <w:pStyle w:val="BodyText"/>
      </w:pPr>
    </w:p>
    <w:p w14:paraId="6C0E885A" w14:textId="77777777" w:rsidR="000F1DDF" w:rsidRDefault="000F1DDF" w:rsidP="003B4A7F">
      <w:pPr>
        <w:pStyle w:val="BodyText"/>
        <w:sectPr w:rsidR="000F1DDF" w:rsidSect="00DC55A6">
          <w:headerReference w:type="even" r:id="rId107"/>
          <w:headerReference w:type="default" r:id="rId108"/>
          <w:pgSz w:w="11907" w:h="16840" w:code="9"/>
          <w:pgMar w:top="1134" w:right="1474" w:bottom="1134" w:left="1418" w:header="567" w:footer="567" w:gutter="510"/>
          <w:cols w:space="720"/>
          <w:docGrid w:linePitch="299"/>
        </w:sectPr>
      </w:pPr>
    </w:p>
    <w:p w14:paraId="113F2829" w14:textId="48A0E544" w:rsidR="00366BED" w:rsidRPr="005C5E32" w:rsidRDefault="00366BED" w:rsidP="00802753">
      <w:pPr>
        <w:pStyle w:val="Heading2"/>
      </w:pPr>
      <w:bookmarkStart w:id="483" w:name="_Toc177626502"/>
      <w:bookmarkStart w:id="484" w:name="_Toc207017434"/>
      <w:bookmarkStart w:id="485" w:name="_Toc210136393"/>
      <w:bookmarkStart w:id="486" w:name="_Toc240445604"/>
      <w:r w:rsidRPr="005C5E32">
        <w:lastRenderedPageBreak/>
        <w:t>Minister of Climate Change</w:t>
      </w:r>
      <w:r w:rsidR="000369F8" w:rsidRPr="005C5E32">
        <w:t>’</w:t>
      </w:r>
      <w:r w:rsidRPr="005C5E32">
        <w:t>s Report on non</w:t>
      </w:r>
      <w:r w:rsidRPr="005C5E32">
        <w:noBreakHyphen/>
        <w:t>departmental appropriations 2025/</w:t>
      </w:r>
      <w:bookmarkEnd w:id="483"/>
      <w:r w:rsidRPr="005C5E32">
        <w:t>2</w:t>
      </w:r>
      <w:bookmarkEnd w:id="484"/>
      <w:bookmarkEnd w:id="485"/>
      <w:r w:rsidRPr="005C5E32">
        <w:t>6</w:t>
      </w:r>
      <w:bookmarkEnd w:id="486"/>
    </w:p>
    <w:p w14:paraId="3EF472A7" w14:textId="7A04D4E5" w:rsidR="00366BED" w:rsidRPr="005C5E32" w:rsidRDefault="00366BED" w:rsidP="00CB2932">
      <w:pPr>
        <w:pStyle w:val="BodyText"/>
        <w:spacing w:before="100" w:after="100"/>
      </w:pPr>
      <w:r w:rsidRPr="005C5E32">
        <w:t>This report outlines performance against non-departmental appropriations administered under the Minister of Climate Change. These appropriations represent Crown funding managed by the Ministry for the Environment (the Ministry) and provided to third-party organisations to deliver outputs and services aligned with the Climate Change Portfolio.</w:t>
      </w:r>
    </w:p>
    <w:p w14:paraId="42DF4EA1" w14:textId="0542F1D9" w:rsidR="00366BED" w:rsidRPr="005C5E32" w:rsidRDefault="00366BED" w:rsidP="00CB2932">
      <w:pPr>
        <w:pStyle w:val="BodyText"/>
        <w:spacing w:before="100" w:after="100"/>
        <w:rPr>
          <w:b/>
          <w:bCs/>
        </w:rPr>
      </w:pPr>
      <w:r w:rsidRPr="005C5E32">
        <w:t>Performance in this report supports the Ministry</w:t>
      </w:r>
      <w:r w:rsidR="000369F8" w:rsidRPr="005C5E32">
        <w:t>’</w:t>
      </w:r>
      <w:r w:rsidRPr="005C5E32">
        <w:t>s performance against strategic priority 5: Ensure our investments, partnerships and relationships enable others to achieve impactful solutions.</w:t>
      </w:r>
    </w:p>
    <w:p w14:paraId="0BD847CA" w14:textId="77777777" w:rsidR="00366BED" w:rsidRPr="005C5E32" w:rsidRDefault="00366BED" w:rsidP="00CB2932">
      <w:pPr>
        <w:pStyle w:val="Heading3"/>
        <w:spacing w:before="240"/>
      </w:pPr>
      <w:r w:rsidRPr="005C5E32">
        <w:t>Allocation of New Zealand Units</w:t>
      </w:r>
    </w:p>
    <w:p w14:paraId="0346C6EF" w14:textId="77777777" w:rsidR="00366BED" w:rsidRPr="005C5E32" w:rsidRDefault="00366BED" w:rsidP="00547728">
      <w:pPr>
        <w:pStyle w:val="Heading4"/>
        <w:spacing w:before="180" w:after="180"/>
      </w:pPr>
      <w:bookmarkStart w:id="487" w:name="_Toc142667731"/>
      <w:bookmarkStart w:id="488" w:name="_Toc173932246"/>
      <w:r w:rsidRPr="005C5E32">
        <w:t>Non-departmental other expense</w:t>
      </w:r>
      <w:bookmarkEnd w:id="487"/>
      <w:bookmarkEnd w:id="488"/>
      <w:r w:rsidRPr="005C5E32">
        <w:t>s</w:t>
      </w:r>
    </w:p>
    <w:tbl>
      <w:tblPr>
        <w:tblStyle w:val="TableGrid"/>
        <w:tblW w:w="5000" w:type="pct"/>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ook w:val="04A0" w:firstRow="1" w:lastRow="0" w:firstColumn="1" w:lastColumn="0" w:noHBand="0" w:noVBand="1"/>
      </w:tblPr>
      <w:tblGrid>
        <w:gridCol w:w="4395"/>
        <w:gridCol w:w="1276"/>
        <w:gridCol w:w="1419"/>
        <w:gridCol w:w="1415"/>
      </w:tblGrid>
      <w:tr w:rsidR="00366BED" w:rsidRPr="005C5E32" w14:paraId="300E8B5A" w14:textId="77777777" w:rsidTr="00547728">
        <w:trPr>
          <w:trHeight w:val="360"/>
          <w:tblHeader/>
        </w:trPr>
        <w:tc>
          <w:tcPr>
            <w:tcW w:w="2584" w:type="pct"/>
            <w:shd w:val="clear" w:color="auto" w:fill="1B556B" w:themeFill="text2"/>
            <w:vAlign w:val="bottom"/>
          </w:tcPr>
          <w:p w14:paraId="4D4A7B4A" w14:textId="77777777" w:rsidR="00366BED" w:rsidRPr="005C5E32" w:rsidRDefault="00366BED" w:rsidP="00CB2932">
            <w:pPr>
              <w:pStyle w:val="TableTextbold"/>
              <w:spacing w:before="40" w:after="40"/>
              <w:rPr>
                <w:color w:val="FFFFFF" w:themeColor="background1"/>
              </w:rPr>
            </w:pPr>
            <w:r w:rsidRPr="005C5E32">
              <w:rPr>
                <w:color w:val="FFFFFF" w:themeColor="background1"/>
              </w:rPr>
              <w:t>Performance measure</w:t>
            </w:r>
          </w:p>
        </w:tc>
        <w:tc>
          <w:tcPr>
            <w:tcW w:w="750" w:type="pct"/>
            <w:shd w:val="clear" w:color="auto" w:fill="1B556B" w:themeFill="text2"/>
            <w:vAlign w:val="bottom"/>
          </w:tcPr>
          <w:p w14:paraId="3D68B621" w14:textId="77777777" w:rsidR="00366BED" w:rsidRPr="005C5E32" w:rsidRDefault="00366BED" w:rsidP="00CB2932">
            <w:pPr>
              <w:pStyle w:val="TableTextbold"/>
              <w:spacing w:before="40" w:after="40"/>
              <w:rPr>
                <w:color w:val="FFFFFF" w:themeColor="background1"/>
              </w:rPr>
            </w:pPr>
            <w:r w:rsidRPr="005C5E32">
              <w:rPr>
                <w:color w:val="FFFFFF" w:themeColor="background1"/>
              </w:rPr>
              <w:t>2024/25 performance</w:t>
            </w:r>
          </w:p>
        </w:tc>
        <w:tc>
          <w:tcPr>
            <w:tcW w:w="834" w:type="pct"/>
            <w:shd w:val="clear" w:color="auto" w:fill="1B556B" w:themeFill="text2"/>
            <w:vAlign w:val="bottom"/>
          </w:tcPr>
          <w:p w14:paraId="751FDE36" w14:textId="44A016C8" w:rsidR="00366BED" w:rsidRPr="005C5E32" w:rsidRDefault="00366BED" w:rsidP="00CB2932">
            <w:pPr>
              <w:pStyle w:val="TableTextbold"/>
              <w:spacing w:before="40" w:after="40"/>
              <w:rPr>
                <w:color w:val="FFFFFF" w:themeColor="background1"/>
              </w:rPr>
            </w:pPr>
            <w:r w:rsidRPr="005C5E32">
              <w:rPr>
                <w:color w:val="FFFFFF" w:themeColor="background1"/>
              </w:rPr>
              <w:t>2025/26</w:t>
            </w:r>
            <w:r w:rsidR="00B079F3" w:rsidRPr="005C5E32">
              <w:rPr>
                <w:color w:val="FFFFFF" w:themeColor="background1"/>
              </w:rPr>
              <w:t xml:space="preserve"> </w:t>
            </w:r>
            <w:r w:rsidRPr="005C5E32">
              <w:rPr>
                <w:color w:val="FFFFFF" w:themeColor="background1"/>
              </w:rPr>
              <w:br/>
              <w:t>target</w:t>
            </w:r>
          </w:p>
        </w:tc>
        <w:tc>
          <w:tcPr>
            <w:tcW w:w="832" w:type="pct"/>
            <w:shd w:val="clear" w:color="auto" w:fill="1B556B" w:themeFill="text2"/>
            <w:vAlign w:val="bottom"/>
          </w:tcPr>
          <w:p w14:paraId="629CAFBB" w14:textId="77777777" w:rsidR="00366BED" w:rsidRPr="005C5E32" w:rsidRDefault="00366BED" w:rsidP="00CB2932">
            <w:pPr>
              <w:pStyle w:val="TableTextbold"/>
              <w:spacing w:before="40" w:after="40"/>
              <w:rPr>
                <w:color w:val="FFFFFF" w:themeColor="background1"/>
              </w:rPr>
            </w:pPr>
            <w:r w:rsidRPr="005C5E32">
              <w:rPr>
                <w:color w:val="FFFFFF" w:themeColor="background1"/>
              </w:rPr>
              <w:t>2025/26 performance</w:t>
            </w:r>
          </w:p>
        </w:tc>
      </w:tr>
      <w:tr w:rsidR="00366BED" w:rsidRPr="005C5E32" w14:paraId="029F57A0" w14:textId="77777777" w:rsidTr="00547728">
        <w:trPr>
          <w:trHeight w:val="360"/>
        </w:trPr>
        <w:tc>
          <w:tcPr>
            <w:tcW w:w="2584" w:type="pct"/>
            <w:tcBorders>
              <w:bottom w:val="single" w:sz="4" w:space="0" w:color="1B556B" w:themeColor="text2"/>
            </w:tcBorders>
          </w:tcPr>
          <w:p w14:paraId="3904BD2F" w14:textId="4FC9A620" w:rsidR="00366BED" w:rsidRPr="005C5E32" w:rsidRDefault="00366BED" w:rsidP="00CB2932">
            <w:pPr>
              <w:pStyle w:val="TableText"/>
              <w:spacing w:before="40" w:after="40"/>
            </w:pPr>
            <w:r w:rsidRPr="005C5E32">
              <w:t>Percentage of applicants deemed to be eligible to receive units to compensate for increased costs resulting from the Emissions Trading Scheme,</w:t>
            </w:r>
            <w:r w:rsidR="007D608C" w:rsidRPr="005C5E32">
              <w:t xml:space="preserve"> </w:t>
            </w:r>
            <w:r w:rsidRPr="005C5E32">
              <w:t>receive an allocation of units within either set timeframe</w:t>
            </w:r>
            <w:r w:rsidRPr="005C5E32" w:rsidDel="006169C2">
              <w:t>s</w:t>
            </w:r>
            <w:r w:rsidRPr="005C5E32">
              <w:t xml:space="preserve"> (20 working days) or extensions agreed with participants</w:t>
            </w:r>
          </w:p>
        </w:tc>
        <w:tc>
          <w:tcPr>
            <w:tcW w:w="750" w:type="pct"/>
            <w:tcBorders>
              <w:bottom w:val="single" w:sz="4" w:space="0" w:color="1B556B" w:themeColor="text2"/>
            </w:tcBorders>
          </w:tcPr>
          <w:p w14:paraId="05DA847A" w14:textId="77777777" w:rsidR="00366BED" w:rsidRPr="005C5E32" w:rsidRDefault="00366BED" w:rsidP="00CB2932">
            <w:pPr>
              <w:pStyle w:val="TableText"/>
              <w:spacing w:before="40" w:after="40"/>
            </w:pPr>
            <w:r w:rsidRPr="005C5E32">
              <w:t>100%</w:t>
            </w:r>
          </w:p>
        </w:tc>
        <w:tc>
          <w:tcPr>
            <w:tcW w:w="834" w:type="pct"/>
            <w:tcBorders>
              <w:bottom w:val="single" w:sz="4" w:space="0" w:color="1B556B" w:themeColor="text2"/>
            </w:tcBorders>
          </w:tcPr>
          <w:p w14:paraId="2B18EBFA" w14:textId="77777777" w:rsidR="00366BED" w:rsidRPr="005C5E32" w:rsidRDefault="00366BED" w:rsidP="00CB2932">
            <w:pPr>
              <w:pStyle w:val="TableText"/>
              <w:spacing w:before="40" w:after="40"/>
            </w:pPr>
            <w:r w:rsidRPr="005C5E32">
              <w:t>100%</w:t>
            </w:r>
          </w:p>
        </w:tc>
        <w:tc>
          <w:tcPr>
            <w:tcW w:w="832" w:type="pct"/>
            <w:tcBorders>
              <w:bottom w:val="single" w:sz="4" w:space="0" w:color="1B556B" w:themeColor="text2"/>
            </w:tcBorders>
          </w:tcPr>
          <w:p w14:paraId="76219D60" w14:textId="77777777" w:rsidR="00366BED" w:rsidRPr="005C5E32" w:rsidRDefault="00366BED" w:rsidP="00CB2932">
            <w:pPr>
              <w:pStyle w:val="TableText"/>
              <w:spacing w:before="40" w:after="40"/>
            </w:pPr>
            <w:r w:rsidRPr="005C5E32">
              <w:t>100%</w:t>
            </w:r>
          </w:p>
        </w:tc>
      </w:tr>
      <w:tr w:rsidR="00366BED" w:rsidRPr="005C5E32" w14:paraId="05A6002C" w14:textId="77777777" w:rsidTr="003D0CC1">
        <w:trPr>
          <w:trHeight w:val="360"/>
        </w:trPr>
        <w:tc>
          <w:tcPr>
            <w:tcW w:w="5000" w:type="pct"/>
            <w:gridSpan w:val="4"/>
            <w:tcBorders>
              <w:bottom w:val="single" w:sz="12" w:space="0" w:color="1B556B" w:themeColor="text2"/>
            </w:tcBorders>
            <w:shd w:val="clear" w:color="auto" w:fill="D2DDE1" w:themeFill="background2"/>
          </w:tcPr>
          <w:p w14:paraId="35F15065" w14:textId="160CAA37" w:rsidR="00366BED" w:rsidRPr="005C5E32" w:rsidRDefault="00366BED" w:rsidP="00CB2932">
            <w:pPr>
              <w:pStyle w:val="TableText"/>
              <w:spacing w:before="40" w:after="40"/>
            </w:pPr>
            <w:r w:rsidRPr="005C5E32">
              <w:rPr>
                <w:b/>
                <w:bCs/>
              </w:rPr>
              <w:t>2025/26 commentary:</w:t>
            </w:r>
            <w:r w:rsidRPr="005C5E32">
              <w:t xml:space="preserve"> This measure tracks the </w:t>
            </w:r>
            <w:r w:rsidR="00313B42" w:rsidRPr="005C5E32">
              <w:t xml:space="preserve">transfer of New Zealand Units (NZUs) from the </w:t>
            </w:r>
            <w:r w:rsidRPr="005C5E32">
              <w:t>Environmental Protection Authority</w:t>
            </w:r>
            <w:r w:rsidR="00313B42" w:rsidRPr="005C5E32">
              <w:t xml:space="preserve"> (EPA) </w:t>
            </w:r>
            <w:r w:rsidRPr="005C5E32">
              <w:t xml:space="preserve">to </w:t>
            </w:r>
            <w:r w:rsidR="007070A5" w:rsidRPr="005C5E32">
              <w:t>New Zealand Emissions Trading Scheme (</w:t>
            </w:r>
            <w:r w:rsidRPr="005C5E32">
              <w:t>NZ</w:t>
            </w:r>
            <w:r w:rsidR="00D64965" w:rsidRPr="005C5E32">
              <w:t xml:space="preserve"> </w:t>
            </w:r>
            <w:r w:rsidRPr="005C5E32">
              <w:t>ETS</w:t>
            </w:r>
            <w:r w:rsidR="007070A5" w:rsidRPr="005C5E32">
              <w:t>)</w:t>
            </w:r>
            <w:r w:rsidRPr="005C5E32">
              <w:t xml:space="preserve"> participants that are entitled to receive an </w:t>
            </w:r>
            <w:r w:rsidR="000369F8" w:rsidRPr="005C5E32">
              <w:t>‘</w:t>
            </w:r>
            <w:r w:rsidRPr="005C5E32">
              <w:t>industrial allocation</w:t>
            </w:r>
            <w:r w:rsidR="000369F8" w:rsidRPr="005C5E32">
              <w:t>’</w:t>
            </w:r>
            <w:r w:rsidRPr="005C5E32">
              <w:t xml:space="preserve"> (an allocation of NZUs to industry for activities that are both emissions intensive and trade exposed). </w:t>
            </w:r>
            <w:r w:rsidR="007070A5" w:rsidRPr="005C5E32">
              <w:t>W</w:t>
            </w:r>
            <w:r w:rsidRPr="005C5E32">
              <w:t xml:space="preserve">ithin the 1 July 2025 to 30 June 2026 reporting period, all </w:t>
            </w:r>
            <w:r w:rsidR="007070A5" w:rsidRPr="005C5E32">
              <w:t xml:space="preserve">84 applicants making valid applications received an allocation of </w:t>
            </w:r>
            <w:r w:rsidRPr="005C5E32">
              <w:t>units within 20 working days.</w:t>
            </w:r>
          </w:p>
        </w:tc>
      </w:tr>
      <w:tr w:rsidR="00366BED" w:rsidRPr="005C5E32" w14:paraId="5EB295B4" w14:textId="77777777" w:rsidTr="00547728">
        <w:trPr>
          <w:trHeight w:val="360"/>
        </w:trPr>
        <w:tc>
          <w:tcPr>
            <w:tcW w:w="2584" w:type="pct"/>
            <w:tcBorders>
              <w:top w:val="single" w:sz="12" w:space="0" w:color="1B556B" w:themeColor="text2"/>
              <w:bottom w:val="single" w:sz="4" w:space="0" w:color="1B556B" w:themeColor="text2"/>
            </w:tcBorders>
          </w:tcPr>
          <w:p w14:paraId="4C615B6B" w14:textId="4DA2FAEA" w:rsidR="00366BED" w:rsidRPr="005C5E32" w:rsidRDefault="00366BED" w:rsidP="00CB2932">
            <w:pPr>
              <w:pStyle w:val="TableText"/>
              <w:spacing w:before="40" w:after="40"/>
            </w:pPr>
            <w:r w:rsidRPr="005C5E32">
              <w:t>Percentage of emission returns lodged by forestry participants with a net entitlement for units</w:t>
            </w:r>
            <w:r w:rsidRPr="005C5E32" w:rsidDel="00DD3185">
              <w:t>,</w:t>
            </w:r>
            <w:r w:rsidRPr="005C5E32">
              <w:t xml:space="preserve"> </w:t>
            </w:r>
            <w:r w:rsidRPr="005C5E32" w:rsidDel="00DD3185">
              <w:t xml:space="preserve">which </w:t>
            </w:r>
            <w:r w:rsidRPr="005C5E32">
              <w:t>resulted in a direction sent to the Register to transfer units to the participant within either legislated timeframe</w:t>
            </w:r>
            <w:r w:rsidRPr="005C5E32" w:rsidDel="006169C2">
              <w:t>s</w:t>
            </w:r>
            <w:r w:rsidRPr="005C5E32">
              <w:t xml:space="preserve"> or extensions</w:t>
            </w:r>
            <w:r w:rsidRPr="005C5E32" w:rsidDel="00E268B6">
              <w:t xml:space="preserve"> as approved</w:t>
            </w:r>
          </w:p>
        </w:tc>
        <w:tc>
          <w:tcPr>
            <w:tcW w:w="750" w:type="pct"/>
            <w:tcBorders>
              <w:top w:val="single" w:sz="12" w:space="0" w:color="1B556B" w:themeColor="text2"/>
              <w:bottom w:val="single" w:sz="4" w:space="0" w:color="1B556B" w:themeColor="text2"/>
            </w:tcBorders>
          </w:tcPr>
          <w:p w14:paraId="4DFD03FE" w14:textId="77777777" w:rsidR="00366BED" w:rsidRPr="005C5E32" w:rsidRDefault="00366BED" w:rsidP="00CB2932">
            <w:pPr>
              <w:pStyle w:val="TableText"/>
              <w:spacing w:before="40" w:after="40"/>
            </w:pPr>
            <w:r w:rsidRPr="005C5E32">
              <w:t>99.5%</w:t>
            </w:r>
          </w:p>
        </w:tc>
        <w:tc>
          <w:tcPr>
            <w:tcW w:w="834" w:type="pct"/>
            <w:tcBorders>
              <w:top w:val="single" w:sz="12" w:space="0" w:color="1B556B" w:themeColor="text2"/>
              <w:bottom w:val="single" w:sz="4" w:space="0" w:color="1B556B" w:themeColor="text2"/>
            </w:tcBorders>
          </w:tcPr>
          <w:p w14:paraId="7E8F053B" w14:textId="77777777" w:rsidR="00366BED" w:rsidRPr="005C5E32" w:rsidRDefault="00366BED" w:rsidP="00CB2932">
            <w:pPr>
              <w:pStyle w:val="TableText"/>
              <w:spacing w:before="40" w:after="40"/>
            </w:pPr>
            <w:r w:rsidRPr="005C5E32">
              <w:t>80%</w:t>
            </w:r>
          </w:p>
        </w:tc>
        <w:tc>
          <w:tcPr>
            <w:tcW w:w="832" w:type="pct"/>
            <w:tcBorders>
              <w:top w:val="single" w:sz="12" w:space="0" w:color="1B556B" w:themeColor="text2"/>
              <w:bottom w:val="single" w:sz="4" w:space="0" w:color="1B556B" w:themeColor="text2"/>
            </w:tcBorders>
          </w:tcPr>
          <w:p w14:paraId="4FC8A018" w14:textId="77777777" w:rsidR="00366BED" w:rsidRPr="005C5E32" w:rsidRDefault="00366BED" w:rsidP="00CB2932">
            <w:pPr>
              <w:pStyle w:val="TableText"/>
              <w:spacing w:before="40" w:after="40"/>
            </w:pPr>
            <w:r w:rsidRPr="005C5E32">
              <w:t>99.9%</w:t>
            </w:r>
          </w:p>
        </w:tc>
      </w:tr>
      <w:tr w:rsidR="00366BED" w:rsidRPr="005C5E32" w14:paraId="3C8BF8E9" w14:textId="77777777" w:rsidTr="003D0CC1">
        <w:trPr>
          <w:trHeight w:val="360"/>
        </w:trPr>
        <w:tc>
          <w:tcPr>
            <w:tcW w:w="5000" w:type="pct"/>
            <w:gridSpan w:val="4"/>
            <w:tcBorders>
              <w:bottom w:val="single" w:sz="12" w:space="0" w:color="1B556B" w:themeColor="text2"/>
            </w:tcBorders>
            <w:shd w:val="clear" w:color="auto" w:fill="D2DDE1" w:themeFill="background2"/>
          </w:tcPr>
          <w:p w14:paraId="04260431" w14:textId="717BAEB5" w:rsidR="00366BED" w:rsidRPr="005C5E32" w:rsidRDefault="00366BED" w:rsidP="00CB2932">
            <w:pPr>
              <w:pStyle w:val="TableText"/>
              <w:spacing w:before="40" w:after="40"/>
            </w:pPr>
            <w:r w:rsidRPr="005C5E32">
              <w:rPr>
                <w:b/>
                <w:bCs/>
              </w:rPr>
              <w:t>2025/26 commentary:</w:t>
            </w:r>
            <w:r w:rsidRPr="005C5E32">
              <w:t xml:space="preserve"> This measure tracks the timeliness </w:t>
            </w:r>
            <w:r w:rsidR="00DD3185" w:rsidRPr="005C5E32">
              <w:t xml:space="preserve">with which </w:t>
            </w:r>
            <w:r w:rsidRPr="005C5E32">
              <w:t>the Ministry for Primary Industry</w:t>
            </w:r>
            <w:r w:rsidR="00DD3185" w:rsidRPr="005C5E32">
              <w:t xml:space="preserve"> (MPI)</w:t>
            </w:r>
            <w:r w:rsidRPr="005C5E32">
              <w:t xml:space="preserve"> process</w:t>
            </w:r>
            <w:r w:rsidR="00DD3185" w:rsidRPr="005C5E32">
              <w:t>es</w:t>
            </w:r>
            <w:r w:rsidRPr="005C5E32" w:rsidDel="00DD3185">
              <w:t xml:space="preserve"> </w:t>
            </w:r>
            <w:r w:rsidRPr="005C5E32">
              <w:t>emissions returns lodged by post-1989 forestry participants with a new entitlement for NZUs. Of the 5,275 returns received and processed within the 1 July 2025 to 30 June 2026 reporting period, 5,269 (ie</w:t>
            </w:r>
            <w:r w:rsidR="00FA77FB" w:rsidRPr="005C5E32">
              <w:t>,</w:t>
            </w:r>
            <w:r w:rsidRPr="005C5E32">
              <w:t xml:space="preserve"> 99.9%) were processed and a direction sent to the Regist</w:t>
            </w:r>
            <w:r w:rsidR="00113FAB" w:rsidRPr="005C5E32">
              <w:t>er</w:t>
            </w:r>
            <w:r w:rsidRPr="005C5E32">
              <w:t xml:space="preserve"> within 20 working days. </w:t>
            </w:r>
          </w:p>
          <w:p w14:paraId="417B918F" w14:textId="6E17FD22" w:rsidR="00366BED" w:rsidRPr="005C5E32" w:rsidRDefault="00FA77FB" w:rsidP="00CB2932">
            <w:pPr>
              <w:pStyle w:val="TableText"/>
              <w:spacing w:before="40" w:after="40"/>
              <w:rPr>
                <w:highlight w:val="green"/>
              </w:rPr>
            </w:pPr>
            <w:r w:rsidRPr="005C5E32">
              <w:t>MPI</w:t>
            </w:r>
            <w:r w:rsidR="00366BED" w:rsidRPr="005C5E32">
              <w:t xml:space="preserve"> processes forestry emissions returns under delegated authority from the </w:t>
            </w:r>
            <w:r w:rsidR="00C2032F" w:rsidRPr="005C5E32">
              <w:t>EPA</w:t>
            </w:r>
            <w:r w:rsidR="00366BED" w:rsidRPr="005C5E32">
              <w:t xml:space="preserve">. The applicable timeframes are set out in </w:t>
            </w:r>
            <w:hyperlink r:id="rId109" w:anchor="DLM1662494" w:history="1">
              <w:r w:rsidR="00366BED" w:rsidRPr="005C5E32">
                <w:rPr>
                  <w:rStyle w:val="Hyperlink"/>
                  <w:rFonts w:cstheme="minorBidi"/>
                  <w:szCs w:val="22"/>
                </w:rPr>
                <w:t>section 64</w:t>
              </w:r>
            </w:hyperlink>
            <w:r w:rsidR="00366BED" w:rsidRPr="005C5E32">
              <w:t xml:space="preserve"> of the Climate Change Response Act 2002.</w:t>
            </w:r>
          </w:p>
        </w:tc>
      </w:tr>
    </w:tbl>
    <w:p w14:paraId="60D8D3F1" w14:textId="77777777" w:rsidR="00366BED" w:rsidRPr="005C5E32" w:rsidRDefault="00366BED" w:rsidP="003B4A7F">
      <w:pPr>
        <w:pStyle w:val="BodyText"/>
      </w:pPr>
    </w:p>
    <w:tbl>
      <w:tblPr>
        <w:tblW w:w="8511" w:type="dxa"/>
        <w:tblBorders>
          <w:top w:val="single" w:sz="4" w:space="0" w:color="1B556B" w:themeColor="text2"/>
          <w:bottom w:val="single" w:sz="4" w:space="0" w:color="1B556B" w:themeColor="text2"/>
          <w:insideH w:val="single" w:sz="4" w:space="0" w:color="1B556B" w:themeColor="text2"/>
          <w:insideV w:val="single" w:sz="4" w:space="0" w:color="1B556B" w:themeColor="text2"/>
        </w:tblBorders>
        <w:tblLayout w:type="fixed"/>
        <w:tblLook w:val="01E0" w:firstRow="1" w:lastRow="1" w:firstColumn="1" w:lastColumn="1" w:noHBand="0" w:noVBand="0"/>
      </w:tblPr>
      <w:tblGrid>
        <w:gridCol w:w="2835"/>
        <w:gridCol w:w="1560"/>
        <w:gridCol w:w="1275"/>
        <w:gridCol w:w="1418"/>
        <w:gridCol w:w="1423"/>
      </w:tblGrid>
      <w:tr w:rsidR="00366BED" w:rsidRPr="005C5E32" w14:paraId="64A00F06" w14:textId="77777777" w:rsidTr="00CE3736">
        <w:tc>
          <w:tcPr>
            <w:tcW w:w="1665" w:type="pct"/>
            <w:shd w:val="clear" w:color="auto" w:fill="1B556B" w:themeFill="text2"/>
            <w:vAlign w:val="bottom"/>
          </w:tcPr>
          <w:p w14:paraId="7947A175" w14:textId="77777777" w:rsidR="00366BED" w:rsidRPr="005C5E32" w:rsidRDefault="00366BED" w:rsidP="003D0CC1">
            <w:pPr>
              <w:pStyle w:val="TableTextbold"/>
              <w:rPr>
                <w:color w:val="FFFFFF" w:themeColor="background1"/>
              </w:rPr>
            </w:pPr>
            <w:r w:rsidRPr="005C5E32">
              <w:rPr>
                <w:color w:val="FFFFFF" w:themeColor="background1"/>
              </w:rPr>
              <w:t xml:space="preserve">Expenses </w:t>
            </w:r>
          </w:p>
        </w:tc>
        <w:tc>
          <w:tcPr>
            <w:tcW w:w="916" w:type="pct"/>
            <w:shd w:val="clear" w:color="auto" w:fill="1B556B" w:themeFill="text2"/>
            <w:vAlign w:val="bottom"/>
          </w:tcPr>
          <w:p w14:paraId="4C0A0EB2" w14:textId="77777777" w:rsidR="00366BED" w:rsidRPr="005C5E32" w:rsidRDefault="00366BED" w:rsidP="003D0CC1">
            <w:pPr>
              <w:pStyle w:val="TableTextbold"/>
              <w:jc w:val="right"/>
              <w:rPr>
                <w:color w:val="FFFFFF" w:themeColor="background1"/>
              </w:rPr>
            </w:pPr>
            <w:r w:rsidRPr="005C5E32">
              <w:rPr>
                <w:color w:val="FFFFFF" w:themeColor="background1"/>
              </w:rPr>
              <w:t>2024/25</w:t>
            </w:r>
            <w:r w:rsidRPr="005C5E32">
              <w:rPr>
                <w:color w:val="FFFFFF" w:themeColor="background1"/>
              </w:rPr>
              <w:br/>
              <w:t>Actual</w:t>
            </w:r>
            <w:r w:rsidRPr="005C5E32">
              <w:rPr>
                <w:color w:val="FFFFFF" w:themeColor="background1"/>
              </w:rPr>
              <w:br/>
              <w:t>$000</w:t>
            </w:r>
          </w:p>
        </w:tc>
        <w:tc>
          <w:tcPr>
            <w:tcW w:w="749" w:type="pct"/>
            <w:shd w:val="clear" w:color="auto" w:fill="1B556B" w:themeFill="text2"/>
            <w:vAlign w:val="bottom"/>
          </w:tcPr>
          <w:p w14:paraId="38E2B2FB" w14:textId="77777777" w:rsidR="00366BED" w:rsidRPr="005C5E32" w:rsidRDefault="00366BED" w:rsidP="003D0CC1">
            <w:pPr>
              <w:pStyle w:val="TableTextbold"/>
              <w:jc w:val="right"/>
              <w:rPr>
                <w:color w:val="FFFFFF" w:themeColor="background1"/>
              </w:rPr>
            </w:pPr>
            <w:r w:rsidRPr="005C5E32">
              <w:rPr>
                <w:color w:val="FFFFFF" w:themeColor="background1"/>
              </w:rPr>
              <w:t>2025/26</w:t>
            </w:r>
            <w:r w:rsidRPr="005C5E32">
              <w:rPr>
                <w:color w:val="FFFFFF" w:themeColor="background1"/>
              </w:rPr>
              <w:br/>
              <w:t>Estimates</w:t>
            </w:r>
            <w:r w:rsidRPr="005C5E32">
              <w:rPr>
                <w:color w:val="FFFFFF" w:themeColor="background1"/>
              </w:rPr>
              <w:br/>
              <w:t>$000</w:t>
            </w:r>
          </w:p>
        </w:tc>
        <w:tc>
          <w:tcPr>
            <w:tcW w:w="833" w:type="pct"/>
            <w:shd w:val="clear" w:color="auto" w:fill="1B556B" w:themeFill="text2"/>
            <w:vAlign w:val="bottom"/>
          </w:tcPr>
          <w:p w14:paraId="6BF92BBC" w14:textId="77777777" w:rsidR="00366BED" w:rsidRPr="005C5E32" w:rsidRDefault="00366BED" w:rsidP="003D0CC1">
            <w:pPr>
              <w:pStyle w:val="TableTextbold"/>
              <w:jc w:val="right"/>
              <w:rPr>
                <w:color w:val="FFFFFF" w:themeColor="background1"/>
              </w:rPr>
            </w:pPr>
            <w:r w:rsidRPr="005C5E32">
              <w:rPr>
                <w:color w:val="FFFFFF" w:themeColor="background1"/>
              </w:rPr>
              <w:t>2025/26</w:t>
            </w:r>
            <w:r w:rsidRPr="005C5E32">
              <w:rPr>
                <w:color w:val="FFFFFF" w:themeColor="background1"/>
              </w:rPr>
              <w:br/>
              <w:t>Supplementary Estimates</w:t>
            </w:r>
            <w:r w:rsidRPr="005C5E32">
              <w:rPr>
                <w:color w:val="FFFFFF" w:themeColor="background1"/>
              </w:rPr>
              <w:br/>
              <w:t>$000</w:t>
            </w:r>
          </w:p>
        </w:tc>
        <w:tc>
          <w:tcPr>
            <w:tcW w:w="836" w:type="pct"/>
            <w:shd w:val="clear" w:color="auto" w:fill="1B556B" w:themeFill="text2"/>
            <w:vAlign w:val="bottom"/>
          </w:tcPr>
          <w:p w14:paraId="510FC25B" w14:textId="77777777" w:rsidR="00366BED" w:rsidRPr="005C5E32" w:rsidRDefault="00366BED" w:rsidP="003D0CC1">
            <w:pPr>
              <w:pStyle w:val="TableTextbold"/>
              <w:jc w:val="right"/>
              <w:rPr>
                <w:color w:val="FFFFFF" w:themeColor="background1"/>
              </w:rPr>
            </w:pPr>
            <w:r w:rsidRPr="005C5E32">
              <w:rPr>
                <w:color w:val="FFFFFF" w:themeColor="background1"/>
              </w:rPr>
              <w:t>2025/26</w:t>
            </w:r>
            <w:r w:rsidRPr="005C5E32">
              <w:rPr>
                <w:color w:val="FFFFFF" w:themeColor="background1"/>
              </w:rPr>
              <w:br/>
              <w:t>Actual</w:t>
            </w:r>
            <w:r w:rsidRPr="005C5E32">
              <w:rPr>
                <w:color w:val="FFFFFF" w:themeColor="background1"/>
              </w:rPr>
              <w:br/>
              <w:t>$000</w:t>
            </w:r>
          </w:p>
        </w:tc>
      </w:tr>
      <w:tr w:rsidR="00366BED" w:rsidRPr="005C5E32" w14:paraId="58F106A5" w14:textId="77777777" w:rsidTr="00CE3736">
        <w:tc>
          <w:tcPr>
            <w:tcW w:w="1665" w:type="pct"/>
          </w:tcPr>
          <w:p w14:paraId="6B6D3D95" w14:textId="77777777" w:rsidR="00366BED" w:rsidRPr="005C5E32" w:rsidRDefault="00366BED" w:rsidP="003D0CC1">
            <w:pPr>
              <w:pStyle w:val="TableText"/>
            </w:pPr>
            <w:r w:rsidRPr="005C5E32">
              <w:t>Total appropriation</w:t>
            </w:r>
          </w:p>
        </w:tc>
        <w:tc>
          <w:tcPr>
            <w:tcW w:w="916" w:type="pct"/>
          </w:tcPr>
          <w:p w14:paraId="58E06641" w14:textId="77777777" w:rsidR="00366BED" w:rsidRPr="005C5E32" w:rsidRDefault="00366BED" w:rsidP="003D0CC1">
            <w:pPr>
              <w:pStyle w:val="TableText"/>
              <w:jc w:val="right"/>
            </w:pPr>
            <w:r w:rsidRPr="005C5E32">
              <w:t>1,093,489</w:t>
            </w:r>
          </w:p>
        </w:tc>
        <w:tc>
          <w:tcPr>
            <w:tcW w:w="749" w:type="pct"/>
          </w:tcPr>
          <w:p w14:paraId="33BF9F76" w14:textId="567E8064" w:rsidR="00366BED" w:rsidRPr="005C5E32" w:rsidRDefault="007D26D1" w:rsidP="003D0CC1">
            <w:pPr>
              <w:pStyle w:val="TableText"/>
              <w:jc w:val="right"/>
            </w:pPr>
            <w:r w:rsidRPr="005C5E32">
              <w:t>2</w:t>
            </w:r>
            <w:r w:rsidR="00035917" w:rsidRPr="005C5E32">
              <w:t>,045,700</w:t>
            </w:r>
          </w:p>
        </w:tc>
        <w:tc>
          <w:tcPr>
            <w:tcW w:w="833" w:type="pct"/>
          </w:tcPr>
          <w:p w14:paraId="59552F28" w14:textId="50B16329" w:rsidR="00366BED" w:rsidRPr="005C5E32" w:rsidRDefault="00035917" w:rsidP="003D0CC1">
            <w:pPr>
              <w:pStyle w:val="TableText"/>
              <w:jc w:val="right"/>
            </w:pPr>
            <w:r w:rsidRPr="005C5E32">
              <w:t>1,536,500</w:t>
            </w:r>
          </w:p>
        </w:tc>
        <w:tc>
          <w:tcPr>
            <w:tcW w:w="836" w:type="pct"/>
          </w:tcPr>
          <w:p w14:paraId="33FF01B3" w14:textId="46DF7565" w:rsidR="00366BED" w:rsidRPr="005C5E32" w:rsidRDefault="00726057" w:rsidP="003D0CC1">
            <w:pPr>
              <w:pStyle w:val="TableText"/>
              <w:jc w:val="right"/>
            </w:pPr>
            <w:r w:rsidRPr="005C5E32">
              <w:t>1,325,212</w:t>
            </w:r>
          </w:p>
        </w:tc>
      </w:tr>
    </w:tbl>
    <w:p w14:paraId="58781428" w14:textId="2F4A9A7F" w:rsidR="00AF6693" w:rsidRPr="005C5E32" w:rsidRDefault="00AF6693" w:rsidP="00245253">
      <w:pPr>
        <w:pStyle w:val="BodyText"/>
        <w:spacing w:before="240"/>
      </w:pPr>
      <w:bookmarkStart w:id="489" w:name="_Supporting_Equitable_Transitions_1"/>
      <w:bookmarkEnd w:id="489"/>
      <w:r w:rsidRPr="005C5E32">
        <w:t xml:space="preserve">The variance between the Supplementary Estimates appropriation and actuals recognised for 2025/26 is primarily due to the difference in carbon price adopted for appropriation purposes. At Mains Estimates, the appropriation was based on $100 per carbon unit, which was revised to $70 per carbon unit during the Supplementary Estimates. The actuals are recognised using </w:t>
      </w:r>
      <w:r w:rsidRPr="005C5E32">
        <w:lastRenderedPageBreak/>
        <w:t>the monthly average price per carbon unit. In addition, fewer units were allocated to industrial and other removal activity sectors than forecast at Supplementary Estimates.</w:t>
      </w:r>
    </w:p>
    <w:p w14:paraId="4C2C68E1" w14:textId="4C83971B" w:rsidR="00366BED" w:rsidRPr="005C5E32" w:rsidRDefault="00366BED" w:rsidP="00AC2E71">
      <w:pPr>
        <w:pStyle w:val="Heading3"/>
      </w:pPr>
      <w:r w:rsidRPr="005C5E32">
        <w:t>Supporting Equitable Transitions and Climate</w:t>
      </w:r>
      <w:r w:rsidR="00CB2932" w:rsidRPr="005C5E32">
        <w:t> </w:t>
      </w:r>
      <w:r w:rsidRPr="005C5E32">
        <w:t>Resilience</w:t>
      </w:r>
      <w:r w:rsidR="00CB2932" w:rsidRPr="005C5E32">
        <w:t> </w:t>
      </w:r>
      <w:r w:rsidRPr="005C5E32">
        <w:t>for Māori</w:t>
      </w:r>
    </w:p>
    <w:p w14:paraId="5EC06437" w14:textId="77777777" w:rsidR="00366BED" w:rsidRPr="005C5E32" w:rsidRDefault="00366BED" w:rsidP="00AC2E71">
      <w:pPr>
        <w:pStyle w:val="Heading4"/>
        <w:spacing w:before="180" w:after="180"/>
      </w:pPr>
      <w:r w:rsidRPr="005C5E32">
        <w:t>Non-departmental output expenses</w:t>
      </w:r>
    </w:p>
    <w:tbl>
      <w:tblPr>
        <w:tblStyle w:val="TableGrid"/>
        <w:tblW w:w="4999" w:type="pct"/>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ook w:val="04A0" w:firstRow="1" w:lastRow="0" w:firstColumn="1" w:lastColumn="0" w:noHBand="0" w:noVBand="1"/>
      </w:tblPr>
      <w:tblGrid>
        <w:gridCol w:w="4253"/>
        <w:gridCol w:w="1417"/>
        <w:gridCol w:w="1418"/>
        <w:gridCol w:w="1415"/>
      </w:tblGrid>
      <w:tr w:rsidR="00366BED" w:rsidRPr="005C5E32" w14:paraId="7688AFBB" w14:textId="77777777" w:rsidTr="00CB2932">
        <w:trPr>
          <w:trHeight w:val="360"/>
          <w:tblHeader/>
        </w:trPr>
        <w:tc>
          <w:tcPr>
            <w:tcW w:w="2501" w:type="pct"/>
            <w:shd w:val="clear" w:color="auto" w:fill="1B556B" w:themeFill="text2"/>
            <w:vAlign w:val="bottom"/>
          </w:tcPr>
          <w:p w14:paraId="15D18213" w14:textId="77777777" w:rsidR="00366BED" w:rsidRPr="005C5E32" w:rsidRDefault="00366BED">
            <w:pPr>
              <w:pStyle w:val="TableTextbold"/>
              <w:rPr>
                <w:color w:val="FFFFFF" w:themeColor="background1"/>
              </w:rPr>
            </w:pPr>
            <w:r w:rsidRPr="005C5E32">
              <w:rPr>
                <w:color w:val="FFFFFF" w:themeColor="background1"/>
              </w:rPr>
              <w:t>Performance measure</w:t>
            </w:r>
          </w:p>
        </w:tc>
        <w:tc>
          <w:tcPr>
            <w:tcW w:w="833" w:type="pct"/>
            <w:shd w:val="clear" w:color="auto" w:fill="1B556B" w:themeFill="text2"/>
            <w:vAlign w:val="bottom"/>
          </w:tcPr>
          <w:p w14:paraId="2177E28E" w14:textId="77777777" w:rsidR="00366BED" w:rsidRPr="005C5E32" w:rsidRDefault="00366BED">
            <w:pPr>
              <w:pStyle w:val="TableTextbold"/>
              <w:rPr>
                <w:color w:val="FFFFFF" w:themeColor="background1"/>
              </w:rPr>
            </w:pPr>
            <w:r w:rsidRPr="005C5E32">
              <w:rPr>
                <w:color w:val="FFFFFF" w:themeColor="background1"/>
              </w:rPr>
              <w:t>2024/25 performance</w:t>
            </w:r>
          </w:p>
        </w:tc>
        <w:tc>
          <w:tcPr>
            <w:tcW w:w="834" w:type="pct"/>
            <w:shd w:val="clear" w:color="auto" w:fill="1B556B" w:themeFill="text2"/>
            <w:vAlign w:val="bottom"/>
          </w:tcPr>
          <w:p w14:paraId="0F3B1849" w14:textId="77777777" w:rsidR="00366BED" w:rsidRPr="005C5E32" w:rsidRDefault="00366BED">
            <w:pPr>
              <w:pStyle w:val="TableTextbold"/>
              <w:rPr>
                <w:color w:val="FFFFFF" w:themeColor="background1"/>
              </w:rPr>
            </w:pPr>
            <w:r w:rsidRPr="005C5E32">
              <w:rPr>
                <w:color w:val="FFFFFF" w:themeColor="background1"/>
              </w:rPr>
              <w:t xml:space="preserve">2025/26 </w:t>
            </w:r>
            <w:r w:rsidRPr="005C5E32">
              <w:rPr>
                <w:color w:val="FFFFFF" w:themeColor="background1"/>
              </w:rPr>
              <w:br/>
              <w:t>target</w:t>
            </w:r>
          </w:p>
        </w:tc>
        <w:tc>
          <w:tcPr>
            <w:tcW w:w="832" w:type="pct"/>
            <w:shd w:val="clear" w:color="auto" w:fill="1B556B" w:themeFill="text2"/>
            <w:vAlign w:val="bottom"/>
          </w:tcPr>
          <w:p w14:paraId="691F72EC" w14:textId="77777777" w:rsidR="00366BED" w:rsidRPr="005C5E32" w:rsidRDefault="00366BED">
            <w:pPr>
              <w:pStyle w:val="TableTextbold"/>
              <w:rPr>
                <w:color w:val="FFFFFF" w:themeColor="background1"/>
              </w:rPr>
            </w:pPr>
            <w:r w:rsidRPr="005C5E32">
              <w:rPr>
                <w:color w:val="FFFFFF" w:themeColor="background1"/>
              </w:rPr>
              <w:t>2025/26 performance</w:t>
            </w:r>
          </w:p>
        </w:tc>
      </w:tr>
      <w:tr w:rsidR="00366BED" w:rsidRPr="005C5E32" w14:paraId="40104471" w14:textId="77777777" w:rsidTr="00CB2932">
        <w:trPr>
          <w:trHeight w:val="360"/>
        </w:trPr>
        <w:tc>
          <w:tcPr>
            <w:tcW w:w="2501" w:type="pct"/>
            <w:tcBorders>
              <w:bottom w:val="single" w:sz="4" w:space="0" w:color="1B556B" w:themeColor="text2"/>
            </w:tcBorders>
          </w:tcPr>
          <w:p w14:paraId="74CA9DA1" w14:textId="77777777" w:rsidR="00366BED" w:rsidRPr="005C5E32" w:rsidRDefault="00366BED" w:rsidP="00827649">
            <w:pPr>
              <w:pStyle w:val="TableText"/>
              <w:spacing w:after="0"/>
            </w:pPr>
            <w:r w:rsidRPr="005C5E32">
              <w:t>Pou Take Āhuarangi joint work programme activities delivered</w:t>
            </w:r>
          </w:p>
          <w:p w14:paraId="1C0E1DB4" w14:textId="120F5BE2" w:rsidR="00366BED" w:rsidRPr="005C5E32" w:rsidRDefault="00366BED">
            <w:pPr>
              <w:pStyle w:val="Tablegreen"/>
              <w:rPr>
                <w:i/>
                <w:iCs/>
              </w:rPr>
            </w:pPr>
            <w:hyperlink w:anchor="_Note_1_–_1" w:history="1">
              <w:r w:rsidRPr="005C5E32">
                <w:rPr>
                  <w:rStyle w:val="Hyperlink"/>
                  <w:i/>
                  <w:iCs/>
                </w:rPr>
                <w:t>See note 1</w:t>
              </w:r>
            </w:hyperlink>
          </w:p>
        </w:tc>
        <w:tc>
          <w:tcPr>
            <w:tcW w:w="833" w:type="pct"/>
            <w:tcBorders>
              <w:bottom w:val="single" w:sz="4" w:space="0" w:color="1B556B" w:themeColor="text2"/>
            </w:tcBorders>
          </w:tcPr>
          <w:p w14:paraId="649651BD" w14:textId="77777777" w:rsidR="00366BED" w:rsidRPr="005C5E32" w:rsidRDefault="00366BED">
            <w:pPr>
              <w:pStyle w:val="TableText"/>
              <w:rPr>
                <w:rFonts w:cstheme="minorBidi"/>
                <w:szCs w:val="22"/>
              </w:rPr>
            </w:pPr>
            <w:r w:rsidRPr="005C5E32">
              <w:rPr>
                <w:rFonts w:cstheme="minorBidi"/>
                <w:szCs w:val="22"/>
              </w:rPr>
              <w:t>Achieved</w:t>
            </w:r>
          </w:p>
        </w:tc>
        <w:tc>
          <w:tcPr>
            <w:tcW w:w="834" w:type="pct"/>
            <w:tcBorders>
              <w:bottom w:val="single" w:sz="4" w:space="0" w:color="1B556B" w:themeColor="text2"/>
            </w:tcBorders>
          </w:tcPr>
          <w:p w14:paraId="75CAA735" w14:textId="77777777" w:rsidR="00366BED" w:rsidRPr="005C5E32" w:rsidRDefault="00366BED">
            <w:pPr>
              <w:pStyle w:val="TableText"/>
              <w:rPr>
                <w:rFonts w:cstheme="minorBidi"/>
                <w:szCs w:val="22"/>
              </w:rPr>
            </w:pPr>
            <w:r w:rsidRPr="005C5E32">
              <w:rPr>
                <w:rFonts w:cstheme="minorBidi"/>
                <w:szCs w:val="22"/>
              </w:rPr>
              <w:t>Achieved</w:t>
            </w:r>
          </w:p>
        </w:tc>
        <w:tc>
          <w:tcPr>
            <w:tcW w:w="832" w:type="pct"/>
            <w:tcBorders>
              <w:bottom w:val="single" w:sz="4" w:space="0" w:color="1B556B" w:themeColor="text2"/>
            </w:tcBorders>
          </w:tcPr>
          <w:p w14:paraId="7A7D9D81" w14:textId="77777777" w:rsidR="00366BED" w:rsidRPr="005C5E32" w:rsidRDefault="00366BED">
            <w:pPr>
              <w:pStyle w:val="TableText"/>
              <w:rPr>
                <w:rFonts w:cstheme="minorBidi"/>
                <w:szCs w:val="22"/>
              </w:rPr>
            </w:pPr>
            <w:r w:rsidRPr="005C5E32">
              <w:rPr>
                <w:rFonts w:cstheme="minorBidi"/>
                <w:szCs w:val="22"/>
              </w:rPr>
              <w:t>A</w:t>
            </w:r>
            <w:r w:rsidRPr="005C5E32">
              <w:rPr>
                <w:szCs w:val="22"/>
              </w:rPr>
              <w:t>chieved</w:t>
            </w:r>
          </w:p>
        </w:tc>
      </w:tr>
      <w:tr w:rsidR="00366BED" w:rsidRPr="005C5E32" w14:paraId="0991F343" w14:textId="77777777">
        <w:trPr>
          <w:trHeight w:val="360"/>
        </w:trPr>
        <w:tc>
          <w:tcPr>
            <w:tcW w:w="5000" w:type="pct"/>
            <w:gridSpan w:val="4"/>
            <w:tcBorders>
              <w:bottom w:val="single" w:sz="12" w:space="0" w:color="1B556B" w:themeColor="text2"/>
            </w:tcBorders>
            <w:shd w:val="clear" w:color="auto" w:fill="D2DDE1" w:themeFill="background2"/>
          </w:tcPr>
          <w:p w14:paraId="4B1E7027" w14:textId="2D98CDC1" w:rsidR="00366BED" w:rsidRPr="005C5E32" w:rsidRDefault="00366BED">
            <w:pPr>
              <w:pStyle w:val="TableText"/>
            </w:pPr>
            <w:r w:rsidRPr="005C5E32">
              <w:rPr>
                <w:b/>
              </w:rPr>
              <w:t>2025/26 commentary:</w:t>
            </w:r>
            <w:r w:rsidRPr="005C5E32">
              <w:t xml:space="preserve"> A joint work programme was developed with Pou Take Āhuarangi</w:t>
            </w:r>
            <w:r w:rsidR="00CA32A6" w:rsidRPr="005C5E32">
              <w:t>,</w:t>
            </w:r>
            <w:r w:rsidRPr="005C5E32" w:rsidDel="00CA32A6">
              <w:t xml:space="preserve"> </w:t>
            </w:r>
            <w:r w:rsidRPr="005C5E32">
              <w:t>focused on the mutual priority areas of climate adaptation and emissions reduction. As part of the joint work programme, Pou Take Āhuarangi delivered:</w:t>
            </w:r>
          </w:p>
          <w:p w14:paraId="69C15E7C" w14:textId="6668ED35" w:rsidR="00366BED" w:rsidRPr="005C5E32" w:rsidRDefault="00366BED">
            <w:pPr>
              <w:pStyle w:val="TableBullet"/>
            </w:pPr>
            <w:r w:rsidRPr="005C5E32">
              <w:t>87 marae climate risk assessments identifying key climate risks</w:t>
            </w:r>
            <w:r w:rsidR="00CA32A6" w:rsidRPr="005C5E32">
              <w:t xml:space="preserve"> and</w:t>
            </w:r>
            <w:r w:rsidRPr="005C5E32">
              <w:t xml:space="preserve"> vulnerabilities</w:t>
            </w:r>
            <w:r w:rsidR="00CA32A6" w:rsidRPr="005C5E32">
              <w:t>, along with</w:t>
            </w:r>
            <w:r w:rsidRPr="005C5E32" w:rsidDel="00CA32A6">
              <w:t xml:space="preserve"> </w:t>
            </w:r>
            <w:r w:rsidRPr="005C5E32">
              <w:t>proposed adaptation and mitigation measures for marae to support resilience</w:t>
            </w:r>
          </w:p>
          <w:p w14:paraId="3A529E7A" w14:textId="77777777" w:rsidR="00366BED" w:rsidRPr="005C5E32" w:rsidRDefault="00366BED">
            <w:pPr>
              <w:pStyle w:val="TableBullet"/>
            </w:pPr>
            <w:r w:rsidRPr="005C5E32">
              <w:t xml:space="preserve">11 climate adaptation wānanga with marae, hapū and iwi across the country </w:t>
            </w:r>
          </w:p>
          <w:p w14:paraId="0E968996" w14:textId="655F5569" w:rsidR="00366BED" w:rsidRPr="005C5E32" w:rsidRDefault="00366BED">
            <w:pPr>
              <w:pStyle w:val="TableBullet"/>
            </w:pPr>
            <w:r w:rsidRPr="005C5E32">
              <w:t>11 emissions reduction hui with Māori land</w:t>
            </w:r>
            <w:r w:rsidR="00CA32A6" w:rsidRPr="005C5E32">
              <w:t xml:space="preserve"> </w:t>
            </w:r>
            <w:r w:rsidRPr="005C5E32">
              <w:t>owners, hapū and iwi across the country</w:t>
            </w:r>
          </w:p>
          <w:p w14:paraId="4028FC1C" w14:textId="3E0FE7BD" w:rsidR="00366BED" w:rsidRPr="005C5E32" w:rsidRDefault="00366BED">
            <w:pPr>
              <w:pStyle w:val="TableBullet"/>
            </w:pPr>
            <w:r w:rsidRPr="005C5E32">
              <w:t>an</w:t>
            </w:r>
            <w:r w:rsidR="00CA32A6" w:rsidRPr="005C5E32">
              <w:t xml:space="preserve"> NZ ETS</w:t>
            </w:r>
            <w:r w:rsidRPr="005C5E32">
              <w:t xml:space="preserve"> toolkit</w:t>
            </w:r>
          </w:p>
          <w:p w14:paraId="7F5C95FC" w14:textId="24832097" w:rsidR="00366BED" w:rsidRPr="005C5E32" w:rsidRDefault="00366BED">
            <w:pPr>
              <w:pStyle w:val="TableBullet"/>
            </w:pPr>
            <w:r w:rsidRPr="005C5E32">
              <w:t xml:space="preserve">Māori Climate Platform support </w:t>
            </w:r>
          </w:p>
          <w:p w14:paraId="1DF2E042" w14:textId="77777777" w:rsidR="00366BED" w:rsidRPr="005C5E32" w:rsidRDefault="00366BED">
            <w:pPr>
              <w:pStyle w:val="TableBullet"/>
            </w:pPr>
            <w:r w:rsidRPr="005C5E32">
              <w:t>technical policy advice.</w:t>
            </w:r>
          </w:p>
        </w:tc>
      </w:tr>
      <w:tr w:rsidR="00366BED" w:rsidRPr="005C5E32" w14:paraId="46DC69ED" w14:textId="77777777" w:rsidTr="00CB2932">
        <w:trPr>
          <w:trHeight w:val="360"/>
        </w:trPr>
        <w:tc>
          <w:tcPr>
            <w:tcW w:w="2501" w:type="pct"/>
            <w:tcBorders>
              <w:bottom w:val="single" w:sz="4" w:space="0" w:color="1B556B" w:themeColor="text2"/>
            </w:tcBorders>
          </w:tcPr>
          <w:p w14:paraId="3F2DF60E" w14:textId="6BB38DA6" w:rsidR="00366BED" w:rsidRPr="005C5E32" w:rsidRDefault="00366BED">
            <w:pPr>
              <w:pStyle w:val="TableText"/>
            </w:pPr>
            <w:r w:rsidRPr="005C5E32">
              <w:t>Percentage of Māori Climate Platform</w:t>
            </w:r>
            <w:r w:rsidR="00B60D7F" w:rsidRPr="005C5E32">
              <w:t xml:space="preserve"> </w:t>
            </w:r>
            <w:r w:rsidRPr="005C5E32">
              <w:t>projects that are on track to achieve their stated milestones</w:t>
            </w:r>
            <w:r w:rsidRPr="005C5E32" w:rsidDel="00FE17E9">
              <w:t xml:space="preserve"> </w:t>
            </w:r>
          </w:p>
          <w:p w14:paraId="61455113" w14:textId="4916A820" w:rsidR="00366BED" w:rsidRPr="005C5E32" w:rsidRDefault="00366BED">
            <w:pPr>
              <w:pStyle w:val="Tablegreen"/>
            </w:pPr>
            <w:hyperlink w:anchor="_Note_2_–_1" w:history="1">
              <w:r w:rsidRPr="005C5E32">
                <w:rPr>
                  <w:rStyle w:val="Hyperlink"/>
                  <w:i/>
                </w:rPr>
                <w:t>See note 2</w:t>
              </w:r>
            </w:hyperlink>
          </w:p>
        </w:tc>
        <w:tc>
          <w:tcPr>
            <w:tcW w:w="833" w:type="pct"/>
            <w:tcBorders>
              <w:bottom w:val="single" w:sz="4" w:space="0" w:color="1B556B" w:themeColor="text2"/>
            </w:tcBorders>
          </w:tcPr>
          <w:p w14:paraId="3B442583" w14:textId="77777777" w:rsidR="00366BED" w:rsidRPr="005C5E32" w:rsidRDefault="00366BED">
            <w:pPr>
              <w:pStyle w:val="TableText"/>
              <w:rPr>
                <w:rFonts w:cstheme="minorBidi"/>
                <w:szCs w:val="22"/>
              </w:rPr>
            </w:pPr>
            <w:r w:rsidRPr="005C5E32">
              <w:t>New measure</w:t>
            </w:r>
          </w:p>
        </w:tc>
        <w:tc>
          <w:tcPr>
            <w:tcW w:w="834" w:type="pct"/>
            <w:tcBorders>
              <w:bottom w:val="single" w:sz="4" w:space="0" w:color="1B556B" w:themeColor="text2"/>
            </w:tcBorders>
          </w:tcPr>
          <w:p w14:paraId="405FE3BD" w14:textId="77777777" w:rsidR="00366BED" w:rsidRPr="005C5E32" w:rsidRDefault="00366BED">
            <w:pPr>
              <w:pStyle w:val="TableText"/>
              <w:rPr>
                <w:rFonts w:cstheme="minorBidi"/>
                <w:szCs w:val="22"/>
              </w:rPr>
            </w:pPr>
            <w:r w:rsidRPr="005C5E32">
              <w:rPr>
                <w:rFonts w:cstheme="minorBidi"/>
                <w:szCs w:val="22"/>
              </w:rPr>
              <w:t>80%</w:t>
            </w:r>
          </w:p>
        </w:tc>
        <w:tc>
          <w:tcPr>
            <w:tcW w:w="832" w:type="pct"/>
            <w:tcBorders>
              <w:bottom w:val="single" w:sz="4" w:space="0" w:color="1B556B" w:themeColor="text2"/>
            </w:tcBorders>
          </w:tcPr>
          <w:p w14:paraId="39B098A3" w14:textId="48A799BF" w:rsidR="00366BED" w:rsidRPr="005C5E32" w:rsidRDefault="00C43833">
            <w:pPr>
              <w:pStyle w:val="TableText"/>
              <w:rPr>
                <w:rFonts w:cstheme="minorBidi"/>
                <w:szCs w:val="22"/>
              </w:rPr>
            </w:pPr>
            <w:r w:rsidRPr="005C5E32">
              <w:rPr>
                <w:rFonts w:cstheme="minorBidi"/>
                <w:szCs w:val="22"/>
              </w:rPr>
              <w:t>74</w:t>
            </w:r>
            <w:r w:rsidR="00366BED" w:rsidRPr="005C5E32">
              <w:rPr>
                <w:rFonts w:cstheme="minorBidi"/>
                <w:szCs w:val="22"/>
              </w:rPr>
              <w:t>%</w:t>
            </w:r>
          </w:p>
        </w:tc>
      </w:tr>
      <w:tr w:rsidR="00366BED" w:rsidRPr="005C5E32" w14:paraId="5AA2FFB3" w14:textId="77777777">
        <w:trPr>
          <w:trHeight w:val="360"/>
        </w:trPr>
        <w:tc>
          <w:tcPr>
            <w:tcW w:w="5000" w:type="pct"/>
            <w:gridSpan w:val="4"/>
            <w:tcBorders>
              <w:bottom w:val="single" w:sz="12" w:space="0" w:color="1B556B" w:themeColor="text2"/>
            </w:tcBorders>
            <w:shd w:val="clear" w:color="auto" w:fill="D2DDE1" w:themeFill="background2"/>
          </w:tcPr>
          <w:p w14:paraId="10D8723B" w14:textId="7AFE6F0B" w:rsidR="00366BED" w:rsidRPr="005C5E32" w:rsidRDefault="00366BED">
            <w:pPr>
              <w:pStyle w:val="TableText"/>
              <w:rPr>
                <w:b/>
                <w:bCs/>
              </w:rPr>
            </w:pPr>
            <w:r w:rsidRPr="005C5E32">
              <w:rPr>
                <w:b/>
              </w:rPr>
              <w:t>2025/26 commentary:</w:t>
            </w:r>
            <w:r w:rsidRPr="005C5E32">
              <w:t xml:space="preserve"> </w:t>
            </w:r>
            <w:r w:rsidR="00B60D7F" w:rsidRPr="005C5E32">
              <w:t xml:space="preserve">Of </w:t>
            </w:r>
            <w:r w:rsidRPr="005C5E32">
              <w:t xml:space="preserve">the 23 </w:t>
            </w:r>
            <w:r w:rsidRPr="005C5E32" w:rsidDel="00B60D7F">
              <w:t>Māori Climate Platform</w:t>
            </w:r>
            <w:r w:rsidRPr="005C5E32">
              <w:t xml:space="preserve"> projects</w:t>
            </w:r>
            <w:r w:rsidR="00B60D7F" w:rsidRPr="005C5E32">
              <w:t xml:space="preserve">, </w:t>
            </w:r>
            <w:r w:rsidR="00C43833" w:rsidRPr="005C5E32">
              <w:t>17</w:t>
            </w:r>
            <w:r w:rsidRPr="005C5E32">
              <w:t xml:space="preserve"> are on track to achieve</w:t>
            </w:r>
            <w:r w:rsidR="00B60D7F" w:rsidRPr="005C5E32">
              <w:t>,</w:t>
            </w:r>
            <w:r w:rsidRPr="005C5E32">
              <w:t xml:space="preserve"> or have achieved</w:t>
            </w:r>
            <w:r w:rsidR="00B60D7F" w:rsidRPr="005C5E32">
              <w:t>,</w:t>
            </w:r>
            <w:r w:rsidRPr="005C5E32">
              <w:t xml:space="preserve"> their stated milestones. </w:t>
            </w:r>
            <w:r w:rsidR="00BF1CED" w:rsidRPr="005C5E32">
              <w:t>The remaining projects are experiencing delays,</w:t>
            </w:r>
            <w:r w:rsidR="00B9261D" w:rsidRPr="005C5E32">
              <w:t xml:space="preserve"> but</w:t>
            </w:r>
            <w:r w:rsidR="00BF1CED" w:rsidRPr="005C5E32">
              <w:t xml:space="preserve"> are likely to achieve their milestones later than originally planned. </w:t>
            </w:r>
            <w:r w:rsidRPr="005C5E32">
              <w:t xml:space="preserve">For more information about projects funded by </w:t>
            </w:r>
            <w:r w:rsidR="00DC257B" w:rsidRPr="005C5E32">
              <w:t>Māori Climate Platform</w:t>
            </w:r>
            <w:r w:rsidRPr="005C5E32">
              <w:t>, see the Ministry</w:t>
            </w:r>
            <w:r w:rsidR="000369F8" w:rsidRPr="005C5E32">
              <w:t>’</w:t>
            </w:r>
            <w:r w:rsidRPr="005C5E32">
              <w:t xml:space="preserve">s </w:t>
            </w:r>
            <w:r w:rsidR="00B94141" w:rsidRPr="005C5E32">
              <w:t xml:space="preserve">webpage, </w:t>
            </w:r>
            <w:hyperlink r:id="rId110" w:history="1">
              <w:r w:rsidR="00663F67" w:rsidRPr="005C5E32">
                <w:rPr>
                  <w:rStyle w:val="Hyperlink"/>
                  <w:rFonts w:cstheme="minorBidi"/>
                  <w:szCs w:val="22"/>
                </w:rPr>
                <w:t>M</w:t>
              </w:r>
              <w:r w:rsidR="00663F67" w:rsidRPr="005C5E32">
                <w:rPr>
                  <w:rStyle w:val="Hyperlink"/>
                </w:rPr>
                <w:t>āori Climate Platform funding supports climate resilience</w:t>
              </w:r>
            </w:hyperlink>
            <w:r w:rsidRPr="005C5E32">
              <w:t xml:space="preserve">. </w:t>
            </w:r>
          </w:p>
        </w:tc>
      </w:tr>
    </w:tbl>
    <w:p w14:paraId="3A384DB2" w14:textId="77777777" w:rsidR="00366BED" w:rsidRPr="005C5E32" w:rsidRDefault="00366BED" w:rsidP="00AC2E71">
      <w:pPr>
        <w:pStyle w:val="BodyText"/>
      </w:pPr>
    </w:p>
    <w:tbl>
      <w:tblPr>
        <w:tblW w:w="8511" w:type="dxa"/>
        <w:tblBorders>
          <w:top w:val="single" w:sz="4" w:space="0" w:color="1B556B" w:themeColor="text2"/>
          <w:bottom w:val="single" w:sz="4" w:space="0" w:color="1B556B" w:themeColor="text2"/>
          <w:insideH w:val="single" w:sz="4" w:space="0" w:color="1B556B" w:themeColor="text2"/>
          <w:insideV w:val="single" w:sz="4" w:space="0" w:color="1B556B" w:themeColor="text2"/>
        </w:tblBorders>
        <w:tblLayout w:type="fixed"/>
        <w:tblLook w:val="01E0" w:firstRow="1" w:lastRow="1" w:firstColumn="1" w:lastColumn="1" w:noHBand="0" w:noVBand="0"/>
      </w:tblPr>
      <w:tblGrid>
        <w:gridCol w:w="2554"/>
        <w:gridCol w:w="1700"/>
        <w:gridCol w:w="1416"/>
        <w:gridCol w:w="1418"/>
        <w:gridCol w:w="1423"/>
      </w:tblGrid>
      <w:tr w:rsidR="00366BED" w:rsidRPr="005C5E32" w14:paraId="11337073" w14:textId="77777777" w:rsidTr="00CB2932">
        <w:tc>
          <w:tcPr>
            <w:tcW w:w="1500" w:type="pct"/>
            <w:shd w:val="clear" w:color="auto" w:fill="1B556B" w:themeFill="text2"/>
            <w:vAlign w:val="bottom"/>
          </w:tcPr>
          <w:p w14:paraId="1D096D13" w14:textId="77777777" w:rsidR="00366BED" w:rsidRPr="005C5E32" w:rsidRDefault="00366BED">
            <w:pPr>
              <w:pStyle w:val="TableTextbold"/>
              <w:rPr>
                <w:color w:val="FFFFFF" w:themeColor="background1"/>
              </w:rPr>
            </w:pPr>
            <w:r w:rsidRPr="005C5E32">
              <w:rPr>
                <w:color w:val="FFFFFF" w:themeColor="background1"/>
              </w:rPr>
              <w:t xml:space="preserve">Expenses </w:t>
            </w:r>
          </w:p>
        </w:tc>
        <w:tc>
          <w:tcPr>
            <w:tcW w:w="999" w:type="pct"/>
            <w:shd w:val="clear" w:color="auto" w:fill="1B556B" w:themeFill="text2"/>
            <w:vAlign w:val="bottom"/>
          </w:tcPr>
          <w:p w14:paraId="0DAA295A" w14:textId="77777777" w:rsidR="00366BED" w:rsidRPr="005C5E32" w:rsidRDefault="00366BED">
            <w:pPr>
              <w:pStyle w:val="TableTextbold"/>
              <w:jc w:val="right"/>
              <w:rPr>
                <w:color w:val="FFFFFF" w:themeColor="background1"/>
              </w:rPr>
            </w:pPr>
            <w:r w:rsidRPr="005C5E32">
              <w:rPr>
                <w:color w:val="FFFFFF" w:themeColor="background1"/>
              </w:rPr>
              <w:t>2024/25</w:t>
            </w:r>
            <w:r w:rsidRPr="005C5E32">
              <w:rPr>
                <w:color w:val="FFFFFF" w:themeColor="background1"/>
              </w:rPr>
              <w:br/>
              <w:t>Actual</w:t>
            </w:r>
            <w:r w:rsidRPr="005C5E32">
              <w:rPr>
                <w:color w:val="FFFFFF" w:themeColor="background1"/>
              </w:rPr>
              <w:br/>
              <w:t>$000</w:t>
            </w:r>
          </w:p>
        </w:tc>
        <w:tc>
          <w:tcPr>
            <w:tcW w:w="832" w:type="pct"/>
            <w:shd w:val="clear" w:color="auto" w:fill="1B556B" w:themeFill="text2"/>
            <w:vAlign w:val="bottom"/>
          </w:tcPr>
          <w:p w14:paraId="5401250E" w14:textId="77777777" w:rsidR="00366BED" w:rsidRPr="005C5E32" w:rsidRDefault="00366BED">
            <w:pPr>
              <w:pStyle w:val="TableTextbold"/>
              <w:jc w:val="right"/>
              <w:rPr>
                <w:color w:val="FFFFFF" w:themeColor="background1"/>
              </w:rPr>
            </w:pPr>
            <w:r w:rsidRPr="005C5E32">
              <w:rPr>
                <w:color w:val="FFFFFF" w:themeColor="background1"/>
              </w:rPr>
              <w:t>2025/26</w:t>
            </w:r>
            <w:r w:rsidRPr="005C5E32">
              <w:rPr>
                <w:color w:val="FFFFFF" w:themeColor="background1"/>
              </w:rPr>
              <w:br/>
              <w:t>Estimates</w:t>
            </w:r>
            <w:r w:rsidRPr="005C5E32">
              <w:rPr>
                <w:color w:val="FFFFFF" w:themeColor="background1"/>
              </w:rPr>
              <w:br/>
              <w:t>$000</w:t>
            </w:r>
          </w:p>
        </w:tc>
        <w:tc>
          <w:tcPr>
            <w:tcW w:w="833" w:type="pct"/>
            <w:shd w:val="clear" w:color="auto" w:fill="1B556B" w:themeFill="text2"/>
            <w:vAlign w:val="bottom"/>
          </w:tcPr>
          <w:p w14:paraId="4AF76F3D" w14:textId="77777777" w:rsidR="00366BED" w:rsidRPr="005C5E32" w:rsidRDefault="00366BED">
            <w:pPr>
              <w:pStyle w:val="TableTextbold"/>
              <w:jc w:val="right"/>
              <w:rPr>
                <w:color w:val="FFFFFF" w:themeColor="background1"/>
              </w:rPr>
            </w:pPr>
            <w:r w:rsidRPr="005C5E32">
              <w:rPr>
                <w:color w:val="FFFFFF" w:themeColor="background1"/>
              </w:rPr>
              <w:t>2025/26</w:t>
            </w:r>
            <w:r w:rsidRPr="005C5E32">
              <w:rPr>
                <w:color w:val="FFFFFF" w:themeColor="background1"/>
              </w:rPr>
              <w:br/>
              <w:t>Supplementary Estimates</w:t>
            </w:r>
            <w:r w:rsidRPr="005C5E32">
              <w:rPr>
                <w:color w:val="FFFFFF" w:themeColor="background1"/>
              </w:rPr>
              <w:br/>
              <w:t>$000</w:t>
            </w:r>
          </w:p>
        </w:tc>
        <w:tc>
          <w:tcPr>
            <w:tcW w:w="836" w:type="pct"/>
            <w:shd w:val="clear" w:color="auto" w:fill="1B556B" w:themeFill="text2"/>
            <w:vAlign w:val="bottom"/>
          </w:tcPr>
          <w:p w14:paraId="1173593F" w14:textId="77777777" w:rsidR="00366BED" w:rsidRPr="005C5E32" w:rsidRDefault="00366BED">
            <w:pPr>
              <w:pStyle w:val="TableTextbold"/>
              <w:jc w:val="right"/>
              <w:rPr>
                <w:color w:val="FFFFFF" w:themeColor="background1"/>
              </w:rPr>
            </w:pPr>
            <w:r w:rsidRPr="005C5E32">
              <w:rPr>
                <w:color w:val="FFFFFF" w:themeColor="background1"/>
              </w:rPr>
              <w:t>2025/26</w:t>
            </w:r>
            <w:r w:rsidRPr="005C5E32">
              <w:rPr>
                <w:color w:val="FFFFFF" w:themeColor="background1"/>
              </w:rPr>
              <w:br/>
              <w:t>Actual</w:t>
            </w:r>
            <w:r w:rsidRPr="005C5E32">
              <w:rPr>
                <w:color w:val="FFFFFF" w:themeColor="background1"/>
              </w:rPr>
              <w:br/>
              <w:t>$000</w:t>
            </w:r>
          </w:p>
        </w:tc>
      </w:tr>
      <w:tr w:rsidR="00366BED" w:rsidRPr="005C5E32" w14:paraId="14002A3F" w14:textId="77777777" w:rsidTr="00CB2932">
        <w:tc>
          <w:tcPr>
            <w:tcW w:w="1500" w:type="pct"/>
          </w:tcPr>
          <w:p w14:paraId="7D6DA5D8" w14:textId="77777777" w:rsidR="00366BED" w:rsidRPr="005C5E32" w:rsidRDefault="00366BED">
            <w:pPr>
              <w:pStyle w:val="TableText"/>
            </w:pPr>
            <w:r w:rsidRPr="005C5E32">
              <w:t>Total appropriation</w:t>
            </w:r>
          </w:p>
        </w:tc>
        <w:tc>
          <w:tcPr>
            <w:tcW w:w="999" w:type="pct"/>
          </w:tcPr>
          <w:p w14:paraId="728046E7" w14:textId="77777777" w:rsidR="00366BED" w:rsidRPr="005C5E32" w:rsidRDefault="00366BED">
            <w:pPr>
              <w:pStyle w:val="TableText"/>
              <w:jc w:val="right"/>
            </w:pPr>
            <w:r w:rsidRPr="005C5E32">
              <w:t>930</w:t>
            </w:r>
          </w:p>
        </w:tc>
        <w:tc>
          <w:tcPr>
            <w:tcW w:w="832" w:type="pct"/>
          </w:tcPr>
          <w:p w14:paraId="3E2CFA70" w14:textId="2B77A4D7" w:rsidR="00366BED" w:rsidRPr="005C5E32" w:rsidRDefault="00545807">
            <w:pPr>
              <w:pStyle w:val="TableText"/>
              <w:jc w:val="right"/>
            </w:pPr>
            <w:r w:rsidRPr="005C5E32">
              <w:t>13,070</w:t>
            </w:r>
          </w:p>
        </w:tc>
        <w:tc>
          <w:tcPr>
            <w:tcW w:w="833" w:type="pct"/>
          </w:tcPr>
          <w:p w14:paraId="5E907187" w14:textId="0B906CD6" w:rsidR="00366BED" w:rsidRPr="005C5E32" w:rsidRDefault="00545807">
            <w:pPr>
              <w:pStyle w:val="TableText"/>
              <w:jc w:val="right"/>
            </w:pPr>
            <w:r w:rsidRPr="005C5E32">
              <w:t>12,660</w:t>
            </w:r>
          </w:p>
        </w:tc>
        <w:tc>
          <w:tcPr>
            <w:tcW w:w="836" w:type="pct"/>
          </w:tcPr>
          <w:p w14:paraId="666035E3" w14:textId="497D2013" w:rsidR="00366BED" w:rsidRPr="005C5E32" w:rsidRDefault="00545807">
            <w:pPr>
              <w:pStyle w:val="TableText"/>
              <w:jc w:val="right"/>
            </w:pPr>
            <w:r w:rsidRPr="005C5E32">
              <w:t>8,213</w:t>
            </w:r>
          </w:p>
        </w:tc>
      </w:tr>
    </w:tbl>
    <w:p w14:paraId="66641B27" w14:textId="1A9EB84B" w:rsidR="00366BED" w:rsidRPr="005C5E32" w:rsidRDefault="00366BED" w:rsidP="00547728">
      <w:pPr>
        <w:pStyle w:val="BodyText"/>
        <w:spacing w:before="240"/>
      </w:pPr>
      <w:r w:rsidRPr="005C5E32">
        <w:t>The actual expenditure was lower than the Supplementary Estimates by $</w:t>
      </w:r>
      <w:r w:rsidR="00312A2F" w:rsidRPr="005C5E32">
        <w:t>4.447</w:t>
      </w:r>
      <w:r w:rsidRPr="005C5E32">
        <w:t xml:space="preserve"> million due to</w:t>
      </w:r>
      <w:r w:rsidR="00F418DF" w:rsidRPr="005C5E32">
        <w:t> </w:t>
      </w:r>
      <w:r w:rsidR="000C637F" w:rsidRPr="005C5E32">
        <w:t>project delays resulting from a range of factors, including severe weather events</w:t>
      </w:r>
      <w:r w:rsidRPr="005C5E32">
        <w:t xml:space="preserve"> and </w:t>
      </w:r>
      <w:r w:rsidR="000C637F" w:rsidRPr="005C5E32">
        <w:t>projects requiring additional time to complete planning, procurement, consenting</w:t>
      </w:r>
      <w:r w:rsidRPr="005C5E32">
        <w:t xml:space="preserve"> and </w:t>
      </w:r>
      <w:r w:rsidR="000C637F" w:rsidRPr="005C5E32">
        <w:t xml:space="preserve">delivery activities. In addition, </w:t>
      </w:r>
      <w:r w:rsidR="008762EB" w:rsidRPr="005C5E32">
        <w:t xml:space="preserve">through </w:t>
      </w:r>
      <w:r w:rsidR="000C637F" w:rsidRPr="005C5E32">
        <w:t>contract</w:t>
      </w:r>
      <w:r w:rsidRPr="005C5E32">
        <w:t xml:space="preserve"> negotiations </w:t>
      </w:r>
      <w:r w:rsidR="008762EB" w:rsidRPr="005C5E32">
        <w:t>more</w:t>
      </w:r>
      <w:r w:rsidR="000C637F" w:rsidRPr="005C5E32">
        <w:t xml:space="preserve"> funding </w:t>
      </w:r>
      <w:r w:rsidR="008762EB" w:rsidRPr="005C5E32">
        <w:t xml:space="preserve">became </w:t>
      </w:r>
      <w:r w:rsidR="000C637F" w:rsidRPr="005C5E32">
        <w:t xml:space="preserve">available </w:t>
      </w:r>
      <w:r w:rsidRPr="005C5E32">
        <w:t xml:space="preserve">for </w:t>
      </w:r>
      <w:r w:rsidR="000C637F" w:rsidRPr="005C5E32">
        <w:t>a third tranche of projects</w:t>
      </w:r>
      <w:r w:rsidR="00194817" w:rsidRPr="005C5E32">
        <w:t>. This funding was</w:t>
      </w:r>
      <w:r w:rsidR="000C637F" w:rsidRPr="005C5E32">
        <w:t xml:space="preserve"> awarded in March 2026, with expenditure now expected in 2</w:t>
      </w:r>
      <w:r w:rsidR="003F42C0" w:rsidRPr="005C5E32">
        <w:t>02</w:t>
      </w:r>
      <w:r w:rsidR="000C637F" w:rsidRPr="005C5E32">
        <w:t>6/27</w:t>
      </w:r>
      <w:r w:rsidR="003F42C0" w:rsidRPr="005C5E32">
        <w:t xml:space="preserve">. </w:t>
      </w:r>
    </w:p>
    <w:p w14:paraId="0A475231" w14:textId="77777777" w:rsidR="00F163BC" w:rsidRDefault="00F163BC">
      <w:pPr>
        <w:spacing w:before="0" w:after="200" w:line="276" w:lineRule="auto"/>
        <w:jc w:val="left"/>
      </w:pPr>
    </w:p>
    <w:p w14:paraId="5BCAD776" w14:textId="77777777" w:rsidR="00F163BC" w:rsidRDefault="00F163BC">
      <w:pPr>
        <w:spacing w:before="0" w:after="200" w:line="276" w:lineRule="auto"/>
        <w:jc w:val="left"/>
        <w:sectPr w:rsidR="00F163BC" w:rsidSect="00DC55A6">
          <w:headerReference w:type="even" r:id="rId111"/>
          <w:headerReference w:type="default" r:id="rId112"/>
          <w:pgSz w:w="11907" w:h="16840" w:code="9"/>
          <w:pgMar w:top="1134" w:right="1474" w:bottom="1134" w:left="1418" w:header="567" w:footer="567" w:gutter="510"/>
          <w:cols w:space="720"/>
          <w:docGrid w:linePitch="299"/>
        </w:sectPr>
      </w:pPr>
    </w:p>
    <w:p w14:paraId="29811341" w14:textId="0B08CB3D" w:rsidR="00366BED" w:rsidRPr="005C5E32" w:rsidRDefault="00366BED" w:rsidP="00F163BC">
      <w:pPr>
        <w:pStyle w:val="Heading2"/>
        <w:spacing w:before="0"/>
      </w:pPr>
      <w:bookmarkStart w:id="490" w:name="_Toc240445605"/>
      <w:r w:rsidRPr="005C5E32">
        <w:rPr>
          <w:lang w:eastAsia="en-US"/>
        </w:rPr>
        <w:lastRenderedPageBreak/>
        <w:t xml:space="preserve">Notes to </w:t>
      </w:r>
      <w:r w:rsidRPr="005C5E32">
        <w:t>Minister of Climate Change</w:t>
      </w:r>
      <w:r w:rsidR="000369F8" w:rsidRPr="005C5E32">
        <w:t>’</w:t>
      </w:r>
      <w:r w:rsidRPr="005C5E32">
        <w:t>s Report on non</w:t>
      </w:r>
      <w:r w:rsidRPr="005C5E32">
        <w:noBreakHyphen/>
        <w:t>departmental appropriations 2025/26</w:t>
      </w:r>
      <w:bookmarkEnd w:id="490"/>
    </w:p>
    <w:p w14:paraId="56A10D6A" w14:textId="77777777" w:rsidR="00366BED" w:rsidRPr="005C5E32" w:rsidRDefault="00366BED" w:rsidP="00F418DF">
      <w:pPr>
        <w:pStyle w:val="Heading4"/>
      </w:pPr>
      <w:bookmarkStart w:id="491" w:name="_Note_1_–_1"/>
      <w:bookmarkEnd w:id="491"/>
      <w:r w:rsidRPr="005C5E32">
        <w:t>Note 1 – Pou Take Āhuarangi joint work programme</w:t>
      </w:r>
    </w:p>
    <w:p w14:paraId="7B8C6F93" w14:textId="7BE67AC1" w:rsidR="00366BED" w:rsidRPr="005C5E32" w:rsidRDefault="00366BED">
      <w:pPr>
        <w:pStyle w:val="BodyText"/>
        <w:rPr>
          <w:rFonts w:cs="Calibri"/>
        </w:rPr>
      </w:pPr>
      <w:r w:rsidRPr="005C5E32">
        <w:rPr>
          <w:rFonts w:cs="Calibri"/>
          <w:spacing w:val="-2"/>
        </w:rPr>
        <w:t>The Pou Take Āhuarangi</w:t>
      </w:r>
      <w:r w:rsidRPr="005C5E32" w:rsidDel="00DC7BD1">
        <w:rPr>
          <w:rFonts w:cs="Calibri"/>
          <w:spacing w:val="-2"/>
        </w:rPr>
        <w:t xml:space="preserve"> </w:t>
      </w:r>
      <w:r w:rsidRPr="005C5E32">
        <w:rPr>
          <w:rFonts w:cs="Calibri"/>
          <w:spacing w:val="-2"/>
        </w:rPr>
        <w:t>joint work programme for 2025/26 comprised activities and deliverables</w:t>
      </w:r>
      <w:r w:rsidRPr="005C5E32">
        <w:rPr>
          <w:rFonts w:cs="Calibri"/>
        </w:rPr>
        <w:t xml:space="preserve"> that Pou Take Āhuarangi</w:t>
      </w:r>
      <w:r w:rsidRPr="005C5E32" w:rsidDel="00DC7BD1">
        <w:rPr>
          <w:rFonts w:cs="Calibri"/>
        </w:rPr>
        <w:t xml:space="preserve"> </w:t>
      </w:r>
      <w:r w:rsidRPr="005C5E32">
        <w:rPr>
          <w:rFonts w:cs="Calibri"/>
        </w:rPr>
        <w:t xml:space="preserve">delivered and the Ministry supported through a deed of funding. Achievement was measured through quarterly reporting. </w:t>
      </w:r>
    </w:p>
    <w:p w14:paraId="55A152F6" w14:textId="77777777" w:rsidR="00366BED" w:rsidRPr="005C5E32" w:rsidRDefault="00366BED" w:rsidP="0000125C">
      <w:pPr>
        <w:pStyle w:val="Heading4"/>
      </w:pPr>
      <w:bookmarkStart w:id="492" w:name="_Note_2_–_1"/>
      <w:bookmarkEnd w:id="492"/>
      <w:r w:rsidRPr="005C5E32">
        <w:t>Note 2 – Māori Climate Platform projects</w:t>
      </w:r>
    </w:p>
    <w:p w14:paraId="28F88B40" w14:textId="1E3E0F9C" w:rsidR="00366BED" w:rsidRPr="005C5E32" w:rsidRDefault="00366BED">
      <w:pPr>
        <w:pStyle w:val="BodyText"/>
      </w:pPr>
      <w:r w:rsidRPr="005C5E32">
        <w:t xml:space="preserve">This measure was revised for the financial year 2025/26 to reflect the progression of the </w:t>
      </w:r>
      <w:r w:rsidR="00DC257B" w:rsidRPr="005C5E32">
        <w:t>Māori Climate Platform</w:t>
      </w:r>
      <w:r w:rsidR="00DC257B" w:rsidRPr="005C5E32" w:rsidDel="00DC257B">
        <w:t xml:space="preserve"> </w:t>
      </w:r>
      <w:r w:rsidRPr="005C5E32">
        <w:t>from project establishment and launch to delivery. As a result, the measure is not directly comparable with that reported in the pr</w:t>
      </w:r>
      <w:r w:rsidR="00194817" w:rsidRPr="005C5E32">
        <w:t>evious</w:t>
      </w:r>
      <w:r w:rsidRPr="005C5E32">
        <w:t xml:space="preserve"> year. Projects are assessed as being on track based on </w:t>
      </w:r>
      <w:r w:rsidR="00194817" w:rsidRPr="005C5E32">
        <w:t xml:space="preserve">their </w:t>
      </w:r>
      <w:r w:rsidRPr="005C5E32">
        <w:t>progress against agreed milestones and delivery timeframes.</w:t>
      </w:r>
    </w:p>
    <w:p w14:paraId="6202CE98" w14:textId="77777777" w:rsidR="00366BED" w:rsidRPr="00D73FE7" w:rsidRDefault="00366BED" w:rsidP="00547728">
      <w:pPr>
        <w:pStyle w:val="BodyText"/>
        <w:spacing w:before="240"/>
      </w:pPr>
      <w:r w:rsidRPr="005C5E32">
        <w:rPr>
          <w:b/>
          <w:bCs/>
          <w:i/>
          <w:iCs/>
        </w:rPr>
        <w:br w:type="page"/>
      </w:r>
    </w:p>
    <w:p w14:paraId="20BC8DD7" w14:textId="4F3D206F" w:rsidR="00366BED" w:rsidRPr="005C5E32" w:rsidRDefault="00366BED" w:rsidP="00802753">
      <w:pPr>
        <w:pStyle w:val="Heading2"/>
      </w:pPr>
      <w:bookmarkStart w:id="493" w:name="_Minister_for_the"/>
      <w:bookmarkStart w:id="494" w:name="_Toc142667732"/>
      <w:bookmarkStart w:id="495" w:name="_Toc143698449"/>
      <w:bookmarkStart w:id="496" w:name="_Toc177626503"/>
      <w:bookmarkStart w:id="497" w:name="_Toc207017435"/>
      <w:bookmarkStart w:id="498" w:name="_Toc210136394"/>
      <w:bookmarkStart w:id="499" w:name="_Toc240445606"/>
      <w:bookmarkEnd w:id="493"/>
      <w:r w:rsidRPr="005C5E32">
        <w:lastRenderedPageBreak/>
        <w:t>Minister for the Environment</w:t>
      </w:r>
      <w:r w:rsidR="000369F8" w:rsidRPr="005C5E32">
        <w:t>’</w:t>
      </w:r>
      <w:r w:rsidRPr="005C5E32">
        <w:t xml:space="preserve">s Report on non-departmental appropriations </w:t>
      </w:r>
      <w:bookmarkEnd w:id="494"/>
      <w:bookmarkEnd w:id="495"/>
      <w:bookmarkEnd w:id="496"/>
      <w:bookmarkEnd w:id="497"/>
      <w:bookmarkEnd w:id="498"/>
      <w:r w:rsidRPr="005C5E32">
        <w:t>2025/26</w:t>
      </w:r>
      <w:bookmarkEnd w:id="499"/>
    </w:p>
    <w:p w14:paraId="7C9A24CD" w14:textId="052BD23B" w:rsidR="00366BED" w:rsidRPr="005C5E32" w:rsidRDefault="00366BED" w:rsidP="003B4A7F">
      <w:pPr>
        <w:pStyle w:val="BodyText"/>
      </w:pPr>
      <w:r w:rsidRPr="005C5E32">
        <w:t xml:space="preserve">This report outlines performance against non-departmental appropriations administered under the Minister for the Environment. These appropriations represent Crown funding managed by the Ministry </w:t>
      </w:r>
      <w:r w:rsidR="0053155D" w:rsidRPr="005C5E32">
        <w:t xml:space="preserve">for the Environment (the Ministry) </w:t>
      </w:r>
      <w:r w:rsidRPr="005C5E32">
        <w:t>and provided to third-party organisations to deliver outputs and services aligned with the environment portfolio.</w:t>
      </w:r>
    </w:p>
    <w:p w14:paraId="4082D96A" w14:textId="193D265A" w:rsidR="00366BED" w:rsidRPr="00D73FE7" w:rsidRDefault="00366BED" w:rsidP="003F63F4">
      <w:pPr>
        <w:pStyle w:val="BodyText"/>
      </w:pPr>
      <w:r w:rsidRPr="005C5E32">
        <w:t>Performance in this report supports the Ministry</w:t>
      </w:r>
      <w:r w:rsidR="000369F8" w:rsidRPr="005C5E32">
        <w:t>’</w:t>
      </w:r>
      <w:r w:rsidRPr="005C5E32">
        <w:t xml:space="preserve">s performance against strategic priority 5: Ensure our investments, partnerships and relationships enable others to achieve impactful solutions. </w:t>
      </w:r>
    </w:p>
    <w:p w14:paraId="04A18ED5" w14:textId="77777777" w:rsidR="00CE4F93" w:rsidRDefault="00CE4F93" w:rsidP="00F543A4">
      <w:pPr>
        <w:pStyle w:val="BodyText"/>
        <w:sectPr w:rsidR="00CE4F93" w:rsidSect="00DC55A6">
          <w:headerReference w:type="even" r:id="rId113"/>
          <w:headerReference w:type="default" r:id="rId114"/>
          <w:pgSz w:w="11907" w:h="16840" w:code="9"/>
          <w:pgMar w:top="1134" w:right="1474" w:bottom="1134" w:left="1418" w:header="567" w:footer="567" w:gutter="510"/>
          <w:cols w:space="720"/>
          <w:docGrid w:linePitch="299"/>
        </w:sectPr>
      </w:pPr>
      <w:bookmarkStart w:id="500" w:name="_Toc207017436"/>
      <w:bookmarkStart w:id="501" w:name="_Toc207017525"/>
    </w:p>
    <w:p w14:paraId="5E7B2AFD" w14:textId="77777777" w:rsidR="00366BED" w:rsidRPr="005C5E32" w:rsidRDefault="00366BED" w:rsidP="00E218A1">
      <w:pPr>
        <w:pStyle w:val="Heading2"/>
        <w:spacing w:before="0"/>
        <w:rPr>
          <w:color w:val="1B556B" w:themeColor="text2"/>
        </w:rPr>
      </w:pPr>
      <w:bookmarkStart w:id="502" w:name="_Toc240445607"/>
      <w:r w:rsidRPr="005C5E32">
        <w:rPr>
          <w:color w:val="1B556B" w:themeColor="text2"/>
        </w:rPr>
        <w:lastRenderedPageBreak/>
        <w:t>Multi-year appropriations</w:t>
      </w:r>
      <w:bookmarkEnd w:id="500"/>
      <w:bookmarkEnd w:id="501"/>
      <w:bookmarkEnd w:id="502"/>
    </w:p>
    <w:p w14:paraId="362D0F57" w14:textId="77777777" w:rsidR="00366BED" w:rsidRPr="005C5E32" w:rsidRDefault="00366BED" w:rsidP="00A00AA7">
      <w:pPr>
        <w:pStyle w:val="Heading3"/>
        <w:spacing w:before="240"/>
      </w:pPr>
      <w:r w:rsidRPr="005C5E32">
        <w:t>Fresh Start for Fresh Water: Rotorua Te Arawa Lakes Programme</w:t>
      </w:r>
    </w:p>
    <w:p w14:paraId="79B257DD" w14:textId="77777777" w:rsidR="00366BED" w:rsidRPr="005C5E32" w:rsidRDefault="00366BED" w:rsidP="00A00AA7">
      <w:pPr>
        <w:pStyle w:val="Heading4"/>
        <w:spacing w:before="180" w:after="180"/>
      </w:pPr>
      <w:r w:rsidRPr="005C5E32">
        <w:t>Non-departmental output expenses</w:t>
      </w:r>
    </w:p>
    <w:tbl>
      <w:tblPr>
        <w:tblStyle w:val="TableGrid"/>
        <w:tblW w:w="5000" w:type="pct"/>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ayout w:type="fixed"/>
        <w:tblLook w:val="04A0" w:firstRow="1" w:lastRow="0" w:firstColumn="1" w:lastColumn="0" w:noHBand="0" w:noVBand="1"/>
      </w:tblPr>
      <w:tblGrid>
        <w:gridCol w:w="2695"/>
        <w:gridCol w:w="2126"/>
        <w:gridCol w:w="1558"/>
        <w:gridCol w:w="2126"/>
      </w:tblGrid>
      <w:tr w:rsidR="00366BED" w:rsidRPr="005C5E32" w14:paraId="1550FBF9" w14:textId="77777777" w:rsidTr="00421368">
        <w:trPr>
          <w:trHeight w:val="360"/>
          <w:tblHeader/>
        </w:trPr>
        <w:tc>
          <w:tcPr>
            <w:tcW w:w="1584" w:type="pct"/>
            <w:shd w:val="clear" w:color="auto" w:fill="1B556B"/>
          </w:tcPr>
          <w:p w14:paraId="49E1C2A1" w14:textId="77777777" w:rsidR="00366BED" w:rsidRPr="005C5E32" w:rsidRDefault="00366BED" w:rsidP="003D0CC1">
            <w:pPr>
              <w:pStyle w:val="TableTextbold"/>
              <w:spacing w:before="40"/>
              <w:rPr>
                <w:color w:val="FFFFFF" w:themeColor="background1"/>
              </w:rPr>
            </w:pPr>
            <w:r w:rsidRPr="005C5E32">
              <w:rPr>
                <w:color w:val="FFFFFF" w:themeColor="background1"/>
              </w:rPr>
              <w:t>Performance measure</w:t>
            </w:r>
          </w:p>
        </w:tc>
        <w:tc>
          <w:tcPr>
            <w:tcW w:w="1250" w:type="pct"/>
            <w:shd w:val="clear" w:color="auto" w:fill="1B556B"/>
          </w:tcPr>
          <w:p w14:paraId="74F47260" w14:textId="77777777" w:rsidR="00366BED" w:rsidRPr="005C5E32" w:rsidRDefault="00366BED" w:rsidP="003D0CC1">
            <w:pPr>
              <w:pStyle w:val="TableTextbold"/>
              <w:spacing w:before="40"/>
              <w:rPr>
                <w:color w:val="FFFFFF" w:themeColor="background1"/>
              </w:rPr>
            </w:pPr>
            <w:r w:rsidRPr="005C5E32">
              <w:rPr>
                <w:color w:val="FFFFFF" w:themeColor="background1"/>
              </w:rPr>
              <w:t>2024/25 performance</w:t>
            </w:r>
          </w:p>
        </w:tc>
        <w:tc>
          <w:tcPr>
            <w:tcW w:w="916" w:type="pct"/>
            <w:shd w:val="clear" w:color="auto" w:fill="1B556B"/>
          </w:tcPr>
          <w:p w14:paraId="60D4CF8C" w14:textId="77777777" w:rsidR="00366BED" w:rsidRPr="005C5E32" w:rsidRDefault="00366BED" w:rsidP="003D0CC1">
            <w:pPr>
              <w:pStyle w:val="TableTextbold"/>
              <w:spacing w:before="40"/>
              <w:rPr>
                <w:color w:val="FFFFFF" w:themeColor="background1"/>
              </w:rPr>
            </w:pPr>
            <w:r w:rsidRPr="005C5E32">
              <w:rPr>
                <w:color w:val="FFFFFF" w:themeColor="background1"/>
              </w:rPr>
              <w:t>2025/26 target</w:t>
            </w:r>
          </w:p>
        </w:tc>
        <w:tc>
          <w:tcPr>
            <w:tcW w:w="1250" w:type="pct"/>
            <w:shd w:val="clear" w:color="auto" w:fill="1B556B"/>
          </w:tcPr>
          <w:p w14:paraId="5F2B25AB" w14:textId="77777777" w:rsidR="00366BED" w:rsidRPr="005C5E32" w:rsidRDefault="00366BED" w:rsidP="003D0CC1">
            <w:pPr>
              <w:pStyle w:val="TableTextbold"/>
              <w:spacing w:before="40"/>
              <w:rPr>
                <w:color w:val="FFFFFF" w:themeColor="background1"/>
              </w:rPr>
            </w:pPr>
            <w:r w:rsidRPr="005C5E32">
              <w:rPr>
                <w:color w:val="FFFFFF" w:themeColor="background1"/>
              </w:rPr>
              <w:t>2025/26 performance</w:t>
            </w:r>
          </w:p>
        </w:tc>
      </w:tr>
      <w:tr w:rsidR="00366BED" w:rsidRPr="005C5E32" w14:paraId="52AC5584" w14:textId="77777777" w:rsidTr="00421368">
        <w:trPr>
          <w:trHeight w:val="360"/>
        </w:trPr>
        <w:tc>
          <w:tcPr>
            <w:tcW w:w="1584" w:type="pct"/>
            <w:tcBorders>
              <w:bottom w:val="single" w:sz="4" w:space="0" w:color="1B556B"/>
            </w:tcBorders>
          </w:tcPr>
          <w:p w14:paraId="5EDF33AE" w14:textId="570D7E83" w:rsidR="00366BED" w:rsidRPr="005C5E32" w:rsidRDefault="00366BED" w:rsidP="003D0CC1">
            <w:pPr>
              <w:pStyle w:val="TableText"/>
              <w:spacing w:before="40"/>
            </w:pPr>
            <w:r w:rsidRPr="005C5E32">
              <w:t xml:space="preserve">The number of </w:t>
            </w:r>
            <w:r w:rsidRPr="005C5E32" w:rsidDel="00FF600C">
              <w:t>D</w:t>
            </w:r>
            <w:r w:rsidRPr="005C5E32">
              <w:t>eed</w:t>
            </w:r>
            <w:r w:rsidRPr="005C5E32" w:rsidDel="007365F1">
              <w:t xml:space="preserve"> </w:t>
            </w:r>
            <w:r w:rsidRPr="005C5E32">
              <w:t xml:space="preserve">funded lakes that are no greater than 0.2 </w:t>
            </w:r>
            <w:r w:rsidRPr="005C5E32" w:rsidDel="0022723A">
              <w:t xml:space="preserve">TLI </w:t>
            </w:r>
            <w:r w:rsidRPr="005C5E32">
              <w:t xml:space="preserve">units above their target </w:t>
            </w:r>
            <w:r w:rsidRPr="005C5E32" w:rsidDel="00B1057F">
              <w:t>Trophic Level Index (</w:t>
            </w:r>
            <w:r w:rsidRPr="005C5E32">
              <w:t>TLI</w:t>
            </w:r>
            <w:r w:rsidRPr="005C5E32" w:rsidDel="00B1057F">
              <w:t>)</w:t>
            </w:r>
            <w:r w:rsidRPr="005C5E32">
              <w:t>, based on the three-year rolling TLI</w:t>
            </w:r>
          </w:p>
          <w:p w14:paraId="33CE8B34" w14:textId="3D6054A2" w:rsidR="00366BED" w:rsidRPr="005C5E32" w:rsidRDefault="00366BED" w:rsidP="00E5564E">
            <w:pPr>
              <w:pStyle w:val="Tablegreen"/>
            </w:pPr>
            <w:hyperlink w:anchor="_Note_1:_Trophic" w:history="1">
              <w:r w:rsidRPr="005C5E32">
                <w:rPr>
                  <w:rStyle w:val="Hyperlink"/>
                  <w:i/>
                  <w:iCs/>
                </w:rPr>
                <w:t>See note 1</w:t>
              </w:r>
            </w:hyperlink>
          </w:p>
        </w:tc>
        <w:tc>
          <w:tcPr>
            <w:tcW w:w="1250" w:type="pct"/>
            <w:tcBorders>
              <w:bottom w:val="single" w:sz="4" w:space="0" w:color="1B556B"/>
            </w:tcBorders>
          </w:tcPr>
          <w:p w14:paraId="15BF2070" w14:textId="77777777" w:rsidR="00366BED" w:rsidRPr="005C5E32" w:rsidRDefault="00366BED">
            <w:pPr>
              <w:pStyle w:val="TableText"/>
              <w:spacing w:before="40"/>
            </w:pPr>
            <w:r w:rsidRPr="005C5E32">
              <w:t>2 out of 4 lakes</w:t>
            </w:r>
          </w:p>
          <w:p w14:paraId="604C144B" w14:textId="77777777" w:rsidR="00366BED" w:rsidRPr="005C5E32" w:rsidRDefault="00366BED">
            <w:pPr>
              <w:pStyle w:val="TableText"/>
              <w:spacing w:after="0"/>
            </w:pPr>
            <w:r w:rsidRPr="005C5E32">
              <w:t>Met target:</w:t>
            </w:r>
          </w:p>
          <w:p w14:paraId="61B37682" w14:textId="77777777" w:rsidR="00366BED" w:rsidRPr="005C5E32" w:rsidRDefault="00366BED" w:rsidP="00421368">
            <w:pPr>
              <w:pStyle w:val="TableText"/>
              <w:spacing w:before="0"/>
            </w:pPr>
            <w:r w:rsidRPr="005C5E32">
              <w:t xml:space="preserve">Lake Rotorua: three-year average is 4.3, target level of 4.2 </w:t>
            </w:r>
          </w:p>
          <w:p w14:paraId="3CD63D55" w14:textId="77777777" w:rsidR="00366BED" w:rsidRPr="005C5E32" w:rsidRDefault="00366BED">
            <w:pPr>
              <w:pStyle w:val="TableText"/>
            </w:pPr>
            <w:r w:rsidRPr="005C5E32">
              <w:t xml:space="preserve">Lake Ōkareka: three-year average is 3.1, target level of 3.0 </w:t>
            </w:r>
          </w:p>
          <w:p w14:paraId="01FBB322" w14:textId="77777777" w:rsidR="00366BED" w:rsidRPr="005C5E32" w:rsidRDefault="00366BED">
            <w:pPr>
              <w:pStyle w:val="TableText"/>
            </w:pPr>
            <w:r w:rsidRPr="005C5E32">
              <w:t>Did not meet target:</w:t>
            </w:r>
          </w:p>
          <w:p w14:paraId="3013DD3E" w14:textId="77777777" w:rsidR="00366BED" w:rsidRPr="005C5E32" w:rsidRDefault="00366BED" w:rsidP="00421368">
            <w:pPr>
              <w:pStyle w:val="TableText"/>
              <w:spacing w:before="0"/>
            </w:pPr>
            <w:r w:rsidRPr="005C5E32">
              <w:t xml:space="preserve">Lake Rotoehu: three-year average is 4.3, target level of 3.9 </w:t>
            </w:r>
          </w:p>
          <w:p w14:paraId="08732F23" w14:textId="1317FDCF" w:rsidR="00366BED" w:rsidRPr="005C5E32" w:rsidRDefault="00366BED" w:rsidP="00325087">
            <w:pPr>
              <w:pStyle w:val="TableText"/>
            </w:pPr>
            <w:r w:rsidRPr="005C5E32">
              <w:t>Lake Rotoiti: three-year average is 3.8, target level of 3.5</w:t>
            </w:r>
          </w:p>
        </w:tc>
        <w:tc>
          <w:tcPr>
            <w:tcW w:w="916" w:type="pct"/>
            <w:tcBorders>
              <w:bottom w:val="single" w:sz="4" w:space="0" w:color="1B556B"/>
            </w:tcBorders>
          </w:tcPr>
          <w:p w14:paraId="45E3FE39" w14:textId="77777777" w:rsidR="00366BED" w:rsidRPr="005C5E32" w:rsidRDefault="00366BED" w:rsidP="003D0CC1">
            <w:pPr>
              <w:pStyle w:val="TableText"/>
              <w:spacing w:before="40"/>
            </w:pPr>
            <w:r w:rsidRPr="005C5E32" w:rsidDel="00B07EFD">
              <w:t>3</w:t>
            </w:r>
            <w:r w:rsidRPr="005C5E32">
              <w:t xml:space="preserve"> out of </w:t>
            </w:r>
            <w:r w:rsidRPr="005C5E32" w:rsidDel="00B07EFD">
              <w:t xml:space="preserve">4 </w:t>
            </w:r>
            <w:r w:rsidRPr="005C5E32">
              <w:t>lakes</w:t>
            </w:r>
          </w:p>
        </w:tc>
        <w:tc>
          <w:tcPr>
            <w:tcW w:w="1250" w:type="pct"/>
            <w:tcBorders>
              <w:bottom w:val="single" w:sz="4" w:space="0" w:color="1B556B"/>
            </w:tcBorders>
          </w:tcPr>
          <w:p w14:paraId="0C868E40" w14:textId="77777777" w:rsidR="002569C5" w:rsidRPr="005C5E32" w:rsidRDefault="002569C5" w:rsidP="002569C5">
            <w:pPr>
              <w:pStyle w:val="TableText"/>
              <w:spacing w:before="40"/>
            </w:pPr>
            <w:r w:rsidRPr="005C5E32">
              <w:t xml:space="preserve">2 out of </w:t>
            </w:r>
            <w:r w:rsidRPr="005C5E32" w:rsidDel="00B07EFD">
              <w:t xml:space="preserve">4 </w:t>
            </w:r>
            <w:r w:rsidRPr="005C5E32">
              <w:t>lakes</w:t>
            </w:r>
          </w:p>
          <w:p w14:paraId="210BED77" w14:textId="77777777" w:rsidR="002569C5" w:rsidRPr="005C5E32" w:rsidRDefault="002569C5" w:rsidP="002569C5">
            <w:pPr>
              <w:pStyle w:val="TableText"/>
              <w:spacing w:after="0"/>
            </w:pPr>
            <w:r w:rsidRPr="005C5E32">
              <w:t>Met target:</w:t>
            </w:r>
          </w:p>
          <w:p w14:paraId="61A1BB41" w14:textId="77777777" w:rsidR="002569C5" w:rsidRPr="005C5E32" w:rsidRDefault="002569C5" w:rsidP="00421368">
            <w:pPr>
              <w:pStyle w:val="TableText"/>
              <w:spacing w:before="0"/>
            </w:pPr>
            <w:r w:rsidRPr="005C5E32">
              <w:t xml:space="preserve">Lake Rotorua: three-year average is 4.3, target level of 4.2 </w:t>
            </w:r>
          </w:p>
          <w:p w14:paraId="1499A254" w14:textId="77777777" w:rsidR="002569C5" w:rsidRPr="005C5E32" w:rsidRDefault="002569C5" w:rsidP="002569C5">
            <w:pPr>
              <w:pStyle w:val="TableText"/>
            </w:pPr>
            <w:r w:rsidRPr="005C5E32">
              <w:t xml:space="preserve">Lake Ōkareka: three-year average is 3.2, target level of 3.0 </w:t>
            </w:r>
          </w:p>
          <w:p w14:paraId="64F531B4" w14:textId="77777777" w:rsidR="002569C5" w:rsidRPr="005C5E32" w:rsidRDefault="002569C5" w:rsidP="002569C5">
            <w:pPr>
              <w:pStyle w:val="TableText"/>
            </w:pPr>
            <w:r w:rsidRPr="005C5E32">
              <w:t>Did not meet target:</w:t>
            </w:r>
          </w:p>
          <w:p w14:paraId="2D80A148" w14:textId="77777777" w:rsidR="002569C5" w:rsidRPr="005C5E32" w:rsidRDefault="002569C5" w:rsidP="00421368">
            <w:pPr>
              <w:pStyle w:val="TableText"/>
              <w:spacing w:before="0"/>
            </w:pPr>
            <w:r w:rsidRPr="005C5E32">
              <w:t xml:space="preserve">Lake Rotoehu: three-year average is 4.3, target level of 3.9 </w:t>
            </w:r>
          </w:p>
          <w:p w14:paraId="569CA680" w14:textId="743678B1" w:rsidR="00366BED" w:rsidRPr="005C5E32" w:rsidRDefault="002569C5" w:rsidP="002569C5">
            <w:pPr>
              <w:pStyle w:val="TableText"/>
              <w:spacing w:before="40"/>
              <w:rPr>
                <w:color w:val="FF0000"/>
              </w:rPr>
            </w:pPr>
            <w:r w:rsidRPr="005C5E32">
              <w:t>Lake Rotoiti: three-year average is 3.8, target level of 3.5</w:t>
            </w:r>
          </w:p>
        </w:tc>
      </w:tr>
      <w:tr w:rsidR="00366BED" w:rsidRPr="005C5E32" w14:paraId="200CE794" w14:textId="77777777" w:rsidTr="00E644B7">
        <w:tc>
          <w:tcPr>
            <w:tcW w:w="5000" w:type="pct"/>
            <w:gridSpan w:val="4"/>
            <w:tcBorders>
              <w:bottom w:val="single" w:sz="12" w:space="0" w:color="1B556B"/>
            </w:tcBorders>
            <w:shd w:val="clear" w:color="auto" w:fill="D2DDE1"/>
          </w:tcPr>
          <w:p w14:paraId="1F891710" w14:textId="49F930E4" w:rsidR="00152AA4" w:rsidRPr="005C5E32" w:rsidRDefault="00366BED" w:rsidP="00152AA4">
            <w:pPr>
              <w:pStyle w:val="TableText"/>
              <w:spacing w:before="40"/>
            </w:pPr>
            <w:r w:rsidRPr="005C5E32">
              <w:rPr>
                <w:b/>
                <w:bCs/>
              </w:rPr>
              <w:t>2025/26 commentary:</w:t>
            </w:r>
            <w:r w:rsidR="005B7E42" w:rsidRPr="005C5E32">
              <w:rPr>
                <w:b/>
                <w:bCs/>
              </w:rPr>
              <w:t xml:space="preserve"> </w:t>
            </w:r>
            <w:r w:rsidR="00152AA4" w:rsidRPr="005C5E32">
              <w:t xml:space="preserve">The </w:t>
            </w:r>
            <w:r w:rsidR="00325087" w:rsidRPr="005C5E32">
              <w:t>three</w:t>
            </w:r>
            <w:r w:rsidR="00152AA4" w:rsidRPr="005C5E32">
              <w:t xml:space="preserve">-year average of </w:t>
            </w:r>
            <w:r w:rsidR="00875845" w:rsidRPr="005C5E32">
              <w:t xml:space="preserve">two </w:t>
            </w:r>
            <w:r w:rsidR="00152AA4" w:rsidRPr="005C5E32">
              <w:t xml:space="preserve">out of </w:t>
            </w:r>
            <w:r w:rsidR="00875845" w:rsidRPr="005C5E32">
              <w:t xml:space="preserve">four </w:t>
            </w:r>
            <w:r w:rsidR="00152AA4" w:rsidRPr="005C5E32">
              <w:t xml:space="preserve">lakes is greater than 0.2 TLI units difference </w:t>
            </w:r>
            <w:r w:rsidR="00875845" w:rsidRPr="005C5E32">
              <w:t>set for</w:t>
            </w:r>
            <w:r w:rsidR="00325087" w:rsidRPr="005C5E32">
              <w:t xml:space="preserve"> </w:t>
            </w:r>
            <w:r w:rsidR="00152AA4" w:rsidRPr="005C5E32">
              <w:t>their target.</w:t>
            </w:r>
          </w:p>
          <w:p w14:paraId="69468E10" w14:textId="5443BA79" w:rsidR="00152AA4" w:rsidRPr="005C5E32" w:rsidRDefault="00325087" w:rsidP="00152AA4">
            <w:pPr>
              <w:pStyle w:val="TableText"/>
              <w:spacing w:before="40"/>
            </w:pPr>
            <w:r w:rsidRPr="005C5E32">
              <w:t xml:space="preserve">The TLI of </w:t>
            </w:r>
            <w:r w:rsidR="00152AA4" w:rsidRPr="005C5E32">
              <w:t>Lake Rotoehu decreased by 0.1 units in 2025/26 to 4.1, with a three-year rolling average of 4.3 TLI</w:t>
            </w:r>
            <w:r w:rsidR="002400E2" w:rsidRPr="005C5E32">
              <w:t xml:space="preserve"> units</w:t>
            </w:r>
            <w:r w:rsidR="00152AA4" w:rsidRPr="005C5E32">
              <w:t xml:space="preserve">. While the 2025/26 value of 4.1 remains above the </w:t>
            </w:r>
            <w:r w:rsidR="00875845" w:rsidRPr="005C5E32">
              <w:t xml:space="preserve">target </w:t>
            </w:r>
            <w:r w:rsidR="00152AA4" w:rsidRPr="005C5E32">
              <w:t>of 3.9 TLI, the</w:t>
            </w:r>
            <w:r w:rsidR="00875845" w:rsidRPr="005C5E32">
              <w:t xml:space="preserve"> TLI has</w:t>
            </w:r>
            <w:r w:rsidR="00152AA4" w:rsidRPr="005C5E32">
              <w:t xml:space="preserve"> decline</w:t>
            </w:r>
            <w:r w:rsidR="00875845" w:rsidRPr="005C5E32">
              <w:t>d steadily</w:t>
            </w:r>
            <w:r w:rsidR="00152AA4" w:rsidRPr="005C5E32">
              <w:t xml:space="preserve"> over the last three years from 4.6 to 4.1 units.</w:t>
            </w:r>
          </w:p>
          <w:p w14:paraId="52C4E011" w14:textId="69D0E940" w:rsidR="00152AA4" w:rsidRPr="005C5E32" w:rsidRDefault="00325087" w:rsidP="00152AA4">
            <w:pPr>
              <w:pStyle w:val="TableText"/>
              <w:spacing w:before="40"/>
            </w:pPr>
            <w:r w:rsidRPr="005C5E32">
              <w:t xml:space="preserve">The TLI of </w:t>
            </w:r>
            <w:r w:rsidR="00152AA4" w:rsidRPr="005C5E32">
              <w:t xml:space="preserve">Lake Rotoiti remained stable at 3.8 </w:t>
            </w:r>
            <w:r w:rsidR="002400E2" w:rsidRPr="005C5E32">
              <w:t xml:space="preserve">units </w:t>
            </w:r>
            <w:r w:rsidR="00152AA4" w:rsidRPr="005C5E32">
              <w:t xml:space="preserve">in 2025/26, in line with </w:t>
            </w:r>
            <w:r w:rsidRPr="005C5E32">
              <w:t xml:space="preserve">the </w:t>
            </w:r>
            <w:r w:rsidR="00152AA4" w:rsidRPr="005C5E32">
              <w:t>previous two years</w:t>
            </w:r>
            <w:r w:rsidRPr="005C5E32">
              <w:t>,</w:t>
            </w:r>
            <w:r w:rsidR="00152AA4" w:rsidRPr="005C5E32">
              <w:t xml:space="preserve"> resulting in a three-year rolling average of 3.8 TLI</w:t>
            </w:r>
            <w:r w:rsidR="002400E2" w:rsidRPr="005C5E32">
              <w:t xml:space="preserve"> units</w:t>
            </w:r>
            <w:r w:rsidR="00152AA4" w:rsidRPr="005C5E32">
              <w:t xml:space="preserve">. While water quality has remained relatively consistent over this period, the TLI </w:t>
            </w:r>
            <w:r w:rsidR="00875845" w:rsidRPr="005C5E32">
              <w:t xml:space="preserve">target </w:t>
            </w:r>
            <w:r w:rsidR="00152AA4" w:rsidRPr="005C5E32">
              <w:t xml:space="preserve">of 3.5 </w:t>
            </w:r>
            <w:r w:rsidR="002400E2" w:rsidRPr="005C5E32">
              <w:t xml:space="preserve">units </w:t>
            </w:r>
            <w:r w:rsidR="00152AA4" w:rsidRPr="005C5E32">
              <w:t>has not been achieved</w:t>
            </w:r>
            <w:r w:rsidR="002400E2" w:rsidRPr="005C5E32">
              <w:t>. However, the result</w:t>
            </w:r>
            <w:r w:rsidR="00152AA4" w:rsidRPr="005C5E32">
              <w:t xml:space="preserve"> is a considerable improvement over the baseline measurement of 4.6 units.</w:t>
            </w:r>
          </w:p>
          <w:p w14:paraId="65D4C75D" w14:textId="16D986D4" w:rsidR="00152AA4" w:rsidRPr="005C5E32" w:rsidRDefault="00325087" w:rsidP="00152AA4">
            <w:pPr>
              <w:pStyle w:val="TableText"/>
              <w:spacing w:before="40"/>
            </w:pPr>
            <w:r w:rsidRPr="005C5E32">
              <w:t xml:space="preserve">The TLI of </w:t>
            </w:r>
            <w:r w:rsidR="00152AA4" w:rsidRPr="005C5E32">
              <w:t>Lake Rotorua increased by 0.1 units in 2025/26 to 4.4</w:t>
            </w:r>
            <w:r w:rsidR="002400E2" w:rsidRPr="005C5E32">
              <w:t>. The</w:t>
            </w:r>
            <w:r w:rsidR="00152AA4" w:rsidRPr="005C5E32">
              <w:t xml:space="preserve"> three-year rolling average </w:t>
            </w:r>
            <w:r w:rsidR="002400E2" w:rsidRPr="005C5E32">
              <w:t xml:space="preserve">is </w:t>
            </w:r>
            <w:r w:rsidR="00152AA4" w:rsidRPr="005C5E32">
              <w:t>4.3 TLI</w:t>
            </w:r>
            <w:r w:rsidR="002400E2" w:rsidRPr="005C5E32">
              <w:t xml:space="preserve"> units</w:t>
            </w:r>
            <w:r w:rsidR="00152AA4" w:rsidRPr="005C5E32">
              <w:t xml:space="preserve">, which is 0.1 units above the </w:t>
            </w:r>
            <w:r w:rsidR="00875845" w:rsidRPr="005C5E32">
              <w:t xml:space="preserve">target </w:t>
            </w:r>
            <w:r w:rsidR="00152AA4" w:rsidRPr="005C5E32">
              <w:t>of 4.2 TLI</w:t>
            </w:r>
            <w:r w:rsidR="002400E2" w:rsidRPr="005C5E32">
              <w:t xml:space="preserve"> units</w:t>
            </w:r>
            <w:r w:rsidR="00152AA4" w:rsidRPr="005C5E32">
              <w:t>.</w:t>
            </w:r>
          </w:p>
          <w:p w14:paraId="4B3A8BAA" w14:textId="4F120CA6" w:rsidR="00366BED" w:rsidRPr="005C5E32" w:rsidRDefault="00325087" w:rsidP="005F1470">
            <w:pPr>
              <w:pStyle w:val="TableText"/>
              <w:spacing w:before="40"/>
            </w:pPr>
            <w:r w:rsidRPr="005C5E32">
              <w:t xml:space="preserve">The TLI of </w:t>
            </w:r>
            <w:r w:rsidR="00152AA4" w:rsidRPr="005C5E32">
              <w:t>Lake Ōk</w:t>
            </w:r>
            <w:r w:rsidRPr="005C5E32">
              <w:t>a</w:t>
            </w:r>
            <w:r w:rsidR="00152AA4" w:rsidRPr="005C5E32">
              <w:t>reka increased by 0.2 units in 2025/26 to 3.3</w:t>
            </w:r>
            <w:r w:rsidR="002400E2" w:rsidRPr="005C5E32">
              <w:t>. The</w:t>
            </w:r>
            <w:r w:rsidR="00152AA4" w:rsidRPr="005C5E32">
              <w:t xml:space="preserve"> three-year rolling average </w:t>
            </w:r>
            <w:r w:rsidR="002400E2" w:rsidRPr="005C5E32">
              <w:t xml:space="preserve">is </w:t>
            </w:r>
            <w:r w:rsidR="00152AA4" w:rsidRPr="005C5E32">
              <w:t>3.2 TLI</w:t>
            </w:r>
            <w:r w:rsidR="002400E2" w:rsidRPr="005C5E32">
              <w:t xml:space="preserve"> units</w:t>
            </w:r>
            <w:r w:rsidR="00152AA4" w:rsidRPr="005C5E32">
              <w:t xml:space="preserve">, which is 0.2 units above the </w:t>
            </w:r>
            <w:r w:rsidR="00875845" w:rsidRPr="005C5E32">
              <w:t xml:space="preserve">target </w:t>
            </w:r>
            <w:r w:rsidR="00152AA4" w:rsidRPr="005C5E32">
              <w:t>of 3.0 TLI</w:t>
            </w:r>
            <w:r w:rsidR="002400E2" w:rsidRPr="005C5E32">
              <w:t xml:space="preserve"> units</w:t>
            </w:r>
            <w:r w:rsidR="00152AA4" w:rsidRPr="005C5E32">
              <w:t>.</w:t>
            </w:r>
          </w:p>
        </w:tc>
      </w:tr>
    </w:tbl>
    <w:p w14:paraId="2A1CE50B" w14:textId="77777777" w:rsidR="00366BED" w:rsidRPr="005C5E32" w:rsidRDefault="00366BED" w:rsidP="003B4A7F">
      <w:pPr>
        <w:pStyle w:val="BodyText"/>
      </w:pPr>
    </w:p>
    <w:tbl>
      <w:tblPr>
        <w:tblW w:w="8511" w:type="dxa"/>
        <w:tblBorders>
          <w:top w:val="single" w:sz="4" w:space="0" w:color="1B556B" w:themeColor="text2"/>
          <w:bottom w:val="single" w:sz="4" w:space="0" w:color="1B556B" w:themeColor="text2"/>
          <w:insideH w:val="single" w:sz="4" w:space="0" w:color="1B556B" w:themeColor="text2"/>
          <w:insideV w:val="single" w:sz="4" w:space="0" w:color="1B556B" w:themeColor="text2"/>
        </w:tblBorders>
        <w:tblLayout w:type="fixed"/>
        <w:tblLook w:val="01E0" w:firstRow="1" w:lastRow="1" w:firstColumn="1" w:lastColumn="1" w:noHBand="0" w:noVBand="0"/>
      </w:tblPr>
      <w:tblGrid>
        <w:gridCol w:w="2695"/>
        <w:gridCol w:w="1416"/>
        <w:gridCol w:w="1559"/>
        <w:gridCol w:w="1559"/>
        <w:gridCol w:w="1282"/>
      </w:tblGrid>
      <w:tr w:rsidR="00366BED" w:rsidRPr="005C5E32" w14:paraId="569FCD6D" w14:textId="77777777" w:rsidTr="0022115E">
        <w:tc>
          <w:tcPr>
            <w:tcW w:w="1583" w:type="pct"/>
            <w:shd w:val="clear" w:color="auto" w:fill="1B556B" w:themeFill="text2"/>
            <w:vAlign w:val="bottom"/>
          </w:tcPr>
          <w:p w14:paraId="318BAD64" w14:textId="77777777" w:rsidR="00366BED" w:rsidRPr="005C5E32" w:rsidRDefault="00366BED" w:rsidP="003D0CC1">
            <w:pPr>
              <w:pStyle w:val="TableTextbold"/>
              <w:spacing w:before="40" w:after="40"/>
              <w:rPr>
                <w:color w:val="FFFFFF" w:themeColor="background1"/>
              </w:rPr>
            </w:pPr>
            <w:r w:rsidRPr="005C5E32">
              <w:rPr>
                <w:color w:val="FFFFFF" w:themeColor="background1"/>
              </w:rPr>
              <w:t xml:space="preserve">Expenses </w:t>
            </w:r>
          </w:p>
        </w:tc>
        <w:tc>
          <w:tcPr>
            <w:tcW w:w="832" w:type="pct"/>
            <w:shd w:val="clear" w:color="auto" w:fill="1B556B" w:themeFill="text2"/>
            <w:vAlign w:val="bottom"/>
          </w:tcPr>
          <w:p w14:paraId="5687995D" w14:textId="77777777" w:rsidR="00366BED" w:rsidRPr="005C5E32" w:rsidRDefault="00366BED" w:rsidP="003D0CC1">
            <w:pPr>
              <w:pStyle w:val="TableTextbold"/>
              <w:spacing w:before="40" w:after="40"/>
              <w:jc w:val="right"/>
              <w:rPr>
                <w:color w:val="FFFFFF" w:themeColor="background1"/>
              </w:rPr>
            </w:pPr>
            <w:r w:rsidRPr="005C5E32">
              <w:rPr>
                <w:color w:val="FFFFFF" w:themeColor="background1"/>
              </w:rPr>
              <w:t>2024/25</w:t>
            </w:r>
            <w:r w:rsidRPr="005C5E32">
              <w:rPr>
                <w:color w:val="FFFFFF" w:themeColor="background1"/>
              </w:rPr>
              <w:br/>
              <w:t>Actual</w:t>
            </w:r>
            <w:r w:rsidRPr="005C5E32">
              <w:rPr>
                <w:color w:val="FFFFFF" w:themeColor="background1"/>
              </w:rPr>
              <w:br/>
              <w:t>$000</w:t>
            </w:r>
          </w:p>
        </w:tc>
        <w:tc>
          <w:tcPr>
            <w:tcW w:w="916" w:type="pct"/>
            <w:shd w:val="clear" w:color="auto" w:fill="1B556B" w:themeFill="text2"/>
            <w:vAlign w:val="bottom"/>
          </w:tcPr>
          <w:p w14:paraId="2B135BEE" w14:textId="77777777" w:rsidR="00366BED" w:rsidRPr="005C5E32" w:rsidRDefault="00366BED" w:rsidP="003D0CC1">
            <w:pPr>
              <w:pStyle w:val="TableTextbold"/>
              <w:spacing w:before="40" w:after="40"/>
              <w:jc w:val="right"/>
              <w:rPr>
                <w:color w:val="FFFFFF" w:themeColor="background1"/>
              </w:rPr>
            </w:pPr>
            <w:r w:rsidRPr="005C5E32">
              <w:rPr>
                <w:color w:val="FFFFFF" w:themeColor="background1"/>
              </w:rPr>
              <w:t>2025/26</w:t>
            </w:r>
            <w:r w:rsidRPr="005C5E32">
              <w:rPr>
                <w:color w:val="FFFFFF" w:themeColor="background1"/>
              </w:rPr>
              <w:br/>
              <w:t>Estimates</w:t>
            </w:r>
            <w:r w:rsidRPr="005C5E32">
              <w:rPr>
                <w:color w:val="FFFFFF" w:themeColor="background1"/>
              </w:rPr>
              <w:br/>
              <w:t>$000</w:t>
            </w:r>
          </w:p>
        </w:tc>
        <w:tc>
          <w:tcPr>
            <w:tcW w:w="916" w:type="pct"/>
            <w:shd w:val="clear" w:color="auto" w:fill="1B556B" w:themeFill="text2"/>
            <w:vAlign w:val="bottom"/>
          </w:tcPr>
          <w:p w14:paraId="20BA7674" w14:textId="77777777" w:rsidR="00366BED" w:rsidRPr="005C5E32" w:rsidRDefault="00366BED" w:rsidP="003D0CC1">
            <w:pPr>
              <w:pStyle w:val="TableTextbold"/>
              <w:spacing w:before="40" w:after="40"/>
              <w:jc w:val="right"/>
              <w:rPr>
                <w:color w:val="FFFFFF" w:themeColor="background1"/>
              </w:rPr>
            </w:pPr>
            <w:r w:rsidRPr="005C5E32">
              <w:rPr>
                <w:color w:val="FFFFFF" w:themeColor="background1"/>
              </w:rPr>
              <w:t>2025/26</w:t>
            </w:r>
            <w:r w:rsidRPr="005C5E32">
              <w:rPr>
                <w:color w:val="FFFFFF" w:themeColor="background1"/>
              </w:rPr>
              <w:br/>
              <w:t>Supplementary Estimates</w:t>
            </w:r>
            <w:r w:rsidRPr="005C5E32">
              <w:rPr>
                <w:color w:val="FFFFFF" w:themeColor="background1"/>
              </w:rPr>
              <w:br/>
              <w:t>$000</w:t>
            </w:r>
          </w:p>
        </w:tc>
        <w:tc>
          <w:tcPr>
            <w:tcW w:w="753" w:type="pct"/>
            <w:shd w:val="clear" w:color="auto" w:fill="1B556B" w:themeFill="text2"/>
            <w:vAlign w:val="bottom"/>
          </w:tcPr>
          <w:p w14:paraId="2C5F1470" w14:textId="77777777" w:rsidR="00366BED" w:rsidRPr="005C5E32" w:rsidRDefault="00366BED" w:rsidP="003D0CC1">
            <w:pPr>
              <w:pStyle w:val="TableTextbold"/>
              <w:spacing w:before="40" w:after="40"/>
              <w:jc w:val="right"/>
              <w:rPr>
                <w:color w:val="FFFFFF" w:themeColor="background1"/>
              </w:rPr>
            </w:pPr>
            <w:r w:rsidRPr="005C5E32">
              <w:rPr>
                <w:color w:val="FFFFFF" w:themeColor="background1"/>
              </w:rPr>
              <w:t>2025/26</w:t>
            </w:r>
            <w:r w:rsidRPr="005C5E32">
              <w:rPr>
                <w:color w:val="FFFFFF" w:themeColor="background1"/>
              </w:rPr>
              <w:br/>
              <w:t>Actual</w:t>
            </w:r>
            <w:r w:rsidRPr="005C5E32">
              <w:rPr>
                <w:color w:val="FFFFFF" w:themeColor="background1"/>
              </w:rPr>
              <w:br/>
              <w:t>$000</w:t>
            </w:r>
          </w:p>
        </w:tc>
      </w:tr>
      <w:tr w:rsidR="00366BED" w:rsidRPr="005C5E32" w14:paraId="762E763D" w14:textId="77777777" w:rsidTr="0022115E">
        <w:tc>
          <w:tcPr>
            <w:tcW w:w="1583" w:type="pct"/>
          </w:tcPr>
          <w:p w14:paraId="4B98A60A" w14:textId="77777777" w:rsidR="00366BED" w:rsidRPr="005C5E32" w:rsidRDefault="00366BED" w:rsidP="00924D67">
            <w:pPr>
              <w:pStyle w:val="TableText"/>
            </w:pPr>
            <w:r w:rsidRPr="005C5E32">
              <w:t>Total appropriation</w:t>
            </w:r>
          </w:p>
        </w:tc>
        <w:tc>
          <w:tcPr>
            <w:tcW w:w="832" w:type="pct"/>
          </w:tcPr>
          <w:p w14:paraId="77CE404F" w14:textId="2209C976" w:rsidR="00366BED" w:rsidRPr="005C5E32" w:rsidRDefault="00F3485C" w:rsidP="00924D67">
            <w:pPr>
              <w:pStyle w:val="TableText"/>
              <w:jc w:val="right"/>
            </w:pPr>
            <w:r w:rsidRPr="005C5E32">
              <w:t>–</w:t>
            </w:r>
          </w:p>
        </w:tc>
        <w:tc>
          <w:tcPr>
            <w:tcW w:w="916" w:type="pct"/>
          </w:tcPr>
          <w:p w14:paraId="3E85FF4D" w14:textId="01A1614D" w:rsidR="00366BED" w:rsidRPr="005C5E32" w:rsidRDefault="00F3485C" w:rsidP="00924D67">
            <w:pPr>
              <w:pStyle w:val="TableText"/>
              <w:jc w:val="right"/>
            </w:pPr>
            <w:r w:rsidRPr="005C5E32">
              <w:t>1,800</w:t>
            </w:r>
          </w:p>
        </w:tc>
        <w:tc>
          <w:tcPr>
            <w:tcW w:w="916" w:type="pct"/>
          </w:tcPr>
          <w:p w14:paraId="359FF654" w14:textId="58E25E3B" w:rsidR="00366BED" w:rsidRPr="005C5E32" w:rsidRDefault="00F3485C" w:rsidP="00924D67">
            <w:pPr>
              <w:pStyle w:val="TableText"/>
              <w:jc w:val="right"/>
            </w:pPr>
            <w:r w:rsidRPr="005C5E32">
              <w:t>1,800</w:t>
            </w:r>
          </w:p>
        </w:tc>
        <w:tc>
          <w:tcPr>
            <w:tcW w:w="753" w:type="pct"/>
          </w:tcPr>
          <w:p w14:paraId="54B9C7AF" w14:textId="2EBB2F55" w:rsidR="00366BED" w:rsidRPr="005C5E32" w:rsidRDefault="00F3485C" w:rsidP="00924D67">
            <w:pPr>
              <w:pStyle w:val="TableText"/>
              <w:jc w:val="right"/>
            </w:pPr>
            <w:r w:rsidRPr="005C5E32">
              <w:t>900</w:t>
            </w:r>
          </w:p>
        </w:tc>
      </w:tr>
    </w:tbl>
    <w:p w14:paraId="34617BB4" w14:textId="520CB6FD" w:rsidR="006105CA" w:rsidRPr="00945DA0" w:rsidRDefault="006105CA" w:rsidP="006105CA">
      <w:pPr>
        <w:pStyle w:val="BodyText"/>
        <w:spacing w:before="240"/>
        <w:rPr>
          <w:spacing w:val="-2"/>
        </w:rPr>
      </w:pPr>
      <w:r w:rsidRPr="00945DA0">
        <w:rPr>
          <w:spacing w:val="-2"/>
        </w:rPr>
        <w:t>The actual expenditure was</w:t>
      </w:r>
      <w:r w:rsidR="002400E2" w:rsidRPr="00945DA0">
        <w:rPr>
          <w:spacing w:val="-2"/>
        </w:rPr>
        <w:t xml:space="preserve"> $0.900 million</w:t>
      </w:r>
      <w:r w:rsidRPr="00945DA0">
        <w:rPr>
          <w:spacing w:val="-2"/>
        </w:rPr>
        <w:t xml:space="preserve"> lower than the Supplementary Estimates. This </w:t>
      </w:r>
      <w:r w:rsidR="002400E2" w:rsidRPr="00945DA0">
        <w:rPr>
          <w:spacing w:val="-2"/>
        </w:rPr>
        <w:t xml:space="preserve">occurred </w:t>
      </w:r>
      <w:r w:rsidRPr="00945DA0">
        <w:rPr>
          <w:spacing w:val="-2"/>
        </w:rPr>
        <w:t xml:space="preserve">because actual deliverables for the project were lower than anticipated for 2025/26. </w:t>
      </w:r>
      <w:r w:rsidR="00945DA0" w:rsidRPr="00945DA0">
        <w:rPr>
          <w:spacing w:val="-2"/>
        </w:rPr>
        <w:t>As</w:t>
      </w:r>
      <w:r w:rsidR="00945DA0">
        <w:rPr>
          <w:spacing w:val="-2"/>
        </w:rPr>
        <w:t> </w:t>
      </w:r>
      <w:r w:rsidRPr="00945DA0">
        <w:rPr>
          <w:spacing w:val="-2"/>
        </w:rPr>
        <w:t>this is a multi-year appropriation, total expenditure will be managed over the five-year period.</w:t>
      </w:r>
    </w:p>
    <w:p w14:paraId="5A7E7954" w14:textId="77777777" w:rsidR="00366BED" w:rsidRPr="005C5E32" w:rsidRDefault="00366BED" w:rsidP="00DF13A5">
      <w:pPr>
        <w:pStyle w:val="Heading2green"/>
        <w:rPr>
          <w:color w:val="1B556B" w:themeColor="text2"/>
        </w:rPr>
      </w:pPr>
      <w:bookmarkStart w:id="503" w:name="_Supporting_Equitable_Transitions"/>
      <w:bookmarkStart w:id="504" w:name="_Toc173852947"/>
      <w:bookmarkStart w:id="505" w:name="_Toc173931516"/>
      <w:bookmarkStart w:id="506" w:name="_Toc173932250"/>
      <w:bookmarkStart w:id="507" w:name="_Toc207017437"/>
      <w:bookmarkStart w:id="508" w:name="_Toc207017526"/>
      <w:bookmarkStart w:id="509" w:name="_Toc240445608"/>
      <w:bookmarkEnd w:id="503"/>
      <w:r w:rsidRPr="005C5E32">
        <w:rPr>
          <w:color w:val="1B556B" w:themeColor="text2"/>
        </w:rPr>
        <w:lastRenderedPageBreak/>
        <w:t>Multi</w:t>
      </w:r>
      <w:r w:rsidRPr="005C5E32">
        <w:rPr>
          <w:color w:val="1B556B" w:themeColor="text2"/>
        </w:rPr>
        <w:noBreakHyphen/>
        <w:t>category appropriations</w:t>
      </w:r>
      <w:bookmarkEnd w:id="504"/>
      <w:bookmarkEnd w:id="505"/>
      <w:bookmarkEnd w:id="506"/>
      <w:bookmarkEnd w:id="507"/>
      <w:bookmarkEnd w:id="508"/>
      <w:bookmarkEnd w:id="509"/>
    </w:p>
    <w:p w14:paraId="4101843A" w14:textId="77777777" w:rsidR="00366BED" w:rsidRPr="005C5E32" w:rsidRDefault="00366BED" w:rsidP="001B1247">
      <w:pPr>
        <w:pStyle w:val="Heading3"/>
        <w:spacing w:before="240"/>
      </w:pPr>
      <w:bookmarkStart w:id="510" w:name="_Product_Stewardship_MCA"/>
      <w:bookmarkStart w:id="511" w:name="_Product_Stewardship_multi-category"/>
      <w:bookmarkEnd w:id="510"/>
      <w:bookmarkEnd w:id="511"/>
      <w:r w:rsidRPr="005C5E32">
        <w:t>Product Stewardship multi-category appropriation</w:t>
      </w:r>
    </w:p>
    <w:p w14:paraId="723A7072" w14:textId="5978133B" w:rsidR="00366BED" w:rsidRPr="005C5E32" w:rsidRDefault="00366BED" w:rsidP="003B4A7F">
      <w:pPr>
        <w:pStyle w:val="BodyText"/>
      </w:pPr>
      <w:r w:rsidRPr="005C5E32">
        <w:t xml:space="preserve">For performance and financial information for this appropriation, see </w:t>
      </w:r>
      <w:hyperlink w:anchor="_Reducing_emissions_from" w:history="1">
        <w:r w:rsidR="00062784" w:rsidRPr="005C5E32">
          <w:rPr>
            <w:rStyle w:val="Hyperlink"/>
          </w:rPr>
          <w:t>Product Stewardship – multi-category appropriation</w:t>
        </w:r>
        <w:r w:rsidR="00062784" w:rsidRPr="005C5E32">
          <w:rPr>
            <w:rStyle w:val="Hyperlink"/>
            <w:b/>
            <w:bCs/>
          </w:rPr>
          <w:t xml:space="preserve"> </w:t>
        </w:r>
        <w:r w:rsidR="00062784" w:rsidRPr="005C5E32">
          <w:rPr>
            <w:rStyle w:val="Hyperlink"/>
          </w:rPr>
          <w:t>in</w:t>
        </w:r>
        <w:r w:rsidRPr="005C5E32">
          <w:rPr>
            <w:rStyle w:val="Hyperlink"/>
          </w:rPr>
          <w:t xml:space="preserve"> the Ministry for the Environment Annual Report 2025/26</w:t>
        </w:r>
        <w:r w:rsidRPr="004904F0">
          <w:rPr>
            <w:rStyle w:val="Hyperlink"/>
            <w:color w:val="auto"/>
          </w:rPr>
          <w:t>.</w:t>
        </w:r>
      </w:hyperlink>
      <w:r w:rsidRPr="005C5E32">
        <w:t xml:space="preserve"> </w:t>
      </w:r>
    </w:p>
    <w:p w14:paraId="46F8BB47" w14:textId="77777777" w:rsidR="00366BED" w:rsidRPr="005C5E32" w:rsidRDefault="00366BED" w:rsidP="003B4A7F">
      <w:pPr>
        <w:pStyle w:val="Heading3"/>
      </w:pPr>
      <w:bookmarkStart w:id="512" w:name="_Waste_Minimisation_multi-category"/>
      <w:bookmarkEnd w:id="512"/>
      <w:r w:rsidRPr="005C5E32">
        <w:t>Waste Minimisation multi-category appropriation</w:t>
      </w:r>
    </w:p>
    <w:p w14:paraId="4F3561FE" w14:textId="7AD8C025" w:rsidR="00366BED" w:rsidRPr="005C5E32" w:rsidRDefault="00366BED" w:rsidP="003B4A7F">
      <w:pPr>
        <w:pStyle w:val="BodyText"/>
      </w:pPr>
      <w:bookmarkStart w:id="513" w:name="_Toc177626504"/>
      <w:r w:rsidRPr="005C5E32">
        <w:t>For performance and financial information for this appropriation, see</w:t>
      </w:r>
      <w:r w:rsidRPr="005C5E32" w:rsidDel="0044354E">
        <w:t xml:space="preserve"> </w:t>
      </w:r>
      <w:r w:rsidRPr="005C5E32">
        <w:t xml:space="preserve">the </w:t>
      </w:r>
      <w:hyperlink w:anchor="_Waste_Minimisation_–" w:history="1">
        <w:r w:rsidR="00062784" w:rsidRPr="005C5E32">
          <w:rPr>
            <w:rStyle w:val="Hyperlink"/>
          </w:rPr>
          <w:t>Waste Minimisation – multi-category appropriation in</w:t>
        </w:r>
        <w:r w:rsidR="005955EE" w:rsidRPr="005C5E32">
          <w:rPr>
            <w:rStyle w:val="Hyperlink"/>
          </w:rPr>
          <w:t xml:space="preserve"> the</w:t>
        </w:r>
        <w:r w:rsidRPr="005C5E32">
          <w:rPr>
            <w:rStyle w:val="Hyperlink"/>
          </w:rPr>
          <w:t xml:space="preserve"> Ministry for the Environment Annual Report 2025/26</w:t>
        </w:r>
      </w:hyperlink>
      <w:r w:rsidRPr="005C5E32">
        <w:t xml:space="preserve">. </w:t>
      </w:r>
    </w:p>
    <w:p w14:paraId="4DFD26E3" w14:textId="77777777" w:rsidR="00366BED" w:rsidRPr="005C5E32" w:rsidRDefault="00366BED" w:rsidP="001B1247">
      <w:pPr>
        <w:pStyle w:val="BodyText"/>
      </w:pPr>
      <w:r w:rsidRPr="005C5E32">
        <w:rPr>
          <w:lang w:eastAsia="en-US"/>
        </w:rPr>
        <w:br w:type="page"/>
      </w:r>
    </w:p>
    <w:p w14:paraId="03C9B599" w14:textId="07258755" w:rsidR="00366BED" w:rsidRPr="005C5E32" w:rsidRDefault="00366BED" w:rsidP="001B1247">
      <w:pPr>
        <w:pStyle w:val="Heading2"/>
      </w:pPr>
      <w:bookmarkStart w:id="514" w:name="_Notes_to_non-departmental"/>
      <w:bookmarkStart w:id="515" w:name="_Toc207017438"/>
      <w:bookmarkStart w:id="516" w:name="_Toc210136395"/>
      <w:bookmarkStart w:id="517" w:name="_Toc240445609"/>
      <w:bookmarkEnd w:id="514"/>
      <w:r w:rsidRPr="005C5E32">
        <w:rPr>
          <w:lang w:eastAsia="en-US"/>
        </w:rPr>
        <w:lastRenderedPageBreak/>
        <w:t xml:space="preserve">Notes to </w:t>
      </w:r>
      <w:r w:rsidRPr="005C5E32">
        <w:t>Minister for the Environment</w:t>
      </w:r>
      <w:r w:rsidR="000369F8" w:rsidRPr="005C5E32">
        <w:t>’</w:t>
      </w:r>
      <w:r w:rsidRPr="005C5E32">
        <w:t>s Report on non-departmental appropriations 2025/26</w:t>
      </w:r>
      <w:bookmarkEnd w:id="513"/>
      <w:bookmarkEnd w:id="515"/>
      <w:bookmarkEnd w:id="516"/>
      <w:bookmarkEnd w:id="517"/>
    </w:p>
    <w:p w14:paraId="2777273F" w14:textId="75CC5F77" w:rsidR="00F553D9" w:rsidRPr="005C5E32" w:rsidRDefault="00366BED" w:rsidP="000339BC">
      <w:pPr>
        <w:pStyle w:val="Heading4"/>
      </w:pPr>
      <w:bookmarkStart w:id="518" w:name="_Note_1:_Trophic"/>
      <w:bookmarkEnd w:id="518"/>
      <w:r w:rsidRPr="005C5E32">
        <w:t xml:space="preserve">Note 1: </w:t>
      </w:r>
      <w:r w:rsidR="00196341" w:rsidRPr="005C5E32">
        <w:t>Trophic Level Index t</w:t>
      </w:r>
      <w:r w:rsidRPr="005C5E32">
        <w:t>arget establishment</w:t>
      </w:r>
    </w:p>
    <w:p w14:paraId="6C486DF8" w14:textId="423EB354" w:rsidR="00366BED" w:rsidRPr="005C5E32" w:rsidRDefault="00366BED">
      <w:pPr>
        <w:pStyle w:val="BodyText"/>
      </w:pPr>
      <w:r w:rsidRPr="005C5E32">
        <w:t>Each lake in the programme has a specific water</w:t>
      </w:r>
      <w:r w:rsidR="00985D2D" w:rsidRPr="005C5E32">
        <w:t>-</w:t>
      </w:r>
      <w:r w:rsidRPr="005C5E32">
        <w:t>quality target, measured using the TLI</w:t>
      </w:r>
      <w:r w:rsidR="00D14ECB" w:rsidRPr="005C5E32">
        <w:t xml:space="preserve"> and</w:t>
      </w:r>
      <w:r w:rsidRPr="005C5E32">
        <w:t xml:space="preserve"> based on historical water</w:t>
      </w:r>
      <w:r w:rsidR="00985D2D" w:rsidRPr="005C5E32">
        <w:t>-</w:t>
      </w:r>
      <w:r w:rsidRPr="005C5E32">
        <w:t>quality benchmarks, as follows.</w:t>
      </w:r>
    </w:p>
    <w:p w14:paraId="31AFB68F" w14:textId="750B92C6" w:rsidR="00366BED" w:rsidRPr="005C5E32" w:rsidRDefault="00366BED">
      <w:pPr>
        <w:pStyle w:val="Bullet"/>
      </w:pPr>
      <w:r w:rsidRPr="005C5E32">
        <w:t>Lake Rotorua has a TLI target of 4.2</w:t>
      </w:r>
      <w:r w:rsidR="008A6F55" w:rsidRPr="005C5E32">
        <w:t xml:space="preserve"> units</w:t>
      </w:r>
      <w:r w:rsidRPr="005C5E32">
        <w:t>, reflecting water quality as remembered by the community from the 1960s.</w:t>
      </w:r>
    </w:p>
    <w:p w14:paraId="3CFB6258" w14:textId="0B074BE5" w:rsidR="00366BED" w:rsidRPr="005C5E32" w:rsidRDefault="008A6F55">
      <w:pPr>
        <w:pStyle w:val="Bullet"/>
      </w:pPr>
      <w:r w:rsidRPr="005C5E32">
        <w:t>The o</w:t>
      </w:r>
      <w:r w:rsidR="00366BED" w:rsidRPr="005C5E32">
        <w:t xml:space="preserve">ther </w:t>
      </w:r>
      <w:r w:rsidRPr="005C5E32">
        <w:t xml:space="preserve">three </w:t>
      </w:r>
      <w:r w:rsidR="00366BED" w:rsidRPr="005C5E32">
        <w:t>lakes have TLI targets based on water</w:t>
      </w:r>
      <w:r w:rsidR="00985D2D" w:rsidRPr="005C5E32">
        <w:t>-</w:t>
      </w:r>
      <w:r w:rsidR="00366BED" w:rsidRPr="005C5E32">
        <w:t>quality levels from the early 1990s.</w:t>
      </w:r>
    </w:p>
    <w:p w14:paraId="12F88E02" w14:textId="3E8ECCB9" w:rsidR="00366BED" w:rsidRPr="005C5E32" w:rsidRDefault="00366BED">
      <w:pPr>
        <w:pStyle w:val="BodyText"/>
      </w:pPr>
      <w:r w:rsidRPr="005C5E32">
        <w:t>The objective is to meet or exceed these targets in order to maintain or improve water quality in each lake. For information on measurement, see</w:t>
      </w:r>
      <w:r w:rsidR="00AB5F17" w:rsidRPr="005C5E32">
        <w:t xml:space="preserve"> the</w:t>
      </w:r>
      <w:r w:rsidRPr="005C5E32" w:rsidDel="008A40DC">
        <w:t xml:space="preserve"> </w:t>
      </w:r>
      <w:r w:rsidRPr="005C5E32">
        <w:t xml:space="preserve">Land Air Water Aotearoa </w:t>
      </w:r>
      <w:hyperlink r:id="rId115" w:history="1">
        <w:r w:rsidRPr="005C5E32">
          <w:rPr>
            <w:rStyle w:val="Hyperlink"/>
          </w:rPr>
          <w:t>Factsheet: Lake Trophic Level Index</w:t>
        </w:r>
      </w:hyperlink>
      <w:r w:rsidRPr="005C5E32">
        <w:t xml:space="preserve">. </w:t>
      </w:r>
    </w:p>
    <w:p w14:paraId="646C9381" w14:textId="3F709FC9" w:rsidR="00366BED" w:rsidRPr="005C5E32" w:rsidRDefault="00366BED">
      <w:pPr>
        <w:pStyle w:val="BodyText"/>
      </w:pPr>
      <w:r w:rsidRPr="005C5E32">
        <w:t>TLI monitoring – covering nitrogen, phosphorus, chlorophyll-a</w:t>
      </w:r>
      <w:r w:rsidRPr="005C5E32" w:rsidDel="00155E14">
        <w:t xml:space="preserve"> </w:t>
      </w:r>
      <w:r w:rsidRPr="005C5E32">
        <w:t>and water clarity – is part of the</w:t>
      </w:r>
      <w:r w:rsidR="00BA7978" w:rsidRPr="005C5E32">
        <w:t> </w:t>
      </w:r>
      <w:r w:rsidRPr="005C5E32">
        <w:t>Natural Environmental Regional Monitoring Network</w:t>
      </w:r>
      <w:r w:rsidR="006650CC" w:rsidRPr="005C5E32">
        <w:t xml:space="preserve"> </w:t>
      </w:r>
      <w:r w:rsidR="001101DE" w:rsidRPr="005C5E32">
        <w:t xml:space="preserve">of </w:t>
      </w:r>
      <w:r w:rsidR="006650CC" w:rsidRPr="005C5E32">
        <w:t>the Bay of Plenty Regional Council (the Council)</w:t>
      </w:r>
      <w:r w:rsidRPr="005C5E32">
        <w:t>.</w:t>
      </w:r>
    </w:p>
    <w:p w14:paraId="34639F38" w14:textId="21744D37" w:rsidR="00366BED" w:rsidRPr="005C5E32" w:rsidRDefault="00366BED">
      <w:pPr>
        <w:pStyle w:val="BodyText"/>
      </w:pPr>
      <w:r w:rsidRPr="005C5E32">
        <w:t>Sampling details are as follows</w:t>
      </w:r>
      <w:r w:rsidR="001101DE" w:rsidRPr="005C5E32">
        <w:t>.</w:t>
      </w:r>
    </w:p>
    <w:p w14:paraId="6CDFFBA3" w14:textId="77777777" w:rsidR="00366BED" w:rsidRPr="005C5E32" w:rsidRDefault="00366BED">
      <w:pPr>
        <w:pStyle w:val="Bullet"/>
      </w:pPr>
      <w:r w:rsidRPr="005C5E32">
        <w:t>Monthly sampling is conducted at designated sites on each lake.</w:t>
      </w:r>
    </w:p>
    <w:p w14:paraId="67C58350" w14:textId="77777777" w:rsidR="00366BED" w:rsidRPr="005C5E32" w:rsidRDefault="00366BED">
      <w:pPr>
        <w:pStyle w:val="Bullet"/>
      </w:pPr>
      <w:r w:rsidRPr="005C5E32">
        <w:t>Larger lakes, like Lake Rotorua, have two sampling points; smaller lakes typically have one.</w:t>
      </w:r>
    </w:p>
    <w:p w14:paraId="1F4B91DF" w14:textId="77777777" w:rsidR="00366BED" w:rsidRPr="005C5E32" w:rsidRDefault="00366BED">
      <w:pPr>
        <w:pStyle w:val="Bullet"/>
      </w:pPr>
      <w:r w:rsidRPr="005C5E32">
        <w:t>Sampling has been consistently carried out since around 1990, providing a robust long-term dataset.</w:t>
      </w:r>
    </w:p>
    <w:p w14:paraId="3127CA84" w14:textId="476EAD97" w:rsidR="00366BED" w:rsidRPr="005C5E32" w:rsidRDefault="008A6F55">
      <w:pPr>
        <w:pStyle w:val="BodyText"/>
      </w:pPr>
      <w:r w:rsidRPr="005C5E32">
        <w:t xml:space="preserve">Processes for </w:t>
      </w:r>
      <w:r w:rsidR="00366BED" w:rsidRPr="005C5E32">
        <w:t>calculati</w:t>
      </w:r>
      <w:r w:rsidRPr="005C5E32">
        <w:t>ng</w:t>
      </w:r>
      <w:r w:rsidR="00366BED" w:rsidRPr="005C5E32">
        <w:t xml:space="preserve"> and evaluati</w:t>
      </w:r>
      <w:r w:rsidRPr="005C5E32">
        <w:t>ng TLI</w:t>
      </w:r>
      <w:r w:rsidR="008943DB" w:rsidRPr="005C5E32">
        <w:t xml:space="preserve"> values</w:t>
      </w:r>
      <w:r w:rsidR="00366BED" w:rsidRPr="005C5E32">
        <w:t xml:space="preserve"> are as follows</w:t>
      </w:r>
      <w:r w:rsidR="001101DE" w:rsidRPr="005C5E32">
        <w:t>.</w:t>
      </w:r>
    </w:p>
    <w:p w14:paraId="5E90EDC3" w14:textId="77777777" w:rsidR="00366BED" w:rsidRPr="005C5E32" w:rsidRDefault="00366BED">
      <w:pPr>
        <w:pStyle w:val="Bullet"/>
      </w:pPr>
      <w:r w:rsidRPr="005C5E32">
        <w:t>Annual TLI values are calculated each August, using data collected up to 30 June.</w:t>
      </w:r>
    </w:p>
    <w:p w14:paraId="78FE3A70" w14:textId="0D2672FB" w:rsidR="00366BED" w:rsidRPr="005C5E32" w:rsidRDefault="00366BED">
      <w:pPr>
        <w:pStyle w:val="Bullet"/>
      </w:pPr>
      <w:r w:rsidRPr="005C5E32">
        <w:t>These values are compared against TLI targets in the Council</w:t>
      </w:r>
      <w:r w:rsidR="000369F8" w:rsidRPr="005C5E32">
        <w:t>’</w:t>
      </w:r>
      <w:r w:rsidRPr="005C5E32">
        <w:t xml:space="preserve">s </w:t>
      </w:r>
      <w:r w:rsidR="00985D2D" w:rsidRPr="005C5E32">
        <w:t>r</w:t>
      </w:r>
      <w:r w:rsidRPr="005C5E32">
        <w:t xml:space="preserve">egional </w:t>
      </w:r>
      <w:r w:rsidR="00985D2D" w:rsidRPr="005C5E32">
        <w:t>p</w:t>
      </w:r>
      <w:r w:rsidRPr="005C5E32">
        <w:t>lan.</w:t>
      </w:r>
    </w:p>
    <w:p w14:paraId="72D2572A" w14:textId="2A2DE0F3" w:rsidR="00846DBF" w:rsidRPr="005C5E32" w:rsidRDefault="00366BED" w:rsidP="00846DBF">
      <w:pPr>
        <w:pStyle w:val="Bullet"/>
      </w:pPr>
      <w:r w:rsidRPr="005C5E32">
        <w:t>Due to natural seasonal variability, lakes may occasionally exceed their targets.</w:t>
      </w:r>
      <w:r w:rsidR="00130448" w:rsidRPr="005C5E32">
        <w:t xml:space="preserve"> </w:t>
      </w:r>
      <w:r w:rsidRPr="005C5E32">
        <w:t xml:space="preserve">To smooth out short-term fluctuations, a three-year average TLI </w:t>
      </w:r>
      <w:r w:rsidR="008943DB" w:rsidRPr="005C5E32">
        <w:t xml:space="preserve">value </w:t>
      </w:r>
      <w:r w:rsidRPr="005C5E32">
        <w:t>is used</w:t>
      </w:r>
      <w:r w:rsidR="00985D2D" w:rsidRPr="005C5E32">
        <w:t xml:space="preserve"> to establish whether a lake has met its target</w:t>
      </w:r>
      <w:r w:rsidRPr="005C5E32">
        <w:t xml:space="preserve">. </w:t>
      </w:r>
    </w:p>
    <w:p w14:paraId="54A5CB07" w14:textId="5347569B" w:rsidR="00366BED" w:rsidRPr="005C5E32" w:rsidRDefault="00366BED" w:rsidP="00BA7978">
      <w:pPr>
        <w:pStyle w:val="BodyText"/>
      </w:pPr>
      <w:r w:rsidRPr="005C5E32">
        <w:t xml:space="preserve">The Water Quality Technical Advisory Group advises that if all required </w:t>
      </w:r>
      <w:r w:rsidR="000369F8" w:rsidRPr="005C5E32">
        <w:t>‘</w:t>
      </w:r>
      <w:r w:rsidRPr="005C5E32">
        <w:t>action plan</w:t>
      </w:r>
      <w:r w:rsidR="000369F8" w:rsidRPr="005C5E32">
        <w:t>’</w:t>
      </w:r>
      <w:r w:rsidRPr="005C5E32">
        <w:t xml:space="preserve"> measures are being implemented, a three-year average TLI up to 0.2 units above the target is acceptable</w:t>
      </w:r>
      <w:r w:rsidR="00985D2D" w:rsidRPr="005C5E32">
        <w:t>. Where the average is higher, it recommends</w:t>
      </w:r>
      <w:r w:rsidRPr="005C5E32">
        <w:t xml:space="preserve"> further investigation.</w:t>
      </w:r>
    </w:p>
    <w:p w14:paraId="50351F56" w14:textId="6B77AEE5" w:rsidR="00366BED" w:rsidRPr="005C5E32" w:rsidRDefault="00366BED">
      <w:pPr>
        <w:pStyle w:val="BodyText"/>
      </w:pPr>
      <w:r w:rsidRPr="005C5E32">
        <w:t>The</w:t>
      </w:r>
      <w:r w:rsidRPr="005C5E32" w:rsidDel="008A40DC">
        <w:t xml:space="preserve"> </w:t>
      </w:r>
      <w:r w:rsidRPr="005C5E32">
        <w:t xml:space="preserve">Council publishes an annual report on the TLI and other key lake health indicators. The </w:t>
      </w:r>
      <w:r w:rsidR="003A7872" w:rsidRPr="005C5E32">
        <w:rPr>
          <w:spacing w:val="-2"/>
        </w:rPr>
        <w:t>2025/26</w:t>
      </w:r>
      <w:r w:rsidRPr="005C5E32">
        <w:rPr>
          <w:spacing w:val="-2"/>
        </w:rPr>
        <w:t xml:space="preserve"> report is scheduled for release in August </w:t>
      </w:r>
      <w:r w:rsidR="003A7872" w:rsidRPr="005C5E32">
        <w:rPr>
          <w:spacing w:val="-2"/>
        </w:rPr>
        <w:t>2026.</w:t>
      </w:r>
      <w:r w:rsidRPr="005C5E32">
        <w:rPr>
          <w:spacing w:val="-2"/>
        </w:rPr>
        <w:t xml:space="preserve"> For more information, see</w:t>
      </w:r>
      <w:r w:rsidRPr="005C5E32" w:rsidDel="008A40DC">
        <w:rPr>
          <w:spacing w:val="-2"/>
        </w:rPr>
        <w:t xml:space="preserve"> </w:t>
      </w:r>
      <w:r w:rsidRPr="005C5E32">
        <w:rPr>
          <w:spacing w:val="-2"/>
        </w:rPr>
        <w:t>the Council</w:t>
      </w:r>
      <w:r w:rsidR="000369F8" w:rsidRPr="005C5E32">
        <w:rPr>
          <w:spacing w:val="-2"/>
        </w:rPr>
        <w:t>’</w:t>
      </w:r>
      <w:r w:rsidRPr="005C5E32">
        <w:t xml:space="preserve">s </w:t>
      </w:r>
      <w:hyperlink r:id="rId116" w:tgtFrame="_blank" w:history="1">
        <w:r w:rsidR="003A7872" w:rsidRPr="005C5E32">
          <w:rPr>
            <w:rStyle w:val="Hyperlink"/>
          </w:rPr>
          <w:t>State of the Environment</w:t>
        </w:r>
      </w:hyperlink>
      <w:r w:rsidR="003A7872" w:rsidRPr="005C5E32">
        <w:t xml:space="preserve"> webpage.</w:t>
      </w:r>
    </w:p>
    <w:p w14:paraId="291A6BEE" w14:textId="77777777" w:rsidR="00AA0BA4" w:rsidRPr="005C5E32" w:rsidRDefault="00AA0BA4" w:rsidP="000C45F9">
      <w:pPr>
        <w:pStyle w:val="BodyText"/>
      </w:pPr>
      <w:r w:rsidRPr="005C5E32">
        <w:br w:type="page"/>
      </w:r>
    </w:p>
    <w:p w14:paraId="5EAD3711" w14:textId="64879E92" w:rsidR="008D1BBF" w:rsidRPr="005C5E32" w:rsidRDefault="008D1BBF" w:rsidP="008D1BBF">
      <w:pPr>
        <w:pStyle w:val="Heading1"/>
        <w:rPr>
          <w:rStyle w:val="Heading1Char"/>
          <w:b/>
          <w:bCs/>
          <w:i/>
          <w:iCs/>
          <w:sz w:val="56"/>
          <w:szCs w:val="56"/>
        </w:rPr>
      </w:pPr>
      <w:bookmarkStart w:id="519" w:name="_Toc207017439"/>
      <w:bookmarkStart w:id="520" w:name="_Toc210136396"/>
      <w:bookmarkStart w:id="521" w:name="_Toc240445610"/>
      <w:r w:rsidRPr="005C5E32">
        <w:rPr>
          <w:rStyle w:val="Heading1Char"/>
          <w:b/>
          <w:bCs/>
          <w:sz w:val="56"/>
          <w:szCs w:val="56"/>
        </w:rPr>
        <w:lastRenderedPageBreak/>
        <w:t>6.</w:t>
      </w:r>
      <w:r w:rsidRPr="005C5E32">
        <w:rPr>
          <w:rStyle w:val="Heading1Char"/>
          <w:b/>
          <w:bCs/>
          <w:sz w:val="56"/>
          <w:szCs w:val="56"/>
        </w:rPr>
        <w:tab/>
        <w:t>Interdepartmental executive board annual report 2025/2</w:t>
      </w:r>
      <w:bookmarkEnd w:id="519"/>
      <w:r w:rsidRPr="005C5E32">
        <w:rPr>
          <w:rStyle w:val="Heading1Char"/>
          <w:b/>
          <w:bCs/>
          <w:sz w:val="56"/>
          <w:szCs w:val="56"/>
        </w:rPr>
        <w:t>6</w:t>
      </w:r>
      <w:r w:rsidRPr="005C5E32">
        <w:rPr>
          <w:rStyle w:val="Heading1Char"/>
          <w:b/>
          <w:bCs/>
          <w:sz w:val="56"/>
          <w:szCs w:val="56"/>
        </w:rPr>
        <w:br/>
      </w:r>
      <w:r w:rsidRPr="005C5E32">
        <w:rPr>
          <w:rStyle w:val="Heading1Char"/>
          <w:b/>
          <w:bCs/>
          <w:i/>
          <w:iCs/>
          <w:sz w:val="56"/>
          <w:szCs w:val="56"/>
        </w:rPr>
        <w:t>Te pūrongo ā-tau a te poari whakahaere waenga tari 2025/2</w:t>
      </w:r>
      <w:bookmarkEnd w:id="520"/>
      <w:r w:rsidRPr="005C5E32">
        <w:rPr>
          <w:rStyle w:val="Heading1Char"/>
          <w:b/>
          <w:bCs/>
          <w:i/>
          <w:iCs/>
          <w:sz w:val="56"/>
          <w:szCs w:val="56"/>
        </w:rPr>
        <w:t>6</w:t>
      </w:r>
      <w:bookmarkEnd w:id="521"/>
    </w:p>
    <w:p w14:paraId="36267CBD" w14:textId="77777777" w:rsidR="008D1BBF" w:rsidRPr="005C5E32" w:rsidRDefault="008D1BBF" w:rsidP="008D1BBF">
      <w:pPr>
        <w:pStyle w:val="Heading3"/>
        <w:spacing w:line="440" w:lineRule="atLeast"/>
        <w:rPr>
          <w:color w:val="1B556B" w:themeColor="text2"/>
          <w:sz w:val="32"/>
          <w:szCs w:val="26"/>
        </w:rPr>
      </w:pPr>
      <w:r w:rsidRPr="005C5E32">
        <w:rPr>
          <w:color w:val="1B556B" w:themeColor="text2"/>
          <w:sz w:val="32"/>
          <w:szCs w:val="26"/>
        </w:rPr>
        <w:t>Climate Change Chief Executives Board annual report</w:t>
      </w:r>
    </w:p>
    <w:p w14:paraId="6F75461D" w14:textId="11B382AE" w:rsidR="008D1BBF" w:rsidRPr="005C5E32" w:rsidRDefault="008D1BBF" w:rsidP="0079642D">
      <w:pPr>
        <w:spacing w:before="0" w:after="200" w:line="276" w:lineRule="auto"/>
        <w:jc w:val="left"/>
      </w:pPr>
    </w:p>
    <w:p w14:paraId="2EA8FB71" w14:textId="77777777" w:rsidR="008D1BBF" w:rsidRPr="005C5E32" w:rsidRDefault="008D1BBF">
      <w:pPr>
        <w:spacing w:before="0" w:after="200" w:line="276" w:lineRule="auto"/>
        <w:jc w:val="left"/>
      </w:pPr>
      <w:r w:rsidRPr="005C5E32">
        <w:br w:type="page"/>
      </w:r>
    </w:p>
    <w:p w14:paraId="1452E2A8" w14:textId="77777777" w:rsidR="00C850B2" w:rsidRPr="005C5E32" w:rsidRDefault="00C850B2" w:rsidP="00802753">
      <w:pPr>
        <w:pStyle w:val="Heading2"/>
      </w:pPr>
      <w:bookmarkStart w:id="522" w:name="_Climate_Change_Chief_1"/>
      <w:bookmarkStart w:id="523" w:name="_Ref174615225"/>
      <w:bookmarkStart w:id="524" w:name="_Toc177626506"/>
      <w:bookmarkStart w:id="525" w:name="_Toc206499301"/>
      <w:bookmarkStart w:id="526" w:name="_Toc240445611"/>
      <w:bookmarkStart w:id="527" w:name="_Hlk206674856"/>
      <w:bookmarkEnd w:id="522"/>
      <w:r w:rsidRPr="005C5E32">
        <w:lastRenderedPageBreak/>
        <w:t>Climate Change Chief Executives Board Annual Report 2025/</w:t>
      </w:r>
      <w:bookmarkEnd w:id="523"/>
      <w:bookmarkEnd w:id="524"/>
      <w:bookmarkEnd w:id="525"/>
      <w:r w:rsidRPr="005C5E32">
        <w:t>26</w:t>
      </w:r>
      <w:bookmarkEnd w:id="526"/>
    </w:p>
    <w:p w14:paraId="4ACDF51D" w14:textId="77777777" w:rsidR="00C850B2" w:rsidRPr="005C5E32" w:rsidRDefault="00C850B2" w:rsidP="00802753">
      <w:pPr>
        <w:pStyle w:val="Heading3"/>
        <w:spacing w:before="240"/>
      </w:pPr>
      <w:bookmarkStart w:id="528" w:name="_Toc173852951"/>
      <w:bookmarkStart w:id="529" w:name="_Toc173931520"/>
      <w:bookmarkStart w:id="530" w:name="_Toc173932254"/>
      <w:r w:rsidRPr="005C5E32">
        <w:t>Introduction</w:t>
      </w:r>
      <w:bookmarkEnd w:id="528"/>
      <w:bookmarkEnd w:id="529"/>
      <w:bookmarkEnd w:id="530"/>
    </w:p>
    <w:p w14:paraId="5A412835" w14:textId="628DD756" w:rsidR="00C850B2" w:rsidRPr="005C5E32" w:rsidRDefault="00C850B2">
      <w:pPr>
        <w:pStyle w:val="BodyText"/>
        <w:spacing w:after="100"/>
      </w:pPr>
      <w:r w:rsidRPr="005C5E32">
        <w:rPr>
          <w:rFonts w:eastAsia="MS Mincho"/>
        </w:rPr>
        <w:t>The Climate Change Chief Executives Board (the Board) collectively governs the New Zealand Government</w:t>
      </w:r>
      <w:r w:rsidR="000369F8" w:rsidRPr="005C5E32">
        <w:rPr>
          <w:rFonts w:eastAsia="MS Mincho"/>
        </w:rPr>
        <w:t>’</w:t>
      </w:r>
      <w:r w:rsidRPr="005C5E32">
        <w:rPr>
          <w:rFonts w:eastAsia="MS Mincho"/>
        </w:rPr>
        <w:t>s response to climate change</w:t>
      </w:r>
      <w:r w:rsidR="008578C9" w:rsidRPr="005C5E32">
        <w:rPr>
          <w:rFonts w:eastAsia="MS Mincho"/>
        </w:rPr>
        <w:t>. It</w:t>
      </w:r>
      <w:r w:rsidRPr="005C5E32">
        <w:rPr>
          <w:rFonts w:eastAsia="MS Mincho"/>
        </w:rPr>
        <w:t xml:space="preserve"> provid</w:t>
      </w:r>
      <w:r w:rsidR="008578C9" w:rsidRPr="005C5E32">
        <w:rPr>
          <w:rFonts w:eastAsia="MS Mincho"/>
        </w:rPr>
        <w:t>es</w:t>
      </w:r>
      <w:r w:rsidRPr="005C5E32">
        <w:rPr>
          <w:rFonts w:eastAsia="MS Mincho"/>
        </w:rPr>
        <w:t xml:space="preserve"> advice to the Government </w:t>
      </w:r>
      <w:r w:rsidRPr="005C5E32">
        <w:t>on long-term climate change strategy and ensur</w:t>
      </w:r>
      <w:r w:rsidR="008578C9" w:rsidRPr="005C5E32">
        <w:t>es</w:t>
      </w:r>
      <w:r w:rsidRPr="005C5E32">
        <w:t xml:space="preserve"> New Zealand stays on track to meet its domestic and international commitments.</w:t>
      </w:r>
    </w:p>
    <w:p w14:paraId="10B06ED2" w14:textId="11D5BAD6" w:rsidR="00C850B2" w:rsidRPr="005C5E32" w:rsidRDefault="00C850B2">
      <w:pPr>
        <w:pStyle w:val="BodyText"/>
        <w:spacing w:after="100"/>
      </w:pPr>
      <w:r w:rsidRPr="005C5E32">
        <w:t>The Board monitors and reports on the delivery of the emissions reduction plan</w:t>
      </w:r>
      <w:r w:rsidR="00077F22" w:rsidRPr="005C5E32">
        <w:t>s</w:t>
      </w:r>
      <w:r w:rsidRPr="005C5E32">
        <w:t xml:space="preserve"> and the national adaptation plan. In its reports, </w:t>
      </w:r>
      <w:r w:rsidR="004C3B7C" w:rsidRPr="005C5E32">
        <w:t>the Board</w:t>
      </w:r>
      <w:r w:rsidRPr="005C5E32">
        <w:t xml:space="preserve"> provides advice to the Government on the</w:t>
      </w:r>
      <w:r w:rsidR="00353EDB" w:rsidRPr="005C5E32">
        <w:t> </w:t>
      </w:r>
      <w:r w:rsidRPr="005C5E32">
        <w:t xml:space="preserve">overall effectiveness and future direction of these plans. </w:t>
      </w:r>
    </w:p>
    <w:p w14:paraId="5B98218A" w14:textId="77777777" w:rsidR="00C850B2" w:rsidRPr="005C5E32" w:rsidRDefault="00C850B2">
      <w:pPr>
        <w:pStyle w:val="Heading3"/>
      </w:pPr>
      <w:r w:rsidRPr="005C5E32">
        <w:t>Background</w:t>
      </w:r>
    </w:p>
    <w:p w14:paraId="764B8E43" w14:textId="071BEDC2" w:rsidR="00C850B2" w:rsidRPr="005C5E32" w:rsidRDefault="00C850B2">
      <w:pPr>
        <w:pStyle w:val="BodyText"/>
        <w:spacing w:before="100" w:after="100"/>
      </w:pPr>
      <w:r w:rsidRPr="005C5E32">
        <w:rPr>
          <w:spacing w:val="-2"/>
        </w:rPr>
        <w:t>The Board was legally established as an interdepartmental executive board (IEB) on 29 July 2022</w:t>
      </w:r>
      <w:r w:rsidRPr="005C5E32">
        <w:t xml:space="preserve"> to provide oversight of the Government</w:t>
      </w:r>
      <w:r w:rsidR="000369F8" w:rsidRPr="005C5E32">
        <w:t>’</w:t>
      </w:r>
      <w:r w:rsidRPr="005C5E32">
        <w:t xml:space="preserve">s response to climate change. </w:t>
      </w:r>
    </w:p>
    <w:p w14:paraId="4B9D8618" w14:textId="391F41C4" w:rsidR="00C850B2" w:rsidRPr="005C5E32" w:rsidRDefault="00C850B2">
      <w:pPr>
        <w:pStyle w:val="BodyText"/>
        <w:spacing w:before="100" w:after="100"/>
      </w:pPr>
      <w:r w:rsidRPr="005C5E32">
        <w:rPr>
          <w:spacing w:val="-2"/>
        </w:rPr>
        <w:t>The Board provides governance and accountability to enable successful delivery of the emissions</w:t>
      </w:r>
      <w:r w:rsidRPr="005C5E32">
        <w:t xml:space="preserve"> reduction plans and the national adaptation plan. The Board</w:t>
      </w:r>
      <w:r w:rsidR="000369F8" w:rsidRPr="005C5E32">
        <w:t>’</w:t>
      </w:r>
      <w:r w:rsidRPr="005C5E32">
        <w:t>s collective governance and advice on the Government</w:t>
      </w:r>
      <w:r w:rsidR="000369F8" w:rsidRPr="005C5E32">
        <w:t>’</w:t>
      </w:r>
      <w:r w:rsidRPr="005C5E32">
        <w:t>s climate response is a way to address complex policy issues across a range of portfolios.</w:t>
      </w:r>
    </w:p>
    <w:p w14:paraId="752E13F8" w14:textId="2A08EE2B" w:rsidR="00C850B2" w:rsidRPr="005C5E32" w:rsidRDefault="00C850B2">
      <w:pPr>
        <w:pStyle w:val="BodyText"/>
        <w:spacing w:before="100" w:after="100"/>
      </w:pPr>
      <w:r w:rsidRPr="005C5E32">
        <w:t>The Board reports to the Minister of Climate Change, who is the Board</w:t>
      </w:r>
      <w:r w:rsidR="000369F8" w:rsidRPr="005C5E32">
        <w:t>’</w:t>
      </w:r>
      <w:r w:rsidRPr="005C5E32">
        <w:t>s responsible Minister.</w:t>
      </w:r>
    </w:p>
    <w:p w14:paraId="03C0F55A" w14:textId="77777777" w:rsidR="00C850B2" w:rsidRPr="005C5E32" w:rsidRDefault="00C850B2">
      <w:pPr>
        <w:pStyle w:val="Heading3"/>
        <w:spacing w:before="280"/>
      </w:pPr>
      <w:r w:rsidRPr="005C5E32">
        <w:t>Our Board members</w:t>
      </w:r>
    </w:p>
    <w:p w14:paraId="1C9132AC" w14:textId="013A4CB6" w:rsidR="00C850B2" w:rsidRPr="005C5E32" w:rsidRDefault="00C850B2">
      <w:pPr>
        <w:pStyle w:val="BodyText"/>
        <w:spacing w:before="100" w:after="100"/>
      </w:pPr>
      <w:r w:rsidRPr="005C5E32">
        <w:t xml:space="preserve">During the reporting period, the Board was chaired by the Secretary for the Environment and comprised eight agency </w:t>
      </w:r>
      <w:r w:rsidR="001752BD" w:rsidRPr="005C5E32">
        <w:t>c</w:t>
      </w:r>
      <w:r w:rsidRPr="005C5E32">
        <w:t xml:space="preserve">hief </w:t>
      </w:r>
      <w:r w:rsidR="001752BD" w:rsidRPr="005C5E32">
        <w:t>e</w:t>
      </w:r>
      <w:r w:rsidRPr="005C5E32">
        <w:t>xecutives, drawn from the IEB remit at the time</w:t>
      </w:r>
      <w:r w:rsidR="00144343" w:rsidRPr="005C5E32">
        <w:t>.</w:t>
      </w:r>
      <w:r w:rsidRPr="005C5E32">
        <w:rPr>
          <w:rStyle w:val="FootnoteReference"/>
        </w:rPr>
        <w:footnoteReference w:id="13"/>
      </w:r>
    </w:p>
    <w:p w14:paraId="0951B413" w14:textId="16A69C23" w:rsidR="00C850B2" w:rsidRPr="005C5E32" w:rsidRDefault="00C850B2">
      <w:pPr>
        <w:pStyle w:val="BodyText"/>
        <w:spacing w:before="100" w:after="100"/>
      </w:pPr>
      <w:r w:rsidRPr="005C5E32">
        <w:t>Since November 2023, the Ministry of Foreign Affairs and Trade has also participated in Board</w:t>
      </w:r>
      <w:r w:rsidR="000C45F9" w:rsidRPr="005C5E32">
        <w:t> </w:t>
      </w:r>
      <w:r w:rsidRPr="005C5E32">
        <w:t xml:space="preserve">meetings. The Board is supported by the Deputy Solicitor-General as an independent legal advisor. </w:t>
      </w:r>
    </w:p>
    <w:p w14:paraId="7DF068CD" w14:textId="5F8BD368" w:rsidR="00A40D41" w:rsidRPr="005C5E32" w:rsidRDefault="00A40D41">
      <w:pPr>
        <w:pStyle w:val="BodyText"/>
        <w:spacing w:before="100" w:after="100"/>
      </w:pPr>
      <w:r w:rsidRPr="005C5E32">
        <w:t xml:space="preserve">Following the establishment of </w:t>
      </w:r>
      <w:r w:rsidR="006C1550" w:rsidRPr="005C5E32">
        <w:t>the Ministry for Cities, Environment, Regions and Transport (</w:t>
      </w:r>
      <w:r w:rsidRPr="005C5E32">
        <w:t>MCERT</w:t>
      </w:r>
      <w:r w:rsidR="006C1550" w:rsidRPr="005C5E32">
        <w:t>)</w:t>
      </w:r>
      <w:r w:rsidRPr="005C5E32">
        <w:t xml:space="preserve"> on 1 July 2026, the Board’s remit was updated to include MCERT, and remove the Ministry for the Environment</w:t>
      </w:r>
      <w:r w:rsidR="006C1550" w:rsidRPr="005C5E32">
        <w:t xml:space="preserve"> (the Ministry)</w:t>
      </w:r>
      <w:r w:rsidRPr="005C5E32">
        <w:t>, Ministry of Housing and Urban Development and</w:t>
      </w:r>
      <w:r w:rsidR="0006055C" w:rsidRPr="005C5E32">
        <w:t> </w:t>
      </w:r>
      <w:r w:rsidRPr="005C5E32">
        <w:t>Ministry of Transport.</w:t>
      </w:r>
      <w:r w:rsidRPr="005C5E32">
        <w:rPr>
          <w:rStyle w:val="FootnoteReference"/>
          <w:rFonts w:eastAsia="MS Mincho" w:cs="Arial"/>
        </w:rPr>
        <w:footnoteReference w:id="14"/>
      </w:r>
      <w:r w:rsidRPr="005C5E32">
        <w:t xml:space="preserve"> The Secretary for the Environment and Chief Executive </w:t>
      </w:r>
      <w:r w:rsidR="008A082C">
        <w:t>for</w:t>
      </w:r>
      <w:r w:rsidR="008A082C" w:rsidRPr="005C5E32">
        <w:t xml:space="preserve"> </w:t>
      </w:r>
      <w:r w:rsidRPr="005C5E32">
        <w:t>MCERT</w:t>
      </w:r>
      <w:r w:rsidR="0006055C" w:rsidRPr="005C5E32">
        <w:t> </w:t>
      </w:r>
      <w:r w:rsidRPr="005C5E32">
        <w:t>now hold</w:t>
      </w:r>
      <w:r w:rsidRPr="005C5E32" w:rsidDel="00872D7E">
        <w:t>s</w:t>
      </w:r>
      <w:r w:rsidRPr="005C5E32">
        <w:t xml:space="preserve"> responsibility for the Environment, Housing and Urban Development, and</w:t>
      </w:r>
      <w:r w:rsidR="0006055C" w:rsidRPr="005C5E32">
        <w:t> </w:t>
      </w:r>
      <w:r w:rsidRPr="005C5E32">
        <w:t>Transport portfolios, as well as local government functions transferred from the Department of Internal Affairs.</w:t>
      </w:r>
    </w:p>
    <w:p w14:paraId="1E75EA3D" w14:textId="77972D93" w:rsidR="00C850B2" w:rsidRPr="005C5E32" w:rsidRDefault="00C850B2">
      <w:pPr>
        <w:pStyle w:val="BodyText"/>
        <w:spacing w:after="100"/>
        <w:rPr>
          <w:rFonts w:eastAsia="MS Mincho"/>
        </w:rPr>
      </w:pPr>
      <w:r w:rsidRPr="005C5E32">
        <w:rPr>
          <w:rFonts w:eastAsia="MS Mincho"/>
        </w:rPr>
        <w:lastRenderedPageBreak/>
        <w:t>The Board is committed to supporting the Government to deliver its climate priorities by ensuring it finds credible paths to achieving future emissions budgets and strengthening New Zealand</w:t>
      </w:r>
      <w:r w:rsidR="000369F8" w:rsidRPr="005C5E32">
        <w:rPr>
          <w:rFonts w:eastAsia="MS Mincho"/>
        </w:rPr>
        <w:t>’</w:t>
      </w:r>
      <w:r w:rsidRPr="005C5E32">
        <w:rPr>
          <w:rFonts w:eastAsia="MS Mincho"/>
        </w:rPr>
        <w:t>s adaptation resilience and preparedness.</w:t>
      </w:r>
    </w:p>
    <w:p w14:paraId="2CA7D584" w14:textId="7BEB71FA" w:rsidR="00C850B2" w:rsidRPr="005C5E32" w:rsidRDefault="00C850B2">
      <w:pPr>
        <w:pStyle w:val="Heading3"/>
      </w:pPr>
      <w:bookmarkStart w:id="531" w:name="_Ref237855187"/>
      <w:r w:rsidRPr="005C5E32">
        <w:t>Our performance against strategic intentions and</w:t>
      </w:r>
      <w:r w:rsidR="0006055C" w:rsidRPr="005C5E32">
        <w:t> </w:t>
      </w:r>
      <w:r w:rsidRPr="005C5E32">
        <w:t>appropriation</w:t>
      </w:r>
      <w:bookmarkEnd w:id="531"/>
    </w:p>
    <w:p w14:paraId="3DB6FB00" w14:textId="498BBDFA" w:rsidR="00C850B2" w:rsidRPr="005C5E32" w:rsidRDefault="00DB42F5">
      <w:pPr>
        <w:pStyle w:val="BodyText"/>
        <w:spacing w:before="100" w:after="100"/>
      </w:pPr>
      <w:r w:rsidRPr="005C5E32">
        <w:t>In th</w:t>
      </w:r>
      <w:r w:rsidR="00E4247C" w:rsidRPr="005C5E32">
        <w:t>e 2025</w:t>
      </w:r>
      <w:r w:rsidR="008578C9" w:rsidRPr="005C5E32">
        <w:t>/</w:t>
      </w:r>
      <w:r w:rsidR="00E4247C" w:rsidRPr="005C5E32">
        <w:t>26 financial year, the</w:t>
      </w:r>
      <w:r w:rsidR="00C850B2" w:rsidRPr="005C5E32">
        <w:t xml:space="preserve"> Ministry administered the Board</w:t>
      </w:r>
      <w:r w:rsidR="000369F8" w:rsidRPr="005C5E32">
        <w:t>’</w:t>
      </w:r>
      <w:r w:rsidR="00C850B2" w:rsidRPr="005C5E32">
        <w:t>s appropriation and report</w:t>
      </w:r>
      <w:r w:rsidR="003F5D69" w:rsidRPr="005C5E32">
        <w:t>ed</w:t>
      </w:r>
      <w:r w:rsidR="00C850B2" w:rsidRPr="005C5E32">
        <w:t xml:space="preserve"> performance information (for the appropriation) in its annual report.</w:t>
      </w:r>
    </w:p>
    <w:p w14:paraId="2FC804DE" w14:textId="59FF85DD" w:rsidR="00C850B2" w:rsidRPr="005C5E32" w:rsidRDefault="00C850B2">
      <w:pPr>
        <w:pStyle w:val="BodyText"/>
        <w:spacing w:before="100" w:after="100"/>
      </w:pPr>
      <w:r w:rsidRPr="005C5E32">
        <w:t>The Board</w:t>
      </w:r>
      <w:r w:rsidR="000369F8" w:rsidRPr="005C5E32">
        <w:t>’</w:t>
      </w:r>
      <w:r w:rsidRPr="005C5E32">
        <w:t xml:space="preserve">s performance against the measure </w:t>
      </w:r>
      <w:r w:rsidR="000369F8" w:rsidRPr="005C5E32">
        <w:t>‘</w:t>
      </w:r>
      <w:r w:rsidR="00E03762" w:rsidRPr="005C5E32">
        <w:t>Progress r</w:t>
      </w:r>
      <w:r w:rsidRPr="005C5E32">
        <w:t>eporting on the delivery of the Government</w:t>
      </w:r>
      <w:r w:rsidR="000369F8" w:rsidRPr="005C5E32">
        <w:t>’</w:t>
      </w:r>
      <w:r w:rsidRPr="005C5E32">
        <w:t>s climate priorities is delivered on time</w:t>
      </w:r>
      <w:r w:rsidR="000369F8" w:rsidRPr="005C5E32">
        <w:t>’</w:t>
      </w:r>
      <w:r w:rsidRPr="005C5E32">
        <w:t xml:space="preserve"> is included in the Ministry</w:t>
      </w:r>
      <w:r w:rsidR="000369F8" w:rsidRPr="005C5E32">
        <w:t>’</w:t>
      </w:r>
      <w:r w:rsidRPr="005C5E32">
        <w:t>s reporting on</w:t>
      </w:r>
      <w:r w:rsidR="0006055C" w:rsidRPr="005C5E32">
        <w:t> </w:t>
      </w:r>
      <w:r w:rsidRPr="005C5E32">
        <w:t xml:space="preserve">its operating performance </w:t>
      </w:r>
      <w:r w:rsidR="00904BDD" w:rsidRPr="005C5E32">
        <w:t xml:space="preserve">under the </w:t>
      </w:r>
      <w:hyperlink w:anchor="_Climate_Change_Chief" w:history="1">
        <w:r w:rsidR="0017396A" w:rsidRPr="006F7313">
          <w:rPr>
            <w:rStyle w:val="Hyperlink"/>
          </w:rPr>
          <w:t>Climate Change Chief Executive Board appropriation</w:t>
        </w:r>
      </w:hyperlink>
      <w:r w:rsidR="00E44880" w:rsidRPr="005C5E32" w:rsidDel="00BB687C">
        <w:t xml:space="preserve"> </w:t>
      </w:r>
      <w:r w:rsidRPr="005C5E32">
        <w:t>in</w:t>
      </w:r>
      <w:r w:rsidR="0006055C" w:rsidRPr="005C5E32">
        <w:t> </w:t>
      </w:r>
      <w:r w:rsidRPr="005C5E32">
        <w:t>the</w:t>
      </w:r>
      <w:r w:rsidR="004B1ECC" w:rsidRPr="005C5E32">
        <w:t xml:space="preserve"> </w:t>
      </w:r>
      <w:r w:rsidR="003F4F0D" w:rsidRPr="0017396A" w:rsidDel="004B1ECC">
        <w:t>Ministry for the Environment Annual Report 2025/26</w:t>
      </w:r>
      <w:r w:rsidRPr="005C5E32" w:rsidDel="004B1ECC">
        <w:t>.</w:t>
      </w:r>
    </w:p>
    <w:p w14:paraId="276F98A2" w14:textId="3CAFFE70" w:rsidR="00C850B2" w:rsidRPr="005C5E32" w:rsidRDefault="00C850B2">
      <w:pPr>
        <w:pStyle w:val="BodyText"/>
        <w:spacing w:before="100" w:after="100"/>
      </w:pPr>
      <w:r w:rsidRPr="005C5E32">
        <w:t>Each agency is responsible for implementing its own actions from the emissions reduction plans and national adaptation plan.</w:t>
      </w:r>
      <w:r w:rsidRPr="005C5E32">
        <w:rPr>
          <w:rStyle w:val="CommentReference"/>
          <w:sz w:val="22"/>
          <w:szCs w:val="22"/>
        </w:rPr>
        <w:t xml:space="preserve"> T</w:t>
      </w:r>
      <w:r w:rsidRPr="005C5E32">
        <w:t>he Board</w:t>
      </w:r>
      <w:r w:rsidR="000369F8" w:rsidRPr="005C5E32">
        <w:t>’</w:t>
      </w:r>
      <w:r w:rsidRPr="005C5E32">
        <w:t>s role is to support the successful implementation of the Government</w:t>
      </w:r>
      <w:r w:rsidR="000369F8" w:rsidRPr="005C5E32">
        <w:t>’</w:t>
      </w:r>
      <w:r w:rsidRPr="005C5E32">
        <w:t xml:space="preserve">s climate priorities and plans by actively monitoring progress and advising Ministers on risks and opportunities. </w:t>
      </w:r>
    </w:p>
    <w:p w14:paraId="7F3F4C79" w14:textId="77777777" w:rsidR="00C850B2" w:rsidRPr="005C5E32" w:rsidRDefault="00C850B2">
      <w:pPr>
        <w:pStyle w:val="BodyText"/>
        <w:spacing w:after="100"/>
        <w:rPr>
          <w:highlight w:val="yellow"/>
        </w:rPr>
      </w:pPr>
      <w:r w:rsidRPr="005C5E32">
        <w:t>We are pleased to report that during the last year, the Board has:</w:t>
      </w:r>
    </w:p>
    <w:p w14:paraId="3A65C50E" w14:textId="77777777" w:rsidR="00C850B2" w:rsidRPr="005C5E32" w:rsidRDefault="00C850B2">
      <w:pPr>
        <w:pStyle w:val="Bullet"/>
        <w:tabs>
          <w:tab w:val="clear" w:pos="397"/>
        </w:tabs>
        <w:spacing w:after="100"/>
        <w:ind w:left="360" w:hanging="360"/>
      </w:pPr>
      <w:r w:rsidRPr="005C5E32">
        <w:t xml:space="preserve">developed a reporting framework for the second emissions reduction plan (ERP2), and delivered the first ERP2 implementation progress reports </w:t>
      </w:r>
    </w:p>
    <w:p w14:paraId="6D4570BE" w14:textId="77777777" w:rsidR="00C850B2" w:rsidRPr="005C5E32" w:rsidRDefault="00C850B2">
      <w:pPr>
        <w:pStyle w:val="Bullet"/>
        <w:tabs>
          <w:tab w:val="clear" w:pos="397"/>
        </w:tabs>
        <w:spacing w:after="100"/>
        <w:ind w:left="360" w:hanging="360"/>
      </w:pPr>
      <w:r w:rsidRPr="005C5E32">
        <w:t xml:space="preserve">provided strategic support to the Government in responding to evolving conditions and emerging challenges, and delivered the first adaptive management assessment to manage risks to meeting the second emissions budget </w:t>
      </w:r>
    </w:p>
    <w:p w14:paraId="1C030DE1" w14:textId="716F62D1" w:rsidR="00C850B2" w:rsidRPr="005C5E32" w:rsidRDefault="00C850B2">
      <w:pPr>
        <w:pStyle w:val="Bullet"/>
        <w:tabs>
          <w:tab w:val="clear" w:pos="397"/>
        </w:tabs>
        <w:spacing w:after="100"/>
        <w:ind w:left="360" w:hanging="360"/>
      </w:pPr>
      <w:r w:rsidRPr="005C5E32">
        <w:t xml:space="preserve">supported </w:t>
      </w:r>
      <w:r w:rsidR="00C242A7" w:rsidRPr="005C5E32">
        <w:t xml:space="preserve">required </w:t>
      </w:r>
      <w:r w:rsidRPr="005C5E32">
        <w:t xml:space="preserve">amendments to </w:t>
      </w:r>
      <w:r w:rsidR="00C242A7" w:rsidRPr="005C5E32">
        <w:t>ERP2</w:t>
      </w:r>
      <w:r w:rsidRPr="005C5E32">
        <w:t xml:space="preserve"> </w:t>
      </w:r>
    </w:p>
    <w:p w14:paraId="3C383719" w14:textId="692313C8" w:rsidR="00C850B2" w:rsidRPr="005C5E32" w:rsidRDefault="00C850B2">
      <w:pPr>
        <w:pStyle w:val="Bullet"/>
        <w:tabs>
          <w:tab w:val="clear" w:pos="397"/>
        </w:tabs>
        <w:spacing w:after="100"/>
        <w:ind w:left="360" w:hanging="360"/>
      </w:pPr>
      <w:r w:rsidRPr="005C5E32">
        <w:t>continued to monitor and report on progress against emissions budgets, including through the Prime Minister</w:t>
      </w:r>
      <w:r w:rsidR="000369F8" w:rsidRPr="005C5E32">
        <w:t>’</w:t>
      </w:r>
      <w:r w:rsidRPr="005C5E32">
        <w:t xml:space="preserve">s </w:t>
      </w:r>
      <w:hyperlink r:id="rId117">
        <w:r w:rsidRPr="005C5E32">
          <w:t>Target 9</w:t>
        </w:r>
      </w:hyperlink>
      <w:r w:rsidRPr="005C5E32">
        <w:t xml:space="preserve"> quarterly report</w:t>
      </w:r>
      <w:r w:rsidR="00D85E84" w:rsidRPr="005C5E32">
        <w:t>ing</w:t>
      </w:r>
      <w:r w:rsidR="00674EB1" w:rsidRPr="005C5E32">
        <w:rPr>
          <w:rStyle w:val="FootnoteReference"/>
        </w:rPr>
        <w:footnoteReference w:id="15"/>
      </w:r>
      <w:r w:rsidRPr="005C5E32">
        <w:t xml:space="preserve"> </w:t>
      </w:r>
    </w:p>
    <w:p w14:paraId="53A68310" w14:textId="58816FFA" w:rsidR="00C850B2" w:rsidRPr="005C5E32" w:rsidRDefault="00C850B2">
      <w:pPr>
        <w:pStyle w:val="Bullet"/>
        <w:tabs>
          <w:tab w:val="clear" w:pos="397"/>
        </w:tabs>
        <w:spacing w:after="100"/>
        <w:ind w:left="360" w:hanging="360"/>
      </w:pPr>
      <w:r w:rsidRPr="005C5E32">
        <w:t xml:space="preserve">continued to monitor and report on progress on adaptation goals, including integrating reporting on delivery of the </w:t>
      </w:r>
      <w:r w:rsidR="0058689D" w:rsidRPr="005C5E32">
        <w:t>N</w:t>
      </w:r>
      <w:r w:rsidRPr="005C5E32">
        <w:t xml:space="preserve">ational </w:t>
      </w:r>
      <w:r w:rsidR="0058689D" w:rsidRPr="005C5E32">
        <w:t>A</w:t>
      </w:r>
      <w:r w:rsidRPr="005C5E32">
        <w:t xml:space="preserve">daptation </w:t>
      </w:r>
      <w:r w:rsidR="0058689D" w:rsidRPr="005C5E32">
        <w:t>F</w:t>
      </w:r>
      <w:r w:rsidRPr="005C5E32">
        <w:t>ramework</w:t>
      </w:r>
    </w:p>
    <w:p w14:paraId="35FED381" w14:textId="4E1C47C1" w:rsidR="00C850B2" w:rsidRPr="005C5E32" w:rsidRDefault="00C850B2">
      <w:pPr>
        <w:pStyle w:val="Bullet"/>
        <w:tabs>
          <w:tab w:val="clear" w:pos="397"/>
        </w:tabs>
        <w:spacing w:after="100"/>
        <w:ind w:left="360" w:hanging="360"/>
      </w:pPr>
      <w:r w:rsidRPr="005C5E32">
        <w:t xml:space="preserve">delivered the </w:t>
      </w:r>
      <w:hyperlink r:id="rId118" w:history="1">
        <w:r w:rsidRPr="005C5E32">
          <w:rPr>
            <w:rStyle w:val="Hyperlink"/>
            <w:i/>
          </w:rPr>
          <w:t xml:space="preserve">Government </w:t>
        </w:r>
        <w:r w:rsidR="004949BA" w:rsidRPr="005C5E32">
          <w:rPr>
            <w:rStyle w:val="Hyperlink"/>
            <w:i/>
            <w:iCs/>
          </w:rPr>
          <w:t>R</w:t>
        </w:r>
        <w:r w:rsidRPr="005C5E32">
          <w:rPr>
            <w:rStyle w:val="Hyperlink"/>
            <w:i/>
            <w:iCs/>
          </w:rPr>
          <w:t>esponse</w:t>
        </w:r>
        <w:r w:rsidRPr="005C5E32">
          <w:rPr>
            <w:rStyle w:val="Hyperlink"/>
            <w:i/>
          </w:rPr>
          <w:t xml:space="preserve"> to </w:t>
        </w:r>
        <w:r w:rsidR="004949BA" w:rsidRPr="005C5E32">
          <w:rPr>
            <w:rStyle w:val="Hyperlink"/>
            <w:i/>
          </w:rPr>
          <w:t>the Climate Change Commission Report – Monitoring report: Emissions reduction 202</w:t>
        </w:r>
        <w:r w:rsidR="00F04DD2" w:rsidRPr="005C5E32">
          <w:rPr>
            <w:rStyle w:val="Hyperlink"/>
            <w:i/>
          </w:rPr>
          <w:t>5</w:t>
        </w:r>
      </w:hyperlink>
      <w:r w:rsidR="00F04DD2" w:rsidRPr="005C5E32">
        <w:t xml:space="preserve">, </w:t>
      </w:r>
      <w:r w:rsidR="0019000F" w:rsidRPr="005C5E32">
        <w:t xml:space="preserve">responding to </w:t>
      </w:r>
      <w:r w:rsidR="00F04DD2" w:rsidRPr="005C5E32">
        <w:t xml:space="preserve">the </w:t>
      </w:r>
      <w:r w:rsidRPr="005C5E32">
        <w:t>monitoring report of He Pou a Rangi | Climate Change Commission on the Government</w:t>
      </w:r>
      <w:r w:rsidR="000369F8" w:rsidRPr="005C5E32">
        <w:t>’</w:t>
      </w:r>
      <w:r w:rsidRPr="005C5E32">
        <w:t>s progress towards meeting the 2050 target and emissions budgets</w:t>
      </w:r>
      <w:r w:rsidR="00DD4D9A" w:rsidRPr="005C5E32">
        <w:t>.</w:t>
      </w:r>
      <w:r w:rsidRPr="005C5E32">
        <w:rPr>
          <w:vertAlign w:val="superscript"/>
        </w:rPr>
        <w:footnoteReference w:id="16"/>
      </w:r>
    </w:p>
    <w:p w14:paraId="31700197" w14:textId="4CB03C16" w:rsidR="00C850B2" w:rsidRPr="005C5E32" w:rsidRDefault="00C850B2" w:rsidP="001D3A43">
      <w:pPr>
        <w:pStyle w:val="BodyText"/>
        <w:spacing w:after="240"/>
      </w:pPr>
      <w:r w:rsidRPr="005C5E32">
        <w:t xml:space="preserve">Our performance reporting against our strategic priorities complies with generally accepted accounting practice </w:t>
      </w:r>
      <w:r w:rsidR="003E2282" w:rsidRPr="005C5E32">
        <w:t xml:space="preserve">(GAAP) </w:t>
      </w:r>
      <w:r w:rsidRPr="005C5E32">
        <w:t xml:space="preserve">and </w:t>
      </w:r>
      <w:r w:rsidR="001040B5" w:rsidRPr="005C5E32">
        <w:t>the</w:t>
      </w:r>
      <w:r w:rsidR="00650D27" w:rsidRPr="005C5E32">
        <w:t xml:space="preserve"> </w:t>
      </w:r>
      <w:hyperlink r:id="rId119" w:history="1">
        <w:r w:rsidR="00803DF2" w:rsidRPr="00200A5B">
          <w:rPr>
            <w:rStyle w:val="Hyperlink"/>
            <w:i/>
            <w:iCs/>
          </w:rPr>
          <w:t>Service Performance Reporting Standard (PBE FRS 48)</w:t>
        </w:r>
      </w:hyperlink>
      <w:r w:rsidR="00803DF2">
        <w:t>.</w:t>
      </w:r>
      <w:r w:rsidRPr="005C5E32">
        <w:t xml:space="preserve"> This financial year, we are reporting against the </w:t>
      </w:r>
      <w:r w:rsidR="00756E59" w:rsidRPr="005C5E32">
        <w:t xml:space="preserve">Board’s </w:t>
      </w:r>
      <w:hyperlink r:id="rId120" w:history="1">
        <w:r w:rsidR="00F83D22">
          <w:rPr>
            <w:rStyle w:val="Hyperlink"/>
          </w:rPr>
          <w:t>Sta</w:t>
        </w:r>
        <w:r w:rsidR="00752DF6">
          <w:rPr>
            <w:rStyle w:val="Hyperlink"/>
          </w:rPr>
          <w:t xml:space="preserve">tement of intent </w:t>
        </w:r>
        <w:r w:rsidRPr="005C5E32">
          <w:rPr>
            <w:rStyle w:val="Hyperlink"/>
          </w:rPr>
          <w:t>2023–27</w:t>
        </w:r>
      </w:hyperlink>
      <w:r w:rsidRPr="004A4C8C">
        <w:rPr>
          <w:rStyle w:val="Hyperlink"/>
          <w:color w:val="auto"/>
        </w:rPr>
        <w:t xml:space="preserve">. </w:t>
      </w:r>
      <w:r w:rsidRPr="005C5E32">
        <w:t xml:space="preserve">The Board is currently refreshing its </w:t>
      </w:r>
      <w:r w:rsidR="00385B17" w:rsidRPr="005C5E32">
        <w:t>s</w:t>
      </w:r>
      <w:r w:rsidRPr="005C5E32">
        <w:t xml:space="preserve">tatement of </w:t>
      </w:r>
      <w:r w:rsidR="00385B17" w:rsidRPr="005C5E32">
        <w:t>i</w:t>
      </w:r>
      <w:r w:rsidRPr="005C5E32">
        <w:t>ntent for 2026</w:t>
      </w:r>
      <w:r w:rsidR="005F7188" w:rsidRPr="005C5E32">
        <w:t>–</w:t>
      </w:r>
      <w:r w:rsidRPr="005C5E32">
        <w:t xml:space="preserve">31, which includes revised performance measures to reflect updated context. </w:t>
      </w:r>
    </w:p>
    <w:tbl>
      <w:tblPr>
        <w:tblStyle w:val="TableGrid"/>
        <w:tblW w:w="8505" w:type="dxa"/>
        <w:tblLayout w:type="fixed"/>
        <w:tblCellMar>
          <w:left w:w="85" w:type="dxa"/>
          <w:right w:w="85" w:type="dxa"/>
        </w:tblCellMar>
        <w:tblLook w:val="04A0" w:firstRow="1" w:lastRow="0" w:firstColumn="1" w:lastColumn="0" w:noHBand="0" w:noVBand="1"/>
      </w:tblPr>
      <w:tblGrid>
        <w:gridCol w:w="2164"/>
        <w:gridCol w:w="3111"/>
        <w:gridCol w:w="3230"/>
      </w:tblGrid>
      <w:tr w:rsidR="00C850B2" w:rsidRPr="005C5E32" w14:paraId="2E02F369" w14:textId="77777777" w:rsidTr="001D3A43">
        <w:trPr>
          <w:trHeight w:val="300"/>
          <w:tblHeader/>
        </w:trPr>
        <w:tc>
          <w:tcPr>
            <w:tcW w:w="2164" w:type="dxa"/>
            <w:tcBorders>
              <w:top w:val="single" w:sz="4" w:space="0" w:color="1B556B" w:themeColor="text2"/>
              <w:left w:val="nil"/>
              <w:bottom w:val="single" w:sz="4" w:space="0" w:color="1B556B" w:themeColor="text2"/>
              <w:right w:val="single" w:sz="4" w:space="0" w:color="1B556B" w:themeColor="text2"/>
            </w:tcBorders>
            <w:shd w:val="clear" w:color="auto" w:fill="1C556C" w:themeFill="accent1"/>
            <w:vAlign w:val="bottom"/>
          </w:tcPr>
          <w:p w14:paraId="77BB6889" w14:textId="77777777" w:rsidR="00C850B2" w:rsidRPr="005C5E32" w:rsidRDefault="00C850B2">
            <w:pPr>
              <w:pStyle w:val="TableTextbold"/>
              <w:keepNext/>
              <w:spacing w:before="40" w:after="40"/>
              <w:rPr>
                <w:color w:val="FFFFFF" w:themeColor="background1"/>
                <w:sz w:val="19"/>
                <w:szCs w:val="19"/>
              </w:rPr>
            </w:pPr>
            <w:r w:rsidRPr="005C5E32">
              <w:rPr>
                <w:color w:val="FFFFFF" w:themeColor="background1"/>
                <w:sz w:val="19"/>
                <w:szCs w:val="19"/>
              </w:rPr>
              <w:lastRenderedPageBreak/>
              <w:t xml:space="preserve">Impact measures </w:t>
            </w:r>
          </w:p>
        </w:tc>
        <w:tc>
          <w:tcPr>
            <w:tcW w:w="3111" w:type="dxa"/>
            <w:tcBorders>
              <w:top w:val="single" w:sz="4" w:space="0" w:color="1B556B" w:themeColor="text2"/>
              <w:left w:val="single" w:sz="4" w:space="0" w:color="1B556B" w:themeColor="text2"/>
              <w:bottom w:val="single" w:sz="4" w:space="0" w:color="1B556B" w:themeColor="text2"/>
              <w:right w:val="nil"/>
            </w:tcBorders>
            <w:shd w:val="clear" w:color="auto" w:fill="1C556C" w:themeFill="accent1"/>
            <w:vAlign w:val="bottom"/>
          </w:tcPr>
          <w:p w14:paraId="6BA6578A" w14:textId="77777777" w:rsidR="00C850B2" w:rsidRPr="005C5E32" w:rsidRDefault="00C850B2">
            <w:pPr>
              <w:pStyle w:val="TableTextbold"/>
              <w:spacing w:before="40" w:after="40"/>
              <w:rPr>
                <w:color w:val="FFFFFF" w:themeColor="background1"/>
                <w:sz w:val="19"/>
                <w:szCs w:val="19"/>
              </w:rPr>
            </w:pPr>
            <w:r w:rsidRPr="005C5E32">
              <w:rPr>
                <w:color w:val="FFFFFF" w:themeColor="background1"/>
                <w:sz w:val="19"/>
                <w:szCs w:val="19"/>
              </w:rPr>
              <w:t xml:space="preserve">How we performed </w:t>
            </w:r>
            <w:r w:rsidRPr="005C5E32">
              <w:rPr>
                <w:color w:val="FFFFFF" w:themeColor="background1"/>
                <w:sz w:val="19"/>
                <w:szCs w:val="19"/>
              </w:rPr>
              <w:br/>
              <w:t>2024/25</w:t>
            </w:r>
          </w:p>
        </w:tc>
        <w:tc>
          <w:tcPr>
            <w:tcW w:w="3230" w:type="dxa"/>
            <w:tcBorders>
              <w:top w:val="single" w:sz="4" w:space="0" w:color="1B556B" w:themeColor="text2"/>
              <w:left w:val="single" w:sz="4" w:space="0" w:color="1B556B" w:themeColor="text2"/>
              <w:bottom w:val="single" w:sz="4" w:space="0" w:color="1B556B" w:themeColor="text2"/>
              <w:right w:val="nil"/>
            </w:tcBorders>
            <w:shd w:val="clear" w:color="auto" w:fill="1C556C" w:themeFill="accent1"/>
          </w:tcPr>
          <w:p w14:paraId="67792811" w14:textId="77777777" w:rsidR="00C850B2" w:rsidRPr="005C5E32" w:rsidRDefault="00C850B2">
            <w:pPr>
              <w:pStyle w:val="TableTextbold"/>
              <w:spacing w:before="40" w:after="40"/>
              <w:rPr>
                <w:color w:val="FFFFFF" w:themeColor="background1"/>
                <w:sz w:val="19"/>
                <w:szCs w:val="19"/>
              </w:rPr>
            </w:pPr>
            <w:r w:rsidRPr="005C5E32">
              <w:rPr>
                <w:color w:val="FFFFFF" w:themeColor="background1"/>
                <w:sz w:val="19"/>
                <w:szCs w:val="19"/>
              </w:rPr>
              <w:t xml:space="preserve">How we performed </w:t>
            </w:r>
            <w:r w:rsidRPr="005C5E32">
              <w:br/>
            </w:r>
            <w:r w:rsidRPr="005C5E32">
              <w:rPr>
                <w:color w:val="FFFFFF" w:themeColor="background1"/>
                <w:sz w:val="19"/>
                <w:szCs w:val="19"/>
              </w:rPr>
              <w:t>2025/26</w:t>
            </w:r>
          </w:p>
        </w:tc>
      </w:tr>
      <w:tr w:rsidR="00C850B2" w:rsidRPr="005C5E32" w14:paraId="44580FF9" w14:textId="77777777" w:rsidTr="001D3A43">
        <w:trPr>
          <w:trHeight w:val="300"/>
        </w:trPr>
        <w:tc>
          <w:tcPr>
            <w:tcW w:w="2164" w:type="dxa"/>
            <w:tcBorders>
              <w:top w:val="single" w:sz="4" w:space="0" w:color="1B556B" w:themeColor="text2"/>
              <w:left w:val="nil"/>
              <w:bottom w:val="single" w:sz="4" w:space="0" w:color="1B556B" w:themeColor="text2"/>
              <w:right w:val="single" w:sz="4" w:space="0" w:color="1B556B" w:themeColor="text2"/>
            </w:tcBorders>
          </w:tcPr>
          <w:p w14:paraId="4240D7D0" w14:textId="77777777" w:rsidR="00C850B2" w:rsidRPr="005C5E32" w:rsidRDefault="00C850B2">
            <w:pPr>
              <w:pStyle w:val="TableText"/>
              <w:spacing w:before="40" w:after="40"/>
              <w:rPr>
                <w:sz w:val="19"/>
                <w:szCs w:val="19"/>
              </w:rPr>
            </w:pPr>
            <w:r w:rsidRPr="005C5E32">
              <w:rPr>
                <w:sz w:val="19"/>
                <w:szCs w:val="19"/>
              </w:rPr>
              <w:t>The Board coordinates the implementation of cross-agency actions and strategies in the emissions reduction plans and the national adaptation plan.</w:t>
            </w:r>
          </w:p>
        </w:tc>
        <w:tc>
          <w:tcPr>
            <w:tcW w:w="3111" w:type="dxa"/>
            <w:tcBorders>
              <w:top w:val="single" w:sz="4" w:space="0" w:color="1B556B" w:themeColor="text2"/>
              <w:left w:val="single" w:sz="4" w:space="0" w:color="1B556B" w:themeColor="text2"/>
              <w:bottom w:val="single" w:sz="4" w:space="0" w:color="1B556B" w:themeColor="text2"/>
              <w:right w:val="nil"/>
            </w:tcBorders>
          </w:tcPr>
          <w:p w14:paraId="4CA42A24" w14:textId="272BDC8F" w:rsidR="00C850B2" w:rsidRPr="005C5E32" w:rsidRDefault="00C850B2">
            <w:pPr>
              <w:pStyle w:val="TableText"/>
              <w:spacing w:before="40" w:after="40"/>
              <w:rPr>
                <w:sz w:val="19"/>
                <w:szCs w:val="19"/>
              </w:rPr>
            </w:pPr>
            <w:r w:rsidRPr="005C5E32">
              <w:rPr>
                <w:sz w:val="19"/>
                <w:szCs w:val="19"/>
              </w:rPr>
              <w:t>The Board coordinated implementation of cross-agency actions and strategies in the emissions reduction plans and the national adaptation plan. This included readiness reporting for and design of an adaptive management approach to ERP2.</w:t>
            </w:r>
          </w:p>
        </w:tc>
        <w:tc>
          <w:tcPr>
            <w:tcW w:w="3230" w:type="dxa"/>
            <w:tcBorders>
              <w:top w:val="single" w:sz="4" w:space="0" w:color="1B556B" w:themeColor="text2"/>
              <w:left w:val="single" w:sz="4" w:space="0" w:color="1B556B" w:themeColor="text2"/>
              <w:bottom w:val="single" w:sz="4" w:space="0" w:color="1B556B" w:themeColor="text2"/>
              <w:right w:val="nil"/>
            </w:tcBorders>
          </w:tcPr>
          <w:p w14:paraId="50F19047" w14:textId="1464C9B3" w:rsidR="00C850B2" w:rsidRPr="005C5E32" w:rsidRDefault="00C850B2">
            <w:pPr>
              <w:pStyle w:val="TableText"/>
              <w:spacing w:before="40" w:after="40"/>
              <w:rPr>
                <w:sz w:val="19"/>
                <w:szCs w:val="19"/>
              </w:rPr>
            </w:pPr>
            <w:r w:rsidRPr="005C5E32">
              <w:rPr>
                <w:sz w:val="19"/>
                <w:szCs w:val="19"/>
              </w:rPr>
              <w:t>The Board coordinated implementation of cross-agency actions and strategies in the emissions reduction plans and the national adaptation plan. This involved design</w:t>
            </w:r>
            <w:r w:rsidR="003915E6" w:rsidRPr="005C5E32">
              <w:rPr>
                <w:sz w:val="19"/>
                <w:szCs w:val="19"/>
              </w:rPr>
              <w:t>ing</w:t>
            </w:r>
            <w:r w:rsidRPr="005C5E32" w:rsidDel="003915E6">
              <w:rPr>
                <w:sz w:val="19"/>
                <w:szCs w:val="19"/>
              </w:rPr>
              <w:t xml:space="preserve"> </w:t>
            </w:r>
            <w:r w:rsidRPr="005C5E32">
              <w:rPr>
                <w:sz w:val="19"/>
                <w:szCs w:val="19"/>
              </w:rPr>
              <w:t>a reporting framework for ERP2</w:t>
            </w:r>
            <w:r w:rsidR="00E858C3" w:rsidRPr="005C5E32">
              <w:rPr>
                <w:sz w:val="19"/>
                <w:szCs w:val="19"/>
              </w:rPr>
              <w:t>,</w:t>
            </w:r>
            <w:r w:rsidRPr="005C5E32">
              <w:rPr>
                <w:sz w:val="19"/>
                <w:szCs w:val="19"/>
              </w:rPr>
              <w:t xml:space="preserve"> </w:t>
            </w:r>
            <w:r w:rsidR="003915E6" w:rsidRPr="005C5E32">
              <w:rPr>
                <w:sz w:val="19"/>
                <w:szCs w:val="19"/>
              </w:rPr>
              <w:t xml:space="preserve">with </w:t>
            </w:r>
            <w:r w:rsidRPr="005C5E32">
              <w:rPr>
                <w:sz w:val="19"/>
                <w:szCs w:val="19"/>
              </w:rPr>
              <w:t>sectoral indicators to support tracking and reporting, and as an input to the annual adaptive management process.</w:t>
            </w:r>
          </w:p>
          <w:p w14:paraId="5E38CE88" w14:textId="2D2525C1" w:rsidR="00C850B2" w:rsidRPr="005C5E32" w:rsidRDefault="00C850B2">
            <w:pPr>
              <w:pStyle w:val="TableText"/>
              <w:spacing w:before="40" w:after="40"/>
              <w:rPr>
                <w:sz w:val="19"/>
                <w:szCs w:val="19"/>
              </w:rPr>
            </w:pPr>
            <w:r w:rsidRPr="005C5E32">
              <w:rPr>
                <w:sz w:val="19"/>
                <w:szCs w:val="19"/>
              </w:rPr>
              <w:t>The Board coordinated delivery of the ERP2 amendment to reflect the Government</w:t>
            </w:r>
            <w:r w:rsidR="000369F8" w:rsidRPr="005C5E32">
              <w:rPr>
                <w:sz w:val="19"/>
                <w:szCs w:val="19"/>
              </w:rPr>
              <w:t>’</w:t>
            </w:r>
            <w:r w:rsidRPr="005C5E32">
              <w:rPr>
                <w:sz w:val="19"/>
                <w:szCs w:val="19"/>
              </w:rPr>
              <w:t>s revised approach to reducing agricultural emissions.</w:t>
            </w:r>
          </w:p>
        </w:tc>
      </w:tr>
      <w:tr w:rsidR="00C850B2" w:rsidRPr="005C5E32" w14:paraId="43D3E5CC" w14:textId="77777777" w:rsidTr="001D3A43">
        <w:trPr>
          <w:trHeight w:val="300"/>
        </w:trPr>
        <w:tc>
          <w:tcPr>
            <w:tcW w:w="2164" w:type="dxa"/>
            <w:tcBorders>
              <w:top w:val="single" w:sz="4" w:space="0" w:color="1B556B" w:themeColor="text2"/>
              <w:left w:val="nil"/>
              <w:bottom w:val="single" w:sz="4" w:space="0" w:color="1B556B" w:themeColor="text2"/>
              <w:right w:val="single" w:sz="4" w:space="0" w:color="1B556B" w:themeColor="text2"/>
            </w:tcBorders>
          </w:tcPr>
          <w:p w14:paraId="016991C3" w14:textId="45111F99" w:rsidR="00C850B2" w:rsidRPr="005C5E32" w:rsidRDefault="00C850B2">
            <w:pPr>
              <w:pStyle w:val="TableText"/>
              <w:spacing w:before="40" w:after="40"/>
              <w:rPr>
                <w:sz w:val="19"/>
                <w:szCs w:val="19"/>
              </w:rPr>
            </w:pPr>
            <w:r w:rsidRPr="005C5E32">
              <w:rPr>
                <w:sz w:val="19"/>
                <w:szCs w:val="19"/>
              </w:rPr>
              <w:t>The Board actively monitors and reports against the emissions reduction plans, the national adaptation plan and emissions budgets through quarterly reports to the Climate Priorities Ministerial Group.</w:t>
            </w:r>
          </w:p>
        </w:tc>
        <w:tc>
          <w:tcPr>
            <w:tcW w:w="3111" w:type="dxa"/>
            <w:tcBorders>
              <w:top w:val="single" w:sz="4" w:space="0" w:color="1B556B" w:themeColor="text2"/>
              <w:left w:val="single" w:sz="4" w:space="0" w:color="1B556B" w:themeColor="text2"/>
              <w:bottom w:val="single" w:sz="4" w:space="0" w:color="1B556B" w:themeColor="text2"/>
              <w:right w:val="nil"/>
            </w:tcBorders>
          </w:tcPr>
          <w:p w14:paraId="4A099232" w14:textId="3A571F34" w:rsidR="00C850B2" w:rsidRPr="005C5E32" w:rsidRDefault="00C850B2">
            <w:pPr>
              <w:pStyle w:val="TableText"/>
              <w:spacing w:before="40" w:after="40"/>
              <w:rPr>
                <w:sz w:val="19"/>
                <w:szCs w:val="19"/>
              </w:rPr>
            </w:pPr>
            <w:r w:rsidRPr="005C5E32">
              <w:rPr>
                <w:sz w:val="19"/>
                <w:szCs w:val="19"/>
              </w:rPr>
              <w:t>The Board reported quarterly, through Target 9, on progress and tracking against emissions budgets, upcoming decisions and milestones across climate priority areas. This included updates on progress towards emissions budgets and in key areas (primarily across ERP2 policies), upcoming ministerial decisions, and tracking of key leading and supporting indicators.</w:t>
            </w:r>
          </w:p>
          <w:p w14:paraId="6C3A7662" w14:textId="77FDD522" w:rsidR="00C850B2" w:rsidRPr="005C5E32" w:rsidRDefault="00C850B2">
            <w:pPr>
              <w:pStyle w:val="TableText"/>
              <w:spacing w:before="40" w:after="40"/>
              <w:rPr>
                <w:sz w:val="19"/>
                <w:szCs w:val="19"/>
              </w:rPr>
            </w:pPr>
            <w:r w:rsidRPr="005C5E32">
              <w:rPr>
                <w:sz w:val="19"/>
                <w:szCs w:val="19"/>
              </w:rPr>
              <w:t>In October 2024, the Board provided advice to Ministers on progress of actions in the national adaptation plan, including actions that are active, completed, not started</w:t>
            </w:r>
            <w:r w:rsidRPr="005C5E32" w:rsidDel="006C1550">
              <w:rPr>
                <w:sz w:val="19"/>
                <w:szCs w:val="19"/>
              </w:rPr>
              <w:t>,</w:t>
            </w:r>
            <w:r w:rsidRPr="005C5E32">
              <w:rPr>
                <w:sz w:val="19"/>
                <w:szCs w:val="19"/>
              </w:rPr>
              <w:t xml:space="preserve"> or on hold, along with reasons for any inactive actions.</w:t>
            </w:r>
          </w:p>
          <w:p w14:paraId="19DC7A53" w14:textId="6AA235EB" w:rsidR="00C850B2" w:rsidRPr="005C5E32" w:rsidRDefault="00C850B2">
            <w:pPr>
              <w:pStyle w:val="TableText"/>
              <w:spacing w:before="40" w:after="40"/>
              <w:rPr>
                <w:sz w:val="19"/>
                <w:szCs w:val="19"/>
              </w:rPr>
            </w:pPr>
            <w:r w:rsidRPr="005C5E32" w:rsidDel="006C1550">
              <w:rPr>
                <w:sz w:val="19"/>
                <w:szCs w:val="19"/>
              </w:rPr>
              <w:t>A</w:t>
            </w:r>
            <w:r w:rsidRPr="005C5E32">
              <w:rPr>
                <w:sz w:val="19"/>
                <w:szCs w:val="19"/>
              </w:rPr>
              <w:t xml:space="preserve"> final progress report on ERP1 </w:t>
            </w:r>
            <w:r w:rsidRPr="005C5E32" w:rsidDel="006C1550">
              <w:rPr>
                <w:sz w:val="19"/>
                <w:szCs w:val="19"/>
              </w:rPr>
              <w:t xml:space="preserve">was provided </w:t>
            </w:r>
            <w:r w:rsidRPr="005C5E32">
              <w:rPr>
                <w:sz w:val="19"/>
                <w:szCs w:val="19"/>
              </w:rPr>
              <w:t xml:space="preserve">in March 2025, following the formal amendment of ERP1 in December 2024. </w:t>
            </w:r>
          </w:p>
        </w:tc>
        <w:tc>
          <w:tcPr>
            <w:tcW w:w="3230" w:type="dxa"/>
            <w:tcBorders>
              <w:top w:val="single" w:sz="4" w:space="0" w:color="1B556B" w:themeColor="text2"/>
              <w:left w:val="single" w:sz="4" w:space="0" w:color="1B556B" w:themeColor="text2"/>
              <w:bottom w:val="single" w:sz="4" w:space="0" w:color="1B556B" w:themeColor="text2"/>
              <w:right w:val="nil"/>
            </w:tcBorders>
          </w:tcPr>
          <w:p w14:paraId="3A4D8B35" w14:textId="3E5ABCD3" w:rsidR="00C850B2" w:rsidRPr="005C5E32" w:rsidRDefault="00C850B2">
            <w:pPr>
              <w:pStyle w:val="TableText"/>
              <w:spacing w:before="40" w:after="40"/>
              <w:rPr>
                <w:sz w:val="19"/>
                <w:szCs w:val="19"/>
              </w:rPr>
            </w:pPr>
            <w:r w:rsidRPr="005C5E32">
              <w:rPr>
                <w:sz w:val="19"/>
                <w:szCs w:val="19"/>
              </w:rPr>
              <w:t xml:space="preserve">The Board </w:t>
            </w:r>
            <w:r w:rsidR="000E7E89" w:rsidRPr="005C5E32">
              <w:rPr>
                <w:sz w:val="19"/>
                <w:szCs w:val="19"/>
              </w:rPr>
              <w:t xml:space="preserve">completed quarterly </w:t>
            </w:r>
            <w:r w:rsidRPr="005C5E32">
              <w:rPr>
                <w:sz w:val="19"/>
                <w:szCs w:val="19"/>
              </w:rPr>
              <w:t>Target 9</w:t>
            </w:r>
            <w:r w:rsidR="000E7E89" w:rsidRPr="005C5E32">
              <w:rPr>
                <w:sz w:val="19"/>
                <w:szCs w:val="19"/>
              </w:rPr>
              <w:t xml:space="preserve"> reporting</w:t>
            </w:r>
            <w:r w:rsidRPr="005C5E32">
              <w:rPr>
                <w:sz w:val="19"/>
                <w:szCs w:val="19"/>
              </w:rPr>
              <w:t xml:space="preserve"> on progress and tracking against emissions budgets, upcoming decisions and milestones across climate priority areas. This included updates on progress towards emissions budgets and in key areas (primarily across ERP2 policies), upcoming ministerial decisions, and tracking of key leading and supporting indicators.</w:t>
            </w:r>
          </w:p>
          <w:p w14:paraId="4BE24DEA" w14:textId="5FCC6A4C" w:rsidR="00C850B2" w:rsidRPr="005C5E32" w:rsidRDefault="00C850B2">
            <w:pPr>
              <w:pStyle w:val="TableText"/>
              <w:spacing w:before="40" w:after="40"/>
              <w:rPr>
                <w:sz w:val="19"/>
                <w:szCs w:val="19"/>
              </w:rPr>
            </w:pPr>
            <w:r w:rsidRPr="005C5E32">
              <w:rPr>
                <w:sz w:val="19"/>
                <w:szCs w:val="19"/>
              </w:rPr>
              <w:t>In March 2026 the Board provided an update to Ministers on progress towards New Zealand</w:t>
            </w:r>
            <w:r w:rsidR="000369F8" w:rsidRPr="005C5E32">
              <w:rPr>
                <w:sz w:val="19"/>
                <w:szCs w:val="19"/>
              </w:rPr>
              <w:t>’</w:t>
            </w:r>
            <w:r w:rsidRPr="005C5E32">
              <w:rPr>
                <w:sz w:val="19"/>
                <w:szCs w:val="19"/>
              </w:rPr>
              <w:t>s climate goals and targets</w:t>
            </w:r>
            <w:r w:rsidR="00885584" w:rsidRPr="005C5E32">
              <w:rPr>
                <w:sz w:val="19"/>
                <w:szCs w:val="19"/>
              </w:rPr>
              <w:t>,</w:t>
            </w:r>
            <w:r w:rsidRPr="005C5E32">
              <w:rPr>
                <w:sz w:val="19"/>
                <w:szCs w:val="19"/>
              </w:rPr>
              <w:t xml:space="preserve"> and </w:t>
            </w:r>
            <w:r w:rsidR="00885584" w:rsidRPr="005C5E32">
              <w:rPr>
                <w:sz w:val="19"/>
                <w:szCs w:val="19"/>
              </w:rPr>
              <w:t xml:space="preserve">on </w:t>
            </w:r>
            <w:r w:rsidRPr="005C5E32">
              <w:rPr>
                <w:sz w:val="19"/>
                <w:szCs w:val="19"/>
              </w:rPr>
              <w:t xml:space="preserve">work underway to implement climate work programmes in support of these. </w:t>
            </w:r>
            <w:r w:rsidR="00742C2D" w:rsidRPr="005C5E32">
              <w:rPr>
                <w:sz w:val="19"/>
                <w:szCs w:val="19"/>
              </w:rPr>
              <w:t xml:space="preserve">Its update </w:t>
            </w:r>
            <w:r w:rsidRPr="005C5E32">
              <w:rPr>
                <w:sz w:val="19"/>
                <w:szCs w:val="19"/>
              </w:rPr>
              <w:t>included an overview of implementation progress of the first national adaptation plan</w:t>
            </w:r>
            <w:r w:rsidR="00885584" w:rsidRPr="005C5E32">
              <w:rPr>
                <w:sz w:val="19"/>
                <w:szCs w:val="19"/>
              </w:rPr>
              <w:t>,</w:t>
            </w:r>
            <w:r w:rsidRPr="005C5E32" w:rsidDel="00885584">
              <w:rPr>
                <w:sz w:val="19"/>
                <w:szCs w:val="19"/>
              </w:rPr>
              <w:t xml:space="preserve"> </w:t>
            </w:r>
            <w:r w:rsidRPr="005C5E32">
              <w:rPr>
                <w:sz w:val="19"/>
                <w:szCs w:val="19"/>
              </w:rPr>
              <w:t>readiness to deliver ERP2 policies, and findings from the ERP1 close</w:t>
            </w:r>
            <w:r w:rsidR="006C1550" w:rsidRPr="005C5E32">
              <w:rPr>
                <w:sz w:val="19"/>
                <w:szCs w:val="19"/>
              </w:rPr>
              <w:t>-</w:t>
            </w:r>
            <w:r w:rsidRPr="005C5E32">
              <w:rPr>
                <w:sz w:val="19"/>
                <w:szCs w:val="19"/>
              </w:rPr>
              <w:t xml:space="preserve">out report. </w:t>
            </w:r>
          </w:p>
        </w:tc>
      </w:tr>
      <w:tr w:rsidR="00C850B2" w:rsidRPr="005C5E32" w14:paraId="14BFCC36" w14:textId="77777777" w:rsidTr="001D3A43">
        <w:trPr>
          <w:trHeight w:val="300"/>
        </w:trPr>
        <w:tc>
          <w:tcPr>
            <w:tcW w:w="2164" w:type="dxa"/>
            <w:tcBorders>
              <w:top w:val="single" w:sz="4" w:space="0" w:color="1B556B" w:themeColor="text2"/>
              <w:left w:val="nil"/>
              <w:bottom w:val="single" w:sz="4" w:space="0" w:color="1B556B" w:themeColor="text2"/>
              <w:right w:val="single" w:sz="4" w:space="0" w:color="1B556B" w:themeColor="text2"/>
            </w:tcBorders>
          </w:tcPr>
          <w:p w14:paraId="33238A24" w14:textId="77777777" w:rsidR="00C850B2" w:rsidRPr="005C5E32" w:rsidRDefault="00C850B2">
            <w:pPr>
              <w:pStyle w:val="TableText"/>
              <w:spacing w:before="40" w:after="40"/>
              <w:rPr>
                <w:sz w:val="19"/>
                <w:szCs w:val="19"/>
              </w:rPr>
            </w:pPr>
            <w:r w:rsidRPr="005C5E32">
              <w:rPr>
                <w:sz w:val="19"/>
                <w:szCs w:val="19"/>
              </w:rPr>
              <w:t>The Board takes an adaptive management approach that enables the Government to be agile in response to differences in the planned and actual pace and impact of initiatives across the two plans.</w:t>
            </w:r>
          </w:p>
        </w:tc>
        <w:tc>
          <w:tcPr>
            <w:tcW w:w="3111" w:type="dxa"/>
            <w:tcBorders>
              <w:top w:val="single" w:sz="4" w:space="0" w:color="1B556B" w:themeColor="text2"/>
              <w:left w:val="single" w:sz="4" w:space="0" w:color="1B556B" w:themeColor="text2"/>
              <w:bottom w:val="single" w:sz="4" w:space="0" w:color="1B556B" w:themeColor="text2"/>
              <w:right w:val="nil"/>
            </w:tcBorders>
          </w:tcPr>
          <w:p w14:paraId="75776868" w14:textId="03BBCB04" w:rsidR="00C850B2" w:rsidRPr="005C5E32" w:rsidRDefault="00C850B2">
            <w:pPr>
              <w:pStyle w:val="TableText"/>
              <w:spacing w:before="40" w:after="40"/>
              <w:rPr>
                <w:sz w:val="19"/>
                <w:szCs w:val="19"/>
              </w:rPr>
            </w:pPr>
            <w:r w:rsidRPr="005C5E32">
              <w:rPr>
                <w:sz w:val="19"/>
                <w:szCs w:val="19"/>
              </w:rPr>
              <w:t xml:space="preserve">To support the Government to respond effectively to changing conditions and emerging challenges, the Board </w:t>
            </w:r>
            <w:r w:rsidRPr="005C5E32" w:rsidDel="00935AB1">
              <w:rPr>
                <w:sz w:val="19"/>
                <w:szCs w:val="19"/>
              </w:rPr>
              <w:t xml:space="preserve">has </w:t>
            </w:r>
            <w:r w:rsidRPr="005C5E32">
              <w:rPr>
                <w:sz w:val="19"/>
                <w:szCs w:val="19"/>
              </w:rPr>
              <w:t>refreshed its monitoring and reporting approach.</w:t>
            </w:r>
          </w:p>
          <w:p w14:paraId="00ED5C1D" w14:textId="13154F36" w:rsidR="00C850B2" w:rsidRPr="005C5E32" w:rsidRDefault="00C850B2">
            <w:pPr>
              <w:pStyle w:val="TableText"/>
              <w:spacing w:before="40" w:after="40"/>
              <w:rPr>
                <w:sz w:val="19"/>
                <w:szCs w:val="19"/>
              </w:rPr>
            </w:pPr>
            <w:r w:rsidRPr="005C5E32" w:rsidDel="006C1550">
              <w:rPr>
                <w:sz w:val="19"/>
                <w:szCs w:val="19"/>
              </w:rPr>
              <w:t>An</w:t>
            </w:r>
            <w:r w:rsidRPr="005C5E32">
              <w:rPr>
                <w:sz w:val="19"/>
                <w:szCs w:val="19"/>
              </w:rPr>
              <w:t xml:space="preserve"> adaptive management approach </w:t>
            </w:r>
            <w:r w:rsidRPr="005C5E32" w:rsidDel="006C1550">
              <w:rPr>
                <w:sz w:val="19"/>
                <w:szCs w:val="19"/>
              </w:rPr>
              <w:t xml:space="preserve">has been developed </w:t>
            </w:r>
            <w:r w:rsidRPr="005C5E32">
              <w:rPr>
                <w:sz w:val="19"/>
                <w:szCs w:val="19"/>
              </w:rPr>
              <w:t xml:space="preserve">with an emphasis on the key policies set out in ERP2. </w:t>
            </w:r>
          </w:p>
        </w:tc>
        <w:tc>
          <w:tcPr>
            <w:tcW w:w="3230" w:type="dxa"/>
            <w:tcBorders>
              <w:top w:val="single" w:sz="4" w:space="0" w:color="1B556B" w:themeColor="text2"/>
              <w:left w:val="single" w:sz="4" w:space="0" w:color="1B556B" w:themeColor="text2"/>
              <w:bottom w:val="single" w:sz="4" w:space="0" w:color="1B556B" w:themeColor="text2"/>
              <w:right w:val="nil"/>
            </w:tcBorders>
          </w:tcPr>
          <w:p w14:paraId="2CF3819A" w14:textId="07C66737" w:rsidR="00C850B2" w:rsidRPr="005C5E32" w:rsidRDefault="00C850B2">
            <w:pPr>
              <w:pStyle w:val="TableText"/>
              <w:spacing w:before="40" w:after="40"/>
              <w:rPr>
                <w:sz w:val="19"/>
                <w:szCs w:val="19"/>
              </w:rPr>
            </w:pPr>
            <w:r w:rsidRPr="005C5E32">
              <w:rPr>
                <w:sz w:val="19"/>
                <w:szCs w:val="19"/>
              </w:rPr>
              <w:t>The Board convened a cross-agency review of possible risks to the second emissions budget</w:t>
            </w:r>
            <w:r w:rsidR="00404492" w:rsidRPr="005C5E32">
              <w:rPr>
                <w:sz w:val="19"/>
                <w:szCs w:val="19"/>
              </w:rPr>
              <w:t>,</w:t>
            </w:r>
            <w:r w:rsidRPr="005C5E32" w:rsidDel="00404492">
              <w:rPr>
                <w:sz w:val="19"/>
                <w:szCs w:val="19"/>
              </w:rPr>
              <w:t xml:space="preserve"> </w:t>
            </w:r>
            <w:r w:rsidRPr="005C5E32">
              <w:rPr>
                <w:sz w:val="19"/>
                <w:szCs w:val="19"/>
              </w:rPr>
              <w:t>to support the adaptive management assessment</w:t>
            </w:r>
            <w:r w:rsidR="00404492" w:rsidRPr="005C5E32">
              <w:rPr>
                <w:sz w:val="19"/>
                <w:szCs w:val="19"/>
              </w:rPr>
              <w:t xml:space="preserve">. The Board </w:t>
            </w:r>
            <w:r w:rsidR="00BF59AF" w:rsidRPr="005C5E32">
              <w:rPr>
                <w:sz w:val="19"/>
                <w:szCs w:val="19"/>
              </w:rPr>
              <w:t>reported back to Cabinet with</w:t>
            </w:r>
            <w:r w:rsidRPr="005C5E32" w:rsidDel="00404492">
              <w:rPr>
                <w:sz w:val="19"/>
                <w:szCs w:val="19"/>
              </w:rPr>
              <w:t xml:space="preserve"> </w:t>
            </w:r>
            <w:r w:rsidRPr="005C5E32">
              <w:rPr>
                <w:sz w:val="19"/>
                <w:szCs w:val="19"/>
              </w:rPr>
              <w:t xml:space="preserve">the annual adaptive management assessment on whether New Zealand remains on track to meet </w:t>
            </w:r>
            <w:r w:rsidR="00BF59AF" w:rsidRPr="005C5E32">
              <w:rPr>
                <w:sz w:val="19"/>
                <w:szCs w:val="19"/>
              </w:rPr>
              <w:t>the second emissions budget</w:t>
            </w:r>
            <w:r w:rsidRPr="005C5E32">
              <w:rPr>
                <w:sz w:val="19"/>
                <w:szCs w:val="19"/>
              </w:rPr>
              <w:t>.</w:t>
            </w:r>
            <w:r w:rsidRPr="005C5E32" w:rsidDel="00B32497">
              <w:rPr>
                <w:sz w:val="19"/>
                <w:szCs w:val="19"/>
              </w:rPr>
              <w:t xml:space="preserve"> </w:t>
            </w:r>
          </w:p>
        </w:tc>
      </w:tr>
      <w:tr w:rsidR="00C850B2" w:rsidRPr="005C5E32" w14:paraId="35761948" w14:textId="77777777" w:rsidTr="001D3A43">
        <w:trPr>
          <w:trHeight w:val="300"/>
        </w:trPr>
        <w:tc>
          <w:tcPr>
            <w:tcW w:w="2164" w:type="dxa"/>
            <w:tcBorders>
              <w:top w:val="single" w:sz="4" w:space="0" w:color="1B556B" w:themeColor="text2"/>
              <w:left w:val="nil"/>
              <w:bottom w:val="single" w:sz="4" w:space="0" w:color="1B556B" w:themeColor="text2"/>
              <w:right w:val="single" w:sz="4" w:space="0" w:color="1B556B" w:themeColor="text2"/>
            </w:tcBorders>
          </w:tcPr>
          <w:p w14:paraId="1D09FBBD" w14:textId="1D94286A" w:rsidR="00C850B2" w:rsidRPr="005C5E32" w:rsidRDefault="00C850B2">
            <w:pPr>
              <w:pStyle w:val="TableText"/>
              <w:rPr>
                <w:sz w:val="19"/>
                <w:szCs w:val="19"/>
              </w:rPr>
            </w:pPr>
            <w:r w:rsidRPr="005C5E32">
              <w:rPr>
                <w:sz w:val="19"/>
                <w:szCs w:val="19"/>
              </w:rPr>
              <w:t xml:space="preserve">The Board is well connected across the public and private sectors, and with Māori to enable positive climate action, identify barriers and opportunities in the climate response, and uphold </w:t>
            </w:r>
            <w:r w:rsidR="00742C2D" w:rsidRPr="005C5E32">
              <w:rPr>
                <w:sz w:val="19"/>
                <w:szCs w:val="19"/>
              </w:rPr>
              <w:t xml:space="preserve">te </w:t>
            </w:r>
            <w:r w:rsidRPr="005C5E32">
              <w:rPr>
                <w:sz w:val="19"/>
                <w:szCs w:val="19"/>
              </w:rPr>
              <w:t xml:space="preserve">Tiriti </w:t>
            </w:r>
            <w:r w:rsidR="00742C2D" w:rsidRPr="005C5E32">
              <w:rPr>
                <w:sz w:val="19"/>
                <w:szCs w:val="19"/>
              </w:rPr>
              <w:t xml:space="preserve">o Waitangi (Treaty of Waitangi) </w:t>
            </w:r>
            <w:r w:rsidRPr="005C5E32">
              <w:rPr>
                <w:sz w:val="19"/>
                <w:szCs w:val="19"/>
              </w:rPr>
              <w:t>principles.</w:t>
            </w:r>
          </w:p>
        </w:tc>
        <w:tc>
          <w:tcPr>
            <w:tcW w:w="3111" w:type="dxa"/>
            <w:tcBorders>
              <w:top w:val="single" w:sz="4" w:space="0" w:color="1B556B" w:themeColor="text2"/>
              <w:left w:val="single" w:sz="4" w:space="0" w:color="1B556B" w:themeColor="text2"/>
              <w:bottom w:val="single" w:sz="4" w:space="0" w:color="1B556B" w:themeColor="text2"/>
              <w:right w:val="nil"/>
            </w:tcBorders>
          </w:tcPr>
          <w:p w14:paraId="230B41C3" w14:textId="110880AB" w:rsidR="00C850B2" w:rsidRPr="005C5E32" w:rsidRDefault="00C850B2">
            <w:pPr>
              <w:pStyle w:val="TableText"/>
              <w:rPr>
                <w:sz w:val="19"/>
                <w:szCs w:val="19"/>
              </w:rPr>
            </w:pPr>
            <w:r w:rsidRPr="005C5E32">
              <w:rPr>
                <w:sz w:val="19"/>
                <w:szCs w:val="19"/>
              </w:rPr>
              <w:t xml:space="preserve">The Board </w:t>
            </w:r>
            <w:r w:rsidRPr="005C5E32" w:rsidDel="00404492">
              <w:rPr>
                <w:sz w:val="19"/>
                <w:szCs w:val="19"/>
              </w:rPr>
              <w:t>has</w:t>
            </w:r>
            <w:r w:rsidR="00404492" w:rsidRPr="005C5E32">
              <w:rPr>
                <w:sz w:val="19"/>
                <w:szCs w:val="19"/>
              </w:rPr>
              <w:t xml:space="preserve"> </w:t>
            </w:r>
            <w:r w:rsidRPr="005C5E32">
              <w:rPr>
                <w:sz w:val="19"/>
                <w:szCs w:val="19"/>
              </w:rPr>
              <w:t xml:space="preserve">strategic engagements with public and private sector representatives, to enable positive climate action and identify barriers and opportunities in the climate response. In 2024/25, </w:t>
            </w:r>
            <w:r w:rsidRPr="005C5E32" w:rsidDel="001A460B">
              <w:rPr>
                <w:sz w:val="19"/>
                <w:szCs w:val="19"/>
              </w:rPr>
              <w:t>this included</w:t>
            </w:r>
            <w:r w:rsidRPr="005C5E32">
              <w:rPr>
                <w:sz w:val="19"/>
                <w:szCs w:val="19"/>
              </w:rPr>
              <w:t>:</w:t>
            </w:r>
          </w:p>
          <w:p w14:paraId="01E6AB99" w14:textId="77777777" w:rsidR="00C850B2" w:rsidRPr="005C5E32" w:rsidRDefault="00C850B2">
            <w:pPr>
              <w:pStyle w:val="TableBullet"/>
              <w:rPr>
                <w:rFonts w:asciiTheme="minorHAnsi" w:hAnsiTheme="minorHAnsi" w:cstheme="minorBidi"/>
                <w:sz w:val="19"/>
                <w:szCs w:val="19"/>
              </w:rPr>
            </w:pPr>
            <w:r w:rsidRPr="005C5E32">
              <w:rPr>
                <w:rFonts w:asciiTheme="minorHAnsi" w:hAnsiTheme="minorHAnsi" w:cstheme="minorBidi"/>
                <w:sz w:val="19"/>
                <w:szCs w:val="19"/>
              </w:rPr>
              <w:t xml:space="preserve">the Climate Change Commission </w:t>
            </w:r>
          </w:p>
          <w:p w14:paraId="0951CEEF" w14:textId="55D02B3E" w:rsidR="00C850B2" w:rsidRPr="005C5E32" w:rsidRDefault="00C850B2">
            <w:pPr>
              <w:pStyle w:val="TableBullet"/>
              <w:rPr>
                <w:rFonts w:asciiTheme="minorHAnsi" w:hAnsiTheme="minorHAnsi" w:cstheme="minorBidi"/>
                <w:sz w:val="19"/>
                <w:szCs w:val="19"/>
              </w:rPr>
            </w:pPr>
            <w:r w:rsidRPr="005C5E32">
              <w:rPr>
                <w:rFonts w:asciiTheme="minorHAnsi" w:hAnsiTheme="minorHAnsi" w:cstheme="minorBidi"/>
                <w:sz w:val="19"/>
                <w:szCs w:val="19"/>
              </w:rPr>
              <w:t>Chair of the National Hazards Board, Department of the Prime Minister and Cabinet</w:t>
            </w:r>
          </w:p>
          <w:p w14:paraId="227C6774" w14:textId="42FF708E" w:rsidR="00C850B2" w:rsidRPr="005C5E32" w:rsidRDefault="00C850B2">
            <w:pPr>
              <w:pStyle w:val="TableBullet"/>
              <w:rPr>
                <w:rFonts w:asciiTheme="minorHAnsi" w:hAnsiTheme="minorHAnsi" w:cstheme="minorBidi"/>
                <w:sz w:val="19"/>
                <w:szCs w:val="19"/>
              </w:rPr>
            </w:pPr>
            <w:r w:rsidRPr="005C5E32">
              <w:rPr>
                <w:rFonts w:asciiTheme="minorHAnsi" w:hAnsiTheme="minorHAnsi" w:cstheme="minorBidi"/>
                <w:sz w:val="19"/>
                <w:szCs w:val="19"/>
              </w:rPr>
              <w:lastRenderedPageBreak/>
              <w:t xml:space="preserve">agencies connected with climate adaptation and the Independent Reference Group, in relation to the design of the national adaptation </w:t>
            </w:r>
            <w:r w:rsidRPr="005C5E32" w:rsidDel="007E1CE9">
              <w:rPr>
                <w:rFonts w:asciiTheme="minorHAnsi" w:hAnsiTheme="minorHAnsi" w:cstheme="minorBidi"/>
                <w:sz w:val="19"/>
                <w:szCs w:val="19"/>
              </w:rPr>
              <w:t>f</w:t>
            </w:r>
            <w:r w:rsidRPr="005C5E32">
              <w:rPr>
                <w:rFonts w:asciiTheme="minorHAnsi" w:hAnsiTheme="minorHAnsi" w:cstheme="minorBidi"/>
                <w:sz w:val="19"/>
                <w:szCs w:val="19"/>
              </w:rPr>
              <w:t>ramework.</w:t>
            </w:r>
          </w:p>
        </w:tc>
        <w:tc>
          <w:tcPr>
            <w:tcW w:w="3230" w:type="dxa"/>
            <w:tcBorders>
              <w:top w:val="single" w:sz="4" w:space="0" w:color="1B556B" w:themeColor="text2"/>
              <w:left w:val="single" w:sz="4" w:space="0" w:color="1B556B" w:themeColor="text2"/>
              <w:bottom w:val="single" w:sz="4" w:space="0" w:color="1B556B" w:themeColor="text2"/>
              <w:right w:val="nil"/>
            </w:tcBorders>
          </w:tcPr>
          <w:p w14:paraId="6617ADDE" w14:textId="085EBDD3" w:rsidR="00C850B2" w:rsidRPr="005C5E32" w:rsidRDefault="00C850B2">
            <w:pPr>
              <w:pStyle w:val="TableText"/>
              <w:rPr>
                <w:rFonts w:eastAsia="MS Mincho" w:cs="Arial"/>
                <w:sz w:val="19"/>
                <w:szCs w:val="19"/>
              </w:rPr>
            </w:pPr>
            <w:r w:rsidRPr="005C5E32">
              <w:rPr>
                <w:rFonts w:eastAsia="MS Mincho" w:cs="Arial"/>
                <w:sz w:val="19"/>
                <w:szCs w:val="19"/>
              </w:rPr>
              <w:lastRenderedPageBreak/>
              <w:t xml:space="preserve">The Board maintained connections across </w:t>
            </w:r>
            <w:r w:rsidR="001A460B" w:rsidRPr="005C5E32">
              <w:rPr>
                <w:rFonts w:eastAsia="MS Mincho" w:cs="Arial"/>
                <w:sz w:val="19"/>
                <w:szCs w:val="19"/>
              </w:rPr>
              <w:t xml:space="preserve">the </w:t>
            </w:r>
            <w:r w:rsidRPr="005C5E32">
              <w:rPr>
                <w:rFonts w:eastAsia="MS Mincho" w:cs="Arial"/>
                <w:sz w:val="19"/>
                <w:szCs w:val="19"/>
              </w:rPr>
              <w:t xml:space="preserve">climate governance </w:t>
            </w:r>
            <w:r w:rsidR="00DB42F5" w:rsidRPr="005C5E32">
              <w:rPr>
                <w:rFonts w:eastAsia="MS Mincho" w:cs="Arial"/>
                <w:sz w:val="19"/>
                <w:szCs w:val="19"/>
              </w:rPr>
              <w:t>system</w:t>
            </w:r>
            <w:r w:rsidR="00BF59AF" w:rsidRPr="005C5E32">
              <w:rPr>
                <w:rFonts w:eastAsia="MS Mincho" w:cs="Arial"/>
                <w:sz w:val="19"/>
                <w:szCs w:val="19"/>
              </w:rPr>
              <w:t>,</w:t>
            </w:r>
            <w:r w:rsidRPr="005C5E32">
              <w:rPr>
                <w:rFonts w:eastAsia="MS Mincho" w:cs="Arial"/>
                <w:sz w:val="19"/>
                <w:szCs w:val="19"/>
              </w:rPr>
              <w:t xml:space="preserve"> to support delivery of the Government</w:t>
            </w:r>
            <w:r w:rsidR="000369F8" w:rsidRPr="005C5E32">
              <w:rPr>
                <w:rFonts w:eastAsia="MS Mincho" w:cs="Arial"/>
                <w:sz w:val="19"/>
                <w:szCs w:val="19"/>
              </w:rPr>
              <w:t>’</w:t>
            </w:r>
            <w:r w:rsidRPr="005C5E32">
              <w:rPr>
                <w:rFonts w:eastAsia="MS Mincho" w:cs="Arial"/>
                <w:sz w:val="19"/>
                <w:szCs w:val="19"/>
              </w:rPr>
              <w:t xml:space="preserve">s climate priorities. </w:t>
            </w:r>
            <w:r w:rsidR="001A460B" w:rsidRPr="005C5E32">
              <w:rPr>
                <w:rFonts w:eastAsia="MS Mincho" w:cs="Arial"/>
                <w:sz w:val="19"/>
                <w:szCs w:val="19"/>
              </w:rPr>
              <w:t>It undertook</w:t>
            </w:r>
            <w:r w:rsidRPr="005C5E32">
              <w:rPr>
                <w:rFonts w:eastAsia="MS Mincho" w:cs="Arial"/>
                <w:sz w:val="19"/>
                <w:szCs w:val="19"/>
              </w:rPr>
              <w:t xml:space="preserve"> oversight and coordination through the climate governance system, including the Climate Senior Officials Group, </w:t>
            </w:r>
            <w:r w:rsidR="001A460B" w:rsidRPr="005C5E32">
              <w:rPr>
                <w:rFonts w:eastAsia="MS Mincho" w:cs="Arial"/>
                <w:sz w:val="19"/>
                <w:szCs w:val="19"/>
              </w:rPr>
              <w:t xml:space="preserve">along with </w:t>
            </w:r>
            <w:r w:rsidRPr="005C5E32">
              <w:rPr>
                <w:rFonts w:eastAsia="MS Mincho" w:cs="Arial"/>
                <w:sz w:val="19"/>
                <w:szCs w:val="19"/>
              </w:rPr>
              <w:t>engagement across climate and natural hazard governance through the Natural Hazards Risk Reduction Forum.</w:t>
            </w:r>
          </w:p>
        </w:tc>
      </w:tr>
    </w:tbl>
    <w:p w14:paraId="0EB4ADC2" w14:textId="33F708F2" w:rsidR="00C850B2" w:rsidRPr="005C5E32" w:rsidRDefault="00C850B2" w:rsidP="001D3A43">
      <w:pPr>
        <w:pStyle w:val="BodyText"/>
        <w:spacing w:before="240"/>
      </w:pPr>
      <w:r w:rsidRPr="005C5E32">
        <w:t xml:space="preserve">Looking ahead, </w:t>
      </w:r>
      <w:r w:rsidR="00BF59AF" w:rsidRPr="005C5E32">
        <w:t xml:space="preserve">the Board’s </w:t>
      </w:r>
      <w:r w:rsidRPr="005C5E32">
        <w:t>immediate focus is on:</w:t>
      </w:r>
    </w:p>
    <w:p w14:paraId="447AB3B5" w14:textId="77777777" w:rsidR="00C850B2" w:rsidRPr="005C5E32" w:rsidRDefault="00C850B2" w:rsidP="00CD0A90">
      <w:pPr>
        <w:pStyle w:val="Bullet"/>
      </w:pPr>
      <w:r w:rsidRPr="005C5E32">
        <w:t>undertaking the 2026 adaptive management approach to meeting ERP2</w:t>
      </w:r>
    </w:p>
    <w:p w14:paraId="324D047E" w14:textId="77777777" w:rsidR="00C850B2" w:rsidRPr="005C5E32" w:rsidRDefault="00C850B2">
      <w:pPr>
        <w:pStyle w:val="Bullet"/>
        <w:tabs>
          <w:tab w:val="clear" w:pos="397"/>
        </w:tabs>
        <w:ind w:left="360" w:hanging="360"/>
      </w:pPr>
      <w:r w:rsidRPr="005C5E32">
        <w:t>continuing to monitor and report on progress against climate goals, including through:</w:t>
      </w:r>
    </w:p>
    <w:p w14:paraId="4FB2122A" w14:textId="1E325D16" w:rsidR="00C850B2" w:rsidRPr="005C5E32" w:rsidRDefault="00C850B2" w:rsidP="00CD0A90">
      <w:pPr>
        <w:pStyle w:val="Sub-list"/>
      </w:pPr>
      <w:r w:rsidRPr="005C5E32">
        <w:t xml:space="preserve">leading the </w:t>
      </w:r>
      <w:r w:rsidR="00BF59AF" w:rsidRPr="005C5E32">
        <w:t xml:space="preserve">Department of the </w:t>
      </w:r>
      <w:r w:rsidRPr="005C5E32">
        <w:t>Prime Minister</w:t>
      </w:r>
      <w:r w:rsidR="00BF59AF" w:rsidRPr="005C5E32">
        <w:t xml:space="preserve"> and Cabinet’s</w:t>
      </w:r>
      <w:r w:rsidRPr="005C5E32">
        <w:t xml:space="preserve"> quarterly Target 9 reporting</w:t>
      </w:r>
    </w:p>
    <w:p w14:paraId="7D6FBE87" w14:textId="5AB6223B" w:rsidR="00C850B2" w:rsidRPr="005C5E32" w:rsidRDefault="00C850B2" w:rsidP="00CD0A90">
      <w:pPr>
        <w:pStyle w:val="Sub-list"/>
      </w:pPr>
      <w:r w:rsidRPr="005C5E32">
        <w:t>monitoring delivery across the Government</w:t>
      </w:r>
      <w:r w:rsidR="000369F8" w:rsidRPr="005C5E32">
        <w:t>’</w:t>
      </w:r>
      <w:r w:rsidRPr="005C5E32">
        <w:t xml:space="preserve">s climate priorities and ERP2 implementation </w:t>
      </w:r>
    </w:p>
    <w:p w14:paraId="42ED491D" w14:textId="3206F0BB" w:rsidR="00C850B2" w:rsidRPr="005C5E32" w:rsidRDefault="00C850B2" w:rsidP="00CD0A90">
      <w:pPr>
        <w:pStyle w:val="Sub-list"/>
      </w:pPr>
      <w:r w:rsidRPr="005C5E32">
        <w:t>deliver</w:t>
      </w:r>
      <w:r w:rsidR="002D1C76" w:rsidRPr="005C5E32">
        <w:t>ing</w:t>
      </w:r>
      <w:r w:rsidRPr="005C5E32">
        <w:t xml:space="preserve"> the Minister of Climate Change</w:t>
      </w:r>
      <w:r w:rsidR="000369F8" w:rsidRPr="005C5E32">
        <w:t>’</w:t>
      </w:r>
      <w:r w:rsidRPr="005C5E32">
        <w:t>s response to the Climate Change Commission</w:t>
      </w:r>
      <w:r w:rsidR="000369F8" w:rsidRPr="005C5E32">
        <w:t>’</w:t>
      </w:r>
      <w:r w:rsidRPr="005C5E32">
        <w:t>s annual monitoring reports on Government progress towards meeting emissions budgets and targets</w:t>
      </w:r>
    </w:p>
    <w:p w14:paraId="241AB1FB" w14:textId="7F9AB07A" w:rsidR="00C850B2" w:rsidRPr="005C5E32" w:rsidRDefault="00C850B2" w:rsidP="00CD0A90">
      <w:pPr>
        <w:pStyle w:val="Sub-list"/>
      </w:pPr>
      <w:r w:rsidRPr="005C5E32">
        <w:t>contributing to the Government</w:t>
      </w:r>
      <w:r w:rsidR="000369F8" w:rsidRPr="005C5E32">
        <w:t>’</w:t>
      </w:r>
      <w:r w:rsidRPr="005C5E32">
        <w:t>s response to</w:t>
      </w:r>
      <w:r w:rsidR="002D1C76" w:rsidRPr="005C5E32">
        <w:t xml:space="preserve"> the</w:t>
      </w:r>
      <w:r w:rsidRPr="005C5E32">
        <w:t xml:space="preserve"> Climate Change Commission</w:t>
      </w:r>
      <w:r w:rsidR="000369F8" w:rsidRPr="005C5E32">
        <w:t>’</w:t>
      </w:r>
      <w:r w:rsidRPr="005C5E32">
        <w:t xml:space="preserve">s adaptation progress report </w:t>
      </w:r>
    </w:p>
    <w:p w14:paraId="2F2AB8DC" w14:textId="17A0F11D" w:rsidR="00C850B2" w:rsidRPr="005C5E32" w:rsidRDefault="00C850B2">
      <w:pPr>
        <w:pStyle w:val="Bullet"/>
        <w:tabs>
          <w:tab w:val="clear" w:pos="397"/>
        </w:tabs>
        <w:ind w:left="360" w:hanging="360"/>
      </w:pPr>
      <w:r w:rsidRPr="005C5E32">
        <w:t>developing advice on strategic options that will have an impact in the 2030s to support meeting the third emissions budget</w:t>
      </w:r>
    </w:p>
    <w:p w14:paraId="15029F20" w14:textId="599AC8C1" w:rsidR="00C850B2" w:rsidRPr="005C5E32" w:rsidRDefault="00C850B2">
      <w:pPr>
        <w:pStyle w:val="Bullet"/>
        <w:tabs>
          <w:tab w:val="clear" w:pos="397"/>
        </w:tabs>
        <w:ind w:left="360" w:hanging="360"/>
      </w:pPr>
      <w:r w:rsidRPr="005C5E32">
        <w:t xml:space="preserve">adjusting governance operating arrangements to reflect the recent organisational change </w:t>
      </w:r>
      <w:r w:rsidR="0027136A" w:rsidRPr="005C5E32">
        <w:t xml:space="preserve">that occurred </w:t>
      </w:r>
      <w:r w:rsidR="002D1C76" w:rsidRPr="005C5E32">
        <w:t xml:space="preserve">with the establishment of </w:t>
      </w:r>
      <w:r w:rsidR="00360586" w:rsidRPr="005C5E32">
        <w:t>MCERT</w:t>
      </w:r>
      <w:r w:rsidRPr="005C5E32">
        <w:t xml:space="preserve">. </w:t>
      </w:r>
    </w:p>
    <w:p w14:paraId="209F41E1" w14:textId="77777777" w:rsidR="00C850B2" w:rsidRPr="005C5E32" w:rsidRDefault="00C850B2" w:rsidP="001A02B0">
      <w:pPr>
        <w:pStyle w:val="Heading3"/>
        <w:spacing w:before="280"/>
      </w:pPr>
      <w:bookmarkStart w:id="532" w:name="_Toc173852954"/>
      <w:bookmarkStart w:id="533" w:name="_Toc173931523"/>
      <w:bookmarkStart w:id="534" w:name="_Toc173932257"/>
      <w:r w:rsidRPr="005C5E32">
        <w:t>Structure and resourcing</w:t>
      </w:r>
      <w:bookmarkEnd w:id="532"/>
      <w:bookmarkEnd w:id="533"/>
      <w:bookmarkEnd w:id="534"/>
    </w:p>
    <w:p w14:paraId="18AF1182" w14:textId="038FBC3F" w:rsidR="00C850B2" w:rsidRPr="005C5E32" w:rsidRDefault="00C850B2" w:rsidP="0016517F">
      <w:pPr>
        <w:pStyle w:val="BodyText"/>
      </w:pPr>
      <w:r w:rsidRPr="005C5E32">
        <w:t>The Board is supported by an independent secretariat – the Climate Change IEB Unit (CCIEB</w:t>
      </w:r>
      <w:r w:rsidR="0016517F" w:rsidRPr="005C5E32">
        <w:t> </w:t>
      </w:r>
      <w:r w:rsidRPr="005C5E32">
        <w:t>Unit), which is currently made up of approximately 10 full-time equivalent</w:t>
      </w:r>
      <w:r w:rsidRPr="005C5E32" w:rsidDel="003D5BE9">
        <w:t xml:space="preserve"> </w:t>
      </w:r>
      <w:r w:rsidRPr="005C5E32">
        <w:t>staff. The</w:t>
      </w:r>
      <w:r w:rsidR="00C577EE" w:rsidRPr="005C5E32">
        <w:t xml:space="preserve"> Ministry for the Environment, as servicing agency, hosted the</w:t>
      </w:r>
      <w:r w:rsidRPr="005C5E32">
        <w:t xml:space="preserve"> CCIEB Unit</w:t>
      </w:r>
      <w:r w:rsidR="00C577EE" w:rsidRPr="005C5E32">
        <w:t xml:space="preserve"> through to the end of</w:t>
      </w:r>
      <w:r w:rsidR="0016517F" w:rsidRPr="005C5E32">
        <w:t> </w:t>
      </w:r>
      <w:r w:rsidR="00C577EE" w:rsidRPr="005C5E32">
        <w:t>2025/26</w:t>
      </w:r>
      <w:r w:rsidRPr="005C5E32">
        <w:t>.</w:t>
      </w:r>
    </w:p>
    <w:p w14:paraId="0F3F679F" w14:textId="48B3F05E" w:rsidR="00C850B2" w:rsidRPr="005C5E32" w:rsidRDefault="00C850B2" w:rsidP="0016517F">
      <w:pPr>
        <w:pStyle w:val="BodyText"/>
      </w:pPr>
      <w:r w:rsidRPr="005C5E32">
        <w:t xml:space="preserve">The CCIEB Unit has a key role in enabling the Board to effectively undertake its governance function. It reports to the Board and is managed by an Executive Director. In addition to providing secretariat support, </w:t>
      </w:r>
      <w:r w:rsidR="006819FC" w:rsidRPr="005C5E32">
        <w:t>the CCIEB Unit</w:t>
      </w:r>
      <w:r w:rsidRPr="005C5E32">
        <w:t xml:space="preserve"> gives advice on the Board</w:t>
      </w:r>
      <w:r w:rsidR="000369F8" w:rsidRPr="005C5E32">
        <w:t>’</w:t>
      </w:r>
      <w:r w:rsidRPr="005C5E32">
        <w:t xml:space="preserve">s priorities and leads engagement with responsible agencies. </w:t>
      </w:r>
    </w:p>
    <w:p w14:paraId="0E76E581" w14:textId="4E2D6E05" w:rsidR="00C850B2" w:rsidRPr="005C5E32" w:rsidRDefault="00C850B2" w:rsidP="0016517F">
      <w:pPr>
        <w:pStyle w:val="BodyText"/>
      </w:pPr>
      <w:r w:rsidRPr="005C5E32">
        <w:t>During the last year</w:t>
      </w:r>
      <w:r w:rsidR="006819FC" w:rsidRPr="005C5E32">
        <w:t>,</w:t>
      </w:r>
      <w:r w:rsidRPr="005C5E32">
        <w:t xml:space="preserve"> the CCIEB Unit:</w:t>
      </w:r>
    </w:p>
    <w:p w14:paraId="024F35D2" w14:textId="11DEADDE" w:rsidR="00C850B2" w:rsidRPr="005C5E32" w:rsidRDefault="00C850B2">
      <w:pPr>
        <w:pStyle w:val="Bullet"/>
      </w:pPr>
      <w:r w:rsidRPr="005C5E32">
        <w:t xml:space="preserve">managed and enhanced the climate governance system, coordinated the respective meetings of the Climate Priorities Ministerial Group, </w:t>
      </w:r>
      <w:r w:rsidR="006819FC" w:rsidRPr="005C5E32">
        <w:t>the Board</w:t>
      </w:r>
      <w:r w:rsidRPr="005C5E32">
        <w:t xml:space="preserve">, </w:t>
      </w:r>
      <w:r w:rsidR="006819FC" w:rsidRPr="005C5E32">
        <w:t xml:space="preserve">the </w:t>
      </w:r>
      <w:r w:rsidRPr="005C5E32">
        <w:t>Climate Senior Officials Group and</w:t>
      </w:r>
      <w:r w:rsidR="006819FC" w:rsidRPr="005C5E32">
        <w:t xml:space="preserve"> the</w:t>
      </w:r>
      <w:r w:rsidRPr="005C5E32">
        <w:t xml:space="preserve"> Interagency Implementation Working Group </w:t>
      </w:r>
    </w:p>
    <w:p w14:paraId="33D0765B" w14:textId="4A0D1D45" w:rsidR="00C850B2" w:rsidRPr="005C5E32" w:rsidRDefault="00C850B2">
      <w:pPr>
        <w:pStyle w:val="Bullet"/>
      </w:pPr>
      <w:r w:rsidRPr="005C5E32">
        <w:t>supported the establishment of governance arrangements for the new Natural Hazards Risk Reduction Forum</w:t>
      </w:r>
    </w:p>
    <w:p w14:paraId="486F85BE" w14:textId="307BE2D8" w:rsidR="00D359A5" w:rsidRPr="00D27959" w:rsidRDefault="00C850B2" w:rsidP="00E1260E">
      <w:pPr>
        <w:pStyle w:val="Bullet"/>
        <w:spacing w:after="200" w:line="276" w:lineRule="auto"/>
      </w:pPr>
      <w:r w:rsidRPr="005C5E32">
        <w:t>supported the Crown</w:t>
      </w:r>
      <w:r w:rsidR="000369F8" w:rsidRPr="005C5E32">
        <w:t>’</w:t>
      </w:r>
      <w:r w:rsidRPr="005C5E32">
        <w:t xml:space="preserve">s representative for the </w:t>
      </w:r>
      <w:r w:rsidR="006819FC" w:rsidRPr="005C5E32">
        <w:t>j</w:t>
      </w:r>
      <w:r w:rsidRPr="005C5E32">
        <w:t xml:space="preserve">udicial </w:t>
      </w:r>
      <w:r w:rsidR="006819FC" w:rsidRPr="005C5E32">
        <w:t>r</w:t>
      </w:r>
      <w:r w:rsidRPr="005C5E32">
        <w:t>eview brought</w:t>
      </w:r>
      <w:r w:rsidR="0027136A" w:rsidRPr="005C5E32">
        <w:t xml:space="preserve"> about</w:t>
      </w:r>
      <w:r w:rsidRPr="005C5E32">
        <w:t xml:space="preserve"> by</w:t>
      </w:r>
      <w:r w:rsidR="006819FC" w:rsidRPr="005C5E32">
        <w:t xml:space="preserve"> </w:t>
      </w:r>
      <w:r w:rsidRPr="005C5E32">
        <w:t>Lawyers for</w:t>
      </w:r>
      <w:r w:rsidR="00353EDB" w:rsidRPr="005C5E32">
        <w:t> </w:t>
      </w:r>
      <w:r w:rsidRPr="005C5E32">
        <w:t xml:space="preserve">Climate Action and </w:t>
      </w:r>
      <w:r w:rsidR="0027136A" w:rsidRPr="005C5E32">
        <w:t xml:space="preserve">the </w:t>
      </w:r>
      <w:r w:rsidRPr="005C5E32">
        <w:t xml:space="preserve">Environmental Law Initiative, with particular focus on adaptive management process and the </w:t>
      </w:r>
      <w:r w:rsidR="00C022F6" w:rsidRPr="005C5E32">
        <w:t>ERP1</w:t>
      </w:r>
      <w:r w:rsidRPr="005C5E32">
        <w:t xml:space="preserve"> amendment</w:t>
      </w:r>
      <w:r w:rsidRPr="005C5E32" w:rsidDel="00B32497">
        <w:t xml:space="preserve"> </w:t>
      </w:r>
    </w:p>
    <w:p w14:paraId="0237AFC7" w14:textId="15F739C2" w:rsidR="00C850B2" w:rsidRPr="005C5E32" w:rsidRDefault="00C850B2" w:rsidP="00AA3E0B">
      <w:pPr>
        <w:pStyle w:val="Bullet"/>
        <w:keepNext/>
      </w:pPr>
      <w:r w:rsidRPr="005C5E32">
        <w:lastRenderedPageBreak/>
        <w:t xml:space="preserve">led and further developed the monitoring and reporting system </w:t>
      </w:r>
      <w:r w:rsidR="00C577EE" w:rsidRPr="005C5E32">
        <w:t xml:space="preserve">by </w:t>
      </w:r>
      <w:r w:rsidRPr="005C5E32">
        <w:t>deliver</w:t>
      </w:r>
      <w:r w:rsidR="00C577EE" w:rsidRPr="005C5E32">
        <w:t>ing</w:t>
      </w:r>
      <w:r w:rsidRPr="005C5E32">
        <w:t>:</w:t>
      </w:r>
    </w:p>
    <w:p w14:paraId="2D5F0DAE" w14:textId="725FEFB0" w:rsidR="00C850B2" w:rsidRPr="005C5E32" w:rsidRDefault="00C850B2" w:rsidP="008C67B4">
      <w:pPr>
        <w:pStyle w:val="Sub-list"/>
      </w:pPr>
      <w:r w:rsidRPr="005C5E32">
        <w:t>Target 9 quarterly reporting, informed by monitoring of delivery across the Government</w:t>
      </w:r>
      <w:r w:rsidR="000369F8" w:rsidRPr="005C5E32">
        <w:t>’</w:t>
      </w:r>
      <w:r w:rsidRPr="005C5E32">
        <w:t xml:space="preserve">s climate priorities and ERP2 implementation </w:t>
      </w:r>
    </w:p>
    <w:p w14:paraId="329CA262" w14:textId="4ECA2848" w:rsidR="00C850B2" w:rsidRPr="005C5E32" w:rsidRDefault="00C850B2" w:rsidP="008C67B4">
      <w:pPr>
        <w:pStyle w:val="Sub-list"/>
      </w:pPr>
      <w:r w:rsidRPr="005C5E32">
        <w:t>the Government</w:t>
      </w:r>
      <w:r w:rsidR="000369F8" w:rsidRPr="005C5E32">
        <w:t>’</w:t>
      </w:r>
      <w:r w:rsidRPr="005C5E32">
        <w:t xml:space="preserve">s response to </w:t>
      </w:r>
      <w:r w:rsidRPr="005C5E32" w:rsidDel="00C022F6">
        <w:t>He Pou a Rangi |</w:t>
      </w:r>
      <w:r w:rsidRPr="005C5E32">
        <w:t xml:space="preserve"> Climate Change Commission</w:t>
      </w:r>
      <w:r w:rsidR="000369F8" w:rsidRPr="005C5E32">
        <w:t>’</w:t>
      </w:r>
      <w:r w:rsidRPr="005C5E32">
        <w:t>s emissions reduction monitoring report</w:t>
      </w:r>
    </w:p>
    <w:p w14:paraId="3E0E4FBC" w14:textId="4D108CC1" w:rsidR="00C850B2" w:rsidRPr="005C5E32" w:rsidRDefault="00C850B2" w:rsidP="008C67B4">
      <w:pPr>
        <w:pStyle w:val="Sub-list"/>
      </w:pPr>
      <w:r w:rsidRPr="005C5E32">
        <w:t>a lessons</w:t>
      </w:r>
      <w:r w:rsidR="00C022F6" w:rsidRPr="005C5E32">
        <w:t>-</w:t>
      </w:r>
      <w:r w:rsidRPr="005C5E32">
        <w:t xml:space="preserve">learnt exercise following </w:t>
      </w:r>
      <w:r w:rsidR="00C022F6" w:rsidRPr="005C5E32">
        <w:t xml:space="preserve">the </w:t>
      </w:r>
      <w:r w:rsidRPr="005C5E32">
        <w:t>close</w:t>
      </w:r>
      <w:r w:rsidR="00C022F6" w:rsidRPr="005C5E32">
        <w:t>-</w:t>
      </w:r>
      <w:r w:rsidRPr="005C5E32">
        <w:t>out of ERP1</w:t>
      </w:r>
      <w:r w:rsidR="00C022F6" w:rsidRPr="005C5E32">
        <w:t>,</w:t>
      </w:r>
      <w:r w:rsidRPr="005C5E32">
        <w:t xml:space="preserve"> to inform reporting on subsequent </w:t>
      </w:r>
      <w:r w:rsidR="00163F05" w:rsidRPr="005C5E32">
        <w:t>emissions reduction plans</w:t>
      </w:r>
      <w:r w:rsidRPr="005C5E32">
        <w:t xml:space="preserve"> </w:t>
      </w:r>
    </w:p>
    <w:p w14:paraId="4615B9BC" w14:textId="77777777" w:rsidR="00C850B2" w:rsidRPr="005C5E32" w:rsidRDefault="00C850B2" w:rsidP="00C022F6">
      <w:pPr>
        <w:pStyle w:val="Sub-list"/>
      </w:pPr>
      <w:r w:rsidRPr="005C5E32">
        <w:t>monitoring and reporting on the implementation of actions in the first national adaptation plan</w:t>
      </w:r>
    </w:p>
    <w:p w14:paraId="4A83445A" w14:textId="77777777" w:rsidR="00C850B2" w:rsidRPr="005C5E32" w:rsidRDefault="00C850B2">
      <w:pPr>
        <w:pStyle w:val="Bullet"/>
      </w:pPr>
      <w:r w:rsidRPr="005C5E32">
        <w:t>provided strategic advice on:</w:t>
      </w:r>
    </w:p>
    <w:p w14:paraId="28E20F7B" w14:textId="0A18E317" w:rsidR="00C850B2" w:rsidRPr="005C5E32" w:rsidRDefault="00C850B2" w:rsidP="006F3FFD">
      <w:pPr>
        <w:pStyle w:val="Sub-list"/>
      </w:pPr>
      <w:r w:rsidRPr="005C5E32">
        <w:t>Budget 2026 climate impacts</w:t>
      </w:r>
    </w:p>
    <w:p w14:paraId="0378B2E9" w14:textId="2AF2A80A" w:rsidR="00C850B2" w:rsidRPr="005C5E32" w:rsidRDefault="00C850B2" w:rsidP="006F3FFD">
      <w:pPr>
        <w:pStyle w:val="Sub-list"/>
      </w:pPr>
      <w:r w:rsidRPr="005C5E32">
        <w:t>the annual adaptive management assessment, including analysis of qualitative and quantitative</w:t>
      </w:r>
      <w:r w:rsidRPr="005C5E32">
        <w:rPr>
          <w:rFonts w:eastAsia="Times New Roman"/>
        </w:rPr>
        <w:t xml:space="preserve"> indicators, to help New Zealand meet its second emissions budget</w:t>
      </w:r>
    </w:p>
    <w:p w14:paraId="48744439" w14:textId="77777777" w:rsidR="00C850B2" w:rsidRPr="005C5E32" w:rsidRDefault="00C850B2">
      <w:pPr>
        <w:pStyle w:val="Bullet"/>
        <w:rPr>
          <w:spacing w:val="-2"/>
        </w:rPr>
      </w:pPr>
      <w:r w:rsidRPr="005C5E32">
        <w:rPr>
          <w:spacing w:val="-2"/>
        </w:rPr>
        <w:t>fulfilled accountability requirements on behalf of the Board, such as responding to requests under the Official Information Act 1982, as well as other accountability documents</w:t>
      </w:r>
    </w:p>
    <w:p w14:paraId="2F6A25A9" w14:textId="77777777" w:rsidR="00C850B2" w:rsidRPr="005C5E32" w:rsidRDefault="00C850B2">
      <w:pPr>
        <w:pStyle w:val="Bullet"/>
      </w:pPr>
      <w:r w:rsidRPr="005C5E32">
        <w:t>proactively released material to provide transparency on decision-making processes.</w:t>
      </w:r>
    </w:p>
    <w:p w14:paraId="16338DE7" w14:textId="77777777" w:rsidR="00C850B2" w:rsidRPr="005C5E32" w:rsidRDefault="00C850B2">
      <w:pPr>
        <w:pStyle w:val="Heading3"/>
        <w:spacing w:before="240"/>
      </w:pPr>
      <w:r w:rsidRPr="005C5E32">
        <w:t>Organisational health and capability</w:t>
      </w:r>
    </w:p>
    <w:p w14:paraId="52D791A9" w14:textId="4DB919BC" w:rsidR="00C850B2" w:rsidRPr="005C5E32" w:rsidRDefault="00C850B2" w:rsidP="00842B0E">
      <w:pPr>
        <w:pStyle w:val="BodyText"/>
        <w:spacing w:before="100" w:after="100"/>
        <w:rPr>
          <w:rFonts w:cs="Arial"/>
        </w:rPr>
      </w:pPr>
      <w:r w:rsidRPr="005C5E32">
        <w:rPr>
          <w:spacing w:val="-2"/>
        </w:rPr>
        <w:t>Reporting requirements on organisational health and capability are included as part of</w:t>
      </w:r>
      <w:r w:rsidRPr="005C5E32">
        <w:t xml:space="preserve"> </w:t>
      </w:r>
      <w:hyperlink w:anchor="_3._Our_organisational_1" w:history="1">
        <w:r w:rsidR="00365EDA" w:rsidRPr="000C0812">
          <w:rPr>
            <w:rStyle w:val="Hyperlink"/>
          </w:rPr>
          <w:t xml:space="preserve">section 3 of </w:t>
        </w:r>
        <w:r w:rsidRPr="000C0812">
          <w:rPr>
            <w:rStyle w:val="Hyperlink"/>
          </w:rPr>
          <w:t>the Ministry for the Environment Annual Report 2025/26</w:t>
        </w:r>
        <w:r w:rsidRPr="001C5819">
          <w:rPr>
            <w:rStyle w:val="Hyperlink"/>
            <w:color w:val="auto"/>
          </w:rPr>
          <w:t>.</w:t>
        </w:r>
      </w:hyperlink>
    </w:p>
    <w:p w14:paraId="32FBE9D2" w14:textId="77777777" w:rsidR="00C850B2" w:rsidRPr="005C5E32" w:rsidRDefault="00C850B2" w:rsidP="004A71B9">
      <w:pPr>
        <w:pStyle w:val="Heading3"/>
      </w:pPr>
      <w:bookmarkStart w:id="535" w:name="_Toc173852956"/>
      <w:bookmarkStart w:id="536" w:name="_Toc173931525"/>
      <w:bookmarkStart w:id="537" w:name="_Toc173932259"/>
      <w:r w:rsidRPr="005C5E32">
        <w:t>Financial performance</w:t>
      </w:r>
      <w:bookmarkEnd w:id="535"/>
      <w:bookmarkEnd w:id="536"/>
      <w:bookmarkEnd w:id="537"/>
    </w:p>
    <w:p w14:paraId="0545E693" w14:textId="61301B6E" w:rsidR="00C850B2" w:rsidRPr="005C5E32" w:rsidRDefault="00C850B2" w:rsidP="00130E61">
      <w:pPr>
        <w:pStyle w:val="BodyText"/>
      </w:pPr>
      <w:r w:rsidRPr="005C5E32">
        <w:t>The Board has</w:t>
      </w:r>
      <w:r w:rsidR="007F6351" w:rsidRPr="005C5E32">
        <w:t xml:space="preserve"> </w:t>
      </w:r>
      <w:r w:rsidRPr="005C5E32">
        <w:t>a waiver from</w:t>
      </w:r>
      <w:r w:rsidRPr="005C5E32" w:rsidDel="007F6351">
        <w:t xml:space="preserve"> the Minister of Finance,</w:t>
      </w:r>
      <w:r w:rsidRPr="005C5E32">
        <w:t xml:space="preserve"> </w:t>
      </w:r>
      <w:r w:rsidRPr="005C5E32" w:rsidDel="007F6351">
        <w:t xml:space="preserve">under </w:t>
      </w:r>
      <w:hyperlink r:id="rId121" w:anchor="LMS398888" w:history="1">
        <w:r w:rsidRPr="005C5E32" w:rsidDel="007F6351">
          <w:rPr>
            <w:rStyle w:val="Hyperlink"/>
          </w:rPr>
          <w:t>section 45AB</w:t>
        </w:r>
      </w:hyperlink>
      <w:r w:rsidRPr="005C5E32" w:rsidDel="007F6351">
        <w:t xml:space="preserve"> of the Public Finance Act 1989, from </w:t>
      </w:r>
      <w:r w:rsidRPr="005C5E32">
        <w:t>the requirement to include financial statements in this annual report. Financial information about the Board</w:t>
      </w:r>
      <w:r w:rsidR="000369F8" w:rsidRPr="005C5E32">
        <w:t>’</w:t>
      </w:r>
      <w:r w:rsidRPr="005C5E32">
        <w:t>s operation</w:t>
      </w:r>
      <w:r w:rsidRPr="005C5E32" w:rsidDel="00DF563D">
        <w:t xml:space="preserve"> can be found in</w:t>
      </w:r>
      <w:r w:rsidR="008A402D" w:rsidRPr="005C5E32">
        <w:t xml:space="preserve"> </w:t>
      </w:r>
      <w:r w:rsidRPr="005C5E32" w:rsidDel="008A402D">
        <w:t>the</w:t>
      </w:r>
      <w:r w:rsidRPr="005C5E32">
        <w:t xml:space="preserve"> annual report</w:t>
      </w:r>
      <w:r w:rsidRPr="005C5E32" w:rsidDel="008A402D">
        <w:t xml:space="preserve"> of the Ministry for</w:t>
      </w:r>
      <w:r w:rsidR="0016517F" w:rsidRPr="005C5E32">
        <w:t> </w:t>
      </w:r>
      <w:r w:rsidRPr="005C5E32" w:rsidDel="008A402D">
        <w:t>the Environment, as the servicing department</w:t>
      </w:r>
      <w:r w:rsidRPr="005C5E32">
        <w:t>. The Climate Change Chief Executives Board</w:t>
      </w:r>
      <w:r w:rsidR="0016517F" w:rsidRPr="005C5E32">
        <w:t> </w:t>
      </w:r>
      <w:r w:rsidRPr="005C5E32">
        <w:rPr>
          <w:spacing w:val="-2"/>
        </w:rPr>
        <w:t xml:space="preserve">appropriation, </w:t>
      </w:r>
      <w:r w:rsidRPr="005C5E32" w:rsidDel="008A402D">
        <w:rPr>
          <w:spacing w:val="-2"/>
        </w:rPr>
        <w:t xml:space="preserve">which </w:t>
      </w:r>
      <w:r w:rsidRPr="005C5E32">
        <w:rPr>
          <w:spacing w:val="-2"/>
        </w:rPr>
        <w:t>supports the Board</w:t>
      </w:r>
      <w:r w:rsidRPr="005C5E32" w:rsidDel="008A402D">
        <w:rPr>
          <w:spacing w:val="-2"/>
        </w:rPr>
        <w:t>, is administered by the Ministry</w:t>
      </w:r>
      <w:r w:rsidRPr="005C5E32">
        <w:rPr>
          <w:spacing w:val="-2"/>
        </w:rPr>
        <w:t xml:space="preserve">. </w:t>
      </w:r>
      <w:r w:rsidR="008A402D" w:rsidRPr="005C5E32">
        <w:rPr>
          <w:spacing w:val="-2"/>
        </w:rPr>
        <w:t>For</w:t>
      </w:r>
      <w:r w:rsidR="00EA3174" w:rsidRPr="005C5E32">
        <w:rPr>
          <w:spacing w:val="-2"/>
        </w:rPr>
        <w:t xml:space="preserve"> year-end performance information </w:t>
      </w:r>
      <w:r w:rsidR="00883BF7" w:rsidRPr="005C5E32">
        <w:rPr>
          <w:spacing w:val="-2"/>
        </w:rPr>
        <w:t xml:space="preserve">on </w:t>
      </w:r>
      <w:r w:rsidR="00EA3174" w:rsidRPr="005C5E32">
        <w:rPr>
          <w:spacing w:val="-2"/>
        </w:rPr>
        <w:t>the Climate Change Chief Executives Board</w:t>
      </w:r>
      <w:r w:rsidR="00C177BA" w:rsidRPr="005C5E32">
        <w:rPr>
          <w:spacing w:val="-2"/>
        </w:rPr>
        <w:t xml:space="preserve"> appropriation</w:t>
      </w:r>
      <w:r w:rsidR="008A402D" w:rsidRPr="005C5E32">
        <w:rPr>
          <w:spacing w:val="-2"/>
        </w:rPr>
        <w:t xml:space="preserve">, see </w:t>
      </w:r>
      <w:hyperlink w:anchor="_19.__Climate" w:history="1">
        <w:r w:rsidR="008A402D" w:rsidRPr="005C5E32">
          <w:rPr>
            <w:rStyle w:val="Hyperlink"/>
          </w:rPr>
          <w:t>note</w:t>
        </w:r>
        <w:r w:rsidR="0016517F" w:rsidRPr="005C5E32">
          <w:rPr>
            <w:rStyle w:val="Hyperlink"/>
          </w:rPr>
          <w:t> </w:t>
        </w:r>
        <w:r w:rsidR="008A402D" w:rsidRPr="005C5E32">
          <w:rPr>
            <w:rStyle w:val="Hyperlink"/>
          </w:rPr>
          <w:t>19</w:t>
        </w:r>
      </w:hyperlink>
      <w:r w:rsidR="008A402D" w:rsidRPr="005C5E32">
        <w:t xml:space="preserve"> of the </w:t>
      </w:r>
      <w:r w:rsidR="008754AF" w:rsidRPr="005C5E32">
        <w:t xml:space="preserve">Notes </w:t>
      </w:r>
      <w:r w:rsidR="008A402D" w:rsidRPr="005C5E32">
        <w:t>to the financial statements in the Ministry for the Environment Annual Report 2025/26</w:t>
      </w:r>
      <w:r w:rsidR="00EA3174" w:rsidRPr="005C5E32">
        <w:rPr>
          <w:spacing w:val="-2"/>
        </w:rPr>
        <w:t>.</w:t>
      </w:r>
    </w:p>
    <w:p w14:paraId="65AB3B3D" w14:textId="476D7AE9" w:rsidR="00C850B2" w:rsidRPr="005C5E32" w:rsidRDefault="00C850B2" w:rsidP="003B4A7F">
      <w:pPr>
        <w:pStyle w:val="BodyText"/>
        <w:rPr>
          <w:rFonts w:cs="Calibri"/>
        </w:rPr>
      </w:pPr>
      <w:r w:rsidRPr="005C5E32">
        <w:rPr>
          <w:rFonts w:cs="Calibri"/>
        </w:rPr>
        <w:t>The appropriation for the Board in 2025/26 was $3.242 million, of which $2.694 million</w:t>
      </w:r>
      <w:r w:rsidRPr="005C5E32" w:rsidDel="00214D40">
        <w:rPr>
          <w:rFonts w:cs="Calibri"/>
        </w:rPr>
        <w:t xml:space="preserve"> was</w:t>
      </w:r>
      <w:r w:rsidR="0016517F" w:rsidRPr="005C5E32">
        <w:rPr>
          <w:rFonts w:cs="Calibri"/>
        </w:rPr>
        <w:t> </w:t>
      </w:r>
      <w:r w:rsidRPr="005C5E32" w:rsidDel="00214D40">
        <w:rPr>
          <w:rFonts w:cs="Calibri"/>
        </w:rPr>
        <w:t>spent</w:t>
      </w:r>
      <w:r w:rsidRPr="005C5E32">
        <w:rPr>
          <w:rFonts w:cs="Calibri"/>
        </w:rPr>
        <w:t>.</w:t>
      </w:r>
    </w:p>
    <w:p w14:paraId="750C88F2" w14:textId="77777777" w:rsidR="00C850B2" w:rsidRPr="005C5E32" w:rsidRDefault="00C850B2" w:rsidP="005C253F">
      <w:pPr>
        <w:pStyle w:val="Heading3"/>
      </w:pPr>
      <w:bookmarkStart w:id="538" w:name="_Toc173852957"/>
      <w:bookmarkStart w:id="539" w:name="_Toc173931526"/>
      <w:bookmarkStart w:id="540" w:name="_Toc173932260"/>
      <w:r w:rsidRPr="005C5E32">
        <w:t>Statement of responsibility</w:t>
      </w:r>
      <w:bookmarkEnd w:id="538"/>
      <w:bookmarkEnd w:id="539"/>
      <w:bookmarkEnd w:id="540"/>
    </w:p>
    <w:p w14:paraId="7CEE9A6E" w14:textId="77777777" w:rsidR="00C850B2" w:rsidRPr="005C5E32" w:rsidRDefault="00C850B2" w:rsidP="003B4A7F">
      <w:pPr>
        <w:pStyle w:val="BodyText"/>
      </w:pPr>
      <w:r w:rsidRPr="005C5E32">
        <w:rPr>
          <w:rFonts w:eastAsia="MS Mincho"/>
        </w:rPr>
        <w:t>The Board is responsible for ensuring the accuracy of any end-of-year performance information it prepares, whether or not that information is included in this annual report.</w:t>
      </w:r>
    </w:p>
    <w:p w14:paraId="79C7182D" w14:textId="77777777" w:rsidR="00C850B2" w:rsidRPr="005C5E32" w:rsidRDefault="00C850B2" w:rsidP="003B4A7F">
      <w:pPr>
        <w:pStyle w:val="BodyText"/>
        <w:rPr>
          <w:rFonts w:eastAsia="MS Mincho"/>
        </w:rPr>
      </w:pPr>
      <w:r w:rsidRPr="005C5E32">
        <w:t>In the opinion of the Board, the annual report fairly reflects our operations, progress, and organisational</w:t>
      </w:r>
      <w:r w:rsidRPr="005C5E32">
        <w:rPr>
          <w:rFonts w:eastAsia="MS Mincho"/>
        </w:rPr>
        <w:t xml:space="preserve"> health and capability.</w:t>
      </w:r>
    </w:p>
    <w:p w14:paraId="65F76218" w14:textId="77777777" w:rsidR="00C850B2" w:rsidRPr="005C5E32" w:rsidRDefault="00C850B2" w:rsidP="00130E61">
      <w:pPr>
        <w:keepNext/>
        <w:rPr>
          <w:rFonts w:eastAsia="MS Mincho" w:cs="Arial"/>
          <w:b/>
          <w:bCs/>
        </w:rPr>
      </w:pPr>
      <w:r w:rsidRPr="005C5E32">
        <w:rPr>
          <w:rFonts w:eastAsia="MS Mincho" w:cs="Arial"/>
          <w:b/>
          <w:bCs/>
        </w:rPr>
        <w:lastRenderedPageBreak/>
        <w:t>Signatures</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CellMar>
          <w:left w:w="85" w:type="dxa"/>
          <w:right w:w="85" w:type="dxa"/>
        </w:tblCellMar>
        <w:tblLook w:val="04A0" w:firstRow="1" w:lastRow="0" w:firstColumn="1" w:lastColumn="0" w:noHBand="0" w:noVBand="1"/>
      </w:tblPr>
      <w:tblGrid>
        <w:gridCol w:w="1560"/>
        <w:gridCol w:w="4819"/>
        <w:gridCol w:w="2126"/>
      </w:tblGrid>
      <w:tr w:rsidR="00C850B2" w:rsidRPr="005C5E32" w14:paraId="3541C77B" w14:textId="77777777">
        <w:trPr>
          <w:tblHeader/>
        </w:trPr>
        <w:tc>
          <w:tcPr>
            <w:tcW w:w="1560" w:type="dxa"/>
            <w:shd w:val="clear" w:color="auto" w:fill="1B556B" w:themeFill="text2"/>
          </w:tcPr>
          <w:p w14:paraId="5E7B1459" w14:textId="77777777" w:rsidR="00C850B2" w:rsidRPr="005C5E32" w:rsidRDefault="00C850B2" w:rsidP="00130E61">
            <w:pPr>
              <w:pStyle w:val="TableTextbold"/>
              <w:keepNext/>
              <w:rPr>
                <w:color w:val="FFFFFF" w:themeColor="background1"/>
              </w:rPr>
            </w:pPr>
            <w:r w:rsidRPr="005C5E32">
              <w:rPr>
                <w:color w:val="FFFFFF" w:themeColor="background1"/>
              </w:rPr>
              <w:t>Name</w:t>
            </w:r>
          </w:p>
        </w:tc>
        <w:tc>
          <w:tcPr>
            <w:tcW w:w="4819" w:type="dxa"/>
            <w:shd w:val="clear" w:color="auto" w:fill="1B556B" w:themeFill="text2"/>
            <w:vAlign w:val="bottom"/>
          </w:tcPr>
          <w:p w14:paraId="32C88E2C" w14:textId="77777777" w:rsidR="00C850B2" w:rsidRPr="005C5E32" w:rsidRDefault="00C850B2" w:rsidP="0016517F">
            <w:pPr>
              <w:pStyle w:val="TableTextbold"/>
              <w:keepNext/>
              <w:rPr>
                <w:color w:val="FFFFFF" w:themeColor="background1"/>
              </w:rPr>
            </w:pPr>
            <w:r w:rsidRPr="005C5E32">
              <w:rPr>
                <w:color w:val="FFFFFF" w:themeColor="background1"/>
              </w:rPr>
              <w:t>Title</w:t>
            </w:r>
          </w:p>
        </w:tc>
        <w:tc>
          <w:tcPr>
            <w:tcW w:w="2126" w:type="dxa"/>
            <w:shd w:val="clear" w:color="auto" w:fill="1B556B" w:themeFill="text2"/>
          </w:tcPr>
          <w:p w14:paraId="530300C8" w14:textId="77777777" w:rsidR="00C850B2" w:rsidRPr="005C5E32" w:rsidRDefault="00C850B2" w:rsidP="00130E61">
            <w:pPr>
              <w:pStyle w:val="TableTextbold"/>
              <w:keepNext/>
              <w:rPr>
                <w:color w:val="FFFFFF" w:themeColor="background1"/>
              </w:rPr>
            </w:pPr>
            <w:r w:rsidRPr="005C5E32">
              <w:rPr>
                <w:color w:val="FFFFFF" w:themeColor="background1"/>
              </w:rPr>
              <w:t>Signature</w:t>
            </w:r>
          </w:p>
        </w:tc>
      </w:tr>
      <w:tr w:rsidR="00C850B2" w:rsidRPr="005C5E32" w14:paraId="3FC69637" w14:textId="77777777">
        <w:tc>
          <w:tcPr>
            <w:tcW w:w="1560" w:type="dxa"/>
          </w:tcPr>
          <w:p w14:paraId="378E96D2" w14:textId="77777777" w:rsidR="00C850B2" w:rsidRPr="005C5E32" w:rsidRDefault="00C850B2">
            <w:pPr>
              <w:pStyle w:val="TableText"/>
              <w:keepNext/>
              <w:rPr>
                <w:b/>
                <w:bCs/>
                <w:sz w:val="19"/>
                <w:szCs w:val="19"/>
              </w:rPr>
            </w:pPr>
            <w:bookmarkStart w:id="541" w:name="_Hlk171432599"/>
            <w:r w:rsidRPr="005C5E32">
              <w:rPr>
                <w:b/>
                <w:bCs/>
                <w:color w:val="1B556B" w:themeColor="text2"/>
                <w:sz w:val="19"/>
                <w:szCs w:val="19"/>
              </w:rPr>
              <w:t xml:space="preserve">Jeremy Lightfoot </w:t>
            </w:r>
          </w:p>
        </w:tc>
        <w:tc>
          <w:tcPr>
            <w:tcW w:w="4819" w:type="dxa"/>
          </w:tcPr>
          <w:p w14:paraId="743CC7A9" w14:textId="21B4C831" w:rsidR="00C850B2" w:rsidRPr="005C5E32" w:rsidRDefault="00AD060D" w:rsidP="00130E61">
            <w:pPr>
              <w:pStyle w:val="TableText"/>
              <w:keepNext/>
              <w:rPr>
                <w:sz w:val="19"/>
                <w:szCs w:val="19"/>
              </w:rPr>
            </w:pPr>
            <w:r w:rsidRPr="005C5E32">
              <w:rPr>
                <w:sz w:val="19"/>
                <w:szCs w:val="19"/>
              </w:rPr>
              <w:t xml:space="preserve">Chief Executive for the Ministry of Cities, Environment, Regions and Transport and </w:t>
            </w:r>
            <w:r w:rsidR="00C850B2" w:rsidRPr="005C5E32">
              <w:rPr>
                <w:sz w:val="19"/>
                <w:szCs w:val="19"/>
              </w:rPr>
              <w:t xml:space="preserve">Secretary for the Environment </w:t>
            </w:r>
            <w:r w:rsidR="00BE3CB8" w:rsidRPr="005C5E32">
              <w:rPr>
                <w:sz w:val="19"/>
                <w:szCs w:val="19"/>
              </w:rPr>
              <w:t>–</w:t>
            </w:r>
            <w:r w:rsidR="00C850B2" w:rsidRPr="005C5E32">
              <w:rPr>
                <w:sz w:val="19"/>
                <w:szCs w:val="19"/>
              </w:rPr>
              <w:t xml:space="preserve"> Te Hēkeretari mō te Taiao </w:t>
            </w:r>
            <w:r w:rsidR="00883BF7" w:rsidRPr="005C5E32">
              <w:rPr>
                <w:sz w:val="19"/>
                <w:szCs w:val="19"/>
              </w:rPr>
              <w:t>and</w:t>
            </w:r>
            <w:r w:rsidR="00C850B2" w:rsidRPr="005C5E32">
              <w:rPr>
                <w:sz w:val="19"/>
                <w:szCs w:val="19"/>
              </w:rPr>
              <w:t xml:space="preserve"> Chairperson of the Climate Change Chief Executives Board</w:t>
            </w:r>
          </w:p>
        </w:tc>
        <w:tc>
          <w:tcPr>
            <w:tcW w:w="2126" w:type="dxa"/>
          </w:tcPr>
          <w:p w14:paraId="5AC48246" w14:textId="6D634EA9" w:rsidR="00C850B2" w:rsidRPr="005C5E32" w:rsidRDefault="00693452" w:rsidP="00130E61">
            <w:pPr>
              <w:pStyle w:val="TableText"/>
              <w:keepNext/>
            </w:pPr>
            <w:r>
              <w:rPr>
                <w:noProof/>
              </w:rPr>
              <w:drawing>
                <wp:inline distT="0" distB="0" distL="0" distR="0" wp14:anchorId="15CDAB9F" wp14:editId="0E3DC0EA">
                  <wp:extent cx="381000" cy="533400"/>
                  <wp:effectExtent l="0" t="0" r="0" b="0"/>
                  <wp:docPr id="11337979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797922" name="Picture 1133797922"/>
                          <pic:cNvPicPr/>
                        </pic:nvPicPr>
                        <pic:blipFill>
                          <a:blip r:embed="rId122">
                            <a:extLst>
                              <a:ext uri="{28A0092B-C50C-407E-A947-70E740481C1C}">
                                <a14:useLocalDpi xmlns:a14="http://schemas.microsoft.com/office/drawing/2010/main"/>
                              </a:ext>
                            </a:extLst>
                          </a:blip>
                          <a:stretch>
                            <a:fillRect/>
                          </a:stretch>
                        </pic:blipFill>
                        <pic:spPr>
                          <a:xfrm>
                            <a:off x="0" y="0"/>
                            <a:ext cx="381000" cy="533400"/>
                          </a:xfrm>
                          <a:prstGeom prst="rect">
                            <a:avLst/>
                          </a:prstGeom>
                        </pic:spPr>
                      </pic:pic>
                    </a:graphicData>
                  </a:graphic>
                </wp:inline>
              </w:drawing>
            </w:r>
          </w:p>
        </w:tc>
      </w:tr>
      <w:tr w:rsidR="00C850B2" w:rsidRPr="005C5E32" w14:paraId="0E7B3163" w14:textId="77777777">
        <w:tc>
          <w:tcPr>
            <w:tcW w:w="1560" w:type="dxa"/>
          </w:tcPr>
          <w:p w14:paraId="407D8D34" w14:textId="77777777" w:rsidR="00C850B2" w:rsidRPr="005C5E32" w:rsidRDefault="00C850B2">
            <w:pPr>
              <w:pStyle w:val="TableText"/>
              <w:keepNext/>
              <w:rPr>
                <w:b/>
                <w:bCs/>
                <w:color w:val="1B556B"/>
                <w:sz w:val="19"/>
                <w:szCs w:val="19"/>
              </w:rPr>
            </w:pPr>
            <w:r w:rsidRPr="005C5E32">
              <w:rPr>
                <w:b/>
                <w:bCs/>
                <w:color w:val="1B556B" w:themeColor="text2"/>
                <w:sz w:val="19"/>
                <w:szCs w:val="19"/>
              </w:rPr>
              <w:t>Nic Blakeley</w:t>
            </w:r>
          </w:p>
        </w:tc>
        <w:tc>
          <w:tcPr>
            <w:tcW w:w="4819" w:type="dxa"/>
          </w:tcPr>
          <w:p w14:paraId="2B9ED9D6" w14:textId="64291D61" w:rsidR="00C850B2" w:rsidRPr="005C5E32" w:rsidRDefault="00661AA4" w:rsidP="00130E61">
            <w:pPr>
              <w:pStyle w:val="TableText"/>
              <w:keepNext/>
              <w:rPr>
                <w:sz w:val="19"/>
                <w:szCs w:val="19"/>
              </w:rPr>
            </w:pPr>
            <w:r w:rsidRPr="34115409">
              <w:rPr>
                <w:rFonts w:eastAsia="Calibri" w:cs="Calibri"/>
                <w:color w:val="000000" w:themeColor="text1"/>
                <w:sz w:val="19"/>
                <w:szCs w:val="19"/>
              </w:rPr>
              <w:t>Secretary for Economic Growth and Chief Executive of the Ministry of Business, Innovation &amp; Employment</w:t>
            </w:r>
            <w:r w:rsidR="00A64F6B">
              <w:rPr>
                <w:rFonts w:eastAsia="Calibri" w:cs="Calibri"/>
                <w:color w:val="000000" w:themeColor="text1"/>
                <w:sz w:val="19"/>
                <w:szCs w:val="19"/>
              </w:rPr>
              <w:t xml:space="preserve"> </w:t>
            </w:r>
            <w:r w:rsidR="00A64F6B" w:rsidRPr="005C5E32">
              <w:rPr>
                <w:sz w:val="19"/>
                <w:szCs w:val="19"/>
              </w:rPr>
              <w:t>–</w:t>
            </w:r>
            <w:r w:rsidR="00A64F6B">
              <w:rPr>
                <w:sz w:val="19"/>
                <w:szCs w:val="19"/>
              </w:rPr>
              <w:t xml:space="preserve"> </w:t>
            </w:r>
            <w:r w:rsidRPr="34115409">
              <w:rPr>
                <w:rFonts w:eastAsia="Calibri" w:cs="Calibri"/>
                <w:color w:val="000000" w:themeColor="text1"/>
                <w:sz w:val="19"/>
                <w:szCs w:val="19"/>
              </w:rPr>
              <w:t>Te Tumu Whakarae mō Hīkina Whakatutuki</w:t>
            </w:r>
          </w:p>
        </w:tc>
        <w:tc>
          <w:tcPr>
            <w:tcW w:w="2126" w:type="dxa"/>
          </w:tcPr>
          <w:p w14:paraId="0817A756" w14:textId="4CCC56F2" w:rsidR="00C850B2" w:rsidRPr="005C5E32" w:rsidRDefault="006A1D21" w:rsidP="00130E61">
            <w:pPr>
              <w:pStyle w:val="TableText"/>
              <w:keepNext/>
              <w:rPr>
                <w:sz w:val="19"/>
                <w:szCs w:val="19"/>
              </w:rPr>
            </w:pPr>
            <w:r>
              <w:rPr>
                <w:noProof/>
              </w:rPr>
              <w:drawing>
                <wp:inline distT="0" distB="0" distL="0" distR="0" wp14:anchorId="563056BB" wp14:editId="177C3574">
                  <wp:extent cx="838200" cy="552450"/>
                  <wp:effectExtent l="0" t="0" r="0" b="0"/>
                  <wp:docPr id="8814862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86299" name="Picture 881486299"/>
                          <pic:cNvPicPr/>
                        </pic:nvPicPr>
                        <pic:blipFill>
                          <a:blip r:embed="rId123">
                            <a:extLst>
                              <a:ext uri="{28A0092B-C50C-407E-A947-70E740481C1C}">
                                <a14:useLocalDpi xmlns:a14="http://schemas.microsoft.com/office/drawing/2010/main"/>
                              </a:ext>
                            </a:extLst>
                          </a:blip>
                          <a:stretch>
                            <a:fillRect/>
                          </a:stretch>
                        </pic:blipFill>
                        <pic:spPr>
                          <a:xfrm>
                            <a:off x="0" y="0"/>
                            <a:ext cx="838200" cy="552450"/>
                          </a:xfrm>
                          <a:prstGeom prst="rect">
                            <a:avLst/>
                          </a:prstGeom>
                        </pic:spPr>
                      </pic:pic>
                    </a:graphicData>
                  </a:graphic>
                </wp:inline>
              </w:drawing>
            </w:r>
          </w:p>
        </w:tc>
      </w:tr>
      <w:tr w:rsidR="00C850B2" w:rsidRPr="005C5E32" w14:paraId="386E97A0" w14:textId="77777777">
        <w:tc>
          <w:tcPr>
            <w:tcW w:w="1560" w:type="dxa"/>
          </w:tcPr>
          <w:p w14:paraId="27225DB6" w14:textId="77777777" w:rsidR="00C850B2" w:rsidRPr="005C5E32" w:rsidRDefault="00C850B2" w:rsidP="003D0CC1">
            <w:pPr>
              <w:pStyle w:val="TableText"/>
              <w:rPr>
                <w:b/>
                <w:color w:val="1B556B"/>
                <w:sz w:val="19"/>
                <w:szCs w:val="19"/>
              </w:rPr>
            </w:pPr>
            <w:r w:rsidRPr="005C5E32">
              <w:rPr>
                <w:b/>
                <w:color w:val="1B556B"/>
                <w:sz w:val="19"/>
                <w:szCs w:val="19"/>
              </w:rPr>
              <w:t>David Gawn</w:t>
            </w:r>
          </w:p>
        </w:tc>
        <w:tc>
          <w:tcPr>
            <w:tcW w:w="4819" w:type="dxa"/>
          </w:tcPr>
          <w:p w14:paraId="6C71D22D" w14:textId="7D81588A" w:rsidR="00C850B2" w:rsidRPr="005C5E32" w:rsidRDefault="00C850B2" w:rsidP="003D0CC1">
            <w:pPr>
              <w:pStyle w:val="TableText"/>
              <w:rPr>
                <w:sz w:val="19"/>
                <w:szCs w:val="19"/>
              </w:rPr>
            </w:pPr>
            <w:r w:rsidRPr="005C5E32">
              <w:rPr>
                <w:sz w:val="19"/>
                <w:szCs w:val="19"/>
              </w:rPr>
              <w:t xml:space="preserve">Chief Executive of the National Emergency Management Agency </w:t>
            </w:r>
            <w:r w:rsidR="00BE3CB8" w:rsidRPr="005C5E32">
              <w:rPr>
                <w:sz w:val="19"/>
                <w:szCs w:val="19"/>
              </w:rPr>
              <w:t>–</w:t>
            </w:r>
            <w:r w:rsidRPr="005C5E32">
              <w:rPr>
                <w:sz w:val="19"/>
                <w:szCs w:val="19"/>
              </w:rPr>
              <w:t xml:space="preserve"> Tāhūhū </w:t>
            </w:r>
            <w:r w:rsidR="003D6BF4" w:rsidRPr="005C5E32">
              <w:rPr>
                <w:sz w:val="19"/>
                <w:szCs w:val="19"/>
              </w:rPr>
              <w:t>R</w:t>
            </w:r>
            <w:r w:rsidRPr="005C5E32">
              <w:rPr>
                <w:sz w:val="19"/>
                <w:szCs w:val="19"/>
              </w:rPr>
              <w:t xml:space="preserve">angapū mō Te Rākau Whakamarumaru </w:t>
            </w:r>
          </w:p>
        </w:tc>
        <w:tc>
          <w:tcPr>
            <w:tcW w:w="2126" w:type="dxa"/>
          </w:tcPr>
          <w:p w14:paraId="6598F7FD" w14:textId="73B00B0C" w:rsidR="00C850B2" w:rsidRPr="005C5E32" w:rsidRDefault="00F8553B" w:rsidP="00130E61">
            <w:pPr>
              <w:pStyle w:val="TableText"/>
            </w:pPr>
            <w:r>
              <w:rPr>
                <w:noProof/>
              </w:rPr>
              <w:drawing>
                <wp:inline distT="0" distB="0" distL="0" distR="0" wp14:anchorId="43A4AEDD" wp14:editId="1FD53685">
                  <wp:extent cx="1000125" cy="400050"/>
                  <wp:effectExtent l="0" t="0" r="0" b="0"/>
                  <wp:docPr id="1079538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38821" name="Picture 1079538821"/>
                          <pic:cNvPicPr/>
                        </pic:nvPicPr>
                        <pic:blipFill>
                          <a:blip r:embed="rId124">
                            <a:extLst>
                              <a:ext uri="{28A0092B-C50C-407E-A947-70E740481C1C}">
                                <a14:useLocalDpi xmlns:a14="http://schemas.microsoft.com/office/drawing/2010/main"/>
                              </a:ext>
                            </a:extLst>
                          </a:blip>
                          <a:stretch>
                            <a:fillRect/>
                          </a:stretch>
                        </pic:blipFill>
                        <pic:spPr>
                          <a:xfrm>
                            <a:off x="0" y="0"/>
                            <a:ext cx="1000125" cy="400050"/>
                          </a:xfrm>
                          <a:prstGeom prst="rect">
                            <a:avLst/>
                          </a:prstGeom>
                        </pic:spPr>
                      </pic:pic>
                    </a:graphicData>
                  </a:graphic>
                </wp:inline>
              </w:drawing>
            </w:r>
          </w:p>
        </w:tc>
      </w:tr>
      <w:tr w:rsidR="00C850B2" w:rsidRPr="005C5E32" w14:paraId="782057F4" w14:textId="77777777">
        <w:tc>
          <w:tcPr>
            <w:tcW w:w="1560" w:type="dxa"/>
          </w:tcPr>
          <w:p w14:paraId="05BBB27D" w14:textId="77777777" w:rsidR="00C850B2" w:rsidRPr="005C5E32" w:rsidRDefault="00C850B2" w:rsidP="003D0CC1">
            <w:pPr>
              <w:pStyle w:val="TableText"/>
              <w:rPr>
                <w:b/>
                <w:color w:val="1B556B"/>
                <w:sz w:val="19"/>
                <w:szCs w:val="19"/>
              </w:rPr>
            </w:pPr>
            <w:r w:rsidRPr="005C5E32">
              <w:rPr>
                <w:b/>
                <w:color w:val="1B556B"/>
                <w:sz w:val="19"/>
                <w:szCs w:val="19"/>
              </w:rPr>
              <w:t xml:space="preserve">Iain Rennie </w:t>
            </w:r>
          </w:p>
        </w:tc>
        <w:tc>
          <w:tcPr>
            <w:tcW w:w="4819" w:type="dxa"/>
          </w:tcPr>
          <w:p w14:paraId="0CBB2554" w14:textId="06BDD2B5" w:rsidR="00C850B2" w:rsidRPr="005C5E32" w:rsidRDefault="00C850B2" w:rsidP="003D0CC1">
            <w:pPr>
              <w:pStyle w:val="TableText"/>
              <w:rPr>
                <w:sz w:val="19"/>
                <w:szCs w:val="19"/>
              </w:rPr>
            </w:pPr>
            <w:r w:rsidRPr="005C5E32">
              <w:rPr>
                <w:sz w:val="19"/>
                <w:szCs w:val="19"/>
              </w:rPr>
              <w:t xml:space="preserve">Secretary to the Treasury </w:t>
            </w:r>
            <w:r w:rsidR="00BE3CB8" w:rsidRPr="005C5E32">
              <w:rPr>
                <w:sz w:val="19"/>
                <w:szCs w:val="19"/>
              </w:rPr>
              <w:t>–</w:t>
            </w:r>
            <w:r w:rsidRPr="005C5E32">
              <w:rPr>
                <w:sz w:val="19"/>
                <w:szCs w:val="19"/>
              </w:rPr>
              <w:t xml:space="preserve"> Te Hēkeretari mō Te Tai Ōhanga </w:t>
            </w:r>
            <w:r w:rsidR="00883BF7" w:rsidRPr="005C5E32">
              <w:rPr>
                <w:sz w:val="19"/>
                <w:szCs w:val="19"/>
              </w:rPr>
              <w:t>and</w:t>
            </w:r>
            <w:r w:rsidRPr="005C5E32">
              <w:rPr>
                <w:sz w:val="19"/>
                <w:szCs w:val="19"/>
              </w:rPr>
              <w:t xml:space="preserve"> Deputy Chairperson of the Climate Change Chief Executives Board </w:t>
            </w:r>
          </w:p>
        </w:tc>
        <w:tc>
          <w:tcPr>
            <w:tcW w:w="2126" w:type="dxa"/>
          </w:tcPr>
          <w:p w14:paraId="0293B8AC" w14:textId="61C97D95" w:rsidR="00C850B2" w:rsidRPr="005C5E32" w:rsidRDefault="004E7B15" w:rsidP="003D0CC1">
            <w:pPr>
              <w:pStyle w:val="TableText"/>
              <w:rPr>
                <w:sz w:val="19"/>
                <w:szCs w:val="19"/>
              </w:rPr>
            </w:pPr>
            <w:r>
              <w:rPr>
                <w:noProof/>
              </w:rPr>
              <w:drawing>
                <wp:inline distT="0" distB="0" distL="0" distR="0" wp14:anchorId="09E3B4A5" wp14:editId="7F95C68D">
                  <wp:extent cx="1238250" cy="495300"/>
                  <wp:effectExtent l="0" t="0" r="0" b="0"/>
                  <wp:docPr id="11120316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31677" name="Picture 1112031677"/>
                          <pic:cNvPicPr/>
                        </pic:nvPicPr>
                        <pic:blipFill>
                          <a:blip r:embed="rId125">
                            <a:extLst>
                              <a:ext uri="{28A0092B-C50C-407E-A947-70E740481C1C}">
                                <a14:useLocalDpi xmlns:a14="http://schemas.microsoft.com/office/drawing/2010/main"/>
                              </a:ext>
                            </a:extLst>
                          </a:blip>
                          <a:stretch>
                            <a:fillRect/>
                          </a:stretch>
                        </pic:blipFill>
                        <pic:spPr>
                          <a:xfrm>
                            <a:off x="0" y="0"/>
                            <a:ext cx="1238250" cy="495300"/>
                          </a:xfrm>
                          <a:prstGeom prst="rect">
                            <a:avLst/>
                          </a:prstGeom>
                        </pic:spPr>
                      </pic:pic>
                    </a:graphicData>
                  </a:graphic>
                </wp:inline>
              </w:drawing>
            </w:r>
          </w:p>
        </w:tc>
      </w:tr>
      <w:tr w:rsidR="00C850B2" w:rsidRPr="005C5E32" w14:paraId="3C6BE661" w14:textId="77777777">
        <w:tc>
          <w:tcPr>
            <w:tcW w:w="1560" w:type="dxa"/>
          </w:tcPr>
          <w:p w14:paraId="0BDB11B3" w14:textId="77777777" w:rsidR="00C850B2" w:rsidRPr="005C5E32" w:rsidRDefault="00C850B2" w:rsidP="003D0CC1">
            <w:pPr>
              <w:pStyle w:val="TableText"/>
            </w:pPr>
            <w:r w:rsidRPr="005C5E32">
              <w:rPr>
                <w:b/>
                <w:bCs/>
                <w:color w:val="1B556B" w:themeColor="text2"/>
                <w:sz w:val="19"/>
                <w:szCs w:val="19"/>
              </w:rPr>
              <w:t>Peter Chrisp</w:t>
            </w:r>
          </w:p>
        </w:tc>
        <w:tc>
          <w:tcPr>
            <w:tcW w:w="4819" w:type="dxa"/>
          </w:tcPr>
          <w:p w14:paraId="6E42B35A" w14:textId="1BA8BC69" w:rsidR="00C850B2" w:rsidRPr="005C5E32" w:rsidRDefault="00C850B2" w:rsidP="003D0CC1">
            <w:pPr>
              <w:pStyle w:val="TableText"/>
              <w:rPr>
                <w:sz w:val="19"/>
                <w:szCs w:val="19"/>
              </w:rPr>
            </w:pPr>
            <w:r w:rsidRPr="005C5E32">
              <w:rPr>
                <w:sz w:val="19"/>
                <w:szCs w:val="19"/>
              </w:rPr>
              <w:t xml:space="preserve">Director-General of Conservation </w:t>
            </w:r>
            <w:r w:rsidR="00BE3CB8" w:rsidRPr="005C5E32">
              <w:rPr>
                <w:sz w:val="19"/>
                <w:szCs w:val="19"/>
              </w:rPr>
              <w:t>–</w:t>
            </w:r>
            <w:r w:rsidRPr="005C5E32">
              <w:rPr>
                <w:sz w:val="19"/>
                <w:szCs w:val="19"/>
              </w:rPr>
              <w:t xml:space="preserve"> Te Tumu Whakarae mō Te Papa Atawhai </w:t>
            </w:r>
          </w:p>
        </w:tc>
        <w:tc>
          <w:tcPr>
            <w:tcW w:w="2126" w:type="dxa"/>
          </w:tcPr>
          <w:p w14:paraId="0FE76DCC" w14:textId="2DF3F487" w:rsidR="00C850B2" w:rsidRPr="005C5E32" w:rsidRDefault="00A1019A" w:rsidP="003D0CC1">
            <w:pPr>
              <w:pStyle w:val="TableText"/>
              <w:rPr>
                <w:sz w:val="19"/>
                <w:szCs w:val="19"/>
              </w:rPr>
            </w:pPr>
            <w:r>
              <w:rPr>
                <w:noProof/>
              </w:rPr>
              <w:drawing>
                <wp:inline distT="0" distB="0" distL="0" distR="0" wp14:anchorId="02F8BCEF" wp14:editId="1B74CC4B">
                  <wp:extent cx="838200" cy="367518"/>
                  <wp:effectExtent l="0" t="0" r="0" b="0"/>
                  <wp:docPr id="11484236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23667" name="Picture 1148423667"/>
                          <pic:cNvPicPr/>
                        </pic:nvPicPr>
                        <pic:blipFill>
                          <a:blip r:embed="rId126">
                            <a:extLst>
                              <a:ext uri="{28A0092B-C50C-407E-A947-70E740481C1C}">
                                <a14:useLocalDpi xmlns:a14="http://schemas.microsoft.com/office/drawing/2010/main"/>
                              </a:ext>
                            </a:extLst>
                          </a:blip>
                          <a:stretch>
                            <a:fillRect/>
                          </a:stretch>
                        </pic:blipFill>
                        <pic:spPr>
                          <a:xfrm>
                            <a:off x="0" y="0"/>
                            <a:ext cx="838200" cy="367518"/>
                          </a:xfrm>
                          <a:prstGeom prst="rect">
                            <a:avLst/>
                          </a:prstGeom>
                        </pic:spPr>
                      </pic:pic>
                    </a:graphicData>
                  </a:graphic>
                </wp:inline>
              </w:drawing>
            </w:r>
          </w:p>
        </w:tc>
      </w:tr>
      <w:tr w:rsidR="00C850B2" w:rsidRPr="005C5E32" w14:paraId="3A0ADF89" w14:textId="77777777">
        <w:tc>
          <w:tcPr>
            <w:tcW w:w="1560" w:type="dxa"/>
          </w:tcPr>
          <w:p w14:paraId="1271E4B8" w14:textId="77777777" w:rsidR="00C850B2" w:rsidRPr="005C5E32" w:rsidRDefault="00C850B2" w:rsidP="003D0CC1">
            <w:pPr>
              <w:pStyle w:val="TableText"/>
              <w:rPr>
                <w:b/>
                <w:color w:val="1B556B"/>
                <w:sz w:val="19"/>
                <w:szCs w:val="19"/>
              </w:rPr>
            </w:pPr>
            <w:r w:rsidRPr="005C5E32">
              <w:rPr>
                <w:b/>
                <w:color w:val="1B556B"/>
                <w:sz w:val="19"/>
                <w:szCs w:val="19"/>
              </w:rPr>
              <w:t>Ray Smith</w:t>
            </w:r>
          </w:p>
        </w:tc>
        <w:tc>
          <w:tcPr>
            <w:tcW w:w="4819" w:type="dxa"/>
          </w:tcPr>
          <w:p w14:paraId="36601347" w14:textId="58CF7ACE" w:rsidR="00C850B2" w:rsidRPr="005C5E32" w:rsidRDefault="00C850B2" w:rsidP="003D0CC1">
            <w:pPr>
              <w:pStyle w:val="TableText"/>
              <w:rPr>
                <w:sz w:val="19"/>
                <w:szCs w:val="19"/>
              </w:rPr>
            </w:pPr>
            <w:r w:rsidRPr="005C5E32">
              <w:rPr>
                <w:sz w:val="19"/>
                <w:szCs w:val="19"/>
              </w:rPr>
              <w:t xml:space="preserve">Director-General of Primary Industries </w:t>
            </w:r>
            <w:r w:rsidR="00BE3CB8" w:rsidRPr="005C5E32">
              <w:rPr>
                <w:sz w:val="19"/>
                <w:szCs w:val="19"/>
              </w:rPr>
              <w:t>–</w:t>
            </w:r>
            <w:r w:rsidRPr="005C5E32">
              <w:rPr>
                <w:sz w:val="19"/>
                <w:szCs w:val="19"/>
              </w:rPr>
              <w:t xml:space="preserve"> Te Tumu Whakarae mō Manatū Ahu Matua</w:t>
            </w:r>
          </w:p>
        </w:tc>
        <w:tc>
          <w:tcPr>
            <w:tcW w:w="2126" w:type="dxa"/>
          </w:tcPr>
          <w:p w14:paraId="1ED0599F" w14:textId="7CB12F92" w:rsidR="00C850B2" w:rsidRPr="005C5E32" w:rsidRDefault="000F028A" w:rsidP="00130E61">
            <w:pPr>
              <w:pStyle w:val="TableText"/>
            </w:pPr>
            <w:r>
              <w:rPr>
                <w:noProof/>
              </w:rPr>
              <w:drawing>
                <wp:inline distT="0" distB="0" distL="0" distR="0" wp14:anchorId="347AE99A" wp14:editId="6A6092A2">
                  <wp:extent cx="756005" cy="267752"/>
                  <wp:effectExtent l="0" t="0" r="0" b="0"/>
                  <wp:docPr id="1053887807" name="drawing" title="Ray Smith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87807" name="Picture 1053887807"/>
                          <pic:cNvPicPr/>
                        </pic:nvPicPr>
                        <pic:blipFill>
                          <a:blip r:embed="rId127">
                            <a:extLst>
                              <a:ext uri="{28A0092B-C50C-407E-A947-70E740481C1C}">
                                <a14:useLocalDpi xmlns:a14="http://schemas.microsoft.com/office/drawing/2010/main"/>
                              </a:ext>
                            </a:extLst>
                          </a:blip>
                          <a:stretch>
                            <a:fillRect/>
                          </a:stretch>
                        </pic:blipFill>
                        <pic:spPr>
                          <a:xfrm>
                            <a:off x="0" y="0"/>
                            <a:ext cx="756005" cy="267752"/>
                          </a:xfrm>
                          <a:prstGeom prst="rect">
                            <a:avLst/>
                          </a:prstGeom>
                        </pic:spPr>
                      </pic:pic>
                    </a:graphicData>
                  </a:graphic>
                </wp:inline>
              </w:drawing>
            </w:r>
          </w:p>
        </w:tc>
      </w:tr>
      <w:bookmarkEnd w:id="527"/>
      <w:bookmarkEnd w:id="541"/>
    </w:tbl>
    <w:p w14:paraId="4E2E5C24" w14:textId="77777777" w:rsidR="00C850B2" w:rsidRPr="005C5E32" w:rsidRDefault="00C850B2" w:rsidP="003B4A7F">
      <w:pPr>
        <w:pStyle w:val="BodyText"/>
      </w:pPr>
    </w:p>
    <w:p w14:paraId="0EBA0737" w14:textId="12A5B3EA" w:rsidR="00B1323B" w:rsidRPr="005C5E32" w:rsidRDefault="00B1323B" w:rsidP="0079642D">
      <w:pPr>
        <w:spacing w:before="0" w:after="200" w:line="276" w:lineRule="auto"/>
        <w:jc w:val="left"/>
      </w:pPr>
    </w:p>
    <w:p w14:paraId="5AADF63D" w14:textId="77777777" w:rsidR="007777D0" w:rsidRPr="005C5E32" w:rsidRDefault="007777D0">
      <w:pPr>
        <w:spacing w:before="0" w:after="200" w:line="276" w:lineRule="auto"/>
        <w:jc w:val="left"/>
        <w:sectPr w:rsidR="007777D0" w:rsidRPr="005C5E32" w:rsidSect="00DC55A6">
          <w:headerReference w:type="even" r:id="rId128"/>
          <w:pgSz w:w="11907" w:h="16840" w:code="9"/>
          <w:pgMar w:top="1134" w:right="1474" w:bottom="1134" w:left="1418" w:header="567" w:footer="567" w:gutter="510"/>
          <w:cols w:space="720"/>
          <w:docGrid w:linePitch="299"/>
        </w:sectPr>
      </w:pPr>
    </w:p>
    <w:p w14:paraId="79F3CF01" w14:textId="3F32D6B1" w:rsidR="00B1323B" w:rsidRPr="005C5E32" w:rsidRDefault="00B1323B">
      <w:pPr>
        <w:spacing w:before="0" w:after="200" w:line="276" w:lineRule="auto"/>
        <w:jc w:val="left"/>
      </w:pPr>
    </w:p>
    <w:p w14:paraId="1C39F957" w14:textId="3217C54B" w:rsidR="00B1323B" w:rsidRPr="005C5E32" w:rsidRDefault="00B1323B" w:rsidP="00FD3DF5">
      <w:pPr>
        <w:pStyle w:val="BodyText"/>
        <w:spacing w:before="0" w:after="0"/>
        <w:rPr>
          <w:b/>
          <w:bCs/>
        </w:rPr>
      </w:pPr>
      <w:r w:rsidRPr="005C5E32">
        <w:rPr>
          <w:b/>
          <w:bCs/>
        </w:rPr>
        <w:t>Head Office</w:t>
      </w:r>
    </w:p>
    <w:p w14:paraId="771F4CFA" w14:textId="1AD4F9DB" w:rsidR="00B1323B" w:rsidRPr="005C5E32" w:rsidRDefault="00B1323B" w:rsidP="00FD3DF5">
      <w:pPr>
        <w:pStyle w:val="BodyText"/>
        <w:spacing w:before="0" w:after="0"/>
      </w:pPr>
      <w:r w:rsidRPr="005C5E32">
        <w:t>8 Willis Street</w:t>
      </w:r>
    </w:p>
    <w:p w14:paraId="06D912E0" w14:textId="7781FA08" w:rsidR="00B1323B" w:rsidRPr="005C5E32" w:rsidRDefault="00B1323B" w:rsidP="00FD3DF5">
      <w:pPr>
        <w:pStyle w:val="BodyText"/>
        <w:spacing w:before="0" w:after="0"/>
      </w:pPr>
      <w:r w:rsidRPr="005C5E32">
        <w:t>Wellington</w:t>
      </w:r>
    </w:p>
    <w:p w14:paraId="50B5DF2F" w14:textId="5061FCF1" w:rsidR="00B1323B" w:rsidRPr="005C5E32" w:rsidRDefault="00B1323B" w:rsidP="00FD3DF5">
      <w:pPr>
        <w:pStyle w:val="BodyText"/>
        <w:spacing w:before="0" w:after="0"/>
      </w:pPr>
      <w:r w:rsidRPr="005C5E32">
        <w:t>New Zealand</w:t>
      </w:r>
    </w:p>
    <w:p w14:paraId="6C3FF6AC" w14:textId="79D49DE1" w:rsidR="00B1323B" w:rsidRPr="005C5E32" w:rsidRDefault="00B1323B" w:rsidP="00B1323B">
      <w:pPr>
        <w:pStyle w:val="BodyText"/>
      </w:pPr>
    </w:p>
    <w:p w14:paraId="6CE71433" w14:textId="5A318317" w:rsidR="00B1323B" w:rsidRPr="005C5E32" w:rsidRDefault="00B1323B" w:rsidP="00FD3DF5">
      <w:pPr>
        <w:pStyle w:val="BodyText"/>
        <w:spacing w:before="0" w:after="0"/>
        <w:rPr>
          <w:b/>
          <w:bCs/>
        </w:rPr>
      </w:pPr>
      <w:r w:rsidRPr="005C5E32">
        <w:rPr>
          <w:b/>
          <w:bCs/>
        </w:rPr>
        <w:t>Postal address</w:t>
      </w:r>
    </w:p>
    <w:p w14:paraId="77FEE222" w14:textId="387EE585" w:rsidR="00B1323B" w:rsidRPr="005C5E32" w:rsidRDefault="00B1323B" w:rsidP="00FD3DF5">
      <w:pPr>
        <w:pStyle w:val="BodyText"/>
        <w:spacing w:before="0" w:after="0"/>
      </w:pPr>
      <w:r w:rsidRPr="005C5E32">
        <w:t>PO Box 10362</w:t>
      </w:r>
    </w:p>
    <w:p w14:paraId="08362B11" w14:textId="7737E2D3" w:rsidR="00B1323B" w:rsidRPr="005C5E32" w:rsidRDefault="00B1323B" w:rsidP="00FD3DF5">
      <w:pPr>
        <w:pStyle w:val="BodyText"/>
        <w:spacing w:before="0" w:after="0"/>
      </w:pPr>
      <w:r w:rsidRPr="005C5E32">
        <w:t>Wellington 6143</w:t>
      </w:r>
    </w:p>
    <w:p w14:paraId="211ED044" w14:textId="3605ABBE" w:rsidR="00B1323B" w:rsidRPr="005C5E32" w:rsidRDefault="00B1323B" w:rsidP="00FD3DF5">
      <w:pPr>
        <w:pStyle w:val="BodyText"/>
        <w:spacing w:before="0" w:after="0"/>
      </w:pPr>
      <w:r w:rsidRPr="005C5E32">
        <w:t>New Zealand</w:t>
      </w:r>
    </w:p>
    <w:p w14:paraId="3628972C" w14:textId="4A13EF6A" w:rsidR="00B1323B" w:rsidRPr="005C5E32" w:rsidRDefault="00B1323B" w:rsidP="00B1323B">
      <w:pPr>
        <w:pStyle w:val="BodyText"/>
      </w:pPr>
    </w:p>
    <w:p w14:paraId="4E3C3DFD" w14:textId="129A71DE" w:rsidR="00B1323B" w:rsidRPr="005C5E32" w:rsidRDefault="00B1323B" w:rsidP="00FD3DF5">
      <w:pPr>
        <w:pStyle w:val="BodyText"/>
        <w:spacing w:before="0" w:after="0"/>
        <w:rPr>
          <w:b/>
          <w:bCs/>
        </w:rPr>
      </w:pPr>
      <w:r w:rsidRPr="005C5E32">
        <w:rPr>
          <w:b/>
          <w:bCs/>
        </w:rPr>
        <w:t>Telephone and email</w:t>
      </w:r>
    </w:p>
    <w:p w14:paraId="7822E5ED" w14:textId="4A0EFCF5" w:rsidR="00B1323B" w:rsidRPr="005C5E32" w:rsidRDefault="00B1323B" w:rsidP="00FD3DF5">
      <w:pPr>
        <w:pStyle w:val="BodyText"/>
        <w:spacing w:before="0" w:after="0"/>
      </w:pPr>
      <w:r w:rsidRPr="005C5E32">
        <w:t>Freephone: 0800 499 700</w:t>
      </w:r>
    </w:p>
    <w:p w14:paraId="6DDBBF30" w14:textId="3C0B1C65" w:rsidR="00B1323B" w:rsidRPr="005C5E32" w:rsidRDefault="00B1323B" w:rsidP="00FD3DF5">
      <w:pPr>
        <w:pStyle w:val="BodyText"/>
        <w:spacing w:before="0" w:after="0"/>
      </w:pPr>
      <w:r w:rsidRPr="005C5E32">
        <w:t>Telephone: +64 4 439 7400</w:t>
      </w:r>
    </w:p>
    <w:p w14:paraId="22428BA7" w14:textId="648C6CD4" w:rsidR="00B1323B" w:rsidRPr="005C5E32" w:rsidRDefault="00B1323B" w:rsidP="00FD3DF5">
      <w:pPr>
        <w:pStyle w:val="BodyText"/>
        <w:spacing w:before="0" w:after="0"/>
      </w:pPr>
      <w:r w:rsidRPr="005C5E32">
        <w:t xml:space="preserve">Email: </w:t>
      </w:r>
      <w:hyperlink r:id="rId129" w:history="1">
        <w:r w:rsidRPr="005C5E32">
          <w:rPr>
            <w:rStyle w:val="Hyperlink"/>
          </w:rPr>
          <w:t>info@mfe.govt.nz</w:t>
        </w:r>
      </w:hyperlink>
      <w:r w:rsidRPr="005C5E32">
        <w:t xml:space="preserve"> </w:t>
      </w:r>
    </w:p>
    <w:p w14:paraId="6DF438D7" w14:textId="5D3EB789" w:rsidR="00B1323B" w:rsidRPr="005C5E32" w:rsidRDefault="00B1323B" w:rsidP="00B1323B">
      <w:pPr>
        <w:pStyle w:val="BodyText"/>
      </w:pPr>
    </w:p>
    <w:p w14:paraId="4D3592A1" w14:textId="114D1CEB" w:rsidR="00B1323B" w:rsidRPr="005C5E32" w:rsidRDefault="00B1323B" w:rsidP="00FD3DF5">
      <w:pPr>
        <w:pStyle w:val="BodyText"/>
        <w:spacing w:before="0" w:after="0"/>
        <w:rPr>
          <w:b/>
          <w:bCs/>
        </w:rPr>
      </w:pPr>
      <w:r w:rsidRPr="005C5E32">
        <w:rPr>
          <w:b/>
          <w:bCs/>
        </w:rPr>
        <w:t>Website</w:t>
      </w:r>
    </w:p>
    <w:p w14:paraId="1B471484" w14:textId="0A6946B4" w:rsidR="00B1323B" w:rsidRPr="005C5E32" w:rsidRDefault="00B1323B" w:rsidP="00FD3DF5">
      <w:pPr>
        <w:pStyle w:val="BodyText"/>
        <w:spacing w:before="0" w:after="0"/>
      </w:pPr>
      <w:hyperlink r:id="rId130" w:history="1">
        <w:r w:rsidRPr="005C5E32">
          <w:rPr>
            <w:rStyle w:val="Hyperlink"/>
          </w:rPr>
          <w:t xml:space="preserve">environment.govt.nz </w:t>
        </w:r>
      </w:hyperlink>
    </w:p>
    <w:p w14:paraId="10EAC042" w14:textId="3D3CB6D4" w:rsidR="00B1323B" w:rsidRPr="005C5E32" w:rsidRDefault="00B1323B" w:rsidP="00B1323B">
      <w:pPr>
        <w:pStyle w:val="BodyText"/>
      </w:pPr>
    </w:p>
    <w:p w14:paraId="18DE4F37" w14:textId="032BAA9B" w:rsidR="00B1323B" w:rsidRPr="005C5E32" w:rsidRDefault="00B1323B" w:rsidP="00FD3DF5">
      <w:pPr>
        <w:pStyle w:val="BodyText"/>
        <w:spacing w:before="0" w:after="0"/>
        <w:rPr>
          <w:b/>
          <w:bCs/>
        </w:rPr>
      </w:pPr>
      <w:r w:rsidRPr="005C5E32">
        <w:rPr>
          <w:b/>
          <w:bCs/>
        </w:rPr>
        <w:t>Auditor</w:t>
      </w:r>
    </w:p>
    <w:p w14:paraId="23919D0A" w14:textId="6CB9C1EA" w:rsidR="00B1323B" w:rsidRPr="005C5E32" w:rsidRDefault="00B1323B" w:rsidP="00FD3DF5">
      <w:pPr>
        <w:pStyle w:val="BodyText"/>
        <w:spacing w:before="0" w:after="0"/>
      </w:pPr>
      <w:r w:rsidRPr="005C5E32">
        <w:t>The Audit Office</w:t>
      </w:r>
    </w:p>
    <w:p w14:paraId="24425AFB" w14:textId="198157C1" w:rsidR="00B1323B" w:rsidRPr="005C5E32" w:rsidRDefault="00B1323B" w:rsidP="00FD3DF5">
      <w:pPr>
        <w:pStyle w:val="BodyText"/>
        <w:spacing w:before="0" w:after="0"/>
      </w:pPr>
      <w:r w:rsidRPr="005C5E32">
        <w:t>Wellington</w:t>
      </w:r>
    </w:p>
    <w:p w14:paraId="20A91A90" w14:textId="13AD2424" w:rsidR="00B1323B" w:rsidRPr="005C5E32" w:rsidRDefault="00B1323B" w:rsidP="00FD3DF5">
      <w:pPr>
        <w:pStyle w:val="BodyText"/>
        <w:spacing w:before="0" w:after="0"/>
      </w:pPr>
      <w:r w:rsidRPr="005C5E32">
        <w:t>New Zealand</w:t>
      </w:r>
    </w:p>
    <w:p w14:paraId="126CD5D1" w14:textId="7450461A" w:rsidR="00B1323B" w:rsidRPr="005C5E32" w:rsidRDefault="00B1323B" w:rsidP="00FD3DF5">
      <w:pPr>
        <w:pStyle w:val="BodyText"/>
        <w:spacing w:before="0" w:after="0"/>
      </w:pPr>
      <w:r w:rsidRPr="005C5E32">
        <w:t>(on behalf of the Auditor-General)</w:t>
      </w:r>
    </w:p>
    <w:p w14:paraId="74535BAF" w14:textId="469E4928" w:rsidR="00B1323B" w:rsidRPr="005C5E32" w:rsidRDefault="00B1323B" w:rsidP="00B1323B">
      <w:pPr>
        <w:pStyle w:val="BodyText"/>
      </w:pPr>
    </w:p>
    <w:p w14:paraId="3CF14195" w14:textId="41696B28" w:rsidR="00B1323B" w:rsidRPr="005C5E32" w:rsidRDefault="00B1323B" w:rsidP="00FD3DF5">
      <w:pPr>
        <w:pStyle w:val="BodyText"/>
        <w:spacing w:before="0" w:after="0"/>
        <w:rPr>
          <w:b/>
          <w:bCs/>
        </w:rPr>
      </w:pPr>
      <w:r w:rsidRPr="005C5E32">
        <w:rPr>
          <w:b/>
          <w:bCs/>
        </w:rPr>
        <w:t>Bankers</w:t>
      </w:r>
    </w:p>
    <w:p w14:paraId="56EB0EDA" w14:textId="0440BF64" w:rsidR="003B4A7F" w:rsidRPr="005C5E32" w:rsidRDefault="00B1323B" w:rsidP="00FD3DF5">
      <w:pPr>
        <w:pStyle w:val="BodyText"/>
        <w:spacing w:before="0" w:after="0"/>
      </w:pPr>
      <w:r w:rsidRPr="005C5E32">
        <w:t>Westpac</w:t>
      </w:r>
    </w:p>
    <w:p w14:paraId="4E3BC580" w14:textId="77777777" w:rsidR="00F97E2B" w:rsidRPr="005C5E32" w:rsidRDefault="00F97E2B" w:rsidP="00FD3DF5">
      <w:pPr>
        <w:pStyle w:val="BodyText"/>
      </w:pPr>
    </w:p>
    <w:p w14:paraId="1615B696" w14:textId="77777777" w:rsidR="00FD3DF5" w:rsidRPr="005C5E32" w:rsidRDefault="00FD3DF5" w:rsidP="00FD3DF5">
      <w:pPr>
        <w:pStyle w:val="BodyText"/>
      </w:pPr>
    </w:p>
    <w:p w14:paraId="59058FC6" w14:textId="77777777" w:rsidR="00FD3DF5" w:rsidRPr="005C5E32" w:rsidRDefault="00FD3DF5" w:rsidP="00FD3DF5">
      <w:pPr>
        <w:pStyle w:val="BodyText"/>
      </w:pPr>
    </w:p>
    <w:p w14:paraId="797918AD" w14:textId="77777777" w:rsidR="00FD3DF5" w:rsidRPr="005C5E32" w:rsidRDefault="00FD3DF5" w:rsidP="00FD3DF5">
      <w:pPr>
        <w:pStyle w:val="BodyText"/>
      </w:pPr>
    </w:p>
    <w:p w14:paraId="6158F0B2" w14:textId="77777777" w:rsidR="005959C4" w:rsidRPr="005C5E32" w:rsidRDefault="005959C4" w:rsidP="00FD3DF5">
      <w:pPr>
        <w:pStyle w:val="BodyText"/>
      </w:pPr>
    </w:p>
    <w:p w14:paraId="01836096" w14:textId="77777777" w:rsidR="005959C4" w:rsidRPr="005C5E32" w:rsidRDefault="005959C4" w:rsidP="005959C4">
      <w:pPr>
        <w:pStyle w:val="BodyText"/>
        <w:spacing w:after="0"/>
      </w:pPr>
    </w:p>
    <w:p w14:paraId="6D32A0A5" w14:textId="77777777" w:rsidR="00FD3DF5" w:rsidRPr="005C5E32" w:rsidRDefault="00FD3DF5" w:rsidP="005959C4">
      <w:pPr>
        <w:pStyle w:val="BodyText"/>
        <w:spacing w:before="0" w:after="0"/>
      </w:pPr>
    </w:p>
    <w:p w14:paraId="7E6193B4" w14:textId="2A898622" w:rsidR="00005259" w:rsidRPr="005C5E32" w:rsidRDefault="00BB3DBA" w:rsidP="00C745E8">
      <w:pPr>
        <w:pStyle w:val="BodyText"/>
        <w:spacing w:before="0"/>
      </w:pPr>
      <w:r w:rsidRPr="005C5E32">
        <w:rPr>
          <w:noProof/>
        </w:rPr>
        <w:drawing>
          <wp:inline distT="0" distB="0" distL="0" distR="0" wp14:anchorId="78EB8164" wp14:editId="7DCFDE9F">
            <wp:extent cx="2116027" cy="5721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1">
                      <a:extLst>
                        <a:ext uri="{28A0092B-C50C-407E-A947-70E740481C1C}">
                          <a14:useLocalDpi xmlns:a14="http://schemas.microsoft.com/office/drawing/2010/main" val="0"/>
                        </a:ext>
                      </a:extLst>
                    </a:blip>
                    <a:srcRect l="3339" t="8773" b="8882"/>
                    <a:stretch>
                      <a:fillRect/>
                    </a:stretch>
                  </pic:blipFill>
                  <pic:spPr bwMode="auto">
                    <a:xfrm>
                      <a:off x="0" y="0"/>
                      <a:ext cx="2117598" cy="572560"/>
                    </a:xfrm>
                    <a:prstGeom prst="rect">
                      <a:avLst/>
                    </a:prstGeom>
                    <a:noFill/>
                    <a:ln>
                      <a:noFill/>
                    </a:ln>
                    <a:extLst>
                      <a:ext uri="{53640926-AAD7-44D8-BBD7-CCE9431645EC}">
                        <a14:shadowObscured xmlns:a14="http://schemas.microsoft.com/office/drawing/2010/main"/>
                      </a:ext>
                    </a:extLst>
                  </pic:spPr>
                </pic:pic>
              </a:graphicData>
            </a:graphic>
          </wp:inline>
        </w:drawing>
      </w:r>
    </w:p>
    <w:p w14:paraId="0A6E5B5E" w14:textId="77777777" w:rsidR="00FD3DF5" w:rsidRPr="005C5E32" w:rsidRDefault="00FD3DF5" w:rsidP="00EE5870">
      <w:pPr>
        <w:pStyle w:val="BodyText"/>
        <w:spacing w:before="0" w:after="0"/>
      </w:pPr>
    </w:p>
    <w:p w14:paraId="4FFBB06C" w14:textId="6376DD1B" w:rsidR="00804810" w:rsidRPr="005C5E32" w:rsidRDefault="00BB3DBA" w:rsidP="005959C4">
      <w:pPr>
        <w:pStyle w:val="BodyText"/>
      </w:pPr>
      <w:r w:rsidRPr="005C5E32">
        <w:rPr>
          <w:noProof/>
        </w:rPr>
        <w:drawing>
          <wp:inline distT="0" distB="0" distL="0" distR="0" wp14:anchorId="0FC2EF66" wp14:editId="4466CA49">
            <wp:extent cx="2098964" cy="481985"/>
            <wp:effectExtent l="0" t="0" r="0" b="0"/>
            <wp:docPr id="13290619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61901" name="Picture 1329061901"/>
                    <pic:cNvPicPr/>
                  </pic:nvPicPr>
                  <pic:blipFill>
                    <a:blip r:embed="rId132"/>
                    <a:stretch>
                      <a:fillRect/>
                    </a:stretch>
                  </pic:blipFill>
                  <pic:spPr>
                    <a:xfrm>
                      <a:off x="0" y="0"/>
                      <a:ext cx="2121994" cy="487273"/>
                    </a:xfrm>
                    <a:prstGeom prst="rect">
                      <a:avLst/>
                    </a:prstGeom>
                  </pic:spPr>
                </pic:pic>
              </a:graphicData>
            </a:graphic>
          </wp:inline>
        </w:drawing>
      </w:r>
    </w:p>
    <w:sectPr w:rsidR="00804810" w:rsidRPr="005C5E32" w:rsidSect="007777D0">
      <w:footerReference w:type="even" r:id="rId133"/>
      <w:footerReference w:type="default" r:id="rId134"/>
      <w:pgSz w:w="11907" w:h="16840" w:code="9"/>
      <w:pgMar w:top="1134" w:right="1474" w:bottom="1134" w:left="1418" w:header="567" w:footer="567" w:gutter="51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EF108" w14:textId="77777777" w:rsidR="00490E68" w:rsidRDefault="00490E68" w:rsidP="0080531E">
      <w:pPr>
        <w:spacing w:before="0" w:after="0" w:line="240" w:lineRule="auto"/>
      </w:pPr>
      <w:r>
        <w:separator/>
      </w:r>
    </w:p>
    <w:p w14:paraId="1E6193AE" w14:textId="77777777" w:rsidR="00490E68" w:rsidRDefault="00490E68"/>
  </w:endnote>
  <w:endnote w:type="continuationSeparator" w:id="0">
    <w:p w14:paraId="4B31C5B2" w14:textId="77777777" w:rsidR="00490E68" w:rsidRDefault="00490E68" w:rsidP="0080531E">
      <w:pPr>
        <w:spacing w:before="0" w:after="0" w:line="240" w:lineRule="auto"/>
      </w:pPr>
      <w:r>
        <w:continuationSeparator/>
      </w:r>
    </w:p>
    <w:p w14:paraId="4F7A13E8" w14:textId="77777777" w:rsidR="00490E68" w:rsidRDefault="00490E68"/>
  </w:endnote>
  <w:endnote w:type="continuationNotice" w:id="1">
    <w:p w14:paraId="41166368" w14:textId="77777777" w:rsidR="00490E68" w:rsidRDefault="00490E6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o">
    <w:panose1 w:val="020F0502020204030203"/>
    <w:charset w:val="00"/>
    <w:family w:val="swiss"/>
    <w:pitch w:val="variable"/>
    <w:sig w:usb0="800000AF" w:usb1="40006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ato Black">
    <w:panose1 w:val="020F0A02020204030203"/>
    <w:charset w:val="00"/>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C2C03" w14:textId="775293F7" w:rsidR="0012676C" w:rsidRDefault="00CB2932" w:rsidP="00CB2932">
    <w:pPr>
      <w:pStyle w:val="Footerodd"/>
    </w:pPr>
    <w:r>
      <w:tab/>
    </w:r>
    <w:r w:rsidR="00F47494">
      <w:t>Annual Report |</w:t>
    </w:r>
    <w:r w:rsidR="00F47494" w:rsidRPr="009101B8">
      <w:t xml:space="preserve"> Pūrongo ā-Tau </w:t>
    </w:r>
    <w:r w:rsidR="00F47494">
      <w:t>2025/26</w:t>
    </w:r>
    <w:r w:rsidR="00746D3C">
      <w:tab/>
    </w:r>
    <w:r w:rsidR="00746D3C" w:rsidRPr="004F458A">
      <w:rPr>
        <w:b/>
      </w:rPr>
      <w:fldChar w:fldCharType="begin"/>
    </w:r>
    <w:r w:rsidR="00746D3C" w:rsidRPr="004F458A">
      <w:instrText xml:space="preserve"> PAGE </w:instrText>
    </w:r>
    <w:r w:rsidR="00746D3C" w:rsidRPr="004F458A">
      <w:rPr>
        <w:b/>
      </w:rPr>
      <w:fldChar w:fldCharType="separate"/>
    </w:r>
    <w:r w:rsidR="00746D3C">
      <w:rPr>
        <w:b/>
      </w:rPr>
      <w:t>5</w:t>
    </w:r>
    <w:r w:rsidR="00746D3C" w:rsidRPr="004F458A">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1312" w14:textId="436C1D33" w:rsidR="00173E7F" w:rsidRPr="00173E7F" w:rsidRDefault="00173E7F" w:rsidP="00173E7F">
    <w:pPr>
      <w:pStyle w:val="Footerodd"/>
    </w:pPr>
    <w:r>
      <w:tab/>
      <w:t>Annual Report |</w:t>
    </w:r>
    <w:r w:rsidRPr="009101B8">
      <w:t xml:space="preserve"> Pūrongo ā-Tau </w:t>
    </w:r>
    <w:r>
      <w:t>2025/26</w:t>
    </w:r>
    <w:r>
      <w:tab/>
    </w:r>
    <w:r w:rsidRPr="004F458A">
      <w:rPr>
        <w:b/>
      </w:rPr>
      <w:fldChar w:fldCharType="begin"/>
    </w:r>
    <w:r w:rsidRPr="004F458A">
      <w:instrText xml:space="preserve"> PAGE </w:instrText>
    </w:r>
    <w:r w:rsidRPr="004F458A">
      <w:rPr>
        <w:b/>
      </w:rPr>
      <w:fldChar w:fldCharType="separate"/>
    </w:r>
    <w:r>
      <w:rPr>
        <w:b/>
      </w:rPr>
      <w:t>2</w:t>
    </w:r>
    <w:r w:rsidRPr="004F458A">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C6CAD" w14:textId="2E8AA616" w:rsidR="009F6A99" w:rsidRPr="00CB2932" w:rsidRDefault="00CB2932" w:rsidP="00CB2932">
    <w:pPr>
      <w:pStyle w:val="Footereven"/>
    </w:pPr>
    <w:r>
      <w:fldChar w:fldCharType="begin"/>
    </w:r>
    <w:r>
      <w:instrText xml:space="preserve"> PAGE   \* MERGEFORMAT </w:instrText>
    </w:r>
    <w:r>
      <w:fldChar w:fldCharType="separate"/>
    </w:r>
    <w:r>
      <w:rPr>
        <w:noProof/>
      </w:rPr>
      <w:t>1</w:t>
    </w:r>
    <w:r>
      <w:rPr>
        <w:noProof/>
      </w:rPr>
      <w:fldChar w:fldCharType="end"/>
    </w:r>
    <w:r>
      <w:rPr>
        <w:noProof/>
      </w:rPr>
      <w:tab/>
    </w:r>
    <w:r>
      <w:t>Annual Report |</w:t>
    </w:r>
    <w:r w:rsidRPr="009101B8">
      <w:t xml:space="preserve"> Pūrongo ā-Tau </w:t>
    </w:r>
    <w:r>
      <w:t>2025/26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1DC19" w14:textId="67A64B53" w:rsidR="0092524B" w:rsidRPr="0092524B" w:rsidRDefault="0092524B" w:rsidP="009252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2F89" w14:textId="1D92F2C8" w:rsidR="00D27959" w:rsidRDefault="00D27959" w:rsidP="00CB2932">
    <w:pPr>
      <w:pStyle w:val="Footerod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D3216" w14:textId="77777777" w:rsidR="00490E68" w:rsidRDefault="00490E68" w:rsidP="00CB5C5F">
      <w:pPr>
        <w:spacing w:before="0" w:after="80" w:line="240" w:lineRule="auto"/>
      </w:pPr>
      <w:r>
        <w:separator/>
      </w:r>
    </w:p>
  </w:footnote>
  <w:footnote w:type="continuationSeparator" w:id="0">
    <w:p w14:paraId="4317C1F4" w14:textId="77777777" w:rsidR="00490E68" w:rsidRDefault="00490E68" w:rsidP="0080531E">
      <w:pPr>
        <w:spacing w:before="0" w:after="0" w:line="240" w:lineRule="auto"/>
      </w:pPr>
      <w:r>
        <w:continuationSeparator/>
      </w:r>
    </w:p>
    <w:p w14:paraId="01789233" w14:textId="77777777" w:rsidR="00490E68" w:rsidRDefault="00490E68"/>
  </w:footnote>
  <w:footnote w:type="continuationNotice" w:id="1">
    <w:p w14:paraId="0E96E1D1" w14:textId="77777777" w:rsidR="00490E68" w:rsidRDefault="00490E68">
      <w:pPr>
        <w:spacing w:before="0" w:after="0" w:line="240" w:lineRule="auto"/>
      </w:pPr>
    </w:p>
  </w:footnote>
  <w:footnote w:id="2">
    <w:p w14:paraId="33E56F6F" w14:textId="00B85AE0" w:rsidR="00F901BD" w:rsidRDefault="00F901BD" w:rsidP="005370D2">
      <w:pPr>
        <w:pStyle w:val="FootnoteText"/>
      </w:pPr>
      <w:r>
        <w:rPr>
          <w:rStyle w:val="FootnoteReference"/>
        </w:rPr>
        <w:footnoteRef/>
      </w:r>
      <w:r w:rsidR="00B87655">
        <w:tab/>
      </w:r>
      <w:r w:rsidR="002D7A3D" w:rsidRPr="00184A84">
        <w:t xml:space="preserve">The Ministry for the </w:t>
      </w:r>
      <w:r w:rsidR="002D7A3D" w:rsidRPr="005370D2">
        <w:t>Environment</w:t>
      </w:r>
      <w:r w:rsidR="002D7A3D" w:rsidRPr="00184A84">
        <w:t xml:space="preserve"> was disestablished with effect from 1 July 2026 as part of the </w:t>
      </w:r>
      <w:r w:rsidR="002D7A3D" w:rsidRPr="00D420E0">
        <w:rPr>
          <w:spacing w:val="-2"/>
        </w:rPr>
        <w:t xml:space="preserve">establishment of the Ministry for Cities, Environment, Regions and Transport (MCERT). </w:t>
      </w:r>
      <w:r w:rsidR="00C01CDC">
        <w:rPr>
          <w:spacing w:val="-2"/>
        </w:rPr>
        <w:t>T</w:t>
      </w:r>
      <w:r w:rsidR="002D7A3D" w:rsidRPr="00D420E0">
        <w:rPr>
          <w:spacing w:val="-2"/>
        </w:rPr>
        <w:t>he Ministry</w:t>
      </w:r>
      <w:r w:rsidR="002D7A3D" w:rsidRPr="00184A84">
        <w:t xml:space="preserve"> for the Environment ceased to exist as a standalone department on that date, </w:t>
      </w:r>
      <w:r w:rsidR="00CB5B3F">
        <w:t xml:space="preserve">and </w:t>
      </w:r>
      <w:r w:rsidR="0053474A">
        <w:t>responsibility for reporting on the Ministry’s activities and performance for the year ended 30 June 2026 has transferred to the Chief Executive of MCERT</w:t>
      </w:r>
      <w:r w:rsidR="002D7A3D" w:rsidRPr="00184A84">
        <w:t>. Pursuant to section 45J of the Public Finance Act 1989, responsibility for providing the Ministry for the Environment</w:t>
      </w:r>
      <w:r w:rsidR="005370D2">
        <w:t>’</w:t>
      </w:r>
      <w:r w:rsidR="002D7A3D" w:rsidRPr="00184A84">
        <w:t xml:space="preserve">s final annual report has been transferred to the Chief Executive </w:t>
      </w:r>
      <w:r w:rsidR="008A082C">
        <w:t>for</w:t>
      </w:r>
      <w:r w:rsidR="008A082C" w:rsidRPr="00184A84">
        <w:t xml:space="preserve"> </w:t>
      </w:r>
      <w:r w:rsidR="002D7A3D" w:rsidRPr="00184A84">
        <w:t xml:space="preserve">MCERT. Accordingly, this Statement of Responsibility is signed by the Chief Executive </w:t>
      </w:r>
      <w:r w:rsidR="008A082C">
        <w:t>for</w:t>
      </w:r>
      <w:r w:rsidR="008A082C" w:rsidRPr="00184A84">
        <w:t xml:space="preserve"> </w:t>
      </w:r>
      <w:r w:rsidR="002D7A3D" w:rsidRPr="00184A84">
        <w:t>MCERT on behalf of the former Ministry for the Environment.</w:t>
      </w:r>
    </w:p>
  </w:footnote>
  <w:footnote w:id="3">
    <w:p w14:paraId="006937EE" w14:textId="77777777" w:rsidR="0012676C" w:rsidRDefault="0012676C" w:rsidP="008A1820">
      <w:pPr>
        <w:pStyle w:val="FootnoteText"/>
      </w:pPr>
      <w:r>
        <w:rPr>
          <w:rStyle w:val="FootnoteReference"/>
        </w:rPr>
        <w:footnoteRef/>
      </w:r>
      <w:r>
        <w:t xml:space="preserve"> </w:t>
      </w:r>
      <w:r>
        <w:tab/>
      </w:r>
      <w:r w:rsidRPr="00504023">
        <w:t>The multi-</w:t>
      </w:r>
      <w:r w:rsidRPr="008A1820">
        <w:t>year</w:t>
      </w:r>
      <w:r w:rsidRPr="00504023">
        <w:t xml:space="preserve"> reform programme continues at pace beyond the </w:t>
      </w:r>
      <w:r w:rsidRPr="00E56892">
        <w:t>202</w:t>
      </w:r>
      <w:r>
        <w:t>5</w:t>
      </w:r>
      <w:r w:rsidRPr="00E56892">
        <w:t>/2</w:t>
      </w:r>
      <w:r>
        <w:t>6</w:t>
      </w:r>
      <w:r w:rsidRPr="00504023">
        <w:t xml:space="preserve"> financial year.</w:t>
      </w:r>
    </w:p>
  </w:footnote>
  <w:footnote w:id="4">
    <w:p w14:paraId="5F935650" w14:textId="0516E9B9" w:rsidR="0012676C" w:rsidRDefault="0012676C" w:rsidP="006B3321">
      <w:pPr>
        <w:pStyle w:val="FootnoteText"/>
      </w:pPr>
      <w:r>
        <w:rPr>
          <w:rStyle w:val="FootnoteReference"/>
        </w:rPr>
        <w:footnoteRef/>
      </w:r>
      <w:r>
        <w:tab/>
      </w:r>
      <w:r w:rsidR="00437C2D" w:rsidRPr="00437C2D">
        <w:t>Progress is tracked using New Zealand</w:t>
      </w:r>
      <w:r w:rsidR="000369F8">
        <w:t>’</w:t>
      </w:r>
      <w:r w:rsidR="00437C2D" w:rsidRPr="00437C2D">
        <w:t xml:space="preserve">s annual emissions projections </w:t>
      </w:r>
      <w:r w:rsidR="00437C2D" w:rsidRPr="006B3321">
        <w:t>out</w:t>
      </w:r>
      <w:r w:rsidR="00437C2D" w:rsidRPr="00437C2D">
        <w:t xml:space="preserve"> to 2050. The latest projections indicate that New Zealand </w:t>
      </w:r>
      <w:r w:rsidR="00437C2D" w:rsidRPr="001C01EF">
        <w:t xml:space="preserve">is </w:t>
      </w:r>
      <w:r w:rsidR="001C01EF" w:rsidRPr="00CE50F2">
        <w:t>projected</w:t>
      </w:r>
      <w:r w:rsidR="00437C2D" w:rsidRPr="001C01EF">
        <w:t xml:space="preserve"> to meet</w:t>
      </w:r>
      <w:r w:rsidR="00437C2D" w:rsidRPr="00437C2D">
        <w:t xml:space="preserve"> its first and second emissions budget</w:t>
      </w:r>
      <w:r w:rsidR="008A71A1">
        <w:t>s</w:t>
      </w:r>
      <w:r w:rsidR="00437C2D" w:rsidRPr="00437C2D">
        <w:t xml:space="preserve"> and can meet</w:t>
      </w:r>
      <w:r w:rsidR="00437C2D" w:rsidRPr="00437C2D" w:rsidDel="00035369">
        <w:t xml:space="preserve"> </w:t>
      </w:r>
      <w:r w:rsidR="00035369">
        <w:t xml:space="preserve">the </w:t>
      </w:r>
      <w:r w:rsidR="00437C2D" w:rsidRPr="00437C2D">
        <w:t>2050 net zero target for long-lived gases and the 2050 biogenic methane target.</w:t>
      </w:r>
      <w:r w:rsidR="00FA1715">
        <w:t xml:space="preserve"> </w:t>
      </w:r>
      <w:r w:rsidRPr="0058143E">
        <w:t>F</w:t>
      </w:r>
      <w:r w:rsidR="00B71799">
        <w:t>or f</w:t>
      </w:r>
      <w:r w:rsidRPr="0058143E">
        <w:t>urther detail</w:t>
      </w:r>
      <w:r w:rsidR="00B71799">
        <w:t xml:space="preserve">, see </w:t>
      </w:r>
      <w:r w:rsidR="009D5A23">
        <w:t>the</w:t>
      </w:r>
      <w:r w:rsidR="006E130E">
        <w:t> </w:t>
      </w:r>
      <w:r w:rsidR="009D5A23">
        <w:t>Ministry’s</w:t>
      </w:r>
      <w:r w:rsidR="00B71799">
        <w:t xml:space="preserve"> webpage</w:t>
      </w:r>
      <w:r w:rsidRPr="0058143E">
        <w:t xml:space="preserve">: </w:t>
      </w:r>
      <w:hyperlink r:id="rId1" w:history="1">
        <w:r w:rsidRPr="009726D5">
          <w:rPr>
            <w:rStyle w:val="Hyperlink"/>
            <w:szCs w:val="19"/>
          </w:rPr>
          <w:t xml:space="preserve">Target 9 technical annex </w:t>
        </w:r>
        <w:r w:rsidR="00B71799">
          <w:rPr>
            <w:rStyle w:val="Hyperlink"/>
            <w:szCs w:val="19"/>
          </w:rPr>
          <w:t>for quarter ending 31</w:t>
        </w:r>
        <w:r w:rsidRPr="009726D5">
          <w:rPr>
            <w:rStyle w:val="Hyperlink"/>
            <w:szCs w:val="19"/>
          </w:rPr>
          <w:t xml:space="preserve"> March 202</w:t>
        </w:r>
        <w:r w:rsidRPr="009726D5">
          <w:rPr>
            <w:rStyle w:val="Hyperlink"/>
          </w:rPr>
          <w:t>6</w:t>
        </w:r>
      </w:hyperlink>
      <w:r w:rsidRPr="0058143E">
        <w:t>.</w:t>
      </w:r>
    </w:p>
  </w:footnote>
  <w:footnote w:id="5">
    <w:p w14:paraId="32632563" w14:textId="74CD63F8" w:rsidR="0012676C" w:rsidRDefault="0012676C">
      <w:pPr>
        <w:pStyle w:val="FootnoteText"/>
      </w:pPr>
      <w:r>
        <w:rPr>
          <w:rStyle w:val="FootnoteReference"/>
        </w:rPr>
        <w:footnoteRef/>
      </w:r>
      <w:r>
        <w:tab/>
      </w:r>
      <w:r w:rsidR="000369F8">
        <w:t>‘</w:t>
      </w:r>
      <w:r w:rsidRPr="00750A4E">
        <w:t>Net zero</w:t>
      </w:r>
      <w:r w:rsidR="000369F8">
        <w:t>’</w:t>
      </w:r>
      <w:r w:rsidRPr="00750A4E">
        <w:t xml:space="preserve"> refers to achieving a balance between the amount of greenhouse gases emitted into the atmosphere </w:t>
      </w:r>
      <w:r w:rsidR="00322698">
        <w:t>and</w:t>
      </w:r>
      <w:r w:rsidR="00322698" w:rsidRPr="00750A4E">
        <w:t xml:space="preserve"> </w:t>
      </w:r>
      <w:r w:rsidRPr="00750A4E">
        <w:t>the amount removed or offset. By 2050,</w:t>
      </w:r>
      <w:r w:rsidRPr="00750A4E" w:rsidDel="00322698">
        <w:t xml:space="preserve"> </w:t>
      </w:r>
      <w:r w:rsidR="00322698">
        <w:t>New Zealand</w:t>
      </w:r>
      <w:r w:rsidR="00322698" w:rsidRPr="00750A4E">
        <w:t xml:space="preserve"> </w:t>
      </w:r>
      <w:r w:rsidRPr="00750A4E">
        <w:t>commits to net zero emissions of</w:t>
      </w:r>
      <w:r w:rsidR="00BC1314">
        <w:t> </w:t>
      </w:r>
      <w:r w:rsidRPr="00750A4E">
        <w:t xml:space="preserve">all greenhouse gases except biogenic methane. For biogenic methane, the target is a reduction of </w:t>
      </w:r>
      <w:r w:rsidRPr="00A930DA">
        <w:t>14</w:t>
      </w:r>
      <w:r w:rsidR="00BC1314">
        <w:rPr>
          <w:bCs/>
        </w:rPr>
        <w:t> </w:t>
      </w:r>
      <w:r w:rsidR="00322698">
        <w:rPr>
          <w:bCs/>
        </w:rPr>
        <w:t>to</w:t>
      </w:r>
      <w:r w:rsidR="00BC1314">
        <w:rPr>
          <w:bCs/>
        </w:rPr>
        <w:t> </w:t>
      </w:r>
      <w:r w:rsidRPr="00A930DA">
        <w:t>24</w:t>
      </w:r>
      <w:r w:rsidR="006B3321">
        <w:t> </w:t>
      </w:r>
      <w:r w:rsidRPr="00750A4E">
        <w:t>percent below 2017 levels by 2050.</w:t>
      </w:r>
    </w:p>
  </w:footnote>
  <w:footnote w:id="6">
    <w:p w14:paraId="209E2587" w14:textId="41F8369F" w:rsidR="0012676C" w:rsidRDefault="0012676C" w:rsidP="00D543FE">
      <w:pPr>
        <w:pStyle w:val="FootnoteText"/>
      </w:pPr>
      <w:r>
        <w:rPr>
          <w:rStyle w:val="FootnoteReference"/>
        </w:rPr>
        <w:footnoteRef/>
      </w:r>
      <w:r>
        <w:tab/>
        <w:t>Net emissions represent:</w:t>
      </w:r>
    </w:p>
    <w:p w14:paraId="6E12685C" w14:textId="2170C786" w:rsidR="0012676C" w:rsidRDefault="0012676C" w:rsidP="006B3321">
      <w:pPr>
        <w:pStyle w:val="FootnoteText"/>
        <w:numPr>
          <w:ilvl w:val="0"/>
          <w:numId w:val="42"/>
        </w:numPr>
        <w:ind w:left="681" w:hanging="397"/>
      </w:pPr>
      <w:r>
        <w:t xml:space="preserve">gross emissions from all sectors of the New Zealand economy as the result of all human activities, except for </w:t>
      </w:r>
      <w:r w:rsidR="0094295F">
        <w:t xml:space="preserve">the </w:t>
      </w:r>
      <w:r>
        <w:t>land use, land</w:t>
      </w:r>
      <w:r w:rsidR="00322698">
        <w:t>-</w:t>
      </w:r>
      <w:r>
        <w:t>use change and forestry (LULUCF)</w:t>
      </w:r>
      <w:r w:rsidR="0094295F">
        <w:t xml:space="preserve"> sector, less</w:t>
      </w:r>
    </w:p>
    <w:p w14:paraId="533A73BA" w14:textId="21EEDAA2" w:rsidR="0012676C" w:rsidRDefault="0012676C" w:rsidP="006B3321">
      <w:pPr>
        <w:pStyle w:val="FootnoteText"/>
        <w:numPr>
          <w:ilvl w:val="0"/>
          <w:numId w:val="42"/>
        </w:numPr>
        <w:ind w:left="681" w:hanging="397"/>
      </w:pPr>
      <w:r>
        <w:t>net emissions from a subset of the emissions and removals in the LULUCF sector, as accounting rules are applied to the LULUCF sector for meeting targets.</w:t>
      </w:r>
      <w:r w:rsidDel="00D64965">
        <w:t xml:space="preserve"> </w:t>
      </w:r>
    </w:p>
  </w:footnote>
  <w:footnote w:id="7">
    <w:p w14:paraId="04768C67" w14:textId="7B1AE797" w:rsidR="0012676C" w:rsidRDefault="0012676C">
      <w:pPr>
        <w:pStyle w:val="FootnoteText"/>
      </w:pPr>
      <w:r>
        <w:rPr>
          <w:rStyle w:val="FootnoteReference"/>
        </w:rPr>
        <w:footnoteRef/>
      </w:r>
      <w:r>
        <w:tab/>
      </w:r>
      <w:r w:rsidRPr="00C60332">
        <w:t>The measure is based on meeting New Zealand</w:t>
      </w:r>
      <w:r w:rsidR="000369F8">
        <w:t>’</w:t>
      </w:r>
      <w:r w:rsidRPr="00C60332">
        <w:t xml:space="preserve">s domestic emissions budgets, which act as stepping stones to guide </w:t>
      </w:r>
      <w:r w:rsidR="00332138">
        <w:t>New Zealand</w:t>
      </w:r>
      <w:r w:rsidR="00332138" w:rsidRPr="00C60332">
        <w:t xml:space="preserve"> </w:t>
      </w:r>
      <w:r w:rsidRPr="00C60332">
        <w:t xml:space="preserve">towards the 2050 targets </w:t>
      </w:r>
      <w:r>
        <w:t xml:space="preserve">set </w:t>
      </w:r>
      <w:r w:rsidRPr="00C60332">
        <w:t xml:space="preserve">under the </w:t>
      </w:r>
      <w:r w:rsidR="00332138">
        <w:t>CCRA</w:t>
      </w:r>
      <w:r>
        <w:t>.</w:t>
      </w:r>
      <w:r w:rsidRPr="00C60332">
        <w:t xml:space="preserve"> We appl</w:t>
      </w:r>
      <w:r w:rsidR="00336942">
        <w:t>ied</w:t>
      </w:r>
      <w:r w:rsidRPr="00C60332">
        <w:t xml:space="preserve"> a country-specific</w:t>
      </w:r>
      <w:r w:rsidR="006E130E">
        <w:t> </w:t>
      </w:r>
      <w:r w:rsidRPr="00C60332">
        <w:t xml:space="preserve">approach to </w:t>
      </w:r>
      <w:r>
        <w:t>estimating the</w:t>
      </w:r>
      <w:r w:rsidRPr="00C60332">
        <w:t xml:space="preserve"> historical and </w:t>
      </w:r>
      <w:r>
        <w:t>projected</w:t>
      </w:r>
      <w:r w:rsidRPr="00C60332">
        <w:t xml:space="preserve"> </w:t>
      </w:r>
      <w:r>
        <w:t xml:space="preserve">net emissions that count towards meeting </w:t>
      </w:r>
      <w:r w:rsidR="00332138">
        <w:t>New</w:t>
      </w:r>
      <w:r w:rsidR="006E130E">
        <w:t> </w:t>
      </w:r>
      <w:r w:rsidR="00332138">
        <w:t xml:space="preserve">Zealand’s </w:t>
      </w:r>
      <w:r w:rsidRPr="00C60332">
        <w:t xml:space="preserve">domestic emissions </w:t>
      </w:r>
      <w:r>
        <w:t xml:space="preserve">budgets. The approach </w:t>
      </w:r>
      <w:r w:rsidR="00336942">
        <w:t xml:space="preserve">was </w:t>
      </w:r>
      <w:r w:rsidRPr="00C60332">
        <w:t>based on a combination of guidelines agreed under the Paris Agreement and methods developed by the Intergovernmental Panel on Climate Change</w:t>
      </w:r>
      <w:r w:rsidR="00332138">
        <w:t>,</w:t>
      </w:r>
      <w:r>
        <w:t xml:space="preserve"> with modifications that </w:t>
      </w:r>
      <w:r w:rsidR="00336942">
        <w:t xml:space="preserve">took </w:t>
      </w:r>
      <w:r>
        <w:t>account of New Zealand</w:t>
      </w:r>
      <w:r w:rsidR="000369F8">
        <w:t>’</w:t>
      </w:r>
      <w:r>
        <w:t>s national circumstances</w:t>
      </w:r>
      <w:r w:rsidRPr="00C60332">
        <w:t>.</w:t>
      </w:r>
    </w:p>
  </w:footnote>
  <w:footnote w:id="8">
    <w:p w14:paraId="4A720680" w14:textId="017FE3EC" w:rsidR="00D378B0" w:rsidRDefault="00D378B0">
      <w:pPr>
        <w:pStyle w:val="FootnoteText"/>
      </w:pPr>
      <w:r>
        <w:rPr>
          <w:rStyle w:val="FootnoteReference"/>
        </w:rPr>
        <w:footnoteRef/>
      </w:r>
      <w:r>
        <w:t xml:space="preserve"> </w:t>
      </w:r>
      <w:r>
        <w:tab/>
      </w:r>
      <w:r w:rsidRPr="00865835">
        <w:rPr>
          <w:szCs w:val="19"/>
        </w:rPr>
        <w:t xml:space="preserve">Projections are </w:t>
      </w:r>
      <w:r>
        <w:rPr>
          <w:szCs w:val="19"/>
        </w:rPr>
        <w:t xml:space="preserve">inherently </w:t>
      </w:r>
      <w:r w:rsidRPr="00865835">
        <w:rPr>
          <w:szCs w:val="19"/>
        </w:rPr>
        <w:t xml:space="preserve">uncertain </w:t>
      </w:r>
      <w:r w:rsidR="00286249">
        <w:rPr>
          <w:szCs w:val="19"/>
        </w:rPr>
        <w:t xml:space="preserve">and require careful judgements of </w:t>
      </w:r>
      <w:r w:rsidR="008121D7">
        <w:rPr>
          <w:szCs w:val="19"/>
        </w:rPr>
        <w:t>key assumption</w:t>
      </w:r>
      <w:r w:rsidR="00D809C1">
        <w:rPr>
          <w:szCs w:val="19"/>
        </w:rPr>
        <w:t>s</w:t>
      </w:r>
      <w:r w:rsidR="008121D7">
        <w:rPr>
          <w:szCs w:val="19"/>
        </w:rPr>
        <w:t>. They</w:t>
      </w:r>
      <w:r w:rsidRPr="00865835">
        <w:rPr>
          <w:szCs w:val="19"/>
        </w:rPr>
        <w:t xml:space="preserve"> are based on the best information </w:t>
      </w:r>
      <w:r>
        <w:rPr>
          <w:szCs w:val="19"/>
        </w:rPr>
        <w:t>a</w:t>
      </w:r>
      <w:r w:rsidR="009372FB">
        <w:rPr>
          <w:szCs w:val="19"/>
        </w:rPr>
        <w:t>t</w:t>
      </w:r>
      <w:r>
        <w:rPr>
          <w:szCs w:val="19"/>
        </w:rPr>
        <w:t xml:space="preserve"> hand to </w:t>
      </w:r>
      <w:r w:rsidRPr="00865835">
        <w:rPr>
          <w:szCs w:val="19"/>
        </w:rPr>
        <w:t xml:space="preserve">understand </w:t>
      </w:r>
      <w:r>
        <w:rPr>
          <w:szCs w:val="19"/>
        </w:rPr>
        <w:t>progress.</w:t>
      </w:r>
      <w:r w:rsidR="009372FB">
        <w:rPr>
          <w:szCs w:val="19"/>
        </w:rPr>
        <w:t xml:space="preserve"> To account for this uncertainty</w:t>
      </w:r>
      <w:r w:rsidR="0094295F">
        <w:rPr>
          <w:szCs w:val="19"/>
        </w:rPr>
        <w:t>,</w:t>
      </w:r>
      <w:r w:rsidR="009372FB">
        <w:rPr>
          <w:szCs w:val="19"/>
        </w:rPr>
        <w:t xml:space="preserve"> </w:t>
      </w:r>
      <w:r w:rsidR="0067628C">
        <w:rPr>
          <w:szCs w:val="19"/>
        </w:rPr>
        <w:t xml:space="preserve">there is </w:t>
      </w:r>
      <w:r w:rsidR="0067628C" w:rsidRPr="0067628C">
        <w:rPr>
          <w:szCs w:val="19"/>
        </w:rPr>
        <w:t>active monitor</w:t>
      </w:r>
      <w:r w:rsidR="0067628C">
        <w:rPr>
          <w:szCs w:val="19"/>
        </w:rPr>
        <w:t>ing of</w:t>
      </w:r>
      <w:r w:rsidR="0067628C" w:rsidRPr="0067628C">
        <w:rPr>
          <w:szCs w:val="19"/>
        </w:rPr>
        <w:t xml:space="preserve"> </w:t>
      </w:r>
      <w:r w:rsidR="004C4AE5">
        <w:rPr>
          <w:szCs w:val="19"/>
        </w:rPr>
        <w:t>key indicators</w:t>
      </w:r>
      <w:r w:rsidR="0067628C" w:rsidRPr="0067628C">
        <w:rPr>
          <w:szCs w:val="19"/>
        </w:rPr>
        <w:t xml:space="preserve"> </w:t>
      </w:r>
      <w:r w:rsidR="0042161C">
        <w:rPr>
          <w:szCs w:val="19"/>
        </w:rPr>
        <w:t>to help identify risk</w:t>
      </w:r>
      <w:r w:rsidR="000868BE">
        <w:rPr>
          <w:szCs w:val="19"/>
        </w:rPr>
        <w:t>s and</w:t>
      </w:r>
      <w:r w:rsidR="0094295F">
        <w:rPr>
          <w:szCs w:val="19"/>
        </w:rPr>
        <w:t>,</w:t>
      </w:r>
      <w:r w:rsidR="000868BE">
        <w:rPr>
          <w:szCs w:val="19"/>
        </w:rPr>
        <w:t xml:space="preserve"> if necessary</w:t>
      </w:r>
      <w:r w:rsidR="0094295F">
        <w:rPr>
          <w:szCs w:val="19"/>
        </w:rPr>
        <w:t>,</w:t>
      </w:r>
      <w:r w:rsidR="000868BE" w:rsidRPr="00CE50F2">
        <w:rPr>
          <w:sz w:val="22"/>
        </w:rPr>
        <w:t xml:space="preserve"> </w:t>
      </w:r>
      <w:r w:rsidR="007A77C7" w:rsidRPr="00CE50F2">
        <w:rPr>
          <w:szCs w:val="19"/>
        </w:rPr>
        <w:t>provide advice on</w:t>
      </w:r>
      <w:r w:rsidR="007A77C7" w:rsidRPr="00211A83">
        <w:rPr>
          <w:szCs w:val="19"/>
        </w:rPr>
        <w:t xml:space="preserve"> </w:t>
      </w:r>
      <w:r w:rsidR="000868BE">
        <w:rPr>
          <w:szCs w:val="19"/>
        </w:rPr>
        <w:t xml:space="preserve">corrective action </w:t>
      </w:r>
      <w:r w:rsidR="009430F7">
        <w:rPr>
          <w:szCs w:val="19"/>
        </w:rPr>
        <w:t xml:space="preserve">to keep </w:t>
      </w:r>
      <w:r w:rsidR="00895A96" w:rsidRPr="00895A96">
        <w:rPr>
          <w:szCs w:val="19"/>
        </w:rPr>
        <w:t>New Zealand on track to meet</w:t>
      </w:r>
      <w:r w:rsidR="00895A96">
        <w:rPr>
          <w:szCs w:val="19"/>
        </w:rPr>
        <w:t xml:space="preserve"> its targets. </w:t>
      </w:r>
    </w:p>
  </w:footnote>
  <w:footnote w:id="9">
    <w:p w14:paraId="73AC948F" w14:textId="77777777" w:rsidR="002A473A" w:rsidDel="000761C2" w:rsidRDefault="002A473A" w:rsidP="002A473A">
      <w:pPr>
        <w:pStyle w:val="FootnoteText"/>
      </w:pPr>
      <w:r w:rsidDel="000761C2">
        <w:rPr>
          <w:rStyle w:val="FootnoteReference"/>
        </w:rPr>
        <w:footnoteRef/>
      </w:r>
      <w:r>
        <w:t xml:space="preserve"> </w:t>
      </w:r>
      <w:r>
        <w:tab/>
      </w:r>
      <w:r w:rsidRPr="009B30B8">
        <w:t xml:space="preserve">For more information, see </w:t>
      </w:r>
      <w:r>
        <w:t xml:space="preserve">the </w:t>
      </w:r>
      <w:r w:rsidRPr="009B30B8">
        <w:t>Ministry</w:t>
      </w:r>
      <w:r>
        <w:t>’s</w:t>
      </w:r>
      <w:r w:rsidRPr="009B30B8">
        <w:t xml:space="preserve"> </w:t>
      </w:r>
      <w:hyperlink r:id="rId2" w:history="1">
        <w:r w:rsidRPr="00426DEE">
          <w:rPr>
            <w:rStyle w:val="Hyperlink"/>
          </w:rPr>
          <w:t>Waste stat</w:t>
        </w:r>
        <w:bookmarkStart w:id="63" w:name="_Hlt233975341"/>
        <w:bookmarkStart w:id="64" w:name="_Hlt233975342"/>
        <w:r w:rsidRPr="00426DEE">
          <w:rPr>
            <w:rStyle w:val="Hyperlink"/>
          </w:rPr>
          <w:t>i</w:t>
        </w:r>
        <w:bookmarkEnd w:id="63"/>
        <w:bookmarkEnd w:id="64"/>
        <w:r w:rsidRPr="00426DEE">
          <w:rPr>
            <w:rStyle w:val="Hyperlink"/>
          </w:rPr>
          <w:t>stics</w:t>
        </w:r>
      </w:hyperlink>
      <w:r w:rsidRPr="009B30B8">
        <w:t xml:space="preserve"> and </w:t>
      </w:r>
      <w:hyperlink r:id="rId3" w:history="1">
        <w:r>
          <w:rPr>
            <w:rStyle w:val="Hyperlink"/>
          </w:rPr>
          <w:t>Waste facilities and disposal</w:t>
        </w:r>
      </w:hyperlink>
      <w:r>
        <w:t xml:space="preserve"> webpages.</w:t>
      </w:r>
    </w:p>
  </w:footnote>
  <w:footnote w:id="10">
    <w:p w14:paraId="09B5571B" w14:textId="21DBDC9B" w:rsidR="003B1669" w:rsidRDefault="003B1669">
      <w:pPr>
        <w:pStyle w:val="FootnoteText"/>
      </w:pPr>
      <w:r>
        <w:rPr>
          <w:rStyle w:val="FootnoteReference"/>
        </w:rPr>
        <w:footnoteRef/>
      </w:r>
      <w:r w:rsidR="00B87655">
        <w:tab/>
      </w:r>
      <w:r>
        <w:t xml:space="preserve">Included in the Environmental Investment Fund category of the </w:t>
      </w:r>
      <w:r w:rsidR="006D2EE8">
        <w:t xml:space="preserve">Waste Minimisation multi-category appropriation. </w:t>
      </w:r>
    </w:p>
  </w:footnote>
  <w:footnote w:id="11">
    <w:p w14:paraId="177C659B" w14:textId="0B2B9EBC" w:rsidR="003248F4" w:rsidRDefault="003248F4">
      <w:pPr>
        <w:pStyle w:val="FootnoteText"/>
      </w:pPr>
      <w:r>
        <w:rPr>
          <w:rStyle w:val="FootnoteReference"/>
        </w:rPr>
        <w:footnoteRef/>
      </w:r>
      <w:r>
        <w:t xml:space="preserve"> </w:t>
      </w:r>
      <w:r>
        <w:tab/>
        <w:t>Weighbridges calculate tonnage by volume estimation and truck density (volume-to-weight conversion) factors.</w:t>
      </w:r>
    </w:p>
  </w:footnote>
  <w:footnote w:id="12">
    <w:p w14:paraId="30E3FE76" w14:textId="77777777" w:rsidR="0012676C" w:rsidRDefault="0012676C" w:rsidP="009F4B28">
      <w:pPr>
        <w:pStyle w:val="FootnoteText"/>
        <w:spacing w:after="0"/>
      </w:pPr>
      <w:r>
        <w:rPr>
          <w:rStyle w:val="FootnoteReference"/>
        </w:rPr>
        <w:footnoteRef/>
      </w:r>
      <w:r>
        <w:t xml:space="preserve"> </w:t>
      </w:r>
      <w:r>
        <w:tab/>
        <w:t xml:space="preserve">Department of the Prime Minister and Cabinet. </w:t>
      </w:r>
      <w:hyperlink r:id="rId4" w:history="1">
        <w:r w:rsidRPr="007B69A4">
          <w:rPr>
            <w:rStyle w:val="Hyperlink"/>
            <w:i/>
            <w:iCs/>
          </w:rPr>
          <w:t>Target 9: Reduced net greenhouse gas emissions</w:t>
        </w:r>
      </w:hyperlink>
      <w:r>
        <w:t xml:space="preserve"> [factsheet]. Wellington: Department of the Prime Minister and Cabinet. </w:t>
      </w:r>
    </w:p>
  </w:footnote>
  <w:footnote w:id="13">
    <w:p w14:paraId="6A205920" w14:textId="7954B723" w:rsidR="00C850B2" w:rsidRDefault="00C850B2">
      <w:pPr>
        <w:pStyle w:val="FootnoteText"/>
      </w:pPr>
      <w:r w:rsidRPr="4E7B4162">
        <w:rPr>
          <w:rStyle w:val="FootnoteReference"/>
        </w:rPr>
        <w:footnoteRef/>
      </w:r>
      <w:r>
        <w:t xml:space="preserve"> </w:t>
      </w:r>
      <w:r>
        <w:tab/>
      </w:r>
      <w:r w:rsidR="004768A3">
        <w:t>Th</w:t>
      </w:r>
      <w:r w:rsidR="009752A8">
        <w:t>e eight chief executives</w:t>
      </w:r>
      <w:r w:rsidR="004768A3">
        <w:t xml:space="preserve"> </w:t>
      </w:r>
      <w:r w:rsidR="009752A8">
        <w:t xml:space="preserve">were </w:t>
      </w:r>
      <w:r w:rsidR="004768A3">
        <w:t xml:space="preserve">from the </w:t>
      </w:r>
      <w:r w:rsidRPr="00123D2C">
        <w:rPr>
          <w:spacing w:val="-2"/>
        </w:rPr>
        <w:t>Ministry for the Environment</w:t>
      </w:r>
      <w:r>
        <w:rPr>
          <w:spacing w:val="-2"/>
        </w:rPr>
        <w:t>,</w:t>
      </w:r>
      <w:r w:rsidRPr="00123D2C">
        <w:rPr>
          <w:spacing w:val="-2"/>
        </w:rPr>
        <w:t xml:space="preserve"> Ministry of Business, Innovation and</w:t>
      </w:r>
      <w:r w:rsidR="0006055C">
        <w:rPr>
          <w:spacing w:val="-2"/>
        </w:rPr>
        <w:t> </w:t>
      </w:r>
      <w:r w:rsidRPr="00123D2C">
        <w:rPr>
          <w:spacing w:val="-2"/>
        </w:rPr>
        <w:t>Employment</w:t>
      </w:r>
      <w:r>
        <w:rPr>
          <w:spacing w:val="-2"/>
        </w:rPr>
        <w:t>,</w:t>
      </w:r>
      <w:r w:rsidRPr="00123D2C">
        <w:rPr>
          <w:spacing w:val="-2"/>
        </w:rPr>
        <w:t xml:space="preserve"> National Emergency Management Agency</w:t>
      </w:r>
      <w:r>
        <w:rPr>
          <w:spacing w:val="-2"/>
        </w:rPr>
        <w:t>,</w:t>
      </w:r>
      <w:r w:rsidRPr="00123D2C">
        <w:rPr>
          <w:spacing w:val="-2"/>
        </w:rPr>
        <w:t xml:space="preserve"> </w:t>
      </w:r>
      <w:r w:rsidR="00A73E82">
        <w:rPr>
          <w:spacing w:val="-2"/>
        </w:rPr>
        <w:t>t</w:t>
      </w:r>
      <w:r w:rsidRPr="00123D2C" w:rsidDel="004768A3">
        <w:rPr>
          <w:spacing w:val="-2"/>
        </w:rPr>
        <w:t xml:space="preserve">he </w:t>
      </w:r>
      <w:r w:rsidRPr="00123D2C">
        <w:rPr>
          <w:spacing w:val="-2"/>
        </w:rPr>
        <w:t>Treasury</w:t>
      </w:r>
      <w:r>
        <w:rPr>
          <w:spacing w:val="-2"/>
        </w:rPr>
        <w:t>,</w:t>
      </w:r>
      <w:r w:rsidRPr="00123D2C">
        <w:rPr>
          <w:spacing w:val="-2"/>
        </w:rPr>
        <w:t xml:space="preserve"> Department of Internal Affairs</w:t>
      </w:r>
      <w:r>
        <w:rPr>
          <w:spacing w:val="-2"/>
        </w:rPr>
        <w:t>,</w:t>
      </w:r>
      <w:r w:rsidRPr="00123D2C">
        <w:rPr>
          <w:spacing w:val="-2"/>
        </w:rPr>
        <w:t xml:space="preserve"> Department of Conservation</w:t>
      </w:r>
      <w:r>
        <w:rPr>
          <w:spacing w:val="-2"/>
        </w:rPr>
        <w:t>,</w:t>
      </w:r>
      <w:r w:rsidRPr="00123D2C">
        <w:rPr>
          <w:spacing w:val="-2"/>
        </w:rPr>
        <w:t xml:space="preserve"> Ministry for Primary</w:t>
      </w:r>
      <w:r>
        <w:t xml:space="preserve"> Industries and Ministry of Transport.</w:t>
      </w:r>
    </w:p>
  </w:footnote>
  <w:footnote w:id="14">
    <w:p w14:paraId="2193A91F" w14:textId="6FF764A3" w:rsidR="00A40D41" w:rsidRDefault="00A40D41" w:rsidP="00A40D41">
      <w:pPr>
        <w:pStyle w:val="FootnoteText"/>
      </w:pPr>
      <w:r w:rsidRPr="4E7B4162">
        <w:rPr>
          <w:rStyle w:val="FootnoteReference"/>
        </w:rPr>
        <w:footnoteRef/>
      </w:r>
      <w:r>
        <w:t xml:space="preserve"> </w:t>
      </w:r>
      <w:r>
        <w:tab/>
        <w:t xml:space="preserve">Public Service Act 2020, </w:t>
      </w:r>
      <w:hyperlink r:id="rId5">
        <w:r w:rsidRPr="4E7B4162">
          <w:rPr>
            <w:rStyle w:val="Hyperlink"/>
          </w:rPr>
          <w:t>Schedule 2, Part 3</w:t>
        </w:r>
      </w:hyperlink>
      <w:r>
        <w:t xml:space="preserve">. Current members include the Ministry for Cities, Environment, Regions and Transport, Ministry for Primary Industries, </w:t>
      </w:r>
      <w:r w:rsidR="003F5D69">
        <w:t>t</w:t>
      </w:r>
      <w:r>
        <w:t>he Treasury, National Emergency Management Agency, Department of Conservation and Ministry of Business, Innovation and Employment.</w:t>
      </w:r>
    </w:p>
  </w:footnote>
  <w:footnote w:id="15">
    <w:p w14:paraId="1FFA03C7" w14:textId="33C5ADD7" w:rsidR="00674EB1" w:rsidRDefault="00674EB1">
      <w:pPr>
        <w:pStyle w:val="FootnoteText"/>
      </w:pPr>
      <w:r>
        <w:rPr>
          <w:rStyle w:val="FootnoteReference"/>
        </w:rPr>
        <w:footnoteRef/>
      </w:r>
      <w:r w:rsidR="00D64965">
        <w:t xml:space="preserve"> </w:t>
      </w:r>
      <w:r>
        <w:tab/>
        <w:t xml:space="preserve">More information is available on </w:t>
      </w:r>
      <w:r w:rsidRPr="000A0EB9">
        <w:t xml:space="preserve">the </w:t>
      </w:r>
      <w:r w:rsidRPr="003E6523">
        <w:rPr>
          <w:rFonts w:asciiTheme="minorHAnsi" w:hAnsiTheme="minorHAnsi" w:cstheme="minorHAnsi"/>
          <w:szCs w:val="18"/>
        </w:rPr>
        <w:t>Ministry</w:t>
      </w:r>
      <w:r>
        <w:rPr>
          <w:rFonts w:asciiTheme="minorHAnsi" w:hAnsiTheme="minorHAnsi" w:cstheme="minorHAnsi"/>
          <w:szCs w:val="18"/>
        </w:rPr>
        <w:t>’s</w:t>
      </w:r>
      <w:r w:rsidRPr="003E6523">
        <w:rPr>
          <w:rFonts w:asciiTheme="minorHAnsi" w:hAnsiTheme="minorHAnsi" w:cstheme="minorHAnsi"/>
          <w:szCs w:val="18"/>
        </w:rPr>
        <w:t xml:space="preserve"> </w:t>
      </w:r>
      <w:hyperlink r:id="rId6" w:history="1">
        <w:r w:rsidRPr="003E6523">
          <w:rPr>
            <w:rStyle w:val="Hyperlink"/>
            <w:szCs w:val="18"/>
          </w:rPr>
          <w:t>Government Target 9 quarterly reporting</w:t>
        </w:r>
      </w:hyperlink>
      <w:r w:rsidRPr="003E6523">
        <w:rPr>
          <w:rFonts w:asciiTheme="minorHAnsi" w:hAnsiTheme="minorHAnsi" w:cstheme="minorHAnsi"/>
          <w:szCs w:val="18"/>
        </w:rPr>
        <w:t xml:space="preserve"> </w:t>
      </w:r>
      <w:r>
        <w:rPr>
          <w:rFonts w:asciiTheme="minorHAnsi" w:hAnsiTheme="minorHAnsi" w:cstheme="minorHAnsi"/>
          <w:szCs w:val="18"/>
        </w:rPr>
        <w:t xml:space="preserve">webpage </w:t>
      </w:r>
      <w:r w:rsidRPr="003E6523">
        <w:rPr>
          <w:rFonts w:asciiTheme="minorHAnsi" w:hAnsiTheme="minorHAnsi" w:cstheme="minorHAnsi"/>
          <w:szCs w:val="18"/>
        </w:rPr>
        <w:t>or the</w:t>
      </w:r>
      <w:r w:rsidR="00353EDB">
        <w:rPr>
          <w:rFonts w:asciiTheme="minorHAnsi" w:hAnsiTheme="minorHAnsi" w:cstheme="minorHAnsi"/>
          <w:szCs w:val="18"/>
        </w:rPr>
        <w:t> </w:t>
      </w:r>
      <w:r>
        <w:rPr>
          <w:rFonts w:asciiTheme="minorHAnsi" w:hAnsiTheme="minorHAnsi" w:cstheme="minorHAnsi"/>
          <w:szCs w:val="18"/>
        </w:rPr>
        <w:t>Department of the Prime Minister and Cabinet’s</w:t>
      </w:r>
      <w:r w:rsidRPr="003E6523">
        <w:rPr>
          <w:rFonts w:asciiTheme="minorHAnsi" w:hAnsiTheme="minorHAnsi" w:cstheme="minorHAnsi"/>
          <w:szCs w:val="18"/>
        </w:rPr>
        <w:t xml:space="preserve"> </w:t>
      </w:r>
      <w:hyperlink r:id="rId7" w:history="1">
        <w:r>
          <w:rPr>
            <w:rStyle w:val="Hyperlink"/>
            <w:rFonts w:asciiTheme="minorHAnsi" w:hAnsiTheme="minorHAnsi" w:cstheme="minorHAnsi"/>
            <w:szCs w:val="18"/>
          </w:rPr>
          <w:t>Government Targets Quarterly Reports</w:t>
        </w:r>
      </w:hyperlink>
      <w:r>
        <w:t xml:space="preserve"> webpage.</w:t>
      </w:r>
    </w:p>
  </w:footnote>
  <w:footnote w:id="16">
    <w:p w14:paraId="76080D0B" w14:textId="39B126B9" w:rsidR="00C850B2" w:rsidRDefault="00C850B2">
      <w:pPr>
        <w:pStyle w:val="FootnoteText"/>
      </w:pPr>
      <w:r>
        <w:rPr>
          <w:rStyle w:val="FootnoteReference"/>
        </w:rPr>
        <w:footnoteRef/>
      </w:r>
      <w:r>
        <w:t xml:space="preserve"> </w:t>
      </w:r>
      <w:r>
        <w:tab/>
      </w:r>
      <w:r w:rsidR="00DD4D9A">
        <w:t xml:space="preserve">As required by </w:t>
      </w:r>
      <w:hyperlink r:id="rId8" w:anchor="LMS282048" w:history="1">
        <w:r w:rsidRPr="007A480C">
          <w:rPr>
            <w:rStyle w:val="Hyperlink"/>
          </w:rPr>
          <w:t>section 5ZK</w:t>
        </w:r>
        <w:r w:rsidR="00200A5B">
          <w:rPr>
            <w:rStyle w:val="Hyperlink"/>
          </w:rPr>
          <w:t xml:space="preserve"> </w:t>
        </w:r>
        <w:r w:rsidRPr="007A480C">
          <w:rPr>
            <w:rStyle w:val="Hyperlink"/>
          </w:rPr>
          <w:t>(4)</w:t>
        </w:r>
      </w:hyperlink>
      <w:r w:rsidR="00DD4D9A">
        <w:t xml:space="preserve"> of the Climate Change Response Act 2002.</w:t>
      </w:r>
      <w:r>
        <w:t xml:space="preserve"> </w:t>
      </w:r>
      <w:r w:rsidR="00C37AB5">
        <w:t>For m</w:t>
      </w:r>
      <w:r w:rsidR="00C62F3A">
        <w:t xml:space="preserve">ore information </w:t>
      </w:r>
      <w:r>
        <w:t>on the</w:t>
      </w:r>
      <w:r w:rsidR="00353EDB">
        <w:t> </w:t>
      </w:r>
      <w:r>
        <w:t>Climate Change Commission</w:t>
      </w:r>
      <w:r w:rsidR="000369F8">
        <w:t>’</w:t>
      </w:r>
      <w:r>
        <w:t xml:space="preserve">s </w:t>
      </w:r>
      <w:r w:rsidR="00C62F3A">
        <w:t>annual monitoring report</w:t>
      </w:r>
      <w:r w:rsidR="00C37AB5">
        <w:t>, see</w:t>
      </w:r>
      <w:r w:rsidR="00C62F3A" w:rsidDel="00C37AB5">
        <w:t xml:space="preserve"> </w:t>
      </w:r>
      <w:hyperlink w:anchor="_Monitoring_by_the" w:history="1">
        <w:r w:rsidR="001E1559" w:rsidRPr="001E1559">
          <w:rPr>
            <w:rStyle w:val="Hyperlink"/>
          </w:rPr>
          <w:t>Monitoring by the Climate Change Commission</w:t>
        </w:r>
      </w:hyperlink>
      <w:r w:rsidR="001E1559">
        <w:t xml:space="preserve"> </w:t>
      </w:r>
      <w:r w:rsidR="00C37AB5">
        <w:rPr>
          <w:rFonts w:eastAsiaTheme="minorHAnsi"/>
          <w:lang w:eastAsia="en-US"/>
        </w:rPr>
        <w:t>in the Ministry for the Environment Annual Report 2025/26</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837F" w14:textId="77777777" w:rsidR="00EA2014" w:rsidRPr="006D602C" w:rsidRDefault="00EA2014" w:rsidP="006D602C">
    <w:pPr>
      <w:pStyle w:val="Header"/>
      <w:jc w:val="right"/>
      <w:rPr>
        <w:rFonts w:ascii="Calibri" w:hAnsi="Calibri" w:cs="Calibri"/>
        <w:sz w:val="22"/>
      </w:rPr>
    </w:pPr>
    <w:r w:rsidRPr="006D602C">
      <w:rPr>
        <w:rFonts w:ascii="Calibri" w:hAnsi="Calibri" w:cs="Calibri"/>
        <w:sz w:val="22"/>
      </w:rPr>
      <w:t>B.14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AD41F" w14:textId="2CAB8D65" w:rsidR="00EA2014" w:rsidRDefault="006D602C" w:rsidP="006D602C">
    <w:pPr>
      <w:pStyle w:val="Header"/>
      <w:jc w:val="right"/>
    </w:pPr>
    <w:r w:rsidRPr="006D602C">
      <w:rPr>
        <w:rFonts w:ascii="Calibri" w:hAnsi="Calibri" w:cs="Calibri"/>
        <w:sz w:val="22"/>
      </w:rPr>
      <w:t>B.14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BB44" w14:textId="52492E66" w:rsidR="00991CA8" w:rsidRPr="006D602C" w:rsidRDefault="00991CA8" w:rsidP="006D602C">
    <w:pPr>
      <w:pStyle w:val="Header"/>
      <w:jc w:val="right"/>
      <w:rPr>
        <w:rFonts w:ascii="Calibri" w:hAnsi="Calibri" w:cs="Calibri"/>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99DB2" w14:textId="751B3AFE" w:rsidR="002440FA" w:rsidRPr="003C676E" w:rsidRDefault="003C676E" w:rsidP="003C676E">
    <w:pPr>
      <w:pStyle w:val="Header"/>
      <w:jc w:val="right"/>
    </w:pPr>
    <w:r w:rsidRPr="006D602C">
      <w:rPr>
        <w:rFonts w:ascii="Calibri" w:hAnsi="Calibri" w:cs="Calibri"/>
        <w:sz w:val="22"/>
      </w:rPr>
      <w:t>B.14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FD908" w14:textId="3780D5D0" w:rsidR="00F163BC" w:rsidRPr="006D602C" w:rsidRDefault="00F163BC" w:rsidP="006D602C">
    <w:pPr>
      <w:pStyle w:val="Header"/>
      <w:jc w:val="right"/>
      <w:rPr>
        <w:rFonts w:ascii="Calibri" w:hAnsi="Calibri" w:cs="Calibri"/>
        <w:sz w:val="22"/>
      </w:rPr>
    </w:pPr>
    <w:r w:rsidRPr="006D602C">
      <w:rPr>
        <w:rFonts w:ascii="Calibri" w:hAnsi="Calibri" w:cs="Calibri"/>
        <w:sz w:val="22"/>
      </w:rPr>
      <w:t>B.14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72221" w14:textId="7CDAF43E" w:rsidR="00F163BC" w:rsidRPr="003C676E" w:rsidRDefault="00F163BC" w:rsidP="003C676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CB32" w14:textId="63BF6447" w:rsidR="00CE4F93" w:rsidRPr="00E218A1" w:rsidRDefault="00CE4F93" w:rsidP="00E218A1">
    <w:pPr>
      <w:pStyle w:val="Header"/>
      <w:jc w:val="right"/>
      <w:rPr>
        <w:rFonts w:ascii="Calibri" w:hAnsi="Calibri" w:cs="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ABEE6E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C6C4D"/>
    <w:multiLevelType w:val="hybridMultilevel"/>
    <w:tmpl w:val="FD80BDB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01423FD"/>
    <w:multiLevelType w:val="multilevel"/>
    <w:tmpl w:val="7BD0585C"/>
    <w:lvl w:ilvl="0">
      <w:start w:val="1"/>
      <w:numFmt w:val="lowerRoman"/>
      <w:lvlText w:val="%1."/>
      <w:lvlJc w:val="right"/>
      <w:pPr>
        <w:tabs>
          <w:tab w:val="num" w:pos="397"/>
        </w:tabs>
        <w:ind w:left="397" w:hanging="397"/>
      </w:pPr>
      <w:rPr>
        <w:rFonts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7E1F83"/>
    <w:multiLevelType w:val="hybridMultilevel"/>
    <w:tmpl w:val="3D206706"/>
    <w:lvl w:ilvl="0" w:tplc="C3C26500">
      <w:numFmt w:val="bullet"/>
      <w:lvlText w:val="•"/>
      <w:lvlJc w:val="left"/>
      <w:pPr>
        <w:ind w:left="720" w:hanging="360"/>
      </w:pPr>
      <w:rPr>
        <w:rFonts w:ascii="Calibri" w:eastAsiaTheme="minorEastAsia"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83056E5"/>
    <w:multiLevelType w:val="hybridMultilevel"/>
    <w:tmpl w:val="BDD08B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9631108"/>
    <w:multiLevelType w:val="hybridMultilevel"/>
    <w:tmpl w:val="2124CD4E"/>
    <w:lvl w:ilvl="0" w:tplc="B27CACE0">
      <w:start w:val="1"/>
      <w:numFmt w:val="bullet"/>
      <w:lvlText w:val=""/>
      <w:lvlJc w:val="left"/>
      <w:pPr>
        <w:ind w:left="720" w:hanging="360"/>
      </w:pPr>
      <w:rPr>
        <w:rFonts w:ascii="Symbol" w:hAnsi="Symbol" w:hint="default"/>
      </w:rPr>
    </w:lvl>
    <w:lvl w:ilvl="1" w:tplc="AF2E0738">
      <w:start w:val="1"/>
      <w:numFmt w:val="bullet"/>
      <w:lvlText w:val="o"/>
      <w:lvlJc w:val="left"/>
      <w:pPr>
        <w:ind w:left="1440" w:hanging="360"/>
      </w:pPr>
      <w:rPr>
        <w:rFonts w:ascii="Courier New" w:hAnsi="Courier New" w:hint="default"/>
      </w:rPr>
    </w:lvl>
    <w:lvl w:ilvl="2" w:tplc="315A9728">
      <w:start w:val="1"/>
      <w:numFmt w:val="bullet"/>
      <w:lvlText w:val=""/>
      <w:lvlJc w:val="left"/>
      <w:pPr>
        <w:ind w:left="2160" w:hanging="360"/>
      </w:pPr>
      <w:rPr>
        <w:rFonts w:ascii="Wingdings" w:hAnsi="Wingdings" w:hint="default"/>
      </w:rPr>
    </w:lvl>
    <w:lvl w:ilvl="3" w:tplc="8630731E">
      <w:start w:val="1"/>
      <w:numFmt w:val="bullet"/>
      <w:lvlText w:val=""/>
      <w:lvlJc w:val="left"/>
      <w:pPr>
        <w:ind w:left="2880" w:hanging="360"/>
      </w:pPr>
      <w:rPr>
        <w:rFonts w:ascii="Symbol" w:hAnsi="Symbol" w:hint="default"/>
      </w:rPr>
    </w:lvl>
    <w:lvl w:ilvl="4" w:tplc="D48220B8">
      <w:start w:val="1"/>
      <w:numFmt w:val="bullet"/>
      <w:lvlText w:val="o"/>
      <w:lvlJc w:val="left"/>
      <w:pPr>
        <w:ind w:left="3600" w:hanging="360"/>
      </w:pPr>
      <w:rPr>
        <w:rFonts w:ascii="Courier New" w:hAnsi="Courier New" w:hint="default"/>
      </w:rPr>
    </w:lvl>
    <w:lvl w:ilvl="5" w:tplc="A418C2C2">
      <w:start w:val="1"/>
      <w:numFmt w:val="bullet"/>
      <w:lvlText w:val=""/>
      <w:lvlJc w:val="left"/>
      <w:pPr>
        <w:ind w:left="4320" w:hanging="360"/>
      </w:pPr>
      <w:rPr>
        <w:rFonts w:ascii="Wingdings" w:hAnsi="Wingdings" w:hint="default"/>
      </w:rPr>
    </w:lvl>
    <w:lvl w:ilvl="6" w:tplc="14987E56">
      <w:start w:val="1"/>
      <w:numFmt w:val="bullet"/>
      <w:lvlText w:val=""/>
      <w:lvlJc w:val="left"/>
      <w:pPr>
        <w:ind w:left="5040" w:hanging="360"/>
      </w:pPr>
      <w:rPr>
        <w:rFonts w:ascii="Symbol" w:hAnsi="Symbol" w:hint="default"/>
      </w:rPr>
    </w:lvl>
    <w:lvl w:ilvl="7" w:tplc="0EA2BB46">
      <w:start w:val="1"/>
      <w:numFmt w:val="bullet"/>
      <w:lvlText w:val="o"/>
      <w:lvlJc w:val="left"/>
      <w:pPr>
        <w:ind w:left="5760" w:hanging="360"/>
      </w:pPr>
      <w:rPr>
        <w:rFonts w:ascii="Courier New" w:hAnsi="Courier New" w:hint="default"/>
      </w:rPr>
    </w:lvl>
    <w:lvl w:ilvl="8" w:tplc="E620DAF0">
      <w:start w:val="1"/>
      <w:numFmt w:val="bullet"/>
      <w:lvlText w:val=""/>
      <w:lvlJc w:val="left"/>
      <w:pPr>
        <w:ind w:left="6480" w:hanging="360"/>
      </w:pPr>
      <w:rPr>
        <w:rFonts w:ascii="Wingdings" w:hAnsi="Wingdings" w:hint="default"/>
      </w:rPr>
    </w:lvl>
  </w:abstractNum>
  <w:abstractNum w:abstractNumId="6" w15:restartNumberingAfterBreak="0">
    <w:nsid w:val="0AA937C0"/>
    <w:multiLevelType w:val="hybridMultilevel"/>
    <w:tmpl w:val="6B0C318C"/>
    <w:lvl w:ilvl="0" w:tplc="1409000F">
      <w:start w:val="1"/>
      <w:numFmt w:val="decimal"/>
      <w:lvlText w:val="%1."/>
      <w:lvlJc w:val="left"/>
      <w:pPr>
        <w:ind w:left="720" w:hanging="360"/>
      </w:pPr>
    </w:lvl>
    <w:lvl w:ilvl="1" w:tplc="32CAB862">
      <w:start w:val="1"/>
      <w:numFmt w:val="lowerLetter"/>
      <w:lvlText w:val="%2."/>
      <w:lvlJc w:val="left"/>
      <w:pPr>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7" w15:restartNumberingAfterBreak="0">
    <w:nsid w:val="0AB040EA"/>
    <w:multiLevelType w:val="hybridMultilevel"/>
    <w:tmpl w:val="23D299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0AB14F98"/>
    <w:multiLevelType w:val="hybridMultilevel"/>
    <w:tmpl w:val="A3A0A058"/>
    <w:lvl w:ilvl="0" w:tplc="78A2756C">
      <w:numFmt w:val="bullet"/>
      <w:lvlText w:val="•"/>
      <w:lvlJc w:val="left"/>
      <w:pPr>
        <w:ind w:left="1280" w:hanging="560"/>
      </w:pPr>
      <w:rPr>
        <w:rFonts w:ascii="Calibri" w:eastAsia="Times New Roman" w:hAnsi="Calibri" w:cs="Calibr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0B0F5F0E"/>
    <w:multiLevelType w:val="multilevel"/>
    <w:tmpl w:val="6D4C952A"/>
    <w:lvl w:ilvl="0">
      <w:start w:val="1"/>
      <w:numFmt w:val="bullet"/>
      <w:lvlText w:val=""/>
      <w:lvlJc w:val="left"/>
      <w:pPr>
        <w:ind w:left="680" w:hanging="396"/>
      </w:pPr>
      <w:rPr>
        <w:rFonts w:ascii="Symbol" w:hAnsi="Symbol" w:hint="default"/>
        <w:color w:val="0F7B7D"/>
        <w:sz w:val="20"/>
        <w:szCs w:val="2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0" w15:restartNumberingAfterBreak="0">
    <w:nsid w:val="0C636254"/>
    <w:multiLevelType w:val="hybridMultilevel"/>
    <w:tmpl w:val="C4E62EC8"/>
    <w:lvl w:ilvl="0" w:tplc="36C46C3E">
      <w:start w:val="1"/>
      <w:numFmt w:val="bullet"/>
      <w:lvlText w:val=""/>
      <w:lvlJc w:val="left"/>
      <w:pPr>
        <w:ind w:left="720" w:hanging="360"/>
      </w:pPr>
      <w:rPr>
        <w:rFonts w:ascii="Symbol" w:hAnsi="Symbol" w:hint="default"/>
        <w:sz w:val="18"/>
        <w:szCs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0C9E3838"/>
    <w:multiLevelType w:val="hybridMultilevel"/>
    <w:tmpl w:val="04CA06B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0CD91CFA"/>
    <w:multiLevelType w:val="hybridMultilevel"/>
    <w:tmpl w:val="B5589E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0DB641CC"/>
    <w:multiLevelType w:val="multilevel"/>
    <w:tmpl w:val="00000002"/>
    <w:lvl w:ilvl="0">
      <w:start w:val="1"/>
      <w:numFmt w:val="bullet"/>
      <w:lvlText w:val="·"/>
      <w:lvlJc w:val="left"/>
      <w:pPr>
        <w:tabs>
          <w:tab w:val="num" w:pos="283"/>
        </w:tabs>
        <w:ind w:left="283" w:hanging="283"/>
      </w:pPr>
      <w:rPr>
        <w:rFonts w:ascii="Symbol" w:eastAsia="Symbol" w:hAnsi="Symbol" w:cs="Symbol"/>
        <w:sz w:val="20"/>
        <w:lang w:val="en-NZ"/>
      </w:rPr>
    </w:lvl>
    <w:lvl w:ilvl="1">
      <w:start w:val="1"/>
      <w:numFmt w:val="bullet"/>
      <w:lvlText w:val="-"/>
      <w:lvlJc w:val="left"/>
      <w:pPr>
        <w:tabs>
          <w:tab w:val="num" w:pos="567"/>
        </w:tabs>
        <w:ind w:left="567" w:hanging="284"/>
      </w:pPr>
      <w:rPr>
        <w:rFonts w:ascii="Symbol" w:eastAsia="Symbol" w:hAnsi="Symbol" w:cs="Symbol"/>
        <w:sz w:val="20"/>
        <w:lang w:val="en-NZ"/>
      </w:rPr>
    </w:lvl>
    <w:lvl w:ilvl="2">
      <w:start w:val="1"/>
      <w:numFmt w:val="bullet"/>
      <w:lvlText w:val="·"/>
      <w:lvlJc w:val="right"/>
      <w:pPr>
        <w:tabs>
          <w:tab w:val="num" w:pos="850"/>
        </w:tabs>
        <w:ind w:left="850" w:hanging="283"/>
      </w:pPr>
      <w:rPr>
        <w:rFonts w:ascii="Symbol" w:eastAsia="Symbol" w:hAnsi="Symbol" w:cs="Symbol"/>
        <w:sz w:val="20"/>
        <w:lang w:val="en-NZ"/>
      </w:rPr>
    </w:lvl>
    <w:lvl w:ilvl="3">
      <w:start w:val="1"/>
      <w:numFmt w:val="bullet"/>
      <w:lvlText w:val="·"/>
      <w:lvlJc w:val="left"/>
      <w:pPr>
        <w:tabs>
          <w:tab w:val="num" w:pos="1134"/>
        </w:tabs>
        <w:ind w:left="1134" w:hanging="284"/>
      </w:pPr>
      <w:rPr>
        <w:rFonts w:ascii="Symbol" w:eastAsia="Symbol" w:hAnsi="Symbol" w:cs="Symbol"/>
        <w:sz w:val="20"/>
        <w:lang w:val="en-NZ"/>
      </w:rPr>
    </w:lvl>
    <w:lvl w:ilvl="4">
      <w:start w:val="1"/>
      <w:numFmt w:val="bullet"/>
      <w:lvlText w:val="·"/>
      <w:lvlJc w:val="left"/>
      <w:pPr>
        <w:tabs>
          <w:tab w:val="num" w:pos="1417"/>
        </w:tabs>
        <w:ind w:left="1417" w:hanging="283"/>
      </w:pPr>
      <w:rPr>
        <w:rFonts w:ascii="Symbol" w:eastAsia="Symbol" w:hAnsi="Symbol" w:cs="Symbol"/>
        <w:sz w:val="20"/>
        <w:lang w:val="en-NZ"/>
      </w:rPr>
    </w:lvl>
    <w:lvl w:ilvl="5">
      <w:start w:val="1"/>
      <w:numFmt w:val="bullet"/>
      <w:lvlText w:val="·"/>
      <w:lvlJc w:val="right"/>
      <w:pPr>
        <w:tabs>
          <w:tab w:val="num" w:pos="1701"/>
        </w:tabs>
        <w:ind w:left="1701" w:hanging="284"/>
      </w:pPr>
      <w:rPr>
        <w:rFonts w:ascii="Symbol" w:eastAsia="Symbol" w:hAnsi="Symbol" w:cs="Symbol"/>
        <w:sz w:val="20"/>
        <w:lang w:val="en-NZ"/>
      </w:rPr>
    </w:lvl>
    <w:lvl w:ilvl="6">
      <w:start w:val="1"/>
      <w:numFmt w:val="bullet"/>
      <w:lvlText w:val="·"/>
      <w:lvlJc w:val="left"/>
      <w:pPr>
        <w:tabs>
          <w:tab w:val="num" w:pos="1984"/>
        </w:tabs>
        <w:ind w:left="1984" w:hanging="283"/>
      </w:pPr>
      <w:rPr>
        <w:rFonts w:ascii="Symbol" w:eastAsia="Symbol" w:hAnsi="Symbol" w:cs="Symbol"/>
        <w:sz w:val="20"/>
        <w:lang w:val="en-NZ"/>
      </w:rPr>
    </w:lvl>
    <w:lvl w:ilvl="7">
      <w:start w:val="1"/>
      <w:numFmt w:val="bullet"/>
      <w:lvlText w:val="·"/>
      <w:lvlJc w:val="left"/>
      <w:pPr>
        <w:tabs>
          <w:tab w:val="num" w:pos="2268"/>
        </w:tabs>
        <w:ind w:left="2268" w:hanging="284"/>
      </w:pPr>
      <w:rPr>
        <w:rFonts w:ascii="Symbol" w:eastAsia="Symbol" w:hAnsi="Symbol" w:cs="Symbol"/>
        <w:sz w:val="20"/>
        <w:lang w:val="en-NZ"/>
      </w:rPr>
    </w:lvl>
    <w:lvl w:ilvl="8">
      <w:start w:val="1"/>
      <w:numFmt w:val="bullet"/>
      <w:lvlText w:val="·"/>
      <w:lvlJc w:val="right"/>
      <w:pPr>
        <w:tabs>
          <w:tab w:val="num" w:pos="2551"/>
        </w:tabs>
        <w:ind w:left="2551" w:hanging="283"/>
      </w:pPr>
      <w:rPr>
        <w:rFonts w:ascii="Symbol" w:eastAsia="Symbol" w:hAnsi="Symbol" w:cs="Symbol"/>
        <w:sz w:val="20"/>
        <w:lang w:val="en-NZ"/>
      </w:rPr>
    </w:lvl>
  </w:abstractNum>
  <w:abstractNum w:abstractNumId="14" w15:restartNumberingAfterBreak="0">
    <w:nsid w:val="0EB031F1"/>
    <w:multiLevelType w:val="multilevel"/>
    <w:tmpl w:val="7532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8E48EE"/>
    <w:multiLevelType w:val="hybridMultilevel"/>
    <w:tmpl w:val="E7C4D9AE"/>
    <w:lvl w:ilvl="0" w:tplc="EE7CC2BE">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1C8E378D"/>
    <w:multiLevelType w:val="hybridMultilevel"/>
    <w:tmpl w:val="386268BC"/>
    <w:lvl w:ilvl="0" w:tplc="EE7CC2BE">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1D8A6D30"/>
    <w:multiLevelType w:val="hybridMultilevel"/>
    <w:tmpl w:val="409C1C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1E280D27"/>
    <w:multiLevelType w:val="multilevel"/>
    <w:tmpl w:val="7722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2D6347"/>
    <w:multiLevelType w:val="multilevel"/>
    <w:tmpl w:val="AAA8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EA1B8F"/>
    <w:multiLevelType w:val="hybridMultilevel"/>
    <w:tmpl w:val="4DF2B9D8"/>
    <w:lvl w:ilvl="0" w:tplc="E83E2DEE">
      <w:start w:val="1"/>
      <w:numFmt w:val="lowerRoman"/>
      <w:lvlText w:val="(%1)"/>
      <w:lvlJc w:val="left"/>
      <w:pPr>
        <w:ind w:left="1215" w:hanging="855"/>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2" w15:restartNumberingAfterBreak="0">
    <w:nsid w:val="208C5CF5"/>
    <w:multiLevelType w:val="multilevel"/>
    <w:tmpl w:val="12EE9372"/>
    <w:lvl w:ilvl="0">
      <w:start w:val="1"/>
      <w:numFmt w:val="lowerLetter"/>
      <w:pStyle w:val="Sub-lista"/>
      <w:lvlText w:val="%1)"/>
      <w:lvlJc w:val="left"/>
      <w:pPr>
        <w:ind w:left="794" w:hanging="397"/>
      </w:pPr>
      <w:rPr>
        <w:rFonts w:ascii="Calibri" w:hAnsi="Calibri" w:hint="default"/>
        <w:b w:val="0"/>
        <w:i w:val="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243427B4"/>
    <w:multiLevelType w:val="hybridMultilevel"/>
    <w:tmpl w:val="30EAFD22"/>
    <w:lvl w:ilvl="0" w:tplc="78A2756C">
      <w:numFmt w:val="bullet"/>
      <w:lvlText w:val="•"/>
      <w:lvlJc w:val="left"/>
      <w:pPr>
        <w:ind w:left="920" w:hanging="5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26DA454E"/>
    <w:multiLevelType w:val="multilevel"/>
    <w:tmpl w:val="8F2AD7BA"/>
    <w:styleLink w:val="Style3"/>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A6B0A51"/>
    <w:multiLevelType w:val="hybridMultilevel"/>
    <w:tmpl w:val="E65627BA"/>
    <w:lvl w:ilvl="0" w:tplc="D57CB4E6">
      <w:start w:val="1"/>
      <w:numFmt w:val="lowerLetter"/>
      <w:lvlText w:val="(%1)"/>
      <w:lvlJc w:val="left"/>
      <w:pPr>
        <w:ind w:left="1004" w:hanging="360"/>
      </w:pPr>
      <w:rPr>
        <w:rFonts w:hint="default"/>
      </w:rPr>
    </w:lvl>
    <w:lvl w:ilvl="1" w:tplc="14090019" w:tentative="1">
      <w:start w:val="1"/>
      <w:numFmt w:val="lowerLetter"/>
      <w:lvlText w:val="%2."/>
      <w:lvlJc w:val="left"/>
      <w:pPr>
        <w:ind w:left="1724" w:hanging="360"/>
      </w:pPr>
    </w:lvl>
    <w:lvl w:ilvl="2" w:tplc="1409001B" w:tentative="1">
      <w:start w:val="1"/>
      <w:numFmt w:val="lowerRoman"/>
      <w:lvlText w:val="%3."/>
      <w:lvlJc w:val="right"/>
      <w:pPr>
        <w:ind w:left="2444" w:hanging="180"/>
      </w:pPr>
    </w:lvl>
    <w:lvl w:ilvl="3" w:tplc="1409000F" w:tentative="1">
      <w:start w:val="1"/>
      <w:numFmt w:val="decimal"/>
      <w:lvlText w:val="%4."/>
      <w:lvlJc w:val="left"/>
      <w:pPr>
        <w:ind w:left="3164" w:hanging="360"/>
      </w:pPr>
    </w:lvl>
    <w:lvl w:ilvl="4" w:tplc="14090019" w:tentative="1">
      <w:start w:val="1"/>
      <w:numFmt w:val="lowerLetter"/>
      <w:lvlText w:val="%5."/>
      <w:lvlJc w:val="left"/>
      <w:pPr>
        <w:ind w:left="3884" w:hanging="360"/>
      </w:pPr>
    </w:lvl>
    <w:lvl w:ilvl="5" w:tplc="1409001B" w:tentative="1">
      <w:start w:val="1"/>
      <w:numFmt w:val="lowerRoman"/>
      <w:lvlText w:val="%6."/>
      <w:lvlJc w:val="right"/>
      <w:pPr>
        <w:ind w:left="4604" w:hanging="180"/>
      </w:pPr>
    </w:lvl>
    <w:lvl w:ilvl="6" w:tplc="1409000F" w:tentative="1">
      <w:start w:val="1"/>
      <w:numFmt w:val="decimal"/>
      <w:lvlText w:val="%7."/>
      <w:lvlJc w:val="left"/>
      <w:pPr>
        <w:ind w:left="5324" w:hanging="360"/>
      </w:pPr>
    </w:lvl>
    <w:lvl w:ilvl="7" w:tplc="14090019" w:tentative="1">
      <w:start w:val="1"/>
      <w:numFmt w:val="lowerLetter"/>
      <w:lvlText w:val="%8."/>
      <w:lvlJc w:val="left"/>
      <w:pPr>
        <w:ind w:left="6044" w:hanging="360"/>
      </w:pPr>
    </w:lvl>
    <w:lvl w:ilvl="8" w:tplc="1409001B" w:tentative="1">
      <w:start w:val="1"/>
      <w:numFmt w:val="lowerRoman"/>
      <w:lvlText w:val="%9."/>
      <w:lvlJc w:val="right"/>
      <w:pPr>
        <w:ind w:left="6764" w:hanging="180"/>
      </w:pPr>
    </w:lvl>
  </w:abstractNum>
  <w:abstractNum w:abstractNumId="26" w15:restartNumberingAfterBreak="0">
    <w:nsid w:val="2A732F7F"/>
    <w:multiLevelType w:val="hybridMultilevel"/>
    <w:tmpl w:val="92BCD160"/>
    <w:lvl w:ilvl="0" w:tplc="C3C26500">
      <w:numFmt w:val="bullet"/>
      <w:lvlText w:val="•"/>
      <w:lvlJc w:val="left"/>
      <w:pPr>
        <w:ind w:left="720" w:hanging="360"/>
      </w:pPr>
      <w:rPr>
        <w:rFonts w:ascii="Calibri" w:eastAsiaTheme="minorEastAsia"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2CD7703E"/>
    <w:multiLevelType w:val="multilevel"/>
    <w:tmpl w:val="DCDEB9D0"/>
    <w:styleLink w:val="Style1"/>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D1A6BE2"/>
    <w:multiLevelType w:val="multilevel"/>
    <w:tmpl w:val="20FCAAE4"/>
    <w:lvl w:ilvl="0">
      <w:start w:val="1"/>
      <w:numFmt w:val="decimal"/>
      <w:pStyle w:val="Numberedparagraph"/>
      <w:lvlText w:val="%1."/>
      <w:lvlJc w:val="left"/>
      <w:pPr>
        <w:ind w:left="397" w:hanging="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29" w15:restartNumberingAfterBreak="0">
    <w:nsid w:val="2DC27905"/>
    <w:multiLevelType w:val="hybridMultilevel"/>
    <w:tmpl w:val="9FD09580"/>
    <w:lvl w:ilvl="0" w:tplc="F3720C9A">
      <w:start w:val="1"/>
      <w:numFmt w:val="bullet"/>
      <w:lvlText w:val=""/>
      <w:lvlJc w:val="left"/>
      <w:pPr>
        <w:ind w:left="720" w:hanging="360"/>
      </w:pPr>
      <w:rPr>
        <w:rFonts w:ascii="Symbol" w:hAnsi="Symbol" w:hint="default"/>
      </w:rPr>
    </w:lvl>
    <w:lvl w:ilvl="1" w:tplc="F28C8F0E">
      <w:start w:val="1"/>
      <w:numFmt w:val="bullet"/>
      <w:lvlText w:val="o"/>
      <w:lvlJc w:val="left"/>
      <w:pPr>
        <w:ind w:left="1440" w:hanging="360"/>
      </w:pPr>
      <w:rPr>
        <w:rFonts w:ascii="Courier New" w:hAnsi="Courier New" w:hint="default"/>
      </w:rPr>
    </w:lvl>
    <w:lvl w:ilvl="2" w:tplc="A64E7CF2">
      <w:start w:val="1"/>
      <w:numFmt w:val="bullet"/>
      <w:lvlText w:val=""/>
      <w:lvlJc w:val="left"/>
      <w:pPr>
        <w:ind w:left="2160" w:hanging="360"/>
      </w:pPr>
      <w:rPr>
        <w:rFonts w:ascii="Wingdings" w:hAnsi="Wingdings" w:hint="default"/>
      </w:rPr>
    </w:lvl>
    <w:lvl w:ilvl="3" w:tplc="EDB6DD86">
      <w:start w:val="1"/>
      <w:numFmt w:val="bullet"/>
      <w:lvlText w:val=""/>
      <w:lvlJc w:val="left"/>
      <w:pPr>
        <w:ind w:left="2880" w:hanging="360"/>
      </w:pPr>
      <w:rPr>
        <w:rFonts w:ascii="Symbol" w:hAnsi="Symbol" w:hint="default"/>
      </w:rPr>
    </w:lvl>
    <w:lvl w:ilvl="4" w:tplc="0E90EB16">
      <w:start w:val="1"/>
      <w:numFmt w:val="bullet"/>
      <w:lvlText w:val="o"/>
      <w:lvlJc w:val="left"/>
      <w:pPr>
        <w:ind w:left="3600" w:hanging="360"/>
      </w:pPr>
      <w:rPr>
        <w:rFonts w:ascii="Courier New" w:hAnsi="Courier New" w:hint="default"/>
      </w:rPr>
    </w:lvl>
    <w:lvl w:ilvl="5" w:tplc="37D43F28">
      <w:start w:val="1"/>
      <w:numFmt w:val="bullet"/>
      <w:lvlText w:val=""/>
      <w:lvlJc w:val="left"/>
      <w:pPr>
        <w:ind w:left="4320" w:hanging="360"/>
      </w:pPr>
      <w:rPr>
        <w:rFonts w:ascii="Wingdings" w:hAnsi="Wingdings" w:hint="default"/>
      </w:rPr>
    </w:lvl>
    <w:lvl w:ilvl="6" w:tplc="454E3160">
      <w:start w:val="1"/>
      <w:numFmt w:val="bullet"/>
      <w:lvlText w:val=""/>
      <w:lvlJc w:val="left"/>
      <w:pPr>
        <w:ind w:left="5040" w:hanging="360"/>
      </w:pPr>
      <w:rPr>
        <w:rFonts w:ascii="Symbol" w:hAnsi="Symbol" w:hint="default"/>
      </w:rPr>
    </w:lvl>
    <w:lvl w:ilvl="7" w:tplc="7A5E0B68">
      <w:start w:val="1"/>
      <w:numFmt w:val="bullet"/>
      <w:lvlText w:val="o"/>
      <w:lvlJc w:val="left"/>
      <w:pPr>
        <w:ind w:left="5760" w:hanging="360"/>
      </w:pPr>
      <w:rPr>
        <w:rFonts w:ascii="Courier New" w:hAnsi="Courier New" w:hint="default"/>
      </w:rPr>
    </w:lvl>
    <w:lvl w:ilvl="8" w:tplc="D908BF7E">
      <w:start w:val="1"/>
      <w:numFmt w:val="bullet"/>
      <w:lvlText w:val=""/>
      <w:lvlJc w:val="left"/>
      <w:pPr>
        <w:ind w:left="6480" w:hanging="360"/>
      </w:pPr>
      <w:rPr>
        <w:rFonts w:ascii="Wingdings" w:hAnsi="Wingdings" w:hint="default"/>
      </w:rPr>
    </w:lvl>
  </w:abstractNum>
  <w:abstractNum w:abstractNumId="30" w15:restartNumberingAfterBreak="0">
    <w:nsid w:val="32C14B48"/>
    <w:multiLevelType w:val="multilevel"/>
    <w:tmpl w:val="4C18AA5C"/>
    <w:lvl w:ilvl="0">
      <w:start w:val="1"/>
      <w:numFmt w:val="decimal"/>
      <w:lvlRestart w:val="0"/>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3130"/>
        </w:tabs>
        <w:ind w:left="3130" w:hanging="862"/>
      </w:pPr>
      <w:rPr>
        <w:rFonts w:hint="default"/>
      </w:rPr>
    </w:lvl>
    <w:lvl w:ilvl="4">
      <w:start w:val="1"/>
      <w:numFmt w:val="decimal"/>
      <w:lvlText w:val="%1.%2.%3.%4.%5"/>
      <w:lvlJc w:val="left"/>
      <w:pPr>
        <w:tabs>
          <w:tab w:val="num" w:pos="3277"/>
        </w:tabs>
        <w:ind w:left="3277" w:hanging="1009"/>
      </w:pPr>
      <w:rPr>
        <w:rFonts w:hint="default"/>
      </w:rPr>
    </w:lvl>
    <w:lvl w:ilvl="5">
      <w:start w:val="1"/>
      <w:numFmt w:val="decimal"/>
      <w:lvlText w:val="%1.%2.%3.%4.%5.%6"/>
      <w:lvlJc w:val="left"/>
      <w:pPr>
        <w:tabs>
          <w:tab w:val="num" w:pos="3419"/>
        </w:tabs>
        <w:ind w:left="3419" w:hanging="1151"/>
      </w:pPr>
      <w:rPr>
        <w:rFonts w:hint="default"/>
      </w:rPr>
    </w:lvl>
    <w:lvl w:ilvl="6">
      <w:start w:val="1"/>
      <w:numFmt w:val="decimal"/>
      <w:pStyle w:val="Heading7"/>
      <w:lvlText w:val="%1.%2.%3.%4.%5.%6.%7"/>
      <w:lvlJc w:val="left"/>
      <w:pPr>
        <w:tabs>
          <w:tab w:val="num" w:pos="3566"/>
        </w:tabs>
        <w:ind w:left="3566" w:hanging="1298"/>
      </w:pPr>
      <w:rPr>
        <w:rFonts w:hint="default"/>
      </w:rPr>
    </w:lvl>
    <w:lvl w:ilvl="7">
      <w:start w:val="1"/>
      <w:numFmt w:val="decimal"/>
      <w:pStyle w:val="Heading8"/>
      <w:lvlText w:val="%1.%2.%3.%4.%5.%6.%7.%8"/>
      <w:lvlJc w:val="left"/>
      <w:pPr>
        <w:tabs>
          <w:tab w:val="num" w:pos="3708"/>
        </w:tabs>
        <w:ind w:left="3708" w:hanging="1440"/>
      </w:pPr>
      <w:rPr>
        <w:rFonts w:hint="default"/>
      </w:rPr>
    </w:lvl>
    <w:lvl w:ilvl="8">
      <w:start w:val="1"/>
      <w:numFmt w:val="decimal"/>
      <w:pStyle w:val="Heading9"/>
      <w:lvlText w:val="%1.%2.%3.%4.%5.%6.%7.%8.%9"/>
      <w:lvlJc w:val="left"/>
      <w:pPr>
        <w:tabs>
          <w:tab w:val="num" w:pos="3850"/>
        </w:tabs>
        <w:ind w:left="3850" w:hanging="1582"/>
      </w:pPr>
      <w:rPr>
        <w:rFonts w:hint="default"/>
      </w:rPr>
    </w:lvl>
  </w:abstractNum>
  <w:abstractNum w:abstractNumId="31" w15:restartNumberingAfterBreak="0">
    <w:nsid w:val="32D559BD"/>
    <w:multiLevelType w:val="multilevel"/>
    <w:tmpl w:val="B6CE7F52"/>
    <w:lvl w:ilvl="0">
      <w:start w:val="1"/>
      <w:numFmt w:val="bullet"/>
      <w:lvlText w:val=""/>
      <w:lvlJc w:val="left"/>
      <w:pPr>
        <w:tabs>
          <w:tab w:val="num" w:pos="397"/>
        </w:tabs>
        <w:ind w:left="397" w:hanging="397"/>
      </w:pPr>
      <w:rPr>
        <w:rFonts w:ascii="Symbol" w:hAnsi="Symbol" w:hint="default"/>
        <w:color w:val="auto"/>
        <w:sz w:val="18"/>
        <w:szCs w:val="20"/>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32F408D8"/>
    <w:multiLevelType w:val="multilevel"/>
    <w:tmpl w:val="F3F6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1B332A"/>
    <w:multiLevelType w:val="hybridMultilevel"/>
    <w:tmpl w:val="D6C24D2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384A3B78"/>
    <w:multiLevelType w:val="hybridMultilevel"/>
    <w:tmpl w:val="5D7CBB84"/>
    <w:lvl w:ilvl="0" w:tplc="14090019">
      <w:start w:val="1"/>
      <w:numFmt w:val="lowerLetter"/>
      <w:lvlText w:val="%1."/>
      <w:lvlJc w:val="left"/>
      <w:pPr>
        <w:ind w:left="1154" w:hanging="360"/>
      </w:pPr>
    </w:lvl>
    <w:lvl w:ilvl="1" w:tplc="FFFFFFFF" w:tentative="1">
      <w:start w:val="1"/>
      <w:numFmt w:val="lowerLetter"/>
      <w:lvlText w:val="%2."/>
      <w:lvlJc w:val="left"/>
      <w:pPr>
        <w:ind w:left="1874" w:hanging="360"/>
      </w:pPr>
    </w:lvl>
    <w:lvl w:ilvl="2" w:tplc="FFFFFFFF" w:tentative="1">
      <w:start w:val="1"/>
      <w:numFmt w:val="lowerRoman"/>
      <w:lvlText w:val="%3."/>
      <w:lvlJc w:val="right"/>
      <w:pPr>
        <w:ind w:left="2594" w:hanging="180"/>
      </w:pPr>
    </w:lvl>
    <w:lvl w:ilvl="3" w:tplc="FFFFFFFF" w:tentative="1">
      <w:start w:val="1"/>
      <w:numFmt w:val="decimal"/>
      <w:lvlText w:val="%4."/>
      <w:lvlJc w:val="left"/>
      <w:pPr>
        <w:ind w:left="3314" w:hanging="360"/>
      </w:pPr>
    </w:lvl>
    <w:lvl w:ilvl="4" w:tplc="FFFFFFFF" w:tentative="1">
      <w:start w:val="1"/>
      <w:numFmt w:val="lowerLetter"/>
      <w:lvlText w:val="%5."/>
      <w:lvlJc w:val="left"/>
      <w:pPr>
        <w:ind w:left="4034" w:hanging="360"/>
      </w:pPr>
    </w:lvl>
    <w:lvl w:ilvl="5" w:tplc="FFFFFFFF" w:tentative="1">
      <w:start w:val="1"/>
      <w:numFmt w:val="lowerRoman"/>
      <w:lvlText w:val="%6."/>
      <w:lvlJc w:val="right"/>
      <w:pPr>
        <w:ind w:left="4754" w:hanging="180"/>
      </w:pPr>
    </w:lvl>
    <w:lvl w:ilvl="6" w:tplc="FFFFFFFF" w:tentative="1">
      <w:start w:val="1"/>
      <w:numFmt w:val="decimal"/>
      <w:lvlText w:val="%7."/>
      <w:lvlJc w:val="left"/>
      <w:pPr>
        <w:ind w:left="5474" w:hanging="360"/>
      </w:pPr>
    </w:lvl>
    <w:lvl w:ilvl="7" w:tplc="FFFFFFFF" w:tentative="1">
      <w:start w:val="1"/>
      <w:numFmt w:val="lowerLetter"/>
      <w:lvlText w:val="%8."/>
      <w:lvlJc w:val="left"/>
      <w:pPr>
        <w:ind w:left="6194" w:hanging="360"/>
      </w:pPr>
    </w:lvl>
    <w:lvl w:ilvl="8" w:tplc="FFFFFFFF" w:tentative="1">
      <w:start w:val="1"/>
      <w:numFmt w:val="lowerRoman"/>
      <w:lvlText w:val="%9."/>
      <w:lvlJc w:val="right"/>
      <w:pPr>
        <w:ind w:left="6914" w:hanging="180"/>
      </w:pPr>
    </w:lvl>
  </w:abstractNum>
  <w:abstractNum w:abstractNumId="35" w15:restartNumberingAfterBreak="0">
    <w:nsid w:val="3AAC29CC"/>
    <w:multiLevelType w:val="hybridMultilevel"/>
    <w:tmpl w:val="4B2C3844"/>
    <w:lvl w:ilvl="0" w:tplc="EE7CC2BE">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3D465A16"/>
    <w:multiLevelType w:val="multilevel"/>
    <w:tmpl w:val="7CBA8A44"/>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DB9213F"/>
    <w:multiLevelType w:val="hybridMultilevel"/>
    <w:tmpl w:val="6A68A636"/>
    <w:lvl w:ilvl="0" w:tplc="14090001">
      <w:start w:val="1"/>
      <w:numFmt w:val="bullet"/>
      <w:lvlText w:val=""/>
      <w:lvlJc w:val="left"/>
      <w:pPr>
        <w:ind w:left="765" w:hanging="360"/>
      </w:pPr>
      <w:rPr>
        <w:rFonts w:ascii="Symbol" w:hAnsi="Symbol"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38" w15:restartNumberingAfterBreak="0">
    <w:nsid w:val="3DCA25A6"/>
    <w:multiLevelType w:val="hybridMultilevel"/>
    <w:tmpl w:val="095C82C8"/>
    <w:lvl w:ilvl="0" w:tplc="BB507988">
      <w:start w:val="1"/>
      <w:numFmt w:val="decimal"/>
      <w:lvlText w:val="%1."/>
      <w:lvlJc w:val="left"/>
      <w:pPr>
        <w:ind w:left="720" w:hanging="720"/>
      </w:pPr>
      <w:rPr>
        <w:rFonts w:hint="default"/>
        <w:i w:val="0"/>
        <w:iCs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9" w15:restartNumberingAfterBreak="0">
    <w:nsid w:val="3FF55FA4"/>
    <w:multiLevelType w:val="multilevel"/>
    <w:tmpl w:val="3138ABF0"/>
    <w:lvl w:ilvl="0">
      <w:start w:val="1"/>
      <w:numFmt w:val="bullet"/>
      <w:lvlText w:val=""/>
      <w:lvlJc w:val="left"/>
      <w:pPr>
        <w:ind w:left="851" w:hanging="851"/>
      </w:pPr>
      <w:rPr>
        <w:rFonts w:ascii="Symbol" w:hAnsi="Symbol" w:hint="default"/>
        <w:sz w:val="22"/>
      </w:rPr>
    </w:lvl>
    <w:lvl w:ilvl="1">
      <w:start w:val="1"/>
      <w:numFmt w:val="bullet"/>
      <w:lvlText w:val=""/>
      <w:lvlJc w:val="left"/>
      <w:pPr>
        <w:ind w:left="1701" w:hanging="850"/>
      </w:pPr>
      <w:rPr>
        <w:rFonts w:ascii="Wingdings" w:hAnsi="Wingdings" w:hint="default"/>
        <w:sz w:val="12"/>
      </w:rPr>
    </w:lvl>
    <w:lvl w:ilvl="2">
      <w:start w:val="1"/>
      <w:numFmt w:val="bullet"/>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40" w15:restartNumberingAfterBreak="0">
    <w:nsid w:val="427701FB"/>
    <w:multiLevelType w:val="multilevel"/>
    <w:tmpl w:val="F012ABEA"/>
    <w:lvl w:ilvl="0">
      <w:start w:val="1"/>
      <w:numFmt w:val="bullet"/>
      <w:pStyle w:val="Sub-list"/>
      <w:lvlText w:val=""/>
      <w:lvlJc w:val="left"/>
      <w:pPr>
        <w:tabs>
          <w:tab w:val="num" w:pos="397"/>
        </w:tabs>
        <w:ind w:left="794" w:hanging="39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33207A0"/>
    <w:multiLevelType w:val="multilevel"/>
    <w:tmpl w:val="DCDEB9D0"/>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43F6660F"/>
    <w:multiLevelType w:val="hybridMultilevel"/>
    <w:tmpl w:val="8F46D588"/>
    <w:lvl w:ilvl="0" w:tplc="A56EFFF8">
      <w:start w:val="10"/>
      <w:numFmt w:val="bullet"/>
      <w:lvlText w:val="-"/>
      <w:lvlJc w:val="left"/>
      <w:pPr>
        <w:ind w:left="720" w:hanging="360"/>
      </w:pPr>
      <w:rPr>
        <w:rFonts w:ascii="Calibri" w:eastAsiaTheme="minorEastAsia"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heme="minorEastAsia" w:hAnsi="Calibri" w:cstheme="minorBidi"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63D6104"/>
    <w:multiLevelType w:val="hybridMultilevel"/>
    <w:tmpl w:val="291EE830"/>
    <w:lvl w:ilvl="0" w:tplc="3A426DC2">
      <w:start w:val="1"/>
      <w:numFmt w:val="lowerRoman"/>
      <w:pStyle w:val="Sub-listi"/>
      <w:lvlText w:val="%1."/>
      <w:lvlJc w:val="left"/>
      <w:pPr>
        <w:tabs>
          <w:tab w:val="num" w:pos="794"/>
        </w:tabs>
        <w:ind w:left="794" w:hanging="397"/>
      </w:pPr>
      <w:rPr>
        <w:rFonts w:ascii="Times New Roman" w:hAnsi="Times New Roman" w:cs="Arial" w:hint="default"/>
        <w:b w:val="0"/>
        <w:i w:val="0"/>
        <w:sz w:val="22"/>
        <w:szCs w:val="22"/>
      </w:rPr>
    </w:lvl>
    <w:lvl w:ilvl="1" w:tplc="14090019" w:tentative="1">
      <w:start w:val="1"/>
      <w:numFmt w:val="lowerLetter"/>
      <w:lvlText w:val="%2."/>
      <w:lvlJc w:val="left"/>
      <w:pPr>
        <w:tabs>
          <w:tab w:val="num" w:pos="1043"/>
        </w:tabs>
        <w:ind w:left="1043" w:hanging="360"/>
      </w:pPr>
    </w:lvl>
    <w:lvl w:ilvl="2" w:tplc="1409001B" w:tentative="1">
      <w:start w:val="1"/>
      <w:numFmt w:val="lowerRoman"/>
      <w:lvlText w:val="%3."/>
      <w:lvlJc w:val="right"/>
      <w:pPr>
        <w:tabs>
          <w:tab w:val="num" w:pos="1763"/>
        </w:tabs>
        <w:ind w:left="1763" w:hanging="180"/>
      </w:pPr>
    </w:lvl>
    <w:lvl w:ilvl="3" w:tplc="1409000F" w:tentative="1">
      <w:start w:val="1"/>
      <w:numFmt w:val="decimal"/>
      <w:lvlText w:val="%4."/>
      <w:lvlJc w:val="left"/>
      <w:pPr>
        <w:tabs>
          <w:tab w:val="num" w:pos="2483"/>
        </w:tabs>
        <w:ind w:left="2483" w:hanging="360"/>
      </w:pPr>
    </w:lvl>
    <w:lvl w:ilvl="4" w:tplc="14090019" w:tentative="1">
      <w:start w:val="1"/>
      <w:numFmt w:val="lowerLetter"/>
      <w:lvlText w:val="%5."/>
      <w:lvlJc w:val="left"/>
      <w:pPr>
        <w:tabs>
          <w:tab w:val="num" w:pos="3203"/>
        </w:tabs>
        <w:ind w:left="3203" w:hanging="360"/>
      </w:pPr>
    </w:lvl>
    <w:lvl w:ilvl="5" w:tplc="1409001B" w:tentative="1">
      <w:start w:val="1"/>
      <w:numFmt w:val="lowerRoman"/>
      <w:lvlText w:val="%6."/>
      <w:lvlJc w:val="right"/>
      <w:pPr>
        <w:tabs>
          <w:tab w:val="num" w:pos="3923"/>
        </w:tabs>
        <w:ind w:left="3923" w:hanging="180"/>
      </w:pPr>
    </w:lvl>
    <w:lvl w:ilvl="6" w:tplc="1409000F" w:tentative="1">
      <w:start w:val="1"/>
      <w:numFmt w:val="decimal"/>
      <w:lvlText w:val="%7."/>
      <w:lvlJc w:val="left"/>
      <w:pPr>
        <w:tabs>
          <w:tab w:val="num" w:pos="4643"/>
        </w:tabs>
        <w:ind w:left="4643" w:hanging="360"/>
      </w:pPr>
    </w:lvl>
    <w:lvl w:ilvl="7" w:tplc="14090019" w:tentative="1">
      <w:start w:val="1"/>
      <w:numFmt w:val="lowerLetter"/>
      <w:lvlText w:val="%8."/>
      <w:lvlJc w:val="left"/>
      <w:pPr>
        <w:tabs>
          <w:tab w:val="num" w:pos="5363"/>
        </w:tabs>
        <w:ind w:left="5363" w:hanging="360"/>
      </w:pPr>
    </w:lvl>
    <w:lvl w:ilvl="8" w:tplc="1409001B" w:tentative="1">
      <w:start w:val="1"/>
      <w:numFmt w:val="lowerRoman"/>
      <w:lvlText w:val="%9."/>
      <w:lvlJc w:val="right"/>
      <w:pPr>
        <w:tabs>
          <w:tab w:val="num" w:pos="6083"/>
        </w:tabs>
        <w:ind w:left="6083" w:hanging="180"/>
      </w:pPr>
    </w:lvl>
  </w:abstractNum>
  <w:abstractNum w:abstractNumId="45" w15:restartNumberingAfterBreak="0">
    <w:nsid w:val="47B81BED"/>
    <w:multiLevelType w:val="hybridMultilevel"/>
    <w:tmpl w:val="2E8CF62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6" w15:restartNumberingAfterBreak="0">
    <w:nsid w:val="48E133EE"/>
    <w:multiLevelType w:val="multilevel"/>
    <w:tmpl w:val="D9D8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B9679EC"/>
    <w:multiLevelType w:val="hybridMultilevel"/>
    <w:tmpl w:val="2EA26300"/>
    <w:lvl w:ilvl="0" w:tplc="66A4205A">
      <w:start w:val="1"/>
      <w:numFmt w:val="bullet"/>
      <w:lvlText w:val=""/>
      <w:lvlJc w:val="left"/>
      <w:pPr>
        <w:ind w:left="1440" w:hanging="360"/>
      </w:pPr>
      <w:rPr>
        <w:rFonts w:ascii="Symbol" w:hAnsi="Symbol"/>
      </w:rPr>
    </w:lvl>
    <w:lvl w:ilvl="1" w:tplc="5E1EF9A8">
      <w:start w:val="1"/>
      <w:numFmt w:val="bullet"/>
      <w:lvlText w:val=""/>
      <w:lvlJc w:val="left"/>
      <w:pPr>
        <w:ind w:left="1440" w:hanging="360"/>
      </w:pPr>
      <w:rPr>
        <w:rFonts w:ascii="Symbol" w:hAnsi="Symbol"/>
      </w:rPr>
    </w:lvl>
    <w:lvl w:ilvl="2" w:tplc="649882FC">
      <w:start w:val="1"/>
      <w:numFmt w:val="bullet"/>
      <w:lvlText w:val=""/>
      <w:lvlJc w:val="left"/>
      <w:pPr>
        <w:ind w:left="1440" w:hanging="360"/>
      </w:pPr>
      <w:rPr>
        <w:rFonts w:ascii="Symbol" w:hAnsi="Symbol"/>
      </w:rPr>
    </w:lvl>
    <w:lvl w:ilvl="3" w:tplc="A2FC4358">
      <w:start w:val="1"/>
      <w:numFmt w:val="bullet"/>
      <w:lvlText w:val=""/>
      <w:lvlJc w:val="left"/>
      <w:pPr>
        <w:ind w:left="1440" w:hanging="360"/>
      </w:pPr>
      <w:rPr>
        <w:rFonts w:ascii="Symbol" w:hAnsi="Symbol"/>
      </w:rPr>
    </w:lvl>
    <w:lvl w:ilvl="4" w:tplc="0ED8CE7C">
      <w:start w:val="1"/>
      <w:numFmt w:val="bullet"/>
      <w:lvlText w:val=""/>
      <w:lvlJc w:val="left"/>
      <w:pPr>
        <w:ind w:left="1440" w:hanging="360"/>
      </w:pPr>
      <w:rPr>
        <w:rFonts w:ascii="Symbol" w:hAnsi="Symbol"/>
      </w:rPr>
    </w:lvl>
    <w:lvl w:ilvl="5" w:tplc="22903B84">
      <w:start w:val="1"/>
      <w:numFmt w:val="bullet"/>
      <w:lvlText w:val=""/>
      <w:lvlJc w:val="left"/>
      <w:pPr>
        <w:ind w:left="1440" w:hanging="360"/>
      </w:pPr>
      <w:rPr>
        <w:rFonts w:ascii="Symbol" w:hAnsi="Symbol"/>
      </w:rPr>
    </w:lvl>
    <w:lvl w:ilvl="6" w:tplc="9B84C3EC">
      <w:start w:val="1"/>
      <w:numFmt w:val="bullet"/>
      <w:lvlText w:val=""/>
      <w:lvlJc w:val="left"/>
      <w:pPr>
        <w:ind w:left="1440" w:hanging="360"/>
      </w:pPr>
      <w:rPr>
        <w:rFonts w:ascii="Symbol" w:hAnsi="Symbol"/>
      </w:rPr>
    </w:lvl>
    <w:lvl w:ilvl="7" w:tplc="A9B86212">
      <w:start w:val="1"/>
      <w:numFmt w:val="bullet"/>
      <w:lvlText w:val=""/>
      <w:lvlJc w:val="left"/>
      <w:pPr>
        <w:ind w:left="1440" w:hanging="360"/>
      </w:pPr>
      <w:rPr>
        <w:rFonts w:ascii="Symbol" w:hAnsi="Symbol"/>
      </w:rPr>
    </w:lvl>
    <w:lvl w:ilvl="8" w:tplc="D19263C4">
      <w:start w:val="1"/>
      <w:numFmt w:val="bullet"/>
      <w:lvlText w:val=""/>
      <w:lvlJc w:val="left"/>
      <w:pPr>
        <w:ind w:left="1440" w:hanging="360"/>
      </w:pPr>
      <w:rPr>
        <w:rFonts w:ascii="Symbol" w:hAnsi="Symbol"/>
      </w:rPr>
    </w:lvl>
  </w:abstractNum>
  <w:abstractNum w:abstractNumId="48" w15:restartNumberingAfterBreak="0">
    <w:nsid w:val="4E63010F"/>
    <w:multiLevelType w:val="multilevel"/>
    <w:tmpl w:val="B600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2B814F6"/>
    <w:multiLevelType w:val="hybridMultilevel"/>
    <w:tmpl w:val="AC04B19C"/>
    <w:lvl w:ilvl="0" w:tplc="2C66CBE0">
      <w:start w:val="1"/>
      <w:numFmt w:val="bullet"/>
      <w:lvlText w:val=""/>
      <w:lvlJc w:val="left"/>
      <w:pPr>
        <w:ind w:left="1440" w:hanging="360"/>
      </w:pPr>
      <w:rPr>
        <w:rFonts w:ascii="Symbol" w:hAnsi="Symbol"/>
      </w:rPr>
    </w:lvl>
    <w:lvl w:ilvl="1" w:tplc="EBB2CFDA">
      <w:start w:val="1"/>
      <w:numFmt w:val="bullet"/>
      <w:lvlText w:val=""/>
      <w:lvlJc w:val="left"/>
      <w:pPr>
        <w:ind w:left="1440" w:hanging="360"/>
      </w:pPr>
      <w:rPr>
        <w:rFonts w:ascii="Symbol" w:hAnsi="Symbol"/>
      </w:rPr>
    </w:lvl>
    <w:lvl w:ilvl="2" w:tplc="8AE890D8">
      <w:start w:val="1"/>
      <w:numFmt w:val="bullet"/>
      <w:lvlText w:val=""/>
      <w:lvlJc w:val="left"/>
      <w:pPr>
        <w:ind w:left="1440" w:hanging="360"/>
      </w:pPr>
      <w:rPr>
        <w:rFonts w:ascii="Symbol" w:hAnsi="Symbol"/>
      </w:rPr>
    </w:lvl>
    <w:lvl w:ilvl="3" w:tplc="18E6843A">
      <w:start w:val="1"/>
      <w:numFmt w:val="bullet"/>
      <w:lvlText w:val=""/>
      <w:lvlJc w:val="left"/>
      <w:pPr>
        <w:ind w:left="1440" w:hanging="360"/>
      </w:pPr>
      <w:rPr>
        <w:rFonts w:ascii="Symbol" w:hAnsi="Symbol"/>
      </w:rPr>
    </w:lvl>
    <w:lvl w:ilvl="4" w:tplc="1186AD22">
      <w:start w:val="1"/>
      <w:numFmt w:val="bullet"/>
      <w:lvlText w:val=""/>
      <w:lvlJc w:val="left"/>
      <w:pPr>
        <w:ind w:left="1440" w:hanging="360"/>
      </w:pPr>
      <w:rPr>
        <w:rFonts w:ascii="Symbol" w:hAnsi="Symbol"/>
      </w:rPr>
    </w:lvl>
    <w:lvl w:ilvl="5" w:tplc="6D829DF0">
      <w:start w:val="1"/>
      <w:numFmt w:val="bullet"/>
      <w:lvlText w:val=""/>
      <w:lvlJc w:val="left"/>
      <w:pPr>
        <w:ind w:left="1440" w:hanging="360"/>
      </w:pPr>
      <w:rPr>
        <w:rFonts w:ascii="Symbol" w:hAnsi="Symbol"/>
      </w:rPr>
    </w:lvl>
    <w:lvl w:ilvl="6" w:tplc="6E705E1A">
      <w:start w:val="1"/>
      <w:numFmt w:val="bullet"/>
      <w:lvlText w:val=""/>
      <w:lvlJc w:val="left"/>
      <w:pPr>
        <w:ind w:left="1440" w:hanging="360"/>
      </w:pPr>
      <w:rPr>
        <w:rFonts w:ascii="Symbol" w:hAnsi="Symbol"/>
      </w:rPr>
    </w:lvl>
    <w:lvl w:ilvl="7" w:tplc="A29E27EE">
      <w:start w:val="1"/>
      <w:numFmt w:val="bullet"/>
      <w:lvlText w:val=""/>
      <w:lvlJc w:val="left"/>
      <w:pPr>
        <w:ind w:left="1440" w:hanging="360"/>
      </w:pPr>
      <w:rPr>
        <w:rFonts w:ascii="Symbol" w:hAnsi="Symbol"/>
      </w:rPr>
    </w:lvl>
    <w:lvl w:ilvl="8" w:tplc="1CF694CA">
      <w:start w:val="1"/>
      <w:numFmt w:val="bullet"/>
      <w:lvlText w:val=""/>
      <w:lvlJc w:val="left"/>
      <w:pPr>
        <w:ind w:left="1440" w:hanging="360"/>
      </w:pPr>
      <w:rPr>
        <w:rFonts w:ascii="Symbol" w:hAnsi="Symbol"/>
      </w:rPr>
    </w:lvl>
  </w:abstractNum>
  <w:abstractNum w:abstractNumId="50" w15:restartNumberingAfterBreak="0">
    <w:nsid w:val="53535234"/>
    <w:multiLevelType w:val="singleLevel"/>
    <w:tmpl w:val="DE5AE08C"/>
    <w:lvl w:ilvl="0">
      <w:start w:val="1"/>
      <w:numFmt w:val="bullet"/>
      <w:pStyle w:val="Boxbullet"/>
      <w:lvlText w:val=""/>
      <w:lvlJc w:val="left"/>
      <w:pPr>
        <w:ind w:left="644" w:hanging="360"/>
      </w:pPr>
      <w:rPr>
        <w:rFonts w:ascii="Symbol" w:hAnsi="Symbol" w:hint="default"/>
        <w:color w:val="1B556B"/>
        <w:sz w:val="16"/>
      </w:rPr>
    </w:lvl>
  </w:abstractNum>
  <w:abstractNum w:abstractNumId="51" w15:restartNumberingAfterBreak="0">
    <w:nsid w:val="548B22F8"/>
    <w:multiLevelType w:val="multilevel"/>
    <w:tmpl w:val="9674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68277AB"/>
    <w:multiLevelType w:val="multilevel"/>
    <w:tmpl w:val="8FBA751A"/>
    <w:lvl w:ilvl="0">
      <w:start w:val="1"/>
      <w:numFmt w:val="bullet"/>
      <w:lvlText w:val="o"/>
      <w:lvlJc w:val="left"/>
      <w:pPr>
        <w:tabs>
          <w:tab w:val="num" w:pos="397"/>
        </w:tabs>
        <w:ind w:left="794" w:hanging="397"/>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B9F3ED0"/>
    <w:multiLevelType w:val="hybridMultilevel"/>
    <w:tmpl w:val="C1BA93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4" w15:restartNumberingAfterBreak="0">
    <w:nsid w:val="5FC2722F"/>
    <w:multiLevelType w:val="multilevel"/>
    <w:tmpl w:val="00000002"/>
    <w:lvl w:ilvl="0">
      <w:start w:val="1"/>
      <w:numFmt w:val="bullet"/>
      <w:lvlText w:val="·"/>
      <w:lvlJc w:val="left"/>
      <w:pPr>
        <w:tabs>
          <w:tab w:val="num" w:pos="283"/>
        </w:tabs>
        <w:ind w:left="283" w:hanging="283"/>
      </w:pPr>
      <w:rPr>
        <w:rFonts w:ascii="Symbol" w:eastAsia="Symbol" w:hAnsi="Symbol" w:cs="Symbol"/>
        <w:sz w:val="20"/>
        <w:lang w:val="en-NZ"/>
      </w:rPr>
    </w:lvl>
    <w:lvl w:ilvl="1">
      <w:start w:val="1"/>
      <w:numFmt w:val="bullet"/>
      <w:lvlText w:val="-"/>
      <w:lvlJc w:val="left"/>
      <w:pPr>
        <w:tabs>
          <w:tab w:val="num" w:pos="567"/>
        </w:tabs>
        <w:ind w:left="567" w:hanging="284"/>
      </w:pPr>
      <w:rPr>
        <w:rFonts w:ascii="Symbol" w:eastAsia="Symbol" w:hAnsi="Symbol" w:cs="Symbol"/>
        <w:sz w:val="20"/>
        <w:lang w:val="en-NZ"/>
      </w:rPr>
    </w:lvl>
    <w:lvl w:ilvl="2">
      <w:start w:val="1"/>
      <w:numFmt w:val="bullet"/>
      <w:lvlText w:val="·"/>
      <w:lvlJc w:val="right"/>
      <w:pPr>
        <w:tabs>
          <w:tab w:val="num" w:pos="850"/>
        </w:tabs>
        <w:ind w:left="850" w:hanging="283"/>
      </w:pPr>
      <w:rPr>
        <w:rFonts w:ascii="Symbol" w:eastAsia="Symbol" w:hAnsi="Symbol" w:cs="Symbol"/>
        <w:sz w:val="20"/>
        <w:lang w:val="en-NZ"/>
      </w:rPr>
    </w:lvl>
    <w:lvl w:ilvl="3">
      <w:start w:val="1"/>
      <w:numFmt w:val="bullet"/>
      <w:lvlText w:val="·"/>
      <w:lvlJc w:val="left"/>
      <w:pPr>
        <w:tabs>
          <w:tab w:val="num" w:pos="1134"/>
        </w:tabs>
        <w:ind w:left="1134" w:hanging="284"/>
      </w:pPr>
      <w:rPr>
        <w:rFonts w:ascii="Symbol" w:eastAsia="Symbol" w:hAnsi="Symbol" w:cs="Symbol"/>
        <w:sz w:val="20"/>
        <w:lang w:val="en-NZ"/>
      </w:rPr>
    </w:lvl>
    <w:lvl w:ilvl="4">
      <w:start w:val="1"/>
      <w:numFmt w:val="bullet"/>
      <w:lvlText w:val="·"/>
      <w:lvlJc w:val="left"/>
      <w:pPr>
        <w:tabs>
          <w:tab w:val="num" w:pos="1417"/>
        </w:tabs>
        <w:ind w:left="1417" w:hanging="283"/>
      </w:pPr>
      <w:rPr>
        <w:rFonts w:ascii="Symbol" w:eastAsia="Symbol" w:hAnsi="Symbol" w:cs="Symbol"/>
        <w:sz w:val="20"/>
        <w:lang w:val="en-NZ"/>
      </w:rPr>
    </w:lvl>
    <w:lvl w:ilvl="5">
      <w:start w:val="1"/>
      <w:numFmt w:val="bullet"/>
      <w:lvlText w:val="·"/>
      <w:lvlJc w:val="right"/>
      <w:pPr>
        <w:tabs>
          <w:tab w:val="num" w:pos="1701"/>
        </w:tabs>
        <w:ind w:left="1701" w:hanging="284"/>
      </w:pPr>
      <w:rPr>
        <w:rFonts w:ascii="Symbol" w:eastAsia="Symbol" w:hAnsi="Symbol" w:cs="Symbol"/>
        <w:sz w:val="20"/>
        <w:lang w:val="en-NZ"/>
      </w:rPr>
    </w:lvl>
    <w:lvl w:ilvl="6">
      <w:start w:val="1"/>
      <w:numFmt w:val="bullet"/>
      <w:lvlText w:val="·"/>
      <w:lvlJc w:val="left"/>
      <w:pPr>
        <w:tabs>
          <w:tab w:val="num" w:pos="1984"/>
        </w:tabs>
        <w:ind w:left="1984" w:hanging="283"/>
      </w:pPr>
      <w:rPr>
        <w:rFonts w:ascii="Symbol" w:eastAsia="Symbol" w:hAnsi="Symbol" w:cs="Symbol"/>
        <w:sz w:val="20"/>
        <w:lang w:val="en-NZ"/>
      </w:rPr>
    </w:lvl>
    <w:lvl w:ilvl="7">
      <w:start w:val="1"/>
      <w:numFmt w:val="bullet"/>
      <w:lvlText w:val="·"/>
      <w:lvlJc w:val="left"/>
      <w:pPr>
        <w:tabs>
          <w:tab w:val="num" w:pos="2268"/>
        </w:tabs>
        <w:ind w:left="2268" w:hanging="284"/>
      </w:pPr>
      <w:rPr>
        <w:rFonts w:ascii="Symbol" w:eastAsia="Symbol" w:hAnsi="Symbol" w:cs="Symbol"/>
        <w:sz w:val="20"/>
        <w:lang w:val="en-NZ"/>
      </w:rPr>
    </w:lvl>
    <w:lvl w:ilvl="8">
      <w:start w:val="1"/>
      <w:numFmt w:val="bullet"/>
      <w:lvlText w:val="·"/>
      <w:lvlJc w:val="right"/>
      <w:pPr>
        <w:tabs>
          <w:tab w:val="num" w:pos="2551"/>
        </w:tabs>
        <w:ind w:left="2551" w:hanging="283"/>
      </w:pPr>
      <w:rPr>
        <w:rFonts w:ascii="Symbol" w:eastAsia="Symbol" w:hAnsi="Symbol" w:cs="Symbol"/>
        <w:sz w:val="20"/>
        <w:lang w:val="en-NZ"/>
      </w:rPr>
    </w:lvl>
  </w:abstractNum>
  <w:abstractNum w:abstractNumId="55" w15:restartNumberingAfterBreak="0">
    <w:nsid w:val="610F42D5"/>
    <w:multiLevelType w:val="multilevel"/>
    <w:tmpl w:val="4B4C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5117CFA"/>
    <w:multiLevelType w:val="hybridMultilevel"/>
    <w:tmpl w:val="7C30CDE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57" w15:restartNumberingAfterBreak="0">
    <w:nsid w:val="65926DCB"/>
    <w:multiLevelType w:val="hybridMultilevel"/>
    <w:tmpl w:val="A33809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8" w15:restartNumberingAfterBreak="0">
    <w:nsid w:val="66825D6D"/>
    <w:multiLevelType w:val="multilevel"/>
    <w:tmpl w:val="00000002"/>
    <w:lvl w:ilvl="0">
      <w:start w:val="1"/>
      <w:numFmt w:val="bullet"/>
      <w:lvlText w:val="·"/>
      <w:lvlJc w:val="left"/>
      <w:pPr>
        <w:tabs>
          <w:tab w:val="num" w:pos="283"/>
        </w:tabs>
        <w:ind w:left="283" w:hanging="283"/>
      </w:pPr>
      <w:rPr>
        <w:rFonts w:ascii="Symbol" w:eastAsia="Symbol" w:hAnsi="Symbol" w:cs="Symbol"/>
        <w:sz w:val="20"/>
        <w:lang w:val="en-NZ"/>
      </w:rPr>
    </w:lvl>
    <w:lvl w:ilvl="1">
      <w:start w:val="1"/>
      <w:numFmt w:val="bullet"/>
      <w:lvlText w:val="-"/>
      <w:lvlJc w:val="left"/>
      <w:pPr>
        <w:tabs>
          <w:tab w:val="num" w:pos="567"/>
        </w:tabs>
        <w:ind w:left="567" w:hanging="284"/>
      </w:pPr>
      <w:rPr>
        <w:rFonts w:ascii="Symbol" w:eastAsia="Symbol" w:hAnsi="Symbol" w:cs="Symbol"/>
        <w:sz w:val="20"/>
        <w:lang w:val="en-NZ"/>
      </w:rPr>
    </w:lvl>
    <w:lvl w:ilvl="2">
      <w:start w:val="1"/>
      <w:numFmt w:val="bullet"/>
      <w:lvlText w:val="·"/>
      <w:lvlJc w:val="right"/>
      <w:pPr>
        <w:tabs>
          <w:tab w:val="num" w:pos="850"/>
        </w:tabs>
        <w:ind w:left="850" w:hanging="283"/>
      </w:pPr>
      <w:rPr>
        <w:rFonts w:ascii="Symbol" w:eastAsia="Symbol" w:hAnsi="Symbol" w:cs="Symbol"/>
        <w:sz w:val="20"/>
        <w:lang w:val="en-NZ"/>
      </w:rPr>
    </w:lvl>
    <w:lvl w:ilvl="3">
      <w:start w:val="1"/>
      <w:numFmt w:val="bullet"/>
      <w:lvlText w:val="·"/>
      <w:lvlJc w:val="left"/>
      <w:pPr>
        <w:tabs>
          <w:tab w:val="num" w:pos="1134"/>
        </w:tabs>
        <w:ind w:left="1134" w:hanging="284"/>
      </w:pPr>
      <w:rPr>
        <w:rFonts w:ascii="Symbol" w:eastAsia="Symbol" w:hAnsi="Symbol" w:cs="Symbol"/>
        <w:sz w:val="20"/>
        <w:lang w:val="en-NZ"/>
      </w:rPr>
    </w:lvl>
    <w:lvl w:ilvl="4">
      <w:start w:val="1"/>
      <w:numFmt w:val="bullet"/>
      <w:lvlText w:val="·"/>
      <w:lvlJc w:val="left"/>
      <w:pPr>
        <w:tabs>
          <w:tab w:val="num" w:pos="1417"/>
        </w:tabs>
        <w:ind w:left="1417" w:hanging="283"/>
      </w:pPr>
      <w:rPr>
        <w:rFonts w:ascii="Symbol" w:eastAsia="Symbol" w:hAnsi="Symbol" w:cs="Symbol"/>
        <w:sz w:val="20"/>
        <w:lang w:val="en-NZ"/>
      </w:rPr>
    </w:lvl>
    <w:lvl w:ilvl="5">
      <w:start w:val="1"/>
      <w:numFmt w:val="bullet"/>
      <w:lvlText w:val="·"/>
      <w:lvlJc w:val="right"/>
      <w:pPr>
        <w:tabs>
          <w:tab w:val="num" w:pos="1701"/>
        </w:tabs>
        <w:ind w:left="1701" w:hanging="284"/>
      </w:pPr>
      <w:rPr>
        <w:rFonts w:ascii="Symbol" w:eastAsia="Symbol" w:hAnsi="Symbol" w:cs="Symbol"/>
        <w:sz w:val="20"/>
        <w:lang w:val="en-NZ"/>
      </w:rPr>
    </w:lvl>
    <w:lvl w:ilvl="6">
      <w:start w:val="1"/>
      <w:numFmt w:val="bullet"/>
      <w:lvlText w:val="·"/>
      <w:lvlJc w:val="left"/>
      <w:pPr>
        <w:tabs>
          <w:tab w:val="num" w:pos="1984"/>
        </w:tabs>
        <w:ind w:left="1984" w:hanging="283"/>
      </w:pPr>
      <w:rPr>
        <w:rFonts w:ascii="Symbol" w:eastAsia="Symbol" w:hAnsi="Symbol" w:cs="Symbol"/>
        <w:sz w:val="20"/>
        <w:lang w:val="en-NZ"/>
      </w:rPr>
    </w:lvl>
    <w:lvl w:ilvl="7">
      <w:start w:val="1"/>
      <w:numFmt w:val="bullet"/>
      <w:lvlText w:val="·"/>
      <w:lvlJc w:val="left"/>
      <w:pPr>
        <w:tabs>
          <w:tab w:val="num" w:pos="2268"/>
        </w:tabs>
        <w:ind w:left="2268" w:hanging="284"/>
      </w:pPr>
      <w:rPr>
        <w:rFonts w:ascii="Symbol" w:eastAsia="Symbol" w:hAnsi="Symbol" w:cs="Symbol"/>
        <w:sz w:val="20"/>
        <w:lang w:val="en-NZ"/>
      </w:rPr>
    </w:lvl>
    <w:lvl w:ilvl="8">
      <w:start w:val="1"/>
      <w:numFmt w:val="bullet"/>
      <w:lvlText w:val="·"/>
      <w:lvlJc w:val="right"/>
      <w:pPr>
        <w:tabs>
          <w:tab w:val="num" w:pos="2551"/>
        </w:tabs>
        <w:ind w:left="2551" w:hanging="283"/>
      </w:pPr>
      <w:rPr>
        <w:rFonts w:ascii="Symbol" w:eastAsia="Symbol" w:hAnsi="Symbol" w:cs="Symbol"/>
        <w:sz w:val="20"/>
        <w:lang w:val="en-NZ"/>
      </w:rPr>
    </w:lvl>
  </w:abstractNum>
  <w:abstractNum w:abstractNumId="59" w15:restartNumberingAfterBreak="0">
    <w:nsid w:val="67F91898"/>
    <w:multiLevelType w:val="hybridMultilevel"/>
    <w:tmpl w:val="6874B144"/>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0" w15:restartNumberingAfterBreak="0">
    <w:nsid w:val="6A075496"/>
    <w:multiLevelType w:val="hybridMultilevel"/>
    <w:tmpl w:val="CE9CE982"/>
    <w:lvl w:ilvl="0" w:tplc="FFFFFFFF">
      <w:start w:val="1"/>
      <w:numFmt w:val="decimal"/>
      <w:lvlText w:val="%1."/>
      <w:lvlJc w:val="left"/>
      <w:pPr>
        <w:ind w:left="720" w:hanging="360"/>
      </w:pPr>
      <w:rPr>
        <w:rFonts w:hint="default"/>
      </w:rPr>
    </w:lvl>
    <w:lvl w:ilvl="1" w:tplc="1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A1033B6"/>
    <w:multiLevelType w:val="hybridMultilevel"/>
    <w:tmpl w:val="D144DDFA"/>
    <w:lvl w:ilvl="0" w:tplc="7382CCDC">
      <w:start w:val="1"/>
      <w:numFmt w:val="lowerLetter"/>
      <w:lvlText w:val="(%1)"/>
      <w:lvlJc w:val="left"/>
      <w:pPr>
        <w:ind w:left="794" w:hanging="51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62" w15:restartNumberingAfterBreak="0">
    <w:nsid w:val="6C1C4B6D"/>
    <w:multiLevelType w:val="hybridMultilevel"/>
    <w:tmpl w:val="AEF6C8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3" w15:restartNumberingAfterBreak="0">
    <w:nsid w:val="6C8B6B82"/>
    <w:multiLevelType w:val="multilevel"/>
    <w:tmpl w:val="5B5C7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D397946"/>
    <w:multiLevelType w:val="hybridMultilevel"/>
    <w:tmpl w:val="725EFCAA"/>
    <w:lvl w:ilvl="0" w:tplc="78A2756C">
      <w:numFmt w:val="bullet"/>
      <w:lvlText w:val="•"/>
      <w:lvlJc w:val="left"/>
      <w:pPr>
        <w:ind w:left="1280" w:hanging="560"/>
      </w:pPr>
      <w:rPr>
        <w:rFonts w:ascii="Calibri" w:eastAsia="Times New Roman" w:hAnsi="Calibri" w:cs="Calibr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5" w15:restartNumberingAfterBreak="0">
    <w:nsid w:val="6F393427"/>
    <w:multiLevelType w:val="multilevel"/>
    <w:tmpl w:val="C7440BB4"/>
    <w:styleLink w:val="Style2"/>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FCB13B0"/>
    <w:multiLevelType w:val="hybridMultilevel"/>
    <w:tmpl w:val="46B4C580"/>
    <w:lvl w:ilvl="0" w:tplc="535C6468">
      <w:start w:val="1"/>
      <w:numFmt w:val="bullet"/>
      <w:lvlText w:val="‒"/>
      <w:lvlJc w:val="left"/>
      <w:pPr>
        <w:ind w:left="1004" w:hanging="360"/>
      </w:pPr>
      <w:rPr>
        <w:rFonts w:ascii="Calibri" w:hAnsi="Calibri" w:cs="Times New Roman" w:hint="default"/>
        <w:color w:val="0F7B7D"/>
        <w:sz w:val="20"/>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67" w15:restartNumberingAfterBreak="0">
    <w:nsid w:val="700967A9"/>
    <w:multiLevelType w:val="hybridMultilevel"/>
    <w:tmpl w:val="FD4E5F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8" w15:restartNumberingAfterBreak="0">
    <w:nsid w:val="72267E1E"/>
    <w:multiLevelType w:val="multilevel"/>
    <w:tmpl w:val="2A48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2877438"/>
    <w:multiLevelType w:val="hybridMultilevel"/>
    <w:tmpl w:val="A08EE38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0" w15:restartNumberingAfterBreak="0">
    <w:nsid w:val="738632F7"/>
    <w:multiLevelType w:val="hybridMultilevel"/>
    <w:tmpl w:val="B070541C"/>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1"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5B90795"/>
    <w:multiLevelType w:val="hybridMultilevel"/>
    <w:tmpl w:val="AE3EF80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73" w15:restartNumberingAfterBreak="0">
    <w:nsid w:val="76E9AF7B"/>
    <w:multiLevelType w:val="hybridMultilevel"/>
    <w:tmpl w:val="A8BA68F6"/>
    <w:lvl w:ilvl="0" w:tplc="32728EC6">
      <w:start w:val="1"/>
      <w:numFmt w:val="bullet"/>
      <w:lvlText w:val=""/>
      <w:lvlJc w:val="left"/>
      <w:pPr>
        <w:ind w:left="720" w:hanging="360"/>
      </w:pPr>
      <w:rPr>
        <w:rFonts w:ascii="Symbol" w:hAnsi="Symbol" w:hint="default"/>
      </w:rPr>
    </w:lvl>
    <w:lvl w:ilvl="1" w:tplc="B48A93B4">
      <w:start w:val="1"/>
      <w:numFmt w:val="bullet"/>
      <w:lvlText w:val="o"/>
      <w:lvlJc w:val="left"/>
      <w:pPr>
        <w:ind w:left="1440" w:hanging="360"/>
      </w:pPr>
      <w:rPr>
        <w:rFonts w:ascii="Courier New" w:hAnsi="Courier New" w:hint="default"/>
      </w:rPr>
    </w:lvl>
    <w:lvl w:ilvl="2" w:tplc="E97250F2">
      <w:start w:val="1"/>
      <w:numFmt w:val="bullet"/>
      <w:lvlText w:val=""/>
      <w:lvlJc w:val="left"/>
      <w:pPr>
        <w:ind w:left="2160" w:hanging="360"/>
      </w:pPr>
      <w:rPr>
        <w:rFonts w:ascii="Wingdings" w:hAnsi="Wingdings" w:hint="default"/>
      </w:rPr>
    </w:lvl>
    <w:lvl w:ilvl="3" w:tplc="B626554A">
      <w:start w:val="1"/>
      <w:numFmt w:val="bullet"/>
      <w:lvlText w:val=""/>
      <w:lvlJc w:val="left"/>
      <w:pPr>
        <w:ind w:left="2880" w:hanging="360"/>
      </w:pPr>
      <w:rPr>
        <w:rFonts w:ascii="Symbol" w:hAnsi="Symbol" w:hint="default"/>
      </w:rPr>
    </w:lvl>
    <w:lvl w:ilvl="4" w:tplc="8878DBF8">
      <w:start w:val="1"/>
      <w:numFmt w:val="bullet"/>
      <w:lvlText w:val="o"/>
      <w:lvlJc w:val="left"/>
      <w:pPr>
        <w:ind w:left="3600" w:hanging="360"/>
      </w:pPr>
      <w:rPr>
        <w:rFonts w:ascii="Courier New" w:hAnsi="Courier New" w:hint="default"/>
      </w:rPr>
    </w:lvl>
    <w:lvl w:ilvl="5" w:tplc="33CC683E">
      <w:start w:val="1"/>
      <w:numFmt w:val="bullet"/>
      <w:lvlText w:val=""/>
      <w:lvlJc w:val="left"/>
      <w:pPr>
        <w:ind w:left="4320" w:hanging="360"/>
      </w:pPr>
      <w:rPr>
        <w:rFonts w:ascii="Wingdings" w:hAnsi="Wingdings" w:hint="default"/>
      </w:rPr>
    </w:lvl>
    <w:lvl w:ilvl="6" w:tplc="9BDE2212">
      <w:start w:val="1"/>
      <w:numFmt w:val="bullet"/>
      <w:lvlText w:val=""/>
      <w:lvlJc w:val="left"/>
      <w:pPr>
        <w:ind w:left="5040" w:hanging="360"/>
      </w:pPr>
      <w:rPr>
        <w:rFonts w:ascii="Symbol" w:hAnsi="Symbol" w:hint="default"/>
      </w:rPr>
    </w:lvl>
    <w:lvl w:ilvl="7" w:tplc="576C4E74">
      <w:start w:val="1"/>
      <w:numFmt w:val="bullet"/>
      <w:lvlText w:val="o"/>
      <w:lvlJc w:val="left"/>
      <w:pPr>
        <w:ind w:left="5760" w:hanging="360"/>
      </w:pPr>
      <w:rPr>
        <w:rFonts w:ascii="Courier New" w:hAnsi="Courier New" w:hint="default"/>
      </w:rPr>
    </w:lvl>
    <w:lvl w:ilvl="8" w:tplc="1AF8EF4E">
      <w:start w:val="1"/>
      <w:numFmt w:val="bullet"/>
      <w:lvlText w:val=""/>
      <w:lvlJc w:val="left"/>
      <w:pPr>
        <w:ind w:left="6480" w:hanging="360"/>
      </w:pPr>
      <w:rPr>
        <w:rFonts w:ascii="Wingdings" w:hAnsi="Wingdings" w:hint="default"/>
      </w:rPr>
    </w:lvl>
  </w:abstractNum>
  <w:abstractNum w:abstractNumId="74" w15:restartNumberingAfterBreak="0">
    <w:nsid w:val="7B971523"/>
    <w:multiLevelType w:val="multilevel"/>
    <w:tmpl w:val="8EE2E172"/>
    <w:lvl w:ilvl="0">
      <w:start w:val="1"/>
      <w:numFmt w:val="bullet"/>
      <w:lvlText w:val="o"/>
      <w:lvlJc w:val="left"/>
      <w:pPr>
        <w:tabs>
          <w:tab w:val="num" w:pos="397"/>
        </w:tabs>
        <w:ind w:left="794" w:hanging="397"/>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CD7A9A5"/>
    <w:multiLevelType w:val="hybridMultilevel"/>
    <w:tmpl w:val="FFFFFFFF"/>
    <w:lvl w:ilvl="0" w:tplc="3A5AFB74">
      <w:start w:val="1"/>
      <w:numFmt w:val="bullet"/>
      <w:lvlText w:val=""/>
      <w:lvlJc w:val="left"/>
      <w:pPr>
        <w:ind w:left="720" w:hanging="360"/>
      </w:pPr>
      <w:rPr>
        <w:rFonts w:ascii="Symbol" w:hAnsi="Symbol" w:hint="default"/>
      </w:rPr>
    </w:lvl>
    <w:lvl w:ilvl="1" w:tplc="403A5D1A">
      <w:start w:val="1"/>
      <w:numFmt w:val="bullet"/>
      <w:lvlText w:val="o"/>
      <w:lvlJc w:val="left"/>
      <w:pPr>
        <w:ind w:left="1440" w:hanging="360"/>
      </w:pPr>
      <w:rPr>
        <w:rFonts w:ascii="Courier New" w:hAnsi="Courier New" w:hint="default"/>
      </w:rPr>
    </w:lvl>
    <w:lvl w:ilvl="2" w:tplc="15605DF0">
      <w:start w:val="1"/>
      <w:numFmt w:val="bullet"/>
      <w:lvlText w:val=""/>
      <w:lvlJc w:val="left"/>
      <w:pPr>
        <w:ind w:left="2160" w:hanging="360"/>
      </w:pPr>
      <w:rPr>
        <w:rFonts w:ascii="Wingdings" w:hAnsi="Wingdings" w:hint="default"/>
      </w:rPr>
    </w:lvl>
    <w:lvl w:ilvl="3" w:tplc="19702C02">
      <w:start w:val="1"/>
      <w:numFmt w:val="bullet"/>
      <w:lvlText w:val=""/>
      <w:lvlJc w:val="left"/>
      <w:pPr>
        <w:ind w:left="2880" w:hanging="360"/>
      </w:pPr>
      <w:rPr>
        <w:rFonts w:ascii="Symbol" w:hAnsi="Symbol" w:hint="default"/>
      </w:rPr>
    </w:lvl>
    <w:lvl w:ilvl="4" w:tplc="B3C4DC78">
      <w:start w:val="1"/>
      <w:numFmt w:val="bullet"/>
      <w:lvlText w:val="o"/>
      <w:lvlJc w:val="left"/>
      <w:pPr>
        <w:ind w:left="3600" w:hanging="360"/>
      </w:pPr>
      <w:rPr>
        <w:rFonts w:ascii="Courier New" w:hAnsi="Courier New" w:hint="default"/>
      </w:rPr>
    </w:lvl>
    <w:lvl w:ilvl="5" w:tplc="8CF06A02">
      <w:start w:val="1"/>
      <w:numFmt w:val="bullet"/>
      <w:lvlText w:val=""/>
      <w:lvlJc w:val="left"/>
      <w:pPr>
        <w:ind w:left="4320" w:hanging="360"/>
      </w:pPr>
      <w:rPr>
        <w:rFonts w:ascii="Wingdings" w:hAnsi="Wingdings" w:hint="default"/>
      </w:rPr>
    </w:lvl>
    <w:lvl w:ilvl="6" w:tplc="6D862B8E">
      <w:start w:val="1"/>
      <w:numFmt w:val="bullet"/>
      <w:lvlText w:val=""/>
      <w:lvlJc w:val="left"/>
      <w:pPr>
        <w:ind w:left="5040" w:hanging="360"/>
      </w:pPr>
      <w:rPr>
        <w:rFonts w:ascii="Symbol" w:hAnsi="Symbol" w:hint="default"/>
      </w:rPr>
    </w:lvl>
    <w:lvl w:ilvl="7" w:tplc="6E0090F4">
      <w:start w:val="1"/>
      <w:numFmt w:val="bullet"/>
      <w:lvlText w:val="o"/>
      <w:lvlJc w:val="left"/>
      <w:pPr>
        <w:ind w:left="5760" w:hanging="360"/>
      </w:pPr>
      <w:rPr>
        <w:rFonts w:ascii="Courier New" w:hAnsi="Courier New" w:hint="default"/>
      </w:rPr>
    </w:lvl>
    <w:lvl w:ilvl="8" w:tplc="680C104C">
      <w:start w:val="1"/>
      <w:numFmt w:val="bullet"/>
      <w:lvlText w:val=""/>
      <w:lvlJc w:val="left"/>
      <w:pPr>
        <w:ind w:left="6480" w:hanging="360"/>
      </w:pPr>
      <w:rPr>
        <w:rFonts w:ascii="Wingdings" w:hAnsi="Wingdings" w:hint="default"/>
      </w:rPr>
    </w:lvl>
  </w:abstractNum>
  <w:abstractNum w:abstractNumId="76" w15:restartNumberingAfterBreak="0">
    <w:nsid w:val="7E571104"/>
    <w:multiLevelType w:val="hybridMultilevel"/>
    <w:tmpl w:val="05FAA7E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7" w15:restartNumberingAfterBreak="0">
    <w:nsid w:val="7EE5603F"/>
    <w:multiLevelType w:val="hybridMultilevel"/>
    <w:tmpl w:val="5622B0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8" w15:restartNumberingAfterBreak="0">
    <w:nsid w:val="7F7630EB"/>
    <w:multiLevelType w:val="multilevel"/>
    <w:tmpl w:val="FE640DAC"/>
    <w:lvl w:ilvl="0">
      <w:start w:val="1"/>
      <w:numFmt w:val="bullet"/>
      <w:pStyle w:val="AOBulletLevel1"/>
      <w:lvlText w:val=""/>
      <w:lvlJc w:val="left"/>
      <w:pPr>
        <w:ind w:left="360" w:hanging="360"/>
      </w:pPr>
      <w:rPr>
        <w:rFonts w:ascii="Symbol" w:hAnsi="Symbol" w:hint="default"/>
      </w:rPr>
    </w:lvl>
    <w:lvl w:ilvl="1">
      <w:start w:val="1"/>
      <w:numFmt w:val="bullet"/>
      <w:pStyle w:val="AOBulletLevel2"/>
      <w:lvlText w:val=""/>
      <w:lvlJc w:val="left"/>
      <w:pPr>
        <w:ind w:left="720" w:hanging="360"/>
      </w:pPr>
      <w:rPr>
        <w:rFonts w:ascii="Wingdings" w:hAnsi="Wingdings" w:hint="default"/>
        <w:sz w:val="12"/>
      </w:rPr>
    </w:lvl>
    <w:lvl w:ilvl="2">
      <w:start w:val="1"/>
      <w:numFmt w:val="bullet"/>
      <w:pStyle w:val="AOBulletLevel3"/>
      <w:lvlText w:val=""/>
      <w:lvlJc w:val="left"/>
      <w:pPr>
        <w:ind w:left="1072" w:hanging="358"/>
      </w:pPr>
      <w:rPr>
        <w:rFonts w:ascii="Symbol" w:hAnsi="Symbol" w:hint="default"/>
        <w:sz w:val="1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7FF51CDC"/>
    <w:multiLevelType w:val="hybridMultilevel"/>
    <w:tmpl w:val="CF2A1F4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0" w15:restartNumberingAfterBreak="0">
    <w:nsid w:val="7FFB2040"/>
    <w:multiLevelType w:val="hybridMultilevel"/>
    <w:tmpl w:val="3D14AAB4"/>
    <w:lvl w:ilvl="0" w:tplc="766472C4">
      <w:start w:val="1"/>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48715540">
    <w:abstractNumId w:val="30"/>
  </w:num>
  <w:num w:numId="2" w16cid:durableId="797454537">
    <w:abstractNumId w:val="27"/>
  </w:num>
  <w:num w:numId="3" w16cid:durableId="1465346826">
    <w:abstractNumId w:val="65"/>
  </w:num>
  <w:num w:numId="4" w16cid:durableId="180439593">
    <w:abstractNumId w:val="9"/>
  </w:num>
  <w:num w:numId="5" w16cid:durableId="1951621493">
    <w:abstractNumId w:val="24"/>
  </w:num>
  <w:num w:numId="6" w16cid:durableId="1044714646">
    <w:abstractNumId w:val="66"/>
  </w:num>
  <w:num w:numId="7" w16cid:durableId="374811106">
    <w:abstractNumId w:val="29"/>
  </w:num>
  <w:num w:numId="8" w16cid:durableId="1810047126">
    <w:abstractNumId w:val="0"/>
  </w:num>
  <w:num w:numId="9" w16cid:durableId="915743221">
    <w:abstractNumId w:val="50"/>
  </w:num>
  <w:num w:numId="10" w16cid:durableId="1820616116">
    <w:abstractNumId w:val="21"/>
  </w:num>
  <w:num w:numId="11" w16cid:durableId="1953514624">
    <w:abstractNumId w:val="36"/>
  </w:num>
  <w:num w:numId="12" w16cid:durableId="878783326">
    <w:abstractNumId w:val="28"/>
  </w:num>
  <w:num w:numId="13" w16cid:durableId="1644313411">
    <w:abstractNumId w:val="40"/>
  </w:num>
  <w:num w:numId="14" w16cid:durableId="640620592">
    <w:abstractNumId w:val="22"/>
  </w:num>
  <w:num w:numId="15" w16cid:durableId="771362958">
    <w:abstractNumId w:val="44"/>
  </w:num>
  <w:num w:numId="16" w16cid:durableId="1410150593">
    <w:abstractNumId w:val="43"/>
  </w:num>
  <w:num w:numId="17" w16cid:durableId="208960547">
    <w:abstractNumId w:val="71"/>
  </w:num>
  <w:num w:numId="18" w16cid:durableId="577907027">
    <w:abstractNumId w:val="6"/>
  </w:num>
  <w:num w:numId="19" w16cid:durableId="1503202082">
    <w:abstractNumId w:val="54"/>
  </w:num>
  <w:num w:numId="20" w16cid:durableId="1610090783">
    <w:abstractNumId w:val="39"/>
  </w:num>
  <w:num w:numId="21" w16cid:durableId="1870214571">
    <w:abstractNumId w:val="45"/>
  </w:num>
  <w:num w:numId="22" w16cid:durableId="1610966756">
    <w:abstractNumId w:val="11"/>
  </w:num>
  <w:num w:numId="23" w16cid:durableId="1919173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84389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646463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08380023">
    <w:abstractNumId w:val="12"/>
  </w:num>
  <w:num w:numId="27" w16cid:durableId="1324548619">
    <w:abstractNumId w:val="76"/>
  </w:num>
  <w:num w:numId="28" w16cid:durableId="1149401269">
    <w:abstractNumId w:val="15"/>
  </w:num>
  <w:num w:numId="29" w16cid:durableId="648753674">
    <w:abstractNumId w:val="62"/>
  </w:num>
  <w:num w:numId="30" w16cid:durableId="2018728877">
    <w:abstractNumId w:val="35"/>
  </w:num>
  <w:num w:numId="31" w16cid:durableId="32702847">
    <w:abstractNumId w:val="69"/>
  </w:num>
  <w:num w:numId="32" w16cid:durableId="118688609">
    <w:abstractNumId w:val="74"/>
  </w:num>
  <w:num w:numId="33" w16cid:durableId="976953991">
    <w:abstractNumId w:val="52"/>
  </w:num>
  <w:num w:numId="34" w16cid:durableId="643702862">
    <w:abstractNumId w:val="32"/>
  </w:num>
  <w:num w:numId="35" w16cid:durableId="1507747061">
    <w:abstractNumId w:val="51"/>
  </w:num>
  <w:num w:numId="36" w16cid:durableId="796533726">
    <w:abstractNumId w:val="46"/>
  </w:num>
  <w:num w:numId="37" w16cid:durableId="1549800593">
    <w:abstractNumId w:val="68"/>
  </w:num>
  <w:num w:numId="38" w16cid:durableId="954676457">
    <w:abstractNumId w:val="16"/>
  </w:num>
  <w:num w:numId="39" w16cid:durableId="1832987145">
    <w:abstractNumId w:val="14"/>
  </w:num>
  <w:num w:numId="40" w16cid:durableId="1321468715">
    <w:abstractNumId w:val="2"/>
  </w:num>
  <w:num w:numId="41" w16cid:durableId="958073572">
    <w:abstractNumId w:val="19"/>
  </w:num>
  <w:num w:numId="42" w16cid:durableId="1248424848">
    <w:abstractNumId w:val="25"/>
  </w:num>
  <w:num w:numId="43" w16cid:durableId="281306156">
    <w:abstractNumId w:val="61"/>
  </w:num>
  <w:num w:numId="44" w16cid:durableId="19400509">
    <w:abstractNumId w:val="42"/>
  </w:num>
  <w:num w:numId="45" w16cid:durableId="767776660">
    <w:abstractNumId w:val="5"/>
  </w:num>
  <w:num w:numId="46" w16cid:durableId="1582443931">
    <w:abstractNumId w:val="37"/>
  </w:num>
  <w:num w:numId="47" w16cid:durableId="1565483986">
    <w:abstractNumId w:val="75"/>
  </w:num>
  <w:num w:numId="48" w16cid:durableId="224067627">
    <w:abstractNumId w:val="38"/>
  </w:num>
  <w:num w:numId="49" w16cid:durableId="1122651963">
    <w:abstractNumId w:val="26"/>
  </w:num>
  <w:num w:numId="50" w16cid:durableId="1481923072">
    <w:abstractNumId w:val="3"/>
  </w:num>
  <w:num w:numId="51" w16cid:durableId="540677325">
    <w:abstractNumId w:val="59"/>
  </w:num>
  <w:num w:numId="52" w16cid:durableId="1184323141">
    <w:abstractNumId w:val="60"/>
  </w:num>
  <w:num w:numId="53" w16cid:durableId="2016373914">
    <w:abstractNumId w:val="13"/>
  </w:num>
  <w:num w:numId="54" w16cid:durableId="622469797">
    <w:abstractNumId w:val="58"/>
  </w:num>
  <w:num w:numId="55" w16cid:durableId="750734611">
    <w:abstractNumId w:val="10"/>
  </w:num>
  <w:num w:numId="56" w16cid:durableId="195974260">
    <w:abstractNumId w:val="73"/>
  </w:num>
  <w:num w:numId="57" w16cid:durableId="1798572264">
    <w:abstractNumId w:val="20"/>
  </w:num>
  <w:num w:numId="58" w16cid:durableId="300115494">
    <w:abstractNumId w:val="33"/>
  </w:num>
  <w:num w:numId="59" w16cid:durableId="916356105">
    <w:abstractNumId w:val="34"/>
  </w:num>
  <w:num w:numId="60" w16cid:durableId="903419204">
    <w:abstractNumId w:val="77"/>
  </w:num>
  <w:num w:numId="61" w16cid:durableId="444741040">
    <w:abstractNumId w:val="72"/>
  </w:num>
  <w:num w:numId="62" w16cid:durableId="648900839">
    <w:abstractNumId w:val="56"/>
  </w:num>
  <w:num w:numId="63" w16cid:durableId="328675256">
    <w:abstractNumId w:val="70"/>
  </w:num>
  <w:num w:numId="64" w16cid:durableId="1316642369">
    <w:abstractNumId w:val="1"/>
  </w:num>
  <w:num w:numId="65" w16cid:durableId="312952926">
    <w:abstractNumId w:val="7"/>
  </w:num>
  <w:num w:numId="66" w16cid:durableId="218201880">
    <w:abstractNumId w:val="4"/>
  </w:num>
  <w:num w:numId="67" w16cid:durableId="1514878294">
    <w:abstractNumId w:val="57"/>
  </w:num>
  <w:num w:numId="68" w16cid:durableId="613168377">
    <w:abstractNumId w:val="67"/>
  </w:num>
  <w:num w:numId="69" w16cid:durableId="1476141235">
    <w:abstractNumId w:val="17"/>
  </w:num>
  <w:num w:numId="70" w16cid:durableId="1273823454">
    <w:abstractNumId w:val="49"/>
  </w:num>
  <w:num w:numId="71" w16cid:durableId="1566915544">
    <w:abstractNumId w:val="47"/>
  </w:num>
  <w:num w:numId="72" w16cid:durableId="1810706660">
    <w:abstractNumId w:val="31"/>
  </w:num>
  <w:num w:numId="73" w16cid:durableId="1437407990">
    <w:abstractNumId w:val="79"/>
  </w:num>
  <w:num w:numId="74" w16cid:durableId="1176774034">
    <w:abstractNumId w:val="55"/>
  </w:num>
  <w:num w:numId="75" w16cid:durableId="315761898">
    <w:abstractNumId w:val="18"/>
  </w:num>
  <w:num w:numId="76" w16cid:durableId="1721172280">
    <w:abstractNumId w:val="48"/>
  </w:num>
  <w:num w:numId="77" w16cid:durableId="1266184174">
    <w:abstractNumId w:val="63"/>
  </w:num>
  <w:num w:numId="78" w16cid:durableId="581648506">
    <w:abstractNumId w:val="80"/>
  </w:num>
  <w:num w:numId="79" w16cid:durableId="2040010114">
    <w:abstractNumId w:val="53"/>
  </w:num>
  <w:num w:numId="80" w16cid:durableId="493186146">
    <w:abstractNumId w:val="23"/>
  </w:num>
  <w:num w:numId="81" w16cid:durableId="2013214963">
    <w:abstractNumId w:val="8"/>
  </w:num>
  <w:num w:numId="82" w16cid:durableId="1812791344">
    <w:abstractNumId w:val="64"/>
  </w:num>
  <w:num w:numId="83" w16cid:durableId="1104496900">
    <w:abstractNumId w:val="78"/>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DateAndTime/>
  <w:attachedTemplate r:id="rId1"/>
  <w:documentProtection w:edit="trackedChanges" w:enforcement="0"/>
  <w:defaultTabStop w:val="397"/>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093"/>
    <w:rsid w:val="000000B2"/>
    <w:rsid w:val="00000217"/>
    <w:rsid w:val="000002D2"/>
    <w:rsid w:val="000004BC"/>
    <w:rsid w:val="000005E6"/>
    <w:rsid w:val="000005FB"/>
    <w:rsid w:val="000006CA"/>
    <w:rsid w:val="0000073A"/>
    <w:rsid w:val="00000771"/>
    <w:rsid w:val="00000773"/>
    <w:rsid w:val="00000792"/>
    <w:rsid w:val="00000844"/>
    <w:rsid w:val="000008B7"/>
    <w:rsid w:val="000008C0"/>
    <w:rsid w:val="0000090B"/>
    <w:rsid w:val="000009C9"/>
    <w:rsid w:val="000009DA"/>
    <w:rsid w:val="000009EF"/>
    <w:rsid w:val="00000A94"/>
    <w:rsid w:val="00000ACA"/>
    <w:rsid w:val="00000B9C"/>
    <w:rsid w:val="00000C7D"/>
    <w:rsid w:val="00000CE6"/>
    <w:rsid w:val="00000E48"/>
    <w:rsid w:val="00000F04"/>
    <w:rsid w:val="00001025"/>
    <w:rsid w:val="0000106F"/>
    <w:rsid w:val="00001257"/>
    <w:rsid w:val="0000125C"/>
    <w:rsid w:val="000012E0"/>
    <w:rsid w:val="0000147A"/>
    <w:rsid w:val="00001548"/>
    <w:rsid w:val="0000156D"/>
    <w:rsid w:val="0000156F"/>
    <w:rsid w:val="000016A8"/>
    <w:rsid w:val="000016AB"/>
    <w:rsid w:val="000017F1"/>
    <w:rsid w:val="00001829"/>
    <w:rsid w:val="00001990"/>
    <w:rsid w:val="000019B5"/>
    <w:rsid w:val="00001A4B"/>
    <w:rsid w:val="00001A8C"/>
    <w:rsid w:val="00001D03"/>
    <w:rsid w:val="00001D4D"/>
    <w:rsid w:val="00001D8C"/>
    <w:rsid w:val="00001DD6"/>
    <w:rsid w:val="00001F24"/>
    <w:rsid w:val="000020D9"/>
    <w:rsid w:val="00002173"/>
    <w:rsid w:val="0000234B"/>
    <w:rsid w:val="00002390"/>
    <w:rsid w:val="0000247B"/>
    <w:rsid w:val="000024B3"/>
    <w:rsid w:val="000026AC"/>
    <w:rsid w:val="00002740"/>
    <w:rsid w:val="00002951"/>
    <w:rsid w:val="00002964"/>
    <w:rsid w:val="00002A1B"/>
    <w:rsid w:val="00002AAB"/>
    <w:rsid w:val="00002D17"/>
    <w:rsid w:val="00002E58"/>
    <w:rsid w:val="00003085"/>
    <w:rsid w:val="000031CB"/>
    <w:rsid w:val="00003567"/>
    <w:rsid w:val="000036B0"/>
    <w:rsid w:val="0000370F"/>
    <w:rsid w:val="000037FD"/>
    <w:rsid w:val="00003868"/>
    <w:rsid w:val="00003BE3"/>
    <w:rsid w:val="00003C30"/>
    <w:rsid w:val="00003C4F"/>
    <w:rsid w:val="00003E01"/>
    <w:rsid w:val="00003E3D"/>
    <w:rsid w:val="00003F27"/>
    <w:rsid w:val="00003F55"/>
    <w:rsid w:val="00004017"/>
    <w:rsid w:val="00004062"/>
    <w:rsid w:val="000040DE"/>
    <w:rsid w:val="000040F4"/>
    <w:rsid w:val="00004269"/>
    <w:rsid w:val="000042C2"/>
    <w:rsid w:val="00004316"/>
    <w:rsid w:val="000043C6"/>
    <w:rsid w:val="000048EA"/>
    <w:rsid w:val="00004971"/>
    <w:rsid w:val="00004A34"/>
    <w:rsid w:val="00004B96"/>
    <w:rsid w:val="00004C99"/>
    <w:rsid w:val="00004CF1"/>
    <w:rsid w:val="00004D1E"/>
    <w:rsid w:val="00004DDF"/>
    <w:rsid w:val="00004DF1"/>
    <w:rsid w:val="00004E0A"/>
    <w:rsid w:val="00004E33"/>
    <w:rsid w:val="00004EC4"/>
    <w:rsid w:val="00004FD3"/>
    <w:rsid w:val="000050ED"/>
    <w:rsid w:val="00005154"/>
    <w:rsid w:val="0000517C"/>
    <w:rsid w:val="00005259"/>
    <w:rsid w:val="000055BA"/>
    <w:rsid w:val="00005686"/>
    <w:rsid w:val="000057B1"/>
    <w:rsid w:val="000057DB"/>
    <w:rsid w:val="00005831"/>
    <w:rsid w:val="00005939"/>
    <w:rsid w:val="00005A18"/>
    <w:rsid w:val="00005C57"/>
    <w:rsid w:val="00005CF6"/>
    <w:rsid w:val="00005D4D"/>
    <w:rsid w:val="00005D9D"/>
    <w:rsid w:val="00005EB9"/>
    <w:rsid w:val="00005ED7"/>
    <w:rsid w:val="00005EE7"/>
    <w:rsid w:val="00005F82"/>
    <w:rsid w:val="0000615D"/>
    <w:rsid w:val="000062E4"/>
    <w:rsid w:val="00006424"/>
    <w:rsid w:val="000064A1"/>
    <w:rsid w:val="000064F5"/>
    <w:rsid w:val="00006512"/>
    <w:rsid w:val="0000657E"/>
    <w:rsid w:val="000065AD"/>
    <w:rsid w:val="000065E3"/>
    <w:rsid w:val="0000668D"/>
    <w:rsid w:val="000066F0"/>
    <w:rsid w:val="0000678D"/>
    <w:rsid w:val="00006929"/>
    <w:rsid w:val="00006A9E"/>
    <w:rsid w:val="00006B9C"/>
    <w:rsid w:val="00006BF2"/>
    <w:rsid w:val="00006C3B"/>
    <w:rsid w:val="00006C68"/>
    <w:rsid w:val="00006D73"/>
    <w:rsid w:val="00006DF5"/>
    <w:rsid w:val="00006EFB"/>
    <w:rsid w:val="00006F8F"/>
    <w:rsid w:val="00006F95"/>
    <w:rsid w:val="00007023"/>
    <w:rsid w:val="0000709F"/>
    <w:rsid w:val="000070D4"/>
    <w:rsid w:val="000071AD"/>
    <w:rsid w:val="000071D6"/>
    <w:rsid w:val="00007226"/>
    <w:rsid w:val="0000731C"/>
    <w:rsid w:val="00007337"/>
    <w:rsid w:val="000073E6"/>
    <w:rsid w:val="000074AE"/>
    <w:rsid w:val="000075CD"/>
    <w:rsid w:val="0000761D"/>
    <w:rsid w:val="00007670"/>
    <w:rsid w:val="000076B9"/>
    <w:rsid w:val="000076DE"/>
    <w:rsid w:val="000076F7"/>
    <w:rsid w:val="00007783"/>
    <w:rsid w:val="00007791"/>
    <w:rsid w:val="00007857"/>
    <w:rsid w:val="000079D7"/>
    <w:rsid w:val="00007B01"/>
    <w:rsid w:val="00007B0E"/>
    <w:rsid w:val="00007C34"/>
    <w:rsid w:val="00007D0F"/>
    <w:rsid w:val="00007D62"/>
    <w:rsid w:val="00007D6C"/>
    <w:rsid w:val="00007D73"/>
    <w:rsid w:val="00007F01"/>
    <w:rsid w:val="00007F2D"/>
    <w:rsid w:val="00007FAC"/>
    <w:rsid w:val="00010090"/>
    <w:rsid w:val="000100D6"/>
    <w:rsid w:val="00010180"/>
    <w:rsid w:val="000101E2"/>
    <w:rsid w:val="0001026D"/>
    <w:rsid w:val="0001039C"/>
    <w:rsid w:val="000103B1"/>
    <w:rsid w:val="00010619"/>
    <w:rsid w:val="000106E4"/>
    <w:rsid w:val="000107A6"/>
    <w:rsid w:val="0001084E"/>
    <w:rsid w:val="000108A8"/>
    <w:rsid w:val="00010A74"/>
    <w:rsid w:val="00010A9C"/>
    <w:rsid w:val="00010ABA"/>
    <w:rsid w:val="00010E15"/>
    <w:rsid w:val="00010F57"/>
    <w:rsid w:val="0001100C"/>
    <w:rsid w:val="00011045"/>
    <w:rsid w:val="00011101"/>
    <w:rsid w:val="00011188"/>
    <w:rsid w:val="0001119A"/>
    <w:rsid w:val="000111D9"/>
    <w:rsid w:val="00011227"/>
    <w:rsid w:val="000114AA"/>
    <w:rsid w:val="000114D2"/>
    <w:rsid w:val="0001187E"/>
    <w:rsid w:val="00011AF6"/>
    <w:rsid w:val="00011BFD"/>
    <w:rsid w:val="00011CE9"/>
    <w:rsid w:val="00011D7D"/>
    <w:rsid w:val="00011DCC"/>
    <w:rsid w:val="0001206C"/>
    <w:rsid w:val="000121B1"/>
    <w:rsid w:val="0001233A"/>
    <w:rsid w:val="00012555"/>
    <w:rsid w:val="00012A2F"/>
    <w:rsid w:val="00012B00"/>
    <w:rsid w:val="00012BD5"/>
    <w:rsid w:val="00012BDD"/>
    <w:rsid w:val="00012C96"/>
    <w:rsid w:val="00012CD2"/>
    <w:rsid w:val="00012D01"/>
    <w:rsid w:val="00012D31"/>
    <w:rsid w:val="00012D80"/>
    <w:rsid w:val="00012E25"/>
    <w:rsid w:val="00012ED3"/>
    <w:rsid w:val="00012F49"/>
    <w:rsid w:val="0001303C"/>
    <w:rsid w:val="000130FF"/>
    <w:rsid w:val="00013134"/>
    <w:rsid w:val="00013178"/>
    <w:rsid w:val="000131CB"/>
    <w:rsid w:val="0001328F"/>
    <w:rsid w:val="00013310"/>
    <w:rsid w:val="00013330"/>
    <w:rsid w:val="000133EF"/>
    <w:rsid w:val="0001342E"/>
    <w:rsid w:val="000134CC"/>
    <w:rsid w:val="00013542"/>
    <w:rsid w:val="00013644"/>
    <w:rsid w:val="0001368F"/>
    <w:rsid w:val="00013780"/>
    <w:rsid w:val="000137AC"/>
    <w:rsid w:val="0001380D"/>
    <w:rsid w:val="0001398E"/>
    <w:rsid w:val="00013BC8"/>
    <w:rsid w:val="00013BD2"/>
    <w:rsid w:val="00013CA9"/>
    <w:rsid w:val="00013E72"/>
    <w:rsid w:val="00014177"/>
    <w:rsid w:val="000141DA"/>
    <w:rsid w:val="00014220"/>
    <w:rsid w:val="00014236"/>
    <w:rsid w:val="000142BE"/>
    <w:rsid w:val="00014344"/>
    <w:rsid w:val="00014348"/>
    <w:rsid w:val="00014416"/>
    <w:rsid w:val="000144A2"/>
    <w:rsid w:val="0001456A"/>
    <w:rsid w:val="00014576"/>
    <w:rsid w:val="00014683"/>
    <w:rsid w:val="00014781"/>
    <w:rsid w:val="000147E2"/>
    <w:rsid w:val="00014802"/>
    <w:rsid w:val="000148F6"/>
    <w:rsid w:val="00014931"/>
    <w:rsid w:val="00014A00"/>
    <w:rsid w:val="00014AB3"/>
    <w:rsid w:val="00014C2C"/>
    <w:rsid w:val="00014D9B"/>
    <w:rsid w:val="00014E3D"/>
    <w:rsid w:val="00014F8F"/>
    <w:rsid w:val="00014FAC"/>
    <w:rsid w:val="00014FDA"/>
    <w:rsid w:val="00014FFA"/>
    <w:rsid w:val="00015032"/>
    <w:rsid w:val="00015035"/>
    <w:rsid w:val="000150F4"/>
    <w:rsid w:val="000151D4"/>
    <w:rsid w:val="00015217"/>
    <w:rsid w:val="00015375"/>
    <w:rsid w:val="00015383"/>
    <w:rsid w:val="000154D0"/>
    <w:rsid w:val="000155E4"/>
    <w:rsid w:val="00015603"/>
    <w:rsid w:val="000156BF"/>
    <w:rsid w:val="000156E5"/>
    <w:rsid w:val="0001587B"/>
    <w:rsid w:val="000158C8"/>
    <w:rsid w:val="000159D2"/>
    <w:rsid w:val="00015A20"/>
    <w:rsid w:val="00015AD4"/>
    <w:rsid w:val="00015BC2"/>
    <w:rsid w:val="00015C5E"/>
    <w:rsid w:val="00015F10"/>
    <w:rsid w:val="00015F47"/>
    <w:rsid w:val="00015FBE"/>
    <w:rsid w:val="00015FE3"/>
    <w:rsid w:val="00016110"/>
    <w:rsid w:val="000161A7"/>
    <w:rsid w:val="00016264"/>
    <w:rsid w:val="000164CB"/>
    <w:rsid w:val="00016608"/>
    <w:rsid w:val="00016758"/>
    <w:rsid w:val="000167AD"/>
    <w:rsid w:val="00016964"/>
    <w:rsid w:val="00016993"/>
    <w:rsid w:val="0001699A"/>
    <w:rsid w:val="00016BF5"/>
    <w:rsid w:val="00016CAB"/>
    <w:rsid w:val="00016E5B"/>
    <w:rsid w:val="00016F6C"/>
    <w:rsid w:val="00016FA8"/>
    <w:rsid w:val="00017160"/>
    <w:rsid w:val="00017352"/>
    <w:rsid w:val="0001737A"/>
    <w:rsid w:val="0001749B"/>
    <w:rsid w:val="000174D3"/>
    <w:rsid w:val="0001755F"/>
    <w:rsid w:val="00017667"/>
    <w:rsid w:val="00017793"/>
    <w:rsid w:val="000177BA"/>
    <w:rsid w:val="000178AE"/>
    <w:rsid w:val="000179B8"/>
    <w:rsid w:val="000179BA"/>
    <w:rsid w:val="00017C27"/>
    <w:rsid w:val="00017D72"/>
    <w:rsid w:val="00017D75"/>
    <w:rsid w:val="00017EC1"/>
    <w:rsid w:val="00017F9F"/>
    <w:rsid w:val="00017FE5"/>
    <w:rsid w:val="0002001A"/>
    <w:rsid w:val="00020183"/>
    <w:rsid w:val="00020196"/>
    <w:rsid w:val="00020267"/>
    <w:rsid w:val="0002052A"/>
    <w:rsid w:val="000205CE"/>
    <w:rsid w:val="00020723"/>
    <w:rsid w:val="00020742"/>
    <w:rsid w:val="00020899"/>
    <w:rsid w:val="000208CA"/>
    <w:rsid w:val="0002091A"/>
    <w:rsid w:val="00020957"/>
    <w:rsid w:val="00020959"/>
    <w:rsid w:val="00020A8B"/>
    <w:rsid w:val="00020B88"/>
    <w:rsid w:val="00020C2C"/>
    <w:rsid w:val="00020D07"/>
    <w:rsid w:val="00020D26"/>
    <w:rsid w:val="00020E82"/>
    <w:rsid w:val="00021004"/>
    <w:rsid w:val="0002132F"/>
    <w:rsid w:val="00021458"/>
    <w:rsid w:val="0002146A"/>
    <w:rsid w:val="0002147F"/>
    <w:rsid w:val="000216B9"/>
    <w:rsid w:val="00021784"/>
    <w:rsid w:val="00021855"/>
    <w:rsid w:val="000218EC"/>
    <w:rsid w:val="00021910"/>
    <w:rsid w:val="000219F0"/>
    <w:rsid w:val="00021A14"/>
    <w:rsid w:val="00021ADE"/>
    <w:rsid w:val="00021C1F"/>
    <w:rsid w:val="00021C37"/>
    <w:rsid w:val="00021E99"/>
    <w:rsid w:val="00021FD4"/>
    <w:rsid w:val="00022033"/>
    <w:rsid w:val="0002210F"/>
    <w:rsid w:val="00022192"/>
    <w:rsid w:val="00022208"/>
    <w:rsid w:val="0002220F"/>
    <w:rsid w:val="00022253"/>
    <w:rsid w:val="000223B7"/>
    <w:rsid w:val="000223CC"/>
    <w:rsid w:val="00022849"/>
    <w:rsid w:val="00022939"/>
    <w:rsid w:val="00022AEA"/>
    <w:rsid w:val="00022C5F"/>
    <w:rsid w:val="00022D73"/>
    <w:rsid w:val="00022E6A"/>
    <w:rsid w:val="00022E8D"/>
    <w:rsid w:val="00022F55"/>
    <w:rsid w:val="00023126"/>
    <w:rsid w:val="00023132"/>
    <w:rsid w:val="00023135"/>
    <w:rsid w:val="000231C1"/>
    <w:rsid w:val="00023200"/>
    <w:rsid w:val="00023331"/>
    <w:rsid w:val="0002348A"/>
    <w:rsid w:val="00023561"/>
    <w:rsid w:val="000235B5"/>
    <w:rsid w:val="00023798"/>
    <w:rsid w:val="00023854"/>
    <w:rsid w:val="00023908"/>
    <w:rsid w:val="00023AE8"/>
    <w:rsid w:val="00023BDA"/>
    <w:rsid w:val="00023C92"/>
    <w:rsid w:val="00023CB8"/>
    <w:rsid w:val="00023EA5"/>
    <w:rsid w:val="0002403B"/>
    <w:rsid w:val="00024162"/>
    <w:rsid w:val="000242EC"/>
    <w:rsid w:val="0002447C"/>
    <w:rsid w:val="000244A4"/>
    <w:rsid w:val="000244A6"/>
    <w:rsid w:val="000244A8"/>
    <w:rsid w:val="000244D1"/>
    <w:rsid w:val="0002452B"/>
    <w:rsid w:val="00024708"/>
    <w:rsid w:val="000249E3"/>
    <w:rsid w:val="000249F6"/>
    <w:rsid w:val="00024AAD"/>
    <w:rsid w:val="00024ACC"/>
    <w:rsid w:val="00024B87"/>
    <w:rsid w:val="00024D39"/>
    <w:rsid w:val="00024D9D"/>
    <w:rsid w:val="00024DC0"/>
    <w:rsid w:val="00024DEC"/>
    <w:rsid w:val="00024EE7"/>
    <w:rsid w:val="00024FB2"/>
    <w:rsid w:val="00024FCF"/>
    <w:rsid w:val="00025018"/>
    <w:rsid w:val="00025240"/>
    <w:rsid w:val="00025394"/>
    <w:rsid w:val="000253DA"/>
    <w:rsid w:val="0002540B"/>
    <w:rsid w:val="00025533"/>
    <w:rsid w:val="000257DC"/>
    <w:rsid w:val="00025936"/>
    <w:rsid w:val="00025966"/>
    <w:rsid w:val="00025971"/>
    <w:rsid w:val="00025B7F"/>
    <w:rsid w:val="00025D17"/>
    <w:rsid w:val="00025D23"/>
    <w:rsid w:val="00025D30"/>
    <w:rsid w:val="00025DDE"/>
    <w:rsid w:val="00025E0B"/>
    <w:rsid w:val="00025ED8"/>
    <w:rsid w:val="00025F96"/>
    <w:rsid w:val="00025FAB"/>
    <w:rsid w:val="000261B1"/>
    <w:rsid w:val="000262CF"/>
    <w:rsid w:val="000264FF"/>
    <w:rsid w:val="00026595"/>
    <w:rsid w:val="00026669"/>
    <w:rsid w:val="00026784"/>
    <w:rsid w:val="00026796"/>
    <w:rsid w:val="0002679A"/>
    <w:rsid w:val="000267C2"/>
    <w:rsid w:val="000267D7"/>
    <w:rsid w:val="0002684C"/>
    <w:rsid w:val="00026862"/>
    <w:rsid w:val="000268C9"/>
    <w:rsid w:val="00026924"/>
    <w:rsid w:val="00026AFC"/>
    <w:rsid w:val="00026B14"/>
    <w:rsid w:val="00026C2D"/>
    <w:rsid w:val="00026D5D"/>
    <w:rsid w:val="00026DC9"/>
    <w:rsid w:val="00026E6A"/>
    <w:rsid w:val="00026E89"/>
    <w:rsid w:val="0002709A"/>
    <w:rsid w:val="0002719D"/>
    <w:rsid w:val="00027284"/>
    <w:rsid w:val="00027304"/>
    <w:rsid w:val="00027436"/>
    <w:rsid w:val="000274B8"/>
    <w:rsid w:val="000275A3"/>
    <w:rsid w:val="0002782E"/>
    <w:rsid w:val="000278C9"/>
    <w:rsid w:val="00027AC4"/>
    <w:rsid w:val="00027BEE"/>
    <w:rsid w:val="00027CA6"/>
    <w:rsid w:val="00027D34"/>
    <w:rsid w:val="00027E31"/>
    <w:rsid w:val="00027E62"/>
    <w:rsid w:val="0003002E"/>
    <w:rsid w:val="00030141"/>
    <w:rsid w:val="0003016A"/>
    <w:rsid w:val="00030296"/>
    <w:rsid w:val="00030420"/>
    <w:rsid w:val="00030558"/>
    <w:rsid w:val="000305F7"/>
    <w:rsid w:val="00030699"/>
    <w:rsid w:val="0003069D"/>
    <w:rsid w:val="000306B6"/>
    <w:rsid w:val="00030725"/>
    <w:rsid w:val="00030727"/>
    <w:rsid w:val="00030739"/>
    <w:rsid w:val="0003082D"/>
    <w:rsid w:val="00030863"/>
    <w:rsid w:val="000308BF"/>
    <w:rsid w:val="00030AF5"/>
    <w:rsid w:val="00030CF4"/>
    <w:rsid w:val="00030DB8"/>
    <w:rsid w:val="00030E5C"/>
    <w:rsid w:val="00030E7D"/>
    <w:rsid w:val="0003102B"/>
    <w:rsid w:val="0003109B"/>
    <w:rsid w:val="00031199"/>
    <w:rsid w:val="00031277"/>
    <w:rsid w:val="00031288"/>
    <w:rsid w:val="0003132A"/>
    <w:rsid w:val="000314B2"/>
    <w:rsid w:val="00031578"/>
    <w:rsid w:val="00031634"/>
    <w:rsid w:val="00031807"/>
    <w:rsid w:val="000318A2"/>
    <w:rsid w:val="0003192E"/>
    <w:rsid w:val="00031A72"/>
    <w:rsid w:val="00031A83"/>
    <w:rsid w:val="00031B17"/>
    <w:rsid w:val="00031DA9"/>
    <w:rsid w:val="00031DDF"/>
    <w:rsid w:val="00031E0E"/>
    <w:rsid w:val="00031F5C"/>
    <w:rsid w:val="00032075"/>
    <w:rsid w:val="000320AB"/>
    <w:rsid w:val="0003213A"/>
    <w:rsid w:val="0003213C"/>
    <w:rsid w:val="000323C4"/>
    <w:rsid w:val="00032495"/>
    <w:rsid w:val="000325C1"/>
    <w:rsid w:val="000327AA"/>
    <w:rsid w:val="000327DF"/>
    <w:rsid w:val="0003285C"/>
    <w:rsid w:val="000328DF"/>
    <w:rsid w:val="000329D2"/>
    <w:rsid w:val="00032A81"/>
    <w:rsid w:val="00032AEA"/>
    <w:rsid w:val="00032DFB"/>
    <w:rsid w:val="00032E1E"/>
    <w:rsid w:val="00032F1C"/>
    <w:rsid w:val="00032FE8"/>
    <w:rsid w:val="0003315A"/>
    <w:rsid w:val="00033285"/>
    <w:rsid w:val="00033443"/>
    <w:rsid w:val="00033455"/>
    <w:rsid w:val="0003347A"/>
    <w:rsid w:val="00033646"/>
    <w:rsid w:val="000336C2"/>
    <w:rsid w:val="000336F5"/>
    <w:rsid w:val="000337D5"/>
    <w:rsid w:val="0003389E"/>
    <w:rsid w:val="000338B2"/>
    <w:rsid w:val="000339BC"/>
    <w:rsid w:val="00033BF3"/>
    <w:rsid w:val="00033C31"/>
    <w:rsid w:val="00033D16"/>
    <w:rsid w:val="00033E51"/>
    <w:rsid w:val="00033F24"/>
    <w:rsid w:val="0003400F"/>
    <w:rsid w:val="000340D8"/>
    <w:rsid w:val="000341A5"/>
    <w:rsid w:val="0003427D"/>
    <w:rsid w:val="000342CD"/>
    <w:rsid w:val="00034308"/>
    <w:rsid w:val="00034416"/>
    <w:rsid w:val="000344A0"/>
    <w:rsid w:val="00034511"/>
    <w:rsid w:val="00034534"/>
    <w:rsid w:val="00034615"/>
    <w:rsid w:val="00034660"/>
    <w:rsid w:val="00034671"/>
    <w:rsid w:val="00034764"/>
    <w:rsid w:val="000347F7"/>
    <w:rsid w:val="0003482D"/>
    <w:rsid w:val="00034A19"/>
    <w:rsid w:val="00034B56"/>
    <w:rsid w:val="00034BD8"/>
    <w:rsid w:val="00034BFB"/>
    <w:rsid w:val="00034DFA"/>
    <w:rsid w:val="00034E92"/>
    <w:rsid w:val="00035000"/>
    <w:rsid w:val="00035062"/>
    <w:rsid w:val="0003509E"/>
    <w:rsid w:val="00035246"/>
    <w:rsid w:val="00035369"/>
    <w:rsid w:val="00035502"/>
    <w:rsid w:val="0003550E"/>
    <w:rsid w:val="00035566"/>
    <w:rsid w:val="0003567C"/>
    <w:rsid w:val="000357D5"/>
    <w:rsid w:val="000357ED"/>
    <w:rsid w:val="0003583F"/>
    <w:rsid w:val="00035917"/>
    <w:rsid w:val="00035A49"/>
    <w:rsid w:val="00035AEF"/>
    <w:rsid w:val="00035BBF"/>
    <w:rsid w:val="00035C3C"/>
    <w:rsid w:val="00035DB3"/>
    <w:rsid w:val="00035E15"/>
    <w:rsid w:val="00035ED5"/>
    <w:rsid w:val="0003604C"/>
    <w:rsid w:val="0003610E"/>
    <w:rsid w:val="00036189"/>
    <w:rsid w:val="000362CF"/>
    <w:rsid w:val="0003631C"/>
    <w:rsid w:val="00036335"/>
    <w:rsid w:val="0003640E"/>
    <w:rsid w:val="0003642F"/>
    <w:rsid w:val="00036585"/>
    <w:rsid w:val="0003659C"/>
    <w:rsid w:val="000365C4"/>
    <w:rsid w:val="0003661C"/>
    <w:rsid w:val="00036683"/>
    <w:rsid w:val="00036715"/>
    <w:rsid w:val="0003688A"/>
    <w:rsid w:val="000368FC"/>
    <w:rsid w:val="00036938"/>
    <w:rsid w:val="00036948"/>
    <w:rsid w:val="000369EE"/>
    <w:rsid w:val="000369F8"/>
    <w:rsid w:val="00036A0D"/>
    <w:rsid w:val="00036AEB"/>
    <w:rsid w:val="00036BD1"/>
    <w:rsid w:val="00036C2B"/>
    <w:rsid w:val="00036CBF"/>
    <w:rsid w:val="00036DA3"/>
    <w:rsid w:val="00036E3C"/>
    <w:rsid w:val="00036EB0"/>
    <w:rsid w:val="00036EBD"/>
    <w:rsid w:val="00037328"/>
    <w:rsid w:val="00037385"/>
    <w:rsid w:val="000374CB"/>
    <w:rsid w:val="000375E3"/>
    <w:rsid w:val="00037741"/>
    <w:rsid w:val="00037772"/>
    <w:rsid w:val="0003786B"/>
    <w:rsid w:val="000379BF"/>
    <w:rsid w:val="000379C5"/>
    <w:rsid w:val="00037AF8"/>
    <w:rsid w:val="00037BEC"/>
    <w:rsid w:val="00037C27"/>
    <w:rsid w:val="00037C69"/>
    <w:rsid w:val="00037C91"/>
    <w:rsid w:val="00037D93"/>
    <w:rsid w:val="00037DFF"/>
    <w:rsid w:val="00037F6F"/>
    <w:rsid w:val="000400D9"/>
    <w:rsid w:val="00040337"/>
    <w:rsid w:val="0004035C"/>
    <w:rsid w:val="00040527"/>
    <w:rsid w:val="000405A3"/>
    <w:rsid w:val="000406B4"/>
    <w:rsid w:val="0004071E"/>
    <w:rsid w:val="00040860"/>
    <w:rsid w:val="000409F6"/>
    <w:rsid w:val="00040A14"/>
    <w:rsid w:val="00040A66"/>
    <w:rsid w:val="00040AD6"/>
    <w:rsid w:val="00040B52"/>
    <w:rsid w:val="00040B74"/>
    <w:rsid w:val="00040C1E"/>
    <w:rsid w:val="00040C55"/>
    <w:rsid w:val="00040CD4"/>
    <w:rsid w:val="00040CED"/>
    <w:rsid w:val="00040D15"/>
    <w:rsid w:val="00040D4B"/>
    <w:rsid w:val="00040EA1"/>
    <w:rsid w:val="00041147"/>
    <w:rsid w:val="00041376"/>
    <w:rsid w:val="000413C6"/>
    <w:rsid w:val="000413D1"/>
    <w:rsid w:val="000414A2"/>
    <w:rsid w:val="000414F3"/>
    <w:rsid w:val="0004150E"/>
    <w:rsid w:val="00041625"/>
    <w:rsid w:val="000417B2"/>
    <w:rsid w:val="00041847"/>
    <w:rsid w:val="00041868"/>
    <w:rsid w:val="000418F9"/>
    <w:rsid w:val="00041A3E"/>
    <w:rsid w:val="00041E48"/>
    <w:rsid w:val="00041EB6"/>
    <w:rsid w:val="00041F66"/>
    <w:rsid w:val="0004204F"/>
    <w:rsid w:val="0004205F"/>
    <w:rsid w:val="0004213F"/>
    <w:rsid w:val="000421FF"/>
    <w:rsid w:val="00042299"/>
    <w:rsid w:val="000422F3"/>
    <w:rsid w:val="000423C6"/>
    <w:rsid w:val="0004258F"/>
    <w:rsid w:val="000426C0"/>
    <w:rsid w:val="00042890"/>
    <w:rsid w:val="00042908"/>
    <w:rsid w:val="00042C49"/>
    <w:rsid w:val="00042C66"/>
    <w:rsid w:val="00042D0C"/>
    <w:rsid w:val="00042EDB"/>
    <w:rsid w:val="00042F30"/>
    <w:rsid w:val="00042F6A"/>
    <w:rsid w:val="0004304E"/>
    <w:rsid w:val="000430A1"/>
    <w:rsid w:val="0004320F"/>
    <w:rsid w:val="0004334E"/>
    <w:rsid w:val="00043382"/>
    <w:rsid w:val="0004338C"/>
    <w:rsid w:val="000434E0"/>
    <w:rsid w:val="0004351C"/>
    <w:rsid w:val="0004368C"/>
    <w:rsid w:val="000436CE"/>
    <w:rsid w:val="00043B4A"/>
    <w:rsid w:val="00043DC5"/>
    <w:rsid w:val="00043EC3"/>
    <w:rsid w:val="00043F60"/>
    <w:rsid w:val="00044020"/>
    <w:rsid w:val="00044032"/>
    <w:rsid w:val="0004429F"/>
    <w:rsid w:val="000442FD"/>
    <w:rsid w:val="00044394"/>
    <w:rsid w:val="000445DE"/>
    <w:rsid w:val="00044668"/>
    <w:rsid w:val="00044802"/>
    <w:rsid w:val="00044892"/>
    <w:rsid w:val="00044A50"/>
    <w:rsid w:val="00044A78"/>
    <w:rsid w:val="00044C65"/>
    <w:rsid w:val="00044CAA"/>
    <w:rsid w:val="00044CF3"/>
    <w:rsid w:val="00044D74"/>
    <w:rsid w:val="00044F1A"/>
    <w:rsid w:val="00044FA3"/>
    <w:rsid w:val="00045062"/>
    <w:rsid w:val="000451AF"/>
    <w:rsid w:val="000451EF"/>
    <w:rsid w:val="000452BC"/>
    <w:rsid w:val="00045382"/>
    <w:rsid w:val="000457C9"/>
    <w:rsid w:val="000457E7"/>
    <w:rsid w:val="000458C7"/>
    <w:rsid w:val="000458FE"/>
    <w:rsid w:val="00045923"/>
    <w:rsid w:val="0004594D"/>
    <w:rsid w:val="00045991"/>
    <w:rsid w:val="000459FA"/>
    <w:rsid w:val="00045A41"/>
    <w:rsid w:val="00045CC2"/>
    <w:rsid w:val="00045DCF"/>
    <w:rsid w:val="00045E33"/>
    <w:rsid w:val="00045E5C"/>
    <w:rsid w:val="00045F29"/>
    <w:rsid w:val="00046019"/>
    <w:rsid w:val="0004602C"/>
    <w:rsid w:val="00046267"/>
    <w:rsid w:val="0004626B"/>
    <w:rsid w:val="00046288"/>
    <w:rsid w:val="00046328"/>
    <w:rsid w:val="00046341"/>
    <w:rsid w:val="0004649C"/>
    <w:rsid w:val="000464A5"/>
    <w:rsid w:val="000464BF"/>
    <w:rsid w:val="00046523"/>
    <w:rsid w:val="000465E7"/>
    <w:rsid w:val="00046669"/>
    <w:rsid w:val="000466F9"/>
    <w:rsid w:val="00046781"/>
    <w:rsid w:val="000467EC"/>
    <w:rsid w:val="000468EB"/>
    <w:rsid w:val="00046AFA"/>
    <w:rsid w:val="00046B83"/>
    <w:rsid w:val="00046BB9"/>
    <w:rsid w:val="00046BC9"/>
    <w:rsid w:val="00046EC2"/>
    <w:rsid w:val="00047051"/>
    <w:rsid w:val="000470D2"/>
    <w:rsid w:val="000470F6"/>
    <w:rsid w:val="0004725A"/>
    <w:rsid w:val="0004732D"/>
    <w:rsid w:val="000473B5"/>
    <w:rsid w:val="000473C4"/>
    <w:rsid w:val="0004740A"/>
    <w:rsid w:val="000475E7"/>
    <w:rsid w:val="000476AA"/>
    <w:rsid w:val="00047941"/>
    <w:rsid w:val="00047975"/>
    <w:rsid w:val="00047CFB"/>
    <w:rsid w:val="00047E48"/>
    <w:rsid w:val="00050065"/>
    <w:rsid w:val="000500A1"/>
    <w:rsid w:val="0005010D"/>
    <w:rsid w:val="00050160"/>
    <w:rsid w:val="000502B4"/>
    <w:rsid w:val="000502E4"/>
    <w:rsid w:val="000502EF"/>
    <w:rsid w:val="00050341"/>
    <w:rsid w:val="000504A6"/>
    <w:rsid w:val="0005057F"/>
    <w:rsid w:val="00050601"/>
    <w:rsid w:val="0005068B"/>
    <w:rsid w:val="000506DC"/>
    <w:rsid w:val="00050955"/>
    <w:rsid w:val="00050A22"/>
    <w:rsid w:val="00050E0A"/>
    <w:rsid w:val="00050E27"/>
    <w:rsid w:val="00050E5B"/>
    <w:rsid w:val="00050EC3"/>
    <w:rsid w:val="00050F0B"/>
    <w:rsid w:val="00050F80"/>
    <w:rsid w:val="00051068"/>
    <w:rsid w:val="0005137C"/>
    <w:rsid w:val="0005137D"/>
    <w:rsid w:val="00051429"/>
    <w:rsid w:val="0005144F"/>
    <w:rsid w:val="000517F1"/>
    <w:rsid w:val="00051839"/>
    <w:rsid w:val="000518D2"/>
    <w:rsid w:val="00051997"/>
    <w:rsid w:val="0005199D"/>
    <w:rsid w:val="000519AE"/>
    <w:rsid w:val="000519F7"/>
    <w:rsid w:val="00051A3D"/>
    <w:rsid w:val="00051AF1"/>
    <w:rsid w:val="00051B81"/>
    <w:rsid w:val="00051B86"/>
    <w:rsid w:val="00051D42"/>
    <w:rsid w:val="00051D4F"/>
    <w:rsid w:val="00051EEB"/>
    <w:rsid w:val="00051F14"/>
    <w:rsid w:val="0005210C"/>
    <w:rsid w:val="00052133"/>
    <w:rsid w:val="000521A5"/>
    <w:rsid w:val="000521C8"/>
    <w:rsid w:val="00052420"/>
    <w:rsid w:val="000526A3"/>
    <w:rsid w:val="000526DE"/>
    <w:rsid w:val="00052714"/>
    <w:rsid w:val="00052772"/>
    <w:rsid w:val="000527A0"/>
    <w:rsid w:val="000529BE"/>
    <w:rsid w:val="00052C81"/>
    <w:rsid w:val="00052CAD"/>
    <w:rsid w:val="00052D51"/>
    <w:rsid w:val="00052DB7"/>
    <w:rsid w:val="00052F25"/>
    <w:rsid w:val="00052F41"/>
    <w:rsid w:val="00053065"/>
    <w:rsid w:val="00053188"/>
    <w:rsid w:val="000531F0"/>
    <w:rsid w:val="000532BC"/>
    <w:rsid w:val="000532ED"/>
    <w:rsid w:val="000536EB"/>
    <w:rsid w:val="00053795"/>
    <w:rsid w:val="000537A5"/>
    <w:rsid w:val="000538A1"/>
    <w:rsid w:val="00053A0F"/>
    <w:rsid w:val="00053AE4"/>
    <w:rsid w:val="00053E52"/>
    <w:rsid w:val="00053EC1"/>
    <w:rsid w:val="00053F5F"/>
    <w:rsid w:val="00054322"/>
    <w:rsid w:val="000543EA"/>
    <w:rsid w:val="0005448D"/>
    <w:rsid w:val="000544BF"/>
    <w:rsid w:val="00054635"/>
    <w:rsid w:val="00054728"/>
    <w:rsid w:val="00054792"/>
    <w:rsid w:val="0005482B"/>
    <w:rsid w:val="000548AE"/>
    <w:rsid w:val="0005499B"/>
    <w:rsid w:val="00054B88"/>
    <w:rsid w:val="00054C81"/>
    <w:rsid w:val="00054CAD"/>
    <w:rsid w:val="00054CCF"/>
    <w:rsid w:val="00054F3F"/>
    <w:rsid w:val="000552BC"/>
    <w:rsid w:val="00055304"/>
    <w:rsid w:val="0005530A"/>
    <w:rsid w:val="00055375"/>
    <w:rsid w:val="000554DB"/>
    <w:rsid w:val="00055509"/>
    <w:rsid w:val="00055614"/>
    <w:rsid w:val="00055639"/>
    <w:rsid w:val="00055B97"/>
    <w:rsid w:val="00055C8F"/>
    <w:rsid w:val="00055D3B"/>
    <w:rsid w:val="00055D55"/>
    <w:rsid w:val="00055E29"/>
    <w:rsid w:val="00055F15"/>
    <w:rsid w:val="00055F90"/>
    <w:rsid w:val="00056217"/>
    <w:rsid w:val="0005628F"/>
    <w:rsid w:val="00056319"/>
    <w:rsid w:val="00056339"/>
    <w:rsid w:val="00056356"/>
    <w:rsid w:val="0005641F"/>
    <w:rsid w:val="00056472"/>
    <w:rsid w:val="000564E7"/>
    <w:rsid w:val="000565BF"/>
    <w:rsid w:val="000566ED"/>
    <w:rsid w:val="00056770"/>
    <w:rsid w:val="000567A4"/>
    <w:rsid w:val="000567B4"/>
    <w:rsid w:val="000567F2"/>
    <w:rsid w:val="00056A43"/>
    <w:rsid w:val="00056AAF"/>
    <w:rsid w:val="00056ABD"/>
    <w:rsid w:val="00056BD5"/>
    <w:rsid w:val="00056ED7"/>
    <w:rsid w:val="00056F38"/>
    <w:rsid w:val="00057105"/>
    <w:rsid w:val="0005718B"/>
    <w:rsid w:val="00057244"/>
    <w:rsid w:val="00057386"/>
    <w:rsid w:val="00057686"/>
    <w:rsid w:val="0005779B"/>
    <w:rsid w:val="00057804"/>
    <w:rsid w:val="00057882"/>
    <w:rsid w:val="000578DD"/>
    <w:rsid w:val="000579C4"/>
    <w:rsid w:val="00057BAC"/>
    <w:rsid w:val="00057D52"/>
    <w:rsid w:val="00057E6D"/>
    <w:rsid w:val="00057EEF"/>
    <w:rsid w:val="00057F24"/>
    <w:rsid w:val="00057F44"/>
    <w:rsid w:val="00057F96"/>
    <w:rsid w:val="0006004C"/>
    <w:rsid w:val="00060085"/>
    <w:rsid w:val="000600E6"/>
    <w:rsid w:val="0006013B"/>
    <w:rsid w:val="000602F0"/>
    <w:rsid w:val="000602FB"/>
    <w:rsid w:val="00060314"/>
    <w:rsid w:val="000604EA"/>
    <w:rsid w:val="0006055C"/>
    <w:rsid w:val="000605DF"/>
    <w:rsid w:val="000605F3"/>
    <w:rsid w:val="000606F1"/>
    <w:rsid w:val="000607C1"/>
    <w:rsid w:val="00060A2C"/>
    <w:rsid w:val="00060A6E"/>
    <w:rsid w:val="00060A78"/>
    <w:rsid w:val="00060B4D"/>
    <w:rsid w:val="00060B73"/>
    <w:rsid w:val="00060BCF"/>
    <w:rsid w:val="00060D1C"/>
    <w:rsid w:val="00060E23"/>
    <w:rsid w:val="00060F4C"/>
    <w:rsid w:val="00060F8F"/>
    <w:rsid w:val="00060FAD"/>
    <w:rsid w:val="00061062"/>
    <w:rsid w:val="000610E5"/>
    <w:rsid w:val="00061148"/>
    <w:rsid w:val="00061165"/>
    <w:rsid w:val="000612C2"/>
    <w:rsid w:val="000612F6"/>
    <w:rsid w:val="00061383"/>
    <w:rsid w:val="00061580"/>
    <w:rsid w:val="000615B5"/>
    <w:rsid w:val="000615BC"/>
    <w:rsid w:val="000616F3"/>
    <w:rsid w:val="000617C7"/>
    <w:rsid w:val="00061964"/>
    <w:rsid w:val="000619CB"/>
    <w:rsid w:val="00061A24"/>
    <w:rsid w:val="00061A60"/>
    <w:rsid w:val="00061F3F"/>
    <w:rsid w:val="0006203C"/>
    <w:rsid w:val="000620B0"/>
    <w:rsid w:val="000621AA"/>
    <w:rsid w:val="000622BF"/>
    <w:rsid w:val="00062312"/>
    <w:rsid w:val="00062387"/>
    <w:rsid w:val="00062563"/>
    <w:rsid w:val="000625CA"/>
    <w:rsid w:val="000626E8"/>
    <w:rsid w:val="00062753"/>
    <w:rsid w:val="00062784"/>
    <w:rsid w:val="000628F0"/>
    <w:rsid w:val="00062945"/>
    <w:rsid w:val="00062AD1"/>
    <w:rsid w:val="00062B9C"/>
    <w:rsid w:val="00062C7A"/>
    <w:rsid w:val="00062D8C"/>
    <w:rsid w:val="00062DBA"/>
    <w:rsid w:val="00062E8A"/>
    <w:rsid w:val="00062F0D"/>
    <w:rsid w:val="00062F1C"/>
    <w:rsid w:val="00062F3B"/>
    <w:rsid w:val="0006310E"/>
    <w:rsid w:val="0006310F"/>
    <w:rsid w:val="000631F9"/>
    <w:rsid w:val="000633FE"/>
    <w:rsid w:val="00063430"/>
    <w:rsid w:val="00063443"/>
    <w:rsid w:val="0006345A"/>
    <w:rsid w:val="000635C1"/>
    <w:rsid w:val="000635F9"/>
    <w:rsid w:val="000638CD"/>
    <w:rsid w:val="00063AEF"/>
    <w:rsid w:val="00063D00"/>
    <w:rsid w:val="00063D46"/>
    <w:rsid w:val="00063D56"/>
    <w:rsid w:val="00063D61"/>
    <w:rsid w:val="00063D7B"/>
    <w:rsid w:val="00063DA9"/>
    <w:rsid w:val="00063E3B"/>
    <w:rsid w:val="0006401E"/>
    <w:rsid w:val="0006405F"/>
    <w:rsid w:val="000640F0"/>
    <w:rsid w:val="000641B8"/>
    <w:rsid w:val="000641C2"/>
    <w:rsid w:val="0006432E"/>
    <w:rsid w:val="0006434D"/>
    <w:rsid w:val="000643A1"/>
    <w:rsid w:val="000643F4"/>
    <w:rsid w:val="00064591"/>
    <w:rsid w:val="00064606"/>
    <w:rsid w:val="0006460D"/>
    <w:rsid w:val="00064679"/>
    <w:rsid w:val="00064714"/>
    <w:rsid w:val="00064756"/>
    <w:rsid w:val="00064982"/>
    <w:rsid w:val="000649DF"/>
    <w:rsid w:val="00064A13"/>
    <w:rsid w:val="00064A6D"/>
    <w:rsid w:val="00064AD6"/>
    <w:rsid w:val="00064AF4"/>
    <w:rsid w:val="00064AFF"/>
    <w:rsid w:val="00064B61"/>
    <w:rsid w:val="00064B93"/>
    <w:rsid w:val="00064BB4"/>
    <w:rsid w:val="00064BD2"/>
    <w:rsid w:val="00064BE0"/>
    <w:rsid w:val="00064C19"/>
    <w:rsid w:val="00064DB1"/>
    <w:rsid w:val="000653D6"/>
    <w:rsid w:val="00065459"/>
    <w:rsid w:val="0006548D"/>
    <w:rsid w:val="0006560B"/>
    <w:rsid w:val="000656B9"/>
    <w:rsid w:val="000657D0"/>
    <w:rsid w:val="0006585D"/>
    <w:rsid w:val="0006585F"/>
    <w:rsid w:val="00065A49"/>
    <w:rsid w:val="00065B02"/>
    <w:rsid w:val="00065BA3"/>
    <w:rsid w:val="00065CE2"/>
    <w:rsid w:val="00065D3B"/>
    <w:rsid w:val="00065DCF"/>
    <w:rsid w:val="00065E93"/>
    <w:rsid w:val="00065EF8"/>
    <w:rsid w:val="000660C5"/>
    <w:rsid w:val="000660E9"/>
    <w:rsid w:val="00066141"/>
    <w:rsid w:val="00066179"/>
    <w:rsid w:val="000661D2"/>
    <w:rsid w:val="0006625C"/>
    <w:rsid w:val="000664F7"/>
    <w:rsid w:val="000665FD"/>
    <w:rsid w:val="000667C3"/>
    <w:rsid w:val="000667E9"/>
    <w:rsid w:val="00066802"/>
    <w:rsid w:val="00066829"/>
    <w:rsid w:val="000669A0"/>
    <w:rsid w:val="00066A8C"/>
    <w:rsid w:val="00066A95"/>
    <w:rsid w:val="00066AE7"/>
    <w:rsid w:val="00066BDC"/>
    <w:rsid w:val="00066DC4"/>
    <w:rsid w:val="00066E2F"/>
    <w:rsid w:val="00066F04"/>
    <w:rsid w:val="00067128"/>
    <w:rsid w:val="00067191"/>
    <w:rsid w:val="0006721F"/>
    <w:rsid w:val="0006739C"/>
    <w:rsid w:val="000675CD"/>
    <w:rsid w:val="000676B0"/>
    <w:rsid w:val="0006785B"/>
    <w:rsid w:val="00067872"/>
    <w:rsid w:val="00067880"/>
    <w:rsid w:val="000678AC"/>
    <w:rsid w:val="0006790B"/>
    <w:rsid w:val="00067AE2"/>
    <w:rsid w:val="00067BE2"/>
    <w:rsid w:val="00067C2C"/>
    <w:rsid w:val="00067D0C"/>
    <w:rsid w:val="00067D7C"/>
    <w:rsid w:val="00067DFE"/>
    <w:rsid w:val="00070360"/>
    <w:rsid w:val="0007036F"/>
    <w:rsid w:val="000703B2"/>
    <w:rsid w:val="000703D6"/>
    <w:rsid w:val="000703E9"/>
    <w:rsid w:val="0007042C"/>
    <w:rsid w:val="0007049C"/>
    <w:rsid w:val="000704E3"/>
    <w:rsid w:val="00070657"/>
    <w:rsid w:val="00070659"/>
    <w:rsid w:val="000706B3"/>
    <w:rsid w:val="000706F2"/>
    <w:rsid w:val="00070700"/>
    <w:rsid w:val="000707FB"/>
    <w:rsid w:val="0007081B"/>
    <w:rsid w:val="00070844"/>
    <w:rsid w:val="000708D2"/>
    <w:rsid w:val="00070B1D"/>
    <w:rsid w:val="00070B3F"/>
    <w:rsid w:val="00070C49"/>
    <w:rsid w:val="00070CA9"/>
    <w:rsid w:val="00070DA6"/>
    <w:rsid w:val="00070F22"/>
    <w:rsid w:val="00070FA7"/>
    <w:rsid w:val="00070FBC"/>
    <w:rsid w:val="00070FBF"/>
    <w:rsid w:val="00070FF2"/>
    <w:rsid w:val="000710AB"/>
    <w:rsid w:val="000711EE"/>
    <w:rsid w:val="00071276"/>
    <w:rsid w:val="00071306"/>
    <w:rsid w:val="000714E9"/>
    <w:rsid w:val="0007159C"/>
    <w:rsid w:val="0007163E"/>
    <w:rsid w:val="00071763"/>
    <w:rsid w:val="0007180B"/>
    <w:rsid w:val="0007180E"/>
    <w:rsid w:val="00071AAC"/>
    <w:rsid w:val="00071AE4"/>
    <w:rsid w:val="00071CB5"/>
    <w:rsid w:val="00071CCB"/>
    <w:rsid w:val="00071D03"/>
    <w:rsid w:val="00071D09"/>
    <w:rsid w:val="00071D45"/>
    <w:rsid w:val="00071FBE"/>
    <w:rsid w:val="00071FE1"/>
    <w:rsid w:val="00072007"/>
    <w:rsid w:val="0007232B"/>
    <w:rsid w:val="00072389"/>
    <w:rsid w:val="0007247C"/>
    <w:rsid w:val="000724A4"/>
    <w:rsid w:val="0007261D"/>
    <w:rsid w:val="00072A35"/>
    <w:rsid w:val="00072BD0"/>
    <w:rsid w:val="00072C42"/>
    <w:rsid w:val="00072DA9"/>
    <w:rsid w:val="00072DDE"/>
    <w:rsid w:val="00072E96"/>
    <w:rsid w:val="000731BB"/>
    <w:rsid w:val="0007323D"/>
    <w:rsid w:val="00073344"/>
    <w:rsid w:val="0007342B"/>
    <w:rsid w:val="000734D4"/>
    <w:rsid w:val="00073515"/>
    <w:rsid w:val="000735A2"/>
    <w:rsid w:val="00073680"/>
    <w:rsid w:val="00073810"/>
    <w:rsid w:val="00073847"/>
    <w:rsid w:val="000738D7"/>
    <w:rsid w:val="00073B52"/>
    <w:rsid w:val="00073CE0"/>
    <w:rsid w:val="00073EB7"/>
    <w:rsid w:val="0007402F"/>
    <w:rsid w:val="000740D2"/>
    <w:rsid w:val="00074107"/>
    <w:rsid w:val="0007410D"/>
    <w:rsid w:val="00074151"/>
    <w:rsid w:val="0007458F"/>
    <w:rsid w:val="00074841"/>
    <w:rsid w:val="00074930"/>
    <w:rsid w:val="00074984"/>
    <w:rsid w:val="000749CD"/>
    <w:rsid w:val="000749D6"/>
    <w:rsid w:val="000749EE"/>
    <w:rsid w:val="00074A83"/>
    <w:rsid w:val="00074C8D"/>
    <w:rsid w:val="00074CC1"/>
    <w:rsid w:val="00074E32"/>
    <w:rsid w:val="00074E8D"/>
    <w:rsid w:val="00074EAB"/>
    <w:rsid w:val="00074EDA"/>
    <w:rsid w:val="00074FAD"/>
    <w:rsid w:val="0007517E"/>
    <w:rsid w:val="000751D5"/>
    <w:rsid w:val="00075462"/>
    <w:rsid w:val="000754C9"/>
    <w:rsid w:val="00075594"/>
    <w:rsid w:val="00075601"/>
    <w:rsid w:val="0007565D"/>
    <w:rsid w:val="0007582F"/>
    <w:rsid w:val="000758B1"/>
    <w:rsid w:val="0007592D"/>
    <w:rsid w:val="0007595F"/>
    <w:rsid w:val="00075B35"/>
    <w:rsid w:val="00075C8E"/>
    <w:rsid w:val="00075DE3"/>
    <w:rsid w:val="00075E08"/>
    <w:rsid w:val="00075EA1"/>
    <w:rsid w:val="00075FE1"/>
    <w:rsid w:val="000761C2"/>
    <w:rsid w:val="0007632D"/>
    <w:rsid w:val="00076378"/>
    <w:rsid w:val="000765CF"/>
    <w:rsid w:val="00076667"/>
    <w:rsid w:val="000767C8"/>
    <w:rsid w:val="00076A99"/>
    <w:rsid w:val="00076AA7"/>
    <w:rsid w:val="00076B46"/>
    <w:rsid w:val="00076C79"/>
    <w:rsid w:val="00076D34"/>
    <w:rsid w:val="00076DD9"/>
    <w:rsid w:val="00076F21"/>
    <w:rsid w:val="00076FE0"/>
    <w:rsid w:val="00077118"/>
    <w:rsid w:val="000771B9"/>
    <w:rsid w:val="00077296"/>
    <w:rsid w:val="00077473"/>
    <w:rsid w:val="00077481"/>
    <w:rsid w:val="000776C6"/>
    <w:rsid w:val="000776F9"/>
    <w:rsid w:val="0007773F"/>
    <w:rsid w:val="00077868"/>
    <w:rsid w:val="000778CF"/>
    <w:rsid w:val="00077C5C"/>
    <w:rsid w:val="00077CF9"/>
    <w:rsid w:val="00077DDF"/>
    <w:rsid w:val="00077EE0"/>
    <w:rsid w:val="00077F22"/>
    <w:rsid w:val="00077FB9"/>
    <w:rsid w:val="000800AA"/>
    <w:rsid w:val="000801A6"/>
    <w:rsid w:val="000801C2"/>
    <w:rsid w:val="00080202"/>
    <w:rsid w:val="000802F9"/>
    <w:rsid w:val="00080456"/>
    <w:rsid w:val="000804DC"/>
    <w:rsid w:val="00080625"/>
    <w:rsid w:val="00080892"/>
    <w:rsid w:val="00080920"/>
    <w:rsid w:val="00080AB4"/>
    <w:rsid w:val="00080C65"/>
    <w:rsid w:val="00080FAB"/>
    <w:rsid w:val="000811E6"/>
    <w:rsid w:val="00081235"/>
    <w:rsid w:val="00081239"/>
    <w:rsid w:val="000812BA"/>
    <w:rsid w:val="0008145A"/>
    <w:rsid w:val="00081531"/>
    <w:rsid w:val="00081542"/>
    <w:rsid w:val="0008162D"/>
    <w:rsid w:val="000816D8"/>
    <w:rsid w:val="000817EB"/>
    <w:rsid w:val="000818EA"/>
    <w:rsid w:val="00081C6C"/>
    <w:rsid w:val="00081D19"/>
    <w:rsid w:val="00081EF1"/>
    <w:rsid w:val="00082021"/>
    <w:rsid w:val="000820AA"/>
    <w:rsid w:val="000820DA"/>
    <w:rsid w:val="00082187"/>
    <w:rsid w:val="000821E7"/>
    <w:rsid w:val="00082261"/>
    <w:rsid w:val="00082302"/>
    <w:rsid w:val="0008237C"/>
    <w:rsid w:val="00082489"/>
    <w:rsid w:val="000825C8"/>
    <w:rsid w:val="00082664"/>
    <w:rsid w:val="0008266F"/>
    <w:rsid w:val="000827DD"/>
    <w:rsid w:val="000829FC"/>
    <w:rsid w:val="00082A2B"/>
    <w:rsid w:val="00082B81"/>
    <w:rsid w:val="00082B94"/>
    <w:rsid w:val="00082E69"/>
    <w:rsid w:val="00082E7D"/>
    <w:rsid w:val="00082EB8"/>
    <w:rsid w:val="00082F4C"/>
    <w:rsid w:val="00082FB1"/>
    <w:rsid w:val="0008308E"/>
    <w:rsid w:val="000831C8"/>
    <w:rsid w:val="000832C7"/>
    <w:rsid w:val="00083334"/>
    <w:rsid w:val="000833EE"/>
    <w:rsid w:val="00083496"/>
    <w:rsid w:val="000837A1"/>
    <w:rsid w:val="000837ED"/>
    <w:rsid w:val="00083801"/>
    <w:rsid w:val="00083A30"/>
    <w:rsid w:val="00083A5F"/>
    <w:rsid w:val="00083B63"/>
    <w:rsid w:val="00083C4E"/>
    <w:rsid w:val="00083CC5"/>
    <w:rsid w:val="00083EA8"/>
    <w:rsid w:val="00083F5E"/>
    <w:rsid w:val="00083FAF"/>
    <w:rsid w:val="000840DA"/>
    <w:rsid w:val="0008426C"/>
    <w:rsid w:val="000843E9"/>
    <w:rsid w:val="0008447D"/>
    <w:rsid w:val="0008453E"/>
    <w:rsid w:val="0008472E"/>
    <w:rsid w:val="000849E2"/>
    <w:rsid w:val="00084A26"/>
    <w:rsid w:val="00084CEF"/>
    <w:rsid w:val="00084D52"/>
    <w:rsid w:val="00084D8D"/>
    <w:rsid w:val="00084E1B"/>
    <w:rsid w:val="00084E9D"/>
    <w:rsid w:val="00084F17"/>
    <w:rsid w:val="00084F7B"/>
    <w:rsid w:val="00084FD3"/>
    <w:rsid w:val="00084FDB"/>
    <w:rsid w:val="00084FEE"/>
    <w:rsid w:val="0008505C"/>
    <w:rsid w:val="00085340"/>
    <w:rsid w:val="0008570F"/>
    <w:rsid w:val="0008599B"/>
    <w:rsid w:val="000859F8"/>
    <w:rsid w:val="00085B58"/>
    <w:rsid w:val="00085B61"/>
    <w:rsid w:val="00085C46"/>
    <w:rsid w:val="00085DF9"/>
    <w:rsid w:val="00085F0E"/>
    <w:rsid w:val="00086010"/>
    <w:rsid w:val="0008606A"/>
    <w:rsid w:val="00086386"/>
    <w:rsid w:val="0008638D"/>
    <w:rsid w:val="00086462"/>
    <w:rsid w:val="0008658F"/>
    <w:rsid w:val="000865B2"/>
    <w:rsid w:val="00086632"/>
    <w:rsid w:val="00086695"/>
    <w:rsid w:val="000867FF"/>
    <w:rsid w:val="0008686A"/>
    <w:rsid w:val="000868BE"/>
    <w:rsid w:val="000869D6"/>
    <w:rsid w:val="00086A93"/>
    <w:rsid w:val="00086C0E"/>
    <w:rsid w:val="00086C4F"/>
    <w:rsid w:val="00086C79"/>
    <w:rsid w:val="00086EE9"/>
    <w:rsid w:val="00087175"/>
    <w:rsid w:val="00087223"/>
    <w:rsid w:val="000873CC"/>
    <w:rsid w:val="00087402"/>
    <w:rsid w:val="000877F3"/>
    <w:rsid w:val="00087815"/>
    <w:rsid w:val="00087D01"/>
    <w:rsid w:val="00087D35"/>
    <w:rsid w:val="00087DB6"/>
    <w:rsid w:val="00087FBB"/>
    <w:rsid w:val="000900A0"/>
    <w:rsid w:val="0009018B"/>
    <w:rsid w:val="000903FE"/>
    <w:rsid w:val="00090554"/>
    <w:rsid w:val="00090579"/>
    <w:rsid w:val="000905BB"/>
    <w:rsid w:val="000905EE"/>
    <w:rsid w:val="0009062D"/>
    <w:rsid w:val="00090766"/>
    <w:rsid w:val="00090844"/>
    <w:rsid w:val="0009084B"/>
    <w:rsid w:val="000908F5"/>
    <w:rsid w:val="000909CD"/>
    <w:rsid w:val="00090A8B"/>
    <w:rsid w:val="00090CE0"/>
    <w:rsid w:val="00090D22"/>
    <w:rsid w:val="00090DFA"/>
    <w:rsid w:val="00090E8F"/>
    <w:rsid w:val="0009112E"/>
    <w:rsid w:val="0009130B"/>
    <w:rsid w:val="0009132D"/>
    <w:rsid w:val="00091424"/>
    <w:rsid w:val="000914B9"/>
    <w:rsid w:val="000915A0"/>
    <w:rsid w:val="000915C5"/>
    <w:rsid w:val="000916C1"/>
    <w:rsid w:val="000916CD"/>
    <w:rsid w:val="00091796"/>
    <w:rsid w:val="000917A8"/>
    <w:rsid w:val="0009185F"/>
    <w:rsid w:val="00091939"/>
    <w:rsid w:val="000919A2"/>
    <w:rsid w:val="00091ABC"/>
    <w:rsid w:val="00091AF6"/>
    <w:rsid w:val="00091B13"/>
    <w:rsid w:val="00091BA2"/>
    <w:rsid w:val="00091C09"/>
    <w:rsid w:val="00091CB0"/>
    <w:rsid w:val="00091CF5"/>
    <w:rsid w:val="00091D98"/>
    <w:rsid w:val="00091FA1"/>
    <w:rsid w:val="0009219F"/>
    <w:rsid w:val="000922C4"/>
    <w:rsid w:val="000922F7"/>
    <w:rsid w:val="00092376"/>
    <w:rsid w:val="00092392"/>
    <w:rsid w:val="000925E0"/>
    <w:rsid w:val="0009267C"/>
    <w:rsid w:val="000929B3"/>
    <w:rsid w:val="00092A19"/>
    <w:rsid w:val="00092A8C"/>
    <w:rsid w:val="00092E06"/>
    <w:rsid w:val="00092F07"/>
    <w:rsid w:val="00092F71"/>
    <w:rsid w:val="00092FB8"/>
    <w:rsid w:val="00093045"/>
    <w:rsid w:val="00093057"/>
    <w:rsid w:val="0009306D"/>
    <w:rsid w:val="00093084"/>
    <w:rsid w:val="00093247"/>
    <w:rsid w:val="0009332E"/>
    <w:rsid w:val="00093518"/>
    <w:rsid w:val="00093542"/>
    <w:rsid w:val="0009365C"/>
    <w:rsid w:val="00093673"/>
    <w:rsid w:val="00093735"/>
    <w:rsid w:val="00093A7B"/>
    <w:rsid w:val="00093AB8"/>
    <w:rsid w:val="00093C8B"/>
    <w:rsid w:val="00093F87"/>
    <w:rsid w:val="00094344"/>
    <w:rsid w:val="000943BD"/>
    <w:rsid w:val="000943E2"/>
    <w:rsid w:val="000944A1"/>
    <w:rsid w:val="000944EC"/>
    <w:rsid w:val="00094572"/>
    <w:rsid w:val="00094656"/>
    <w:rsid w:val="00094688"/>
    <w:rsid w:val="000946DB"/>
    <w:rsid w:val="00094723"/>
    <w:rsid w:val="000947B2"/>
    <w:rsid w:val="00094806"/>
    <w:rsid w:val="0009497D"/>
    <w:rsid w:val="000949A6"/>
    <w:rsid w:val="00094C5E"/>
    <w:rsid w:val="00094D73"/>
    <w:rsid w:val="00094E4E"/>
    <w:rsid w:val="00094EEE"/>
    <w:rsid w:val="00094F86"/>
    <w:rsid w:val="00094FA6"/>
    <w:rsid w:val="000953C6"/>
    <w:rsid w:val="000953DE"/>
    <w:rsid w:val="000953F4"/>
    <w:rsid w:val="000954ED"/>
    <w:rsid w:val="00095605"/>
    <w:rsid w:val="00095756"/>
    <w:rsid w:val="0009575E"/>
    <w:rsid w:val="000958D9"/>
    <w:rsid w:val="0009590C"/>
    <w:rsid w:val="000959E7"/>
    <w:rsid w:val="00095A70"/>
    <w:rsid w:val="00095AE5"/>
    <w:rsid w:val="00095B9F"/>
    <w:rsid w:val="00095C13"/>
    <w:rsid w:val="00095C45"/>
    <w:rsid w:val="00095C90"/>
    <w:rsid w:val="00095CEF"/>
    <w:rsid w:val="00095E7D"/>
    <w:rsid w:val="00095FEC"/>
    <w:rsid w:val="000960C2"/>
    <w:rsid w:val="00096116"/>
    <w:rsid w:val="0009611B"/>
    <w:rsid w:val="000961CD"/>
    <w:rsid w:val="00096267"/>
    <w:rsid w:val="000964B4"/>
    <w:rsid w:val="000964DB"/>
    <w:rsid w:val="000964DE"/>
    <w:rsid w:val="000965EE"/>
    <w:rsid w:val="00096753"/>
    <w:rsid w:val="00096983"/>
    <w:rsid w:val="000969AC"/>
    <w:rsid w:val="000969DB"/>
    <w:rsid w:val="000969E9"/>
    <w:rsid w:val="00096AEC"/>
    <w:rsid w:val="00096B8E"/>
    <w:rsid w:val="00096BB2"/>
    <w:rsid w:val="00096C73"/>
    <w:rsid w:val="00096CED"/>
    <w:rsid w:val="00096EC0"/>
    <w:rsid w:val="00096EE1"/>
    <w:rsid w:val="00096F5A"/>
    <w:rsid w:val="00097041"/>
    <w:rsid w:val="00097104"/>
    <w:rsid w:val="00097124"/>
    <w:rsid w:val="00097168"/>
    <w:rsid w:val="000971C5"/>
    <w:rsid w:val="000972AB"/>
    <w:rsid w:val="00097316"/>
    <w:rsid w:val="00097430"/>
    <w:rsid w:val="000974C4"/>
    <w:rsid w:val="000975C5"/>
    <w:rsid w:val="000976B6"/>
    <w:rsid w:val="0009775D"/>
    <w:rsid w:val="000978EE"/>
    <w:rsid w:val="00097968"/>
    <w:rsid w:val="00097A05"/>
    <w:rsid w:val="00097A81"/>
    <w:rsid w:val="00097B40"/>
    <w:rsid w:val="00097BED"/>
    <w:rsid w:val="00097C91"/>
    <w:rsid w:val="00097D0E"/>
    <w:rsid w:val="00097E09"/>
    <w:rsid w:val="00097E31"/>
    <w:rsid w:val="00097E64"/>
    <w:rsid w:val="00097E6B"/>
    <w:rsid w:val="000A01D4"/>
    <w:rsid w:val="000A034B"/>
    <w:rsid w:val="000A052D"/>
    <w:rsid w:val="000A060F"/>
    <w:rsid w:val="000A06C0"/>
    <w:rsid w:val="000A082F"/>
    <w:rsid w:val="000A0B43"/>
    <w:rsid w:val="000A0CF2"/>
    <w:rsid w:val="000A0DB8"/>
    <w:rsid w:val="000A0E2B"/>
    <w:rsid w:val="000A0EB9"/>
    <w:rsid w:val="000A0F63"/>
    <w:rsid w:val="000A0F95"/>
    <w:rsid w:val="000A109B"/>
    <w:rsid w:val="000A111D"/>
    <w:rsid w:val="000A144D"/>
    <w:rsid w:val="000A14E5"/>
    <w:rsid w:val="000A15E1"/>
    <w:rsid w:val="000A164A"/>
    <w:rsid w:val="000A164F"/>
    <w:rsid w:val="000A17B2"/>
    <w:rsid w:val="000A17B5"/>
    <w:rsid w:val="000A17D2"/>
    <w:rsid w:val="000A17EA"/>
    <w:rsid w:val="000A19C4"/>
    <w:rsid w:val="000A1A6F"/>
    <w:rsid w:val="000A1B14"/>
    <w:rsid w:val="000A1B69"/>
    <w:rsid w:val="000A1C6C"/>
    <w:rsid w:val="000A1C7A"/>
    <w:rsid w:val="000A1CDE"/>
    <w:rsid w:val="000A1DD5"/>
    <w:rsid w:val="000A1FA9"/>
    <w:rsid w:val="000A1FBC"/>
    <w:rsid w:val="000A2130"/>
    <w:rsid w:val="000A2241"/>
    <w:rsid w:val="000A2345"/>
    <w:rsid w:val="000A2394"/>
    <w:rsid w:val="000A2455"/>
    <w:rsid w:val="000A255A"/>
    <w:rsid w:val="000A256B"/>
    <w:rsid w:val="000A2748"/>
    <w:rsid w:val="000A27C4"/>
    <w:rsid w:val="000A288B"/>
    <w:rsid w:val="000A2A25"/>
    <w:rsid w:val="000A2A9E"/>
    <w:rsid w:val="000A2B1F"/>
    <w:rsid w:val="000A2B2C"/>
    <w:rsid w:val="000A2B30"/>
    <w:rsid w:val="000A2B8B"/>
    <w:rsid w:val="000A2B98"/>
    <w:rsid w:val="000A2C18"/>
    <w:rsid w:val="000A2F79"/>
    <w:rsid w:val="000A308D"/>
    <w:rsid w:val="000A31B6"/>
    <w:rsid w:val="000A31C1"/>
    <w:rsid w:val="000A3274"/>
    <w:rsid w:val="000A32C5"/>
    <w:rsid w:val="000A33C2"/>
    <w:rsid w:val="000A3411"/>
    <w:rsid w:val="000A34CA"/>
    <w:rsid w:val="000A3697"/>
    <w:rsid w:val="000A37A9"/>
    <w:rsid w:val="000A3893"/>
    <w:rsid w:val="000A395A"/>
    <w:rsid w:val="000A3A43"/>
    <w:rsid w:val="000A3BC9"/>
    <w:rsid w:val="000A3BED"/>
    <w:rsid w:val="000A3D30"/>
    <w:rsid w:val="000A3F09"/>
    <w:rsid w:val="000A3F96"/>
    <w:rsid w:val="000A3FAC"/>
    <w:rsid w:val="000A3FEA"/>
    <w:rsid w:val="000A4003"/>
    <w:rsid w:val="000A41DE"/>
    <w:rsid w:val="000A426F"/>
    <w:rsid w:val="000A438E"/>
    <w:rsid w:val="000A4435"/>
    <w:rsid w:val="000A4450"/>
    <w:rsid w:val="000A4559"/>
    <w:rsid w:val="000A45FD"/>
    <w:rsid w:val="000A4603"/>
    <w:rsid w:val="000A477B"/>
    <w:rsid w:val="000A47D3"/>
    <w:rsid w:val="000A4914"/>
    <w:rsid w:val="000A4B68"/>
    <w:rsid w:val="000A4CD6"/>
    <w:rsid w:val="000A4E6F"/>
    <w:rsid w:val="000A4F01"/>
    <w:rsid w:val="000A5083"/>
    <w:rsid w:val="000A508E"/>
    <w:rsid w:val="000A5154"/>
    <w:rsid w:val="000A526F"/>
    <w:rsid w:val="000A5289"/>
    <w:rsid w:val="000A52F3"/>
    <w:rsid w:val="000A5421"/>
    <w:rsid w:val="000A5423"/>
    <w:rsid w:val="000A5515"/>
    <w:rsid w:val="000A558D"/>
    <w:rsid w:val="000A5611"/>
    <w:rsid w:val="000A5621"/>
    <w:rsid w:val="000A563C"/>
    <w:rsid w:val="000A5780"/>
    <w:rsid w:val="000A579B"/>
    <w:rsid w:val="000A59C5"/>
    <w:rsid w:val="000A5B06"/>
    <w:rsid w:val="000A5C7F"/>
    <w:rsid w:val="000A5D62"/>
    <w:rsid w:val="000A5DEA"/>
    <w:rsid w:val="000A5E99"/>
    <w:rsid w:val="000A5EBD"/>
    <w:rsid w:val="000A5F8F"/>
    <w:rsid w:val="000A60A6"/>
    <w:rsid w:val="000A6207"/>
    <w:rsid w:val="000A6219"/>
    <w:rsid w:val="000A627A"/>
    <w:rsid w:val="000A634B"/>
    <w:rsid w:val="000A6464"/>
    <w:rsid w:val="000A64F4"/>
    <w:rsid w:val="000A6671"/>
    <w:rsid w:val="000A66C3"/>
    <w:rsid w:val="000A6778"/>
    <w:rsid w:val="000A6788"/>
    <w:rsid w:val="000A6938"/>
    <w:rsid w:val="000A693D"/>
    <w:rsid w:val="000A6A93"/>
    <w:rsid w:val="000A6AC8"/>
    <w:rsid w:val="000A6B0B"/>
    <w:rsid w:val="000A6B4F"/>
    <w:rsid w:val="000A6DF8"/>
    <w:rsid w:val="000A70CC"/>
    <w:rsid w:val="000A70E0"/>
    <w:rsid w:val="000A717B"/>
    <w:rsid w:val="000A7289"/>
    <w:rsid w:val="000A739B"/>
    <w:rsid w:val="000A73C4"/>
    <w:rsid w:val="000A7414"/>
    <w:rsid w:val="000A7488"/>
    <w:rsid w:val="000A7658"/>
    <w:rsid w:val="000A76BD"/>
    <w:rsid w:val="000A7829"/>
    <w:rsid w:val="000A78B6"/>
    <w:rsid w:val="000A78CF"/>
    <w:rsid w:val="000A790B"/>
    <w:rsid w:val="000A7D3D"/>
    <w:rsid w:val="000A7DBF"/>
    <w:rsid w:val="000A7E3A"/>
    <w:rsid w:val="000A7EA3"/>
    <w:rsid w:val="000A7F0F"/>
    <w:rsid w:val="000A7F4C"/>
    <w:rsid w:val="000A7F7C"/>
    <w:rsid w:val="000B012F"/>
    <w:rsid w:val="000B01C9"/>
    <w:rsid w:val="000B02BC"/>
    <w:rsid w:val="000B0421"/>
    <w:rsid w:val="000B0498"/>
    <w:rsid w:val="000B0583"/>
    <w:rsid w:val="000B05A7"/>
    <w:rsid w:val="000B05B6"/>
    <w:rsid w:val="000B074C"/>
    <w:rsid w:val="000B08D3"/>
    <w:rsid w:val="000B093E"/>
    <w:rsid w:val="000B096F"/>
    <w:rsid w:val="000B09E4"/>
    <w:rsid w:val="000B09EF"/>
    <w:rsid w:val="000B0BC5"/>
    <w:rsid w:val="000B0D3E"/>
    <w:rsid w:val="000B0E66"/>
    <w:rsid w:val="000B0F36"/>
    <w:rsid w:val="000B106F"/>
    <w:rsid w:val="000B1154"/>
    <w:rsid w:val="000B11E6"/>
    <w:rsid w:val="000B1276"/>
    <w:rsid w:val="000B142B"/>
    <w:rsid w:val="000B1554"/>
    <w:rsid w:val="000B15D9"/>
    <w:rsid w:val="000B1633"/>
    <w:rsid w:val="000B16B8"/>
    <w:rsid w:val="000B1850"/>
    <w:rsid w:val="000B1875"/>
    <w:rsid w:val="000B1942"/>
    <w:rsid w:val="000B19A1"/>
    <w:rsid w:val="000B19D4"/>
    <w:rsid w:val="000B19D5"/>
    <w:rsid w:val="000B1A52"/>
    <w:rsid w:val="000B1B8F"/>
    <w:rsid w:val="000B1BED"/>
    <w:rsid w:val="000B1C24"/>
    <w:rsid w:val="000B1CF0"/>
    <w:rsid w:val="000B1D38"/>
    <w:rsid w:val="000B1E9F"/>
    <w:rsid w:val="000B1FCA"/>
    <w:rsid w:val="000B208C"/>
    <w:rsid w:val="000B209C"/>
    <w:rsid w:val="000B210A"/>
    <w:rsid w:val="000B216A"/>
    <w:rsid w:val="000B222C"/>
    <w:rsid w:val="000B2240"/>
    <w:rsid w:val="000B226B"/>
    <w:rsid w:val="000B2304"/>
    <w:rsid w:val="000B23D7"/>
    <w:rsid w:val="000B2439"/>
    <w:rsid w:val="000B2477"/>
    <w:rsid w:val="000B2600"/>
    <w:rsid w:val="000B26DB"/>
    <w:rsid w:val="000B273E"/>
    <w:rsid w:val="000B29A9"/>
    <w:rsid w:val="000B29D1"/>
    <w:rsid w:val="000B2B15"/>
    <w:rsid w:val="000B2B6F"/>
    <w:rsid w:val="000B2C02"/>
    <w:rsid w:val="000B2CAE"/>
    <w:rsid w:val="000B2E16"/>
    <w:rsid w:val="000B2E37"/>
    <w:rsid w:val="000B2EF1"/>
    <w:rsid w:val="000B2F56"/>
    <w:rsid w:val="000B2FA4"/>
    <w:rsid w:val="000B30F1"/>
    <w:rsid w:val="000B30FE"/>
    <w:rsid w:val="000B3176"/>
    <w:rsid w:val="000B3266"/>
    <w:rsid w:val="000B3489"/>
    <w:rsid w:val="000B34BA"/>
    <w:rsid w:val="000B36F9"/>
    <w:rsid w:val="000B3753"/>
    <w:rsid w:val="000B3A51"/>
    <w:rsid w:val="000B3CE5"/>
    <w:rsid w:val="000B3DBD"/>
    <w:rsid w:val="000B3E42"/>
    <w:rsid w:val="000B3F48"/>
    <w:rsid w:val="000B4074"/>
    <w:rsid w:val="000B4244"/>
    <w:rsid w:val="000B425F"/>
    <w:rsid w:val="000B42F3"/>
    <w:rsid w:val="000B430E"/>
    <w:rsid w:val="000B4408"/>
    <w:rsid w:val="000B45F3"/>
    <w:rsid w:val="000B4681"/>
    <w:rsid w:val="000B4723"/>
    <w:rsid w:val="000B4732"/>
    <w:rsid w:val="000B478A"/>
    <w:rsid w:val="000B49AD"/>
    <w:rsid w:val="000B49D1"/>
    <w:rsid w:val="000B4BCD"/>
    <w:rsid w:val="000B4C22"/>
    <w:rsid w:val="000B50A3"/>
    <w:rsid w:val="000B50D2"/>
    <w:rsid w:val="000B5117"/>
    <w:rsid w:val="000B515F"/>
    <w:rsid w:val="000B526D"/>
    <w:rsid w:val="000B544D"/>
    <w:rsid w:val="000B54B2"/>
    <w:rsid w:val="000B54D6"/>
    <w:rsid w:val="000B55EA"/>
    <w:rsid w:val="000B572D"/>
    <w:rsid w:val="000B583D"/>
    <w:rsid w:val="000B58F4"/>
    <w:rsid w:val="000B5936"/>
    <w:rsid w:val="000B5993"/>
    <w:rsid w:val="000B5C39"/>
    <w:rsid w:val="000B5E56"/>
    <w:rsid w:val="000B6114"/>
    <w:rsid w:val="000B6137"/>
    <w:rsid w:val="000B616D"/>
    <w:rsid w:val="000B6200"/>
    <w:rsid w:val="000B620C"/>
    <w:rsid w:val="000B62CD"/>
    <w:rsid w:val="000B62E4"/>
    <w:rsid w:val="000B6525"/>
    <w:rsid w:val="000B66DC"/>
    <w:rsid w:val="000B6721"/>
    <w:rsid w:val="000B690E"/>
    <w:rsid w:val="000B6976"/>
    <w:rsid w:val="000B69A2"/>
    <w:rsid w:val="000B6A50"/>
    <w:rsid w:val="000B6B35"/>
    <w:rsid w:val="000B6B3B"/>
    <w:rsid w:val="000B6D1F"/>
    <w:rsid w:val="000B6F77"/>
    <w:rsid w:val="000B704C"/>
    <w:rsid w:val="000B705A"/>
    <w:rsid w:val="000B706E"/>
    <w:rsid w:val="000B70F2"/>
    <w:rsid w:val="000B71C8"/>
    <w:rsid w:val="000B7243"/>
    <w:rsid w:val="000B7272"/>
    <w:rsid w:val="000B7357"/>
    <w:rsid w:val="000B746E"/>
    <w:rsid w:val="000B74B2"/>
    <w:rsid w:val="000B7689"/>
    <w:rsid w:val="000B769A"/>
    <w:rsid w:val="000B778E"/>
    <w:rsid w:val="000B7790"/>
    <w:rsid w:val="000B7844"/>
    <w:rsid w:val="000B7A04"/>
    <w:rsid w:val="000B7B0E"/>
    <w:rsid w:val="000B7C4C"/>
    <w:rsid w:val="000B7F4F"/>
    <w:rsid w:val="000B7F62"/>
    <w:rsid w:val="000C0102"/>
    <w:rsid w:val="000C018F"/>
    <w:rsid w:val="000C0278"/>
    <w:rsid w:val="000C0327"/>
    <w:rsid w:val="000C060C"/>
    <w:rsid w:val="000C062F"/>
    <w:rsid w:val="000C06F8"/>
    <w:rsid w:val="000C07E0"/>
    <w:rsid w:val="000C0812"/>
    <w:rsid w:val="000C0864"/>
    <w:rsid w:val="000C096B"/>
    <w:rsid w:val="000C0B6C"/>
    <w:rsid w:val="000C0C5C"/>
    <w:rsid w:val="000C0D2B"/>
    <w:rsid w:val="000C0E90"/>
    <w:rsid w:val="000C0FA5"/>
    <w:rsid w:val="000C0FD0"/>
    <w:rsid w:val="000C12FB"/>
    <w:rsid w:val="000C13C7"/>
    <w:rsid w:val="000C13E4"/>
    <w:rsid w:val="000C1432"/>
    <w:rsid w:val="000C1435"/>
    <w:rsid w:val="000C178F"/>
    <w:rsid w:val="000C17BC"/>
    <w:rsid w:val="000C17E7"/>
    <w:rsid w:val="000C187A"/>
    <w:rsid w:val="000C19C2"/>
    <w:rsid w:val="000C1B1C"/>
    <w:rsid w:val="000C1B58"/>
    <w:rsid w:val="000C1CE2"/>
    <w:rsid w:val="000C1D34"/>
    <w:rsid w:val="000C1D66"/>
    <w:rsid w:val="000C1FA7"/>
    <w:rsid w:val="000C20AC"/>
    <w:rsid w:val="000C20D6"/>
    <w:rsid w:val="000C2126"/>
    <w:rsid w:val="000C212B"/>
    <w:rsid w:val="000C21AD"/>
    <w:rsid w:val="000C21E4"/>
    <w:rsid w:val="000C2208"/>
    <w:rsid w:val="000C2244"/>
    <w:rsid w:val="000C2302"/>
    <w:rsid w:val="000C2404"/>
    <w:rsid w:val="000C2431"/>
    <w:rsid w:val="000C2449"/>
    <w:rsid w:val="000C2467"/>
    <w:rsid w:val="000C28FD"/>
    <w:rsid w:val="000C2904"/>
    <w:rsid w:val="000C2910"/>
    <w:rsid w:val="000C2A8C"/>
    <w:rsid w:val="000C2AB3"/>
    <w:rsid w:val="000C2B5E"/>
    <w:rsid w:val="000C2B7D"/>
    <w:rsid w:val="000C2C25"/>
    <w:rsid w:val="000C2F3A"/>
    <w:rsid w:val="000C2F89"/>
    <w:rsid w:val="000C30FF"/>
    <w:rsid w:val="000C3145"/>
    <w:rsid w:val="000C31A3"/>
    <w:rsid w:val="000C31F0"/>
    <w:rsid w:val="000C3233"/>
    <w:rsid w:val="000C3270"/>
    <w:rsid w:val="000C3375"/>
    <w:rsid w:val="000C3439"/>
    <w:rsid w:val="000C36D7"/>
    <w:rsid w:val="000C3765"/>
    <w:rsid w:val="000C3935"/>
    <w:rsid w:val="000C3AEC"/>
    <w:rsid w:val="000C3B6B"/>
    <w:rsid w:val="000C3B6F"/>
    <w:rsid w:val="000C3C10"/>
    <w:rsid w:val="000C3CBB"/>
    <w:rsid w:val="000C3D59"/>
    <w:rsid w:val="000C3E62"/>
    <w:rsid w:val="000C3E8B"/>
    <w:rsid w:val="000C3E8E"/>
    <w:rsid w:val="000C3F13"/>
    <w:rsid w:val="000C446B"/>
    <w:rsid w:val="000C449F"/>
    <w:rsid w:val="000C45C1"/>
    <w:rsid w:val="000C45E8"/>
    <w:rsid w:val="000C45F9"/>
    <w:rsid w:val="000C47BA"/>
    <w:rsid w:val="000C47F2"/>
    <w:rsid w:val="000C4831"/>
    <w:rsid w:val="000C48B7"/>
    <w:rsid w:val="000C4B13"/>
    <w:rsid w:val="000C4B36"/>
    <w:rsid w:val="000C4E91"/>
    <w:rsid w:val="000C4F33"/>
    <w:rsid w:val="000C503D"/>
    <w:rsid w:val="000C52E2"/>
    <w:rsid w:val="000C5431"/>
    <w:rsid w:val="000C5452"/>
    <w:rsid w:val="000C55D4"/>
    <w:rsid w:val="000C55DE"/>
    <w:rsid w:val="000C5680"/>
    <w:rsid w:val="000C5689"/>
    <w:rsid w:val="000C577E"/>
    <w:rsid w:val="000C58FA"/>
    <w:rsid w:val="000C5968"/>
    <w:rsid w:val="000C5A02"/>
    <w:rsid w:val="000C5C5F"/>
    <w:rsid w:val="000C5D37"/>
    <w:rsid w:val="000C5E4D"/>
    <w:rsid w:val="000C6052"/>
    <w:rsid w:val="000C6201"/>
    <w:rsid w:val="000C6215"/>
    <w:rsid w:val="000C6233"/>
    <w:rsid w:val="000C62F2"/>
    <w:rsid w:val="000C631D"/>
    <w:rsid w:val="000C637F"/>
    <w:rsid w:val="000C64C1"/>
    <w:rsid w:val="000C6509"/>
    <w:rsid w:val="000C6694"/>
    <w:rsid w:val="000C6731"/>
    <w:rsid w:val="000C67C8"/>
    <w:rsid w:val="000C67F6"/>
    <w:rsid w:val="000C681F"/>
    <w:rsid w:val="000C694B"/>
    <w:rsid w:val="000C6A4D"/>
    <w:rsid w:val="000C6AC0"/>
    <w:rsid w:val="000C6BF3"/>
    <w:rsid w:val="000C7051"/>
    <w:rsid w:val="000C714F"/>
    <w:rsid w:val="000C71CC"/>
    <w:rsid w:val="000C71D1"/>
    <w:rsid w:val="000C73B1"/>
    <w:rsid w:val="000C741E"/>
    <w:rsid w:val="000C7479"/>
    <w:rsid w:val="000C74E5"/>
    <w:rsid w:val="000C75A4"/>
    <w:rsid w:val="000C75BC"/>
    <w:rsid w:val="000C760A"/>
    <w:rsid w:val="000C7662"/>
    <w:rsid w:val="000C76FF"/>
    <w:rsid w:val="000C771B"/>
    <w:rsid w:val="000C77E1"/>
    <w:rsid w:val="000C7850"/>
    <w:rsid w:val="000C7894"/>
    <w:rsid w:val="000C78F3"/>
    <w:rsid w:val="000C7947"/>
    <w:rsid w:val="000C7968"/>
    <w:rsid w:val="000C7AA9"/>
    <w:rsid w:val="000C7BAF"/>
    <w:rsid w:val="000C7C0E"/>
    <w:rsid w:val="000C7E9C"/>
    <w:rsid w:val="000D01A6"/>
    <w:rsid w:val="000D01AA"/>
    <w:rsid w:val="000D0227"/>
    <w:rsid w:val="000D026A"/>
    <w:rsid w:val="000D0288"/>
    <w:rsid w:val="000D02F1"/>
    <w:rsid w:val="000D0346"/>
    <w:rsid w:val="000D0467"/>
    <w:rsid w:val="000D04BA"/>
    <w:rsid w:val="000D054C"/>
    <w:rsid w:val="000D05C0"/>
    <w:rsid w:val="000D06ED"/>
    <w:rsid w:val="000D0738"/>
    <w:rsid w:val="000D0814"/>
    <w:rsid w:val="000D09B6"/>
    <w:rsid w:val="000D0B6E"/>
    <w:rsid w:val="000D0BC2"/>
    <w:rsid w:val="000D0BC9"/>
    <w:rsid w:val="000D0D65"/>
    <w:rsid w:val="000D0E3F"/>
    <w:rsid w:val="000D0EE8"/>
    <w:rsid w:val="000D0EFD"/>
    <w:rsid w:val="000D0F0D"/>
    <w:rsid w:val="000D1132"/>
    <w:rsid w:val="000D1180"/>
    <w:rsid w:val="000D12E0"/>
    <w:rsid w:val="000D1378"/>
    <w:rsid w:val="000D137C"/>
    <w:rsid w:val="000D154C"/>
    <w:rsid w:val="000D1670"/>
    <w:rsid w:val="000D16C6"/>
    <w:rsid w:val="000D16EE"/>
    <w:rsid w:val="000D1815"/>
    <w:rsid w:val="000D18E4"/>
    <w:rsid w:val="000D18FE"/>
    <w:rsid w:val="000D1944"/>
    <w:rsid w:val="000D196D"/>
    <w:rsid w:val="000D1BA4"/>
    <w:rsid w:val="000D1BFB"/>
    <w:rsid w:val="000D1D9A"/>
    <w:rsid w:val="000D1DD9"/>
    <w:rsid w:val="000D1E6F"/>
    <w:rsid w:val="000D1FEC"/>
    <w:rsid w:val="000D20F1"/>
    <w:rsid w:val="000D212E"/>
    <w:rsid w:val="000D2172"/>
    <w:rsid w:val="000D24B0"/>
    <w:rsid w:val="000D280E"/>
    <w:rsid w:val="000D28F9"/>
    <w:rsid w:val="000D293C"/>
    <w:rsid w:val="000D29A4"/>
    <w:rsid w:val="000D2A3C"/>
    <w:rsid w:val="000D2B33"/>
    <w:rsid w:val="000D2B55"/>
    <w:rsid w:val="000D2BC1"/>
    <w:rsid w:val="000D2EB6"/>
    <w:rsid w:val="000D2EE2"/>
    <w:rsid w:val="000D2F76"/>
    <w:rsid w:val="000D2F79"/>
    <w:rsid w:val="000D2FDC"/>
    <w:rsid w:val="000D301F"/>
    <w:rsid w:val="000D3063"/>
    <w:rsid w:val="000D3095"/>
    <w:rsid w:val="000D314D"/>
    <w:rsid w:val="000D318F"/>
    <w:rsid w:val="000D337B"/>
    <w:rsid w:val="000D3392"/>
    <w:rsid w:val="000D353C"/>
    <w:rsid w:val="000D35A2"/>
    <w:rsid w:val="000D37CB"/>
    <w:rsid w:val="000D37D4"/>
    <w:rsid w:val="000D385A"/>
    <w:rsid w:val="000D38C2"/>
    <w:rsid w:val="000D38C9"/>
    <w:rsid w:val="000D39DC"/>
    <w:rsid w:val="000D3A03"/>
    <w:rsid w:val="000D3AE5"/>
    <w:rsid w:val="000D3B6E"/>
    <w:rsid w:val="000D3BA1"/>
    <w:rsid w:val="000D3CA7"/>
    <w:rsid w:val="000D3CCB"/>
    <w:rsid w:val="000D3DA9"/>
    <w:rsid w:val="000D3DAF"/>
    <w:rsid w:val="000D3F58"/>
    <w:rsid w:val="000D402D"/>
    <w:rsid w:val="000D4051"/>
    <w:rsid w:val="000D41D3"/>
    <w:rsid w:val="000D428E"/>
    <w:rsid w:val="000D436F"/>
    <w:rsid w:val="000D446F"/>
    <w:rsid w:val="000D4490"/>
    <w:rsid w:val="000D463D"/>
    <w:rsid w:val="000D47A3"/>
    <w:rsid w:val="000D4832"/>
    <w:rsid w:val="000D486E"/>
    <w:rsid w:val="000D487F"/>
    <w:rsid w:val="000D4920"/>
    <w:rsid w:val="000D492E"/>
    <w:rsid w:val="000D4C28"/>
    <w:rsid w:val="000D4D46"/>
    <w:rsid w:val="000D4E1B"/>
    <w:rsid w:val="000D50A7"/>
    <w:rsid w:val="000D5122"/>
    <w:rsid w:val="000D5245"/>
    <w:rsid w:val="000D5256"/>
    <w:rsid w:val="000D540E"/>
    <w:rsid w:val="000D5470"/>
    <w:rsid w:val="000D5599"/>
    <w:rsid w:val="000D5744"/>
    <w:rsid w:val="000D5A26"/>
    <w:rsid w:val="000D5ABA"/>
    <w:rsid w:val="000D5B16"/>
    <w:rsid w:val="000D5BE8"/>
    <w:rsid w:val="000D5CEF"/>
    <w:rsid w:val="000D5DA8"/>
    <w:rsid w:val="000D5EEA"/>
    <w:rsid w:val="000D5F54"/>
    <w:rsid w:val="000D5F98"/>
    <w:rsid w:val="000D5FD6"/>
    <w:rsid w:val="000D60FF"/>
    <w:rsid w:val="000D6201"/>
    <w:rsid w:val="000D6257"/>
    <w:rsid w:val="000D6358"/>
    <w:rsid w:val="000D6488"/>
    <w:rsid w:val="000D6519"/>
    <w:rsid w:val="000D6602"/>
    <w:rsid w:val="000D6618"/>
    <w:rsid w:val="000D67DB"/>
    <w:rsid w:val="000D6864"/>
    <w:rsid w:val="000D694A"/>
    <w:rsid w:val="000D69C0"/>
    <w:rsid w:val="000D6A02"/>
    <w:rsid w:val="000D6B54"/>
    <w:rsid w:val="000D6D12"/>
    <w:rsid w:val="000D6D52"/>
    <w:rsid w:val="000D6DA3"/>
    <w:rsid w:val="000D6E06"/>
    <w:rsid w:val="000D701A"/>
    <w:rsid w:val="000D7070"/>
    <w:rsid w:val="000D7074"/>
    <w:rsid w:val="000D7088"/>
    <w:rsid w:val="000D70C0"/>
    <w:rsid w:val="000D728F"/>
    <w:rsid w:val="000D7318"/>
    <w:rsid w:val="000D75F4"/>
    <w:rsid w:val="000D770B"/>
    <w:rsid w:val="000D77BD"/>
    <w:rsid w:val="000D77BF"/>
    <w:rsid w:val="000D7810"/>
    <w:rsid w:val="000D788E"/>
    <w:rsid w:val="000D7A11"/>
    <w:rsid w:val="000D7B7A"/>
    <w:rsid w:val="000D7C45"/>
    <w:rsid w:val="000D7D8D"/>
    <w:rsid w:val="000D7E10"/>
    <w:rsid w:val="000D7E15"/>
    <w:rsid w:val="000D7FAC"/>
    <w:rsid w:val="000D7FD5"/>
    <w:rsid w:val="000E009F"/>
    <w:rsid w:val="000E0139"/>
    <w:rsid w:val="000E0357"/>
    <w:rsid w:val="000E03B6"/>
    <w:rsid w:val="000E0433"/>
    <w:rsid w:val="000E0447"/>
    <w:rsid w:val="000E04FC"/>
    <w:rsid w:val="000E067C"/>
    <w:rsid w:val="000E0768"/>
    <w:rsid w:val="000E07A3"/>
    <w:rsid w:val="000E07BB"/>
    <w:rsid w:val="000E08BA"/>
    <w:rsid w:val="000E09ED"/>
    <w:rsid w:val="000E0A53"/>
    <w:rsid w:val="000E0C0E"/>
    <w:rsid w:val="000E0CA2"/>
    <w:rsid w:val="000E0CDB"/>
    <w:rsid w:val="000E0E46"/>
    <w:rsid w:val="000E115A"/>
    <w:rsid w:val="000E1222"/>
    <w:rsid w:val="000E12B0"/>
    <w:rsid w:val="000E12EB"/>
    <w:rsid w:val="000E137A"/>
    <w:rsid w:val="000E1548"/>
    <w:rsid w:val="000E1691"/>
    <w:rsid w:val="000E1733"/>
    <w:rsid w:val="000E178C"/>
    <w:rsid w:val="000E17A7"/>
    <w:rsid w:val="000E17C4"/>
    <w:rsid w:val="000E1856"/>
    <w:rsid w:val="000E189F"/>
    <w:rsid w:val="000E1ADE"/>
    <w:rsid w:val="000E1B19"/>
    <w:rsid w:val="000E1BC8"/>
    <w:rsid w:val="000E1C9D"/>
    <w:rsid w:val="000E1D32"/>
    <w:rsid w:val="000E1DCA"/>
    <w:rsid w:val="000E1ECC"/>
    <w:rsid w:val="000E20AA"/>
    <w:rsid w:val="000E2219"/>
    <w:rsid w:val="000E2326"/>
    <w:rsid w:val="000E232D"/>
    <w:rsid w:val="000E2343"/>
    <w:rsid w:val="000E23C4"/>
    <w:rsid w:val="000E246C"/>
    <w:rsid w:val="000E249A"/>
    <w:rsid w:val="000E25DC"/>
    <w:rsid w:val="000E2615"/>
    <w:rsid w:val="000E26D8"/>
    <w:rsid w:val="000E2777"/>
    <w:rsid w:val="000E298E"/>
    <w:rsid w:val="000E2B82"/>
    <w:rsid w:val="000E2B94"/>
    <w:rsid w:val="000E2C84"/>
    <w:rsid w:val="000E2ED1"/>
    <w:rsid w:val="000E2EF0"/>
    <w:rsid w:val="000E2F61"/>
    <w:rsid w:val="000E2FAD"/>
    <w:rsid w:val="000E3053"/>
    <w:rsid w:val="000E30EA"/>
    <w:rsid w:val="000E3142"/>
    <w:rsid w:val="000E3156"/>
    <w:rsid w:val="000E315B"/>
    <w:rsid w:val="000E31AE"/>
    <w:rsid w:val="000E3222"/>
    <w:rsid w:val="000E33E6"/>
    <w:rsid w:val="000E3539"/>
    <w:rsid w:val="000E3545"/>
    <w:rsid w:val="000E35B6"/>
    <w:rsid w:val="000E3753"/>
    <w:rsid w:val="000E37CE"/>
    <w:rsid w:val="000E383C"/>
    <w:rsid w:val="000E389C"/>
    <w:rsid w:val="000E3977"/>
    <w:rsid w:val="000E39EC"/>
    <w:rsid w:val="000E3A2B"/>
    <w:rsid w:val="000E3AC1"/>
    <w:rsid w:val="000E3B42"/>
    <w:rsid w:val="000E3BB8"/>
    <w:rsid w:val="000E3BBA"/>
    <w:rsid w:val="000E3D1C"/>
    <w:rsid w:val="000E3D9B"/>
    <w:rsid w:val="000E3DFD"/>
    <w:rsid w:val="000E3E5C"/>
    <w:rsid w:val="000E3E77"/>
    <w:rsid w:val="000E3EC5"/>
    <w:rsid w:val="000E3EE7"/>
    <w:rsid w:val="000E4025"/>
    <w:rsid w:val="000E403F"/>
    <w:rsid w:val="000E40D4"/>
    <w:rsid w:val="000E40FE"/>
    <w:rsid w:val="000E4261"/>
    <w:rsid w:val="000E426A"/>
    <w:rsid w:val="000E42B0"/>
    <w:rsid w:val="000E4307"/>
    <w:rsid w:val="000E4335"/>
    <w:rsid w:val="000E4448"/>
    <w:rsid w:val="000E446B"/>
    <w:rsid w:val="000E4556"/>
    <w:rsid w:val="000E4605"/>
    <w:rsid w:val="000E4697"/>
    <w:rsid w:val="000E46B3"/>
    <w:rsid w:val="000E47CB"/>
    <w:rsid w:val="000E47E1"/>
    <w:rsid w:val="000E480E"/>
    <w:rsid w:val="000E482B"/>
    <w:rsid w:val="000E484E"/>
    <w:rsid w:val="000E49A6"/>
    <w:rsid w:val="000E49D8"/>
    <w:rsid w:val="000E4E06"/>
    <w:rsid w:val="000E4EE2"/>
    <w:rsid w:val="000E5187"/>
    <w:rsid w:val="000E539A"/>
    <w:rsid w:val="000E541E"/>
    <w:rsid w:val="000E5491"/>
    <w:rsid w:val="000E5568"/>
    <w:rsid w:val="000E5615"/>
    <w:rsid w:val="000E5671"/>
    <w:rsid w:val="000E56DD"/>
    <w:rsid w:val="000E5741"/>
    <w:rsid w:val="000E58C5"/>
    <w:rsid w:val="000E5A64"/>
    <w:rsid w:val="000E5AA6"/>
    <w:rsid w:val="000E5AFD"/>
    <w:rsid w:val="000E5C2B"/>
    <w:rsid w:val="000E5C40"/>
    <w:rsid w:val="000E5E96"/>
    <w:rsid w:val="000E5F3D"/>
    <w:rsid w:val="000E60B2"/>
    <w:rsid w:val="000E61D4"/>
    <w:rsid w:val="000E6203"/>
    <w:rsid w:val="000E62CB"/>
    <w:rsid w:val="000E62DD"/>
    <w:rsid w:val="000E6377"/>
    <w:rsid w:val="000E64CB"/>
    <w:rsid w:val="000E658B"/>
    <w:rsid w:val="000E6880"/>
    <w:rsid w:val="000E68B0"/>
    <w:rsid w:val="000E694C"/>
    <w:rsid w:val="000E69D6"/>
    <w:rsid w:val="000E69FB"/>
    <w:rsid w:val="000E6A2A"/>
    <w:rsid w:val="000E6B03"/>
    <w:rsid w:val="000E6BD4"/>
    <w:rsid w:val="000E6C3F"/>
    <w:rsid w:val="000E6D42"/>
    <w:rsid w:val="000E6DF9"/>
    <w:rsid w:val="000E70A1"/>
    <w:rsid w:val="000E70A9"/>
    <w:rsid w:val="000E70AD"/>
    <w:rsid w:val="000E71BE"/>
    <w:rsid w:val="000E722C"/>
    <w:rsid w:val="000E755B"/>
    <w:rsid w:val="000E76F6"/>
    <w:rsid w:val="000E7744"/>
    <w:rsid w:val="000E77A5"/>
    <w:rsid w:val="000E77AE"/>
    <w:rsid w:val="000E786F"/>
    <w:rsid w:val="000E78EE"/>
    <w:rsid w:val="000E7AC0"/>
    <w:rsid w:val="000E7C22"/>
    <w:rsid w:val="000E7C59"/>
    <w:rsid w:val="000E7C76"/>
    <w:rsid w:val="000E7DA7"/>
    <w:rsid w:val="000E7E89"/>
    <w:rsid w:val="000E7F58"/>
    <w:rsid w:val="000E7F74"/>
    <w:rsid w:val="000E7F96"/>
    <w:rsid w:val="000E7FA0"/>
    <w:rsid w:val="000E7FDD"/>
    <w:rsid w:val="000E7FF0"/>
    <w:rsid w:val="000F0052"/>
    <w:rsid w:val="000F00BA"/>
    <w:rsid w:val="000F0139"/>
    <w:rsid w:val="000F014C"/>
    <w:rsid w:val="000F0260"/>
    <w:rsid w:val="000F028A"/>
    <w:rsid w:val="000F02F8"/>
    <w:rsid w:val="000F03ED"/>
    <w:rsid w:val="000F0409"/>
    <w:rsid w:val="000F049F"/>
    <w:rsid w:val="000F04D7"/>
    <w:rsid w:val="000F0642"/>
    <w:rsid w:val="000F0787"/>
    <w:rsid w:val="000F07F1"/>
    <w:rsid w:val="000F07FA"/>
    <w:rsid w:val="000F098A"/>
    <w:rsid w:val="000F0B5E"/>
    <w:rsid w:val="000F0CB9"/>
    <w:rsid w:val="000F0D58"/>
    <w:rsid w:val="000F0E3D"/>
    <w:rsid w:val="000F0F9D"/>
    <w:rsid w:val="000F106D"/>
    <w:rsid w:val="000F10BB"/>
    <w:rsid w:val="000F1263"/>
    <w:rsid w:val="000F12D5"/>
    <w:rsid w:val="000F14E4"/>
    <w:rsid w:val="000F1593"/>
    <w:rsid w:val="000F15D3"/>
    <w:rsid w:val="000F15F0"/>
    <w:rsid w:val="000F1669"/>
    <w:rsid w:val="000F1699"/>
    <w:rsid w:val="000F190E"/>
    <w:rsid w:val="000F19C5"/>
    <w:rsid w:val="000F19E5"/>
    <w:rsid w:val="000F1A94"/>
    <w:rsid w:val="000F1AB8"/>
    <w:rsid w:val="000F1B82"/>
    <w:rsid w:val="000F1BB4"/>
    <w:rsid w:val="000F1BEF"/>
    <w:rsid w:val="000F1C6D"/>
    <w:rsid w:val="000F1CA8"/>
    <w:rsid w:val="000F1D43"/>
    <w:rsid w:val="000F1D72"/>
    <w:rsid w:val="000F1DDD"/>
    <w:rsid w:val="000F1DDF"/>
    <w:rsid w:val="000F1E55"/>
    <w:rsid w:val="000F1FFF"/>
    <w:rsid w:val="000F20AA"/>
    <w:rsid w:val="000F213B"/>
    <w:rsid w:val="000F21E3"/>
    <w:rsid w:val="000F2204"/>
    <w:rsid w:val="000F23E5"/>
    <w:rsid w:val="000F2436"/>
    <w:rsid w:val="000F25A2"/>
    <w:rsid w:val="000F2651"/>
    <w:rsid w:val="000F2707"/>
    <w:rsid w:val="000F292C"/>
    <w:rsid w:val="000F2980"/>
    <w:rsid w:val="000F2A84"/>
    <w:rsid w:val="000F2EDD"/>
    <w:rsid w:val="000F2F2F"/>
    <w:rsid w:val="000F2F6C"/>
    <w:rsid w:val="000F2FC9"/>
    <w:rsid w:val="000F3057"/>
    <w:rsid w:val="000F30AA"/>
    <w:rsid w:val="000F31EF"/>
    <w:rsid w:val="000F332E"/>
    <w:rsid w:val="000F33DE"/>
    <w:rsid w:val="000F3426"/>
    <w:rsid w:val="000F348D"/>
    <w:rsid w:val="000F353B"/>
    <w:rsid w:val="000F3677"/>
    <w:rsid w:val="000F369A"/>
    <w:rsid w:val="000F373B"/>
    <w:rsid w:val="000F3770"/>
    <w:rsid w:val="000F38FB"/>
    <w:rsid w:val="000F395B"/>
    <w:rsid w:val="000F3CAB"/>
    <w:rsid w:val="000F3EC0"/>
    <w:rsid w:val="000F3F28"/>
    <w:rsid w:val="000F3FE8"/>
    <w:rsid w:val="000F3FFD"/>
    <w:rsid w:val="000F400E"/>
    <w:rsid w:val="000F4013"/>
    <w:rsid w:val="000F412F"/>
    <w:rsid w:val="000F42DA"/>
    <w:rsid w:val="000F4463"/>
    <w:rsid w:val="000F462D"/>
    <w:rsid w:val="000F46D0"/>
    <w:rsid w:val="000F4838"/>
    <w:rsid w:val="000F498D"/>
    <w:rsid w:val="000F4A46"/>
    <w:rsid w:val="000F4A4F"/>
    <w:rsid w:val="000F4AB8"/>
    <w:rsid w:val="000F4CF7"/>
    <w:rsid w:val="000F4D28"/>
    <w:rsid w:val="000F4F86"/>
    <w:rsid w:val="000F50B1"/>
    <w:rsid w:val="000F5285"/>
    <w:rsid w:val="000F52E0"/>
    <w:rsid w:val="000F53A9"/>
    <w:rsid w:val="000F5483"/>
    <w:rsid w:val="000F55D0"/>
    <w:rsid w:val="000F5641"/>
    <w:rsid w:val="000F564B"/>
    <w:rsid w:val="000F5664"/>
    <w:rsid w:val="000F5685"/>
    <w:rsid w:val="000F5698"/>
    <w:rsid w:val="000F58B5"/>
    <w:rsid w:val="000F594D"/>
    <w:rsid w:val="000F5999"/>
    <w:rsid w:val="000F5BB6"/>
    <w:rsid w:val="000F5D28"/>
    <w:rsid w:val="000F5D2A"/>
    <w:rsid w:val="000F5F1A"/>
    <w:rsid w:val="000F5FAD"/>
    <w:rsid w:val="000F5FF8"/>
    <w:rsid w:val="000F5FFD"/>
    <w:rsid w:val="000F6000"/>
    <w:rsid w:val="000F60B8"/>
    <w:rsid w:val="000F60D1"/>
    <w:rsid w:val="000F6303"/>
    <w:rsid w:val="000F63F7"/>
    <w:rsid w:val="000F6444"/>
    <w:rsid w:val="000F6464"/>
    <w:rsid w:val="000F6476"/>
    <w:rsid w:val="000F6490"/>
    <w:rsid w:val="000F6497"/>
    <w:rsid w:val="000F65E1"/>
    <w:rsid w:val="000F6619"/>
    <w:rsid w:val="000F6628"/>
    <w:rsid w:val="000F6638"/>
    <w:rsid w:val="000F66AC"/>
    <w:rsid w:val="000F67D8"/>
    <w:rsid w:val="000F67E7"/>
    <w:rsid w:val="000F6824"/>
    <w:rsid w:val="000F687A"/>
    <w:rsid w:val="000F68C8"/>
    <w:rsid w:val="000F6A8C"/>
    <w:rsid w:val="000F6BC5"/>
    <w:rsid w:val="000F6C25"/>
    <w:rsid w:val="000F6D6D"/>
    <w:rsid w:val="000F6DCA"/>
    <w:rsid w:val="000F7008"/>
    <w:rsid w:val="000F703F"/>
    <w:rsid w:val="000F7106"/>
    <w:rsid w:val="000F7285"/>
    <w:rsid w:val="000F75F4"/>
    <w:rsid w:val="000F7661"/>
    <w:rsid w:val="000F76EB"/>
    <w:rsid w:val="000F76F8"/>
    <w:rsid w:val="000F78AE"/>
    <w:rsid w:val="000F78D1"/>
    <w:rsid w:val="000F79EA"/>
    <w:rsid w:val="000F7C79"/>
    <w:rsid w:val="000F7E25"/>
    <w:rsid w:val="000F7F03"/>
    <w:rsid w:val="0010007D"/>
    <w:rsid w:val="0010013C"/>
    <w:rsid w:val="0010027B"/>
    <w:rsid w:val="0010029D"/>
    <w:rsid w:val="001003F8"/>
    <w:rsid w:val="00100557"/>
    <w:rsid w:val="00100586"/>
    <w:rsid w:val="0010059F"/>
    <w:rsid w:val="00100641"/>
    <w:rsid w:val="0010072D"/>
    <w:rsid w:val="00100778"/>
    <w:rsid w:val="001007EE"/>
    <w:rsid w:val="00100856"/>
    <w:rsid w:val="00100B07"/>
    <w:rsid w:val="00100B20"/>
    <w:rsid w:val="00100B8B"/>
    <w:rsid w:val="00100BBB"/>
    <w:rsid w:val="00100C9A"/>
    <w:rsid w:val="00100DC4"/>
    <w:rsid w:val="00100E1F"/>
    <w:rsid w:val="00100F0B"/>
    <w:rsid w:val="00100F76"/>
    <w:rsid w:val="00101091"/>
    <w:rsid w:val="00101146"/>
    <w:rsid w:val="00101201"/>
    <w:rsid w:val="0010136B"/>
    <w:rsid w:val="0010148E"/>
    <w:rsid w:val="001014D4"/>
    <w:rsid w:val="00101655"/>
    <w:rsid w:val="001017E5"/>
    <w:rsid w:val="001018BB"/>
    <w:rsid w:val="001018CA"/>
    <w:rsid w:val="00101991"/>
    <w:rsid w:val="00101A40"/>
    <w:rsid w:val="00101AFA"/>
    <w:rsid w:val="00101E48"/>
    <w:rsid w:val="00101FC3"/>
    <w:rsid w:val="00102154"/>
    <w:rsid w:val="00102162"/>
    <w:rsid w:val="00102166"/>
    <w:rsid w:val="0010220B"/>
    <w:rsid w:val="0010222C"/>
    <w:rsid w:val="00102263"/>
    <w:rsid w:val="001022D2"/>
    <w:rsid w:val="00102311"/>
    <w:rsid w:val="00102482"/>
    <w:rsid w:val="0010253C"/>
    <w:rsid w:val="001025A1"/>
    <w:rsid w:val="0010260D"/>
    <w:rsid w:val="0010266B"/>
    <w:rsid w:val="001026CF"/>
    <w:rsid w:val="00102818"/>
    <w:rsid w:val="00102975"/>
    <w:rsid w:val="00102AAC"/>
    <w:rsid w:val="00102BC6"/>
    <w:rsid w:val="00102BD1"/>
    <w:rsid w:val="00102BE8"/>
    <w:rsid w:val="00102CA5"/>
    <w:rsid w:val="00102DB7"/>
    <w:rsid w:val="00102EA7"/>
    <w:rsid w:val="0010328A"/>
    <w:rsid w:val="001034EC"/>
    <w:rsid w:val="00103530"/>
    <w:rsid w:val="001039B2"/>
    <w:rsid w:val="00103B6A"/>
    <w:rsid w:val="00103BFD"/>
    <w:rsid w:val="00103C19"/>
    <w:rsid w:val="00103C4D"/>
    <w:rsid w:val="00103C82"/>
    <w:rsid w:val="00103D66"/>
    <w:rsid w:val="00103D8A"/>
    <w:rsid w:val="00103D91"/>
    <w:rsid w:val="001040B5"/>
    <w:rsid w:val="0010411E"/>
    <w:rsid w:val="00104242"/>
    <w:rsid w:val="00104271"/>
    <w:rsid w:val="001042C9"/>
    <w:rsid w:val="00104331"/>
    <w:rsid w:val="0010450D"/>
    <w:rsid w:val="00104573"/>
    <w:rsid w:val="001046BE"/>
    <w:rsid w:val="0010486A"/>
    <w:rsid w:val="001049B1"/>
    <w:rsid w:val="00104B11"/>
    <w:rsid w:val="00104BE2"/>
    <w:rsid w:val="00105094"/>
    <w:rsid w:val="0010529B"/>
    <w:rsid w:val="001053E6"/>
    <w:rsid w:val="001053FF"/>
    <w:rsid w:val="001054D4"/>
    <w:rsid w:val="0010561C"/>
    <w:rsid w:val="001057B1"/>
    <w:rsid w:val="0010591A"/>
    <w:rsid w:val="0010593E"/>
    <w:rsid w:val="001059AF"/>
    <w:rsid w:val="00105B1A"/>
    <w:rsid w:val="00105B1C"/>
    <w:rsid w:val="00105C01"/>
    <w:rsid w:val="00105C0F"/>
    <w:rsid w:val="00105CAF"/>
    <w:rsid w:val="00105D29"/>
    <w:rsid w:val="00105E39"/>
    <w:rsid w:val="00105EC8"/>
    <w:rsid w:val="00105FFB"/>
    <w:rsid w:val="00106098"/>
    <w:rsid w:val="00106143"/>
    <w:rsid w:val="0010631B"/>
    <w:rsid w:val="0010633B"/>
    <w:rsid w:val="00106403"/>
    <w:rsid w:val="00106509"/>
    <w:rsid w:val="0010653D"/>
    <w:rsid w:val="00106561"/>
    <w:rsid w:val="00106606"/>
    <w:rsid w:val="001066E0"/>
    <w:rsid w:val="00106812"/>
    <w:rsid w:val="00106BC7"/>
    <w:rsid w:val="00106CDF"/>
    <w:rsid w:val="00106D4A"/>
    <w:rsid w:val="00106D63"/>
    <w:rsid w:val="00106F33"/>
    <w:rsid w:val="00106FE0"/>
    <w:rsid w:val="001070CE"/>
    <w:rsid w:val="00107111"/>
    <w:rsid w:val="001071A4"/>
    <w:rsid w:val="00107206"/>
    <w:rsid w:val="001073F7"/>
    <w:rsid w:val="00107406"/>
    <w:rsid w:val="001074AB"/>
    <w:rsid w:val="001074AD"/>
    <w:rsid w:val="001075F3"/>
    <w:rsid w:val="001076C9"/>
    <w:rsid w:val="001079A4"/>
    <w:rsid w:val="001079FF"/>
    <w:rsid w:val="00107A01"/>
    <w:rsid w:val="00107A04"/>
    <w:rsid w:val="00107C23"/>
    <w:rsid w:val="00107DDB"/>
    <w:rsid w:val="00107E6A"/>
    <w:rsid w:val="001101DE"/>
    <w:rsid w:val="00110229"/>
    <w:rsid w:val="001102FC"/>
    <w:rsid w:val="00110307"/>
    <w:rsid w:val="00110324"/>
    <w:rsid w:val="001103B6"/>
    <w:rsid w:val="001104B4"/>
    <w:rsid w:val="00110563"/>
    <w:rsid w:val="001105E5"/>
    <w:rsid w:val="001106F6"/>
    <w:rsid w:val="00110750"/>
    <w:rsid w:val="001109E2"/>
    <w:rsid w:val="00110A97"/>
    <w:rsid w:val="00110B97"/>
    <w:rsid w:val="00110BEE"/>
    <w:rsid w:val="00110C36"/>
    <w:rsid w:val="00110C43"/>
    <w:rsid w:val="00110C7F"/>
    <w:rsid w:val="00110CF9"/>
    <w:rsid w:val="00110D00"/>
    <w:rsid w:val="00110E30"/>
    <w:rsid w:val="00110E87"/>
    <w:rsid w:val="00110EAB"/>
    <w:rsid w:val="00110EBC"/>
    <w:rsid w:val="00110EE2"/>
    <w:rsid w:val="00110F3E"/>
    <w:rsid w:val="00110F97"/>
    <w:rsid w:val="00111000"/>
    <w:rsid w:val="00111036"/>
    <w:rsid w:val="001110F7"/>
    <w:rsid w:val="00111106"/>
    <w:rsid w:val="00111209"/>
    <w:rsid w:val="0011123B"/>
    <w:rsid w:val="00111353"/>
    <w:rsid w:val="00111440"/>
    <w:rsid w:val="00111552"/>
    <w:rsid w:val="00111597"/>
    <w:rsid w:val="001115CD"/>
    <w:rsid w:val="001115F1"/>
    <w:rsid w:val="001118C3"/>
    <w:rsid w:val="00111A23"/>
    <w:rsid w:val="00111A7A"/>
    <w:rsid w:val="00111A88"/>
    <w:rsid w:val="00111B3C"/>
    <w:rsid w:val="00111BC8"/>
    <w:rsid w:val="00111C56"/>
    <w:rsid w:val="00111DBB"/>
    <w:rsid w:val="00111DD2"/>
    <w:rsid w:val="00111EE7"/>
    <w:rsid w:val="00111F56"/>
    <w:rsid w:val="00111FB6"/>
    <w:rsid w:val="00111FE6"/>
    <w:rsid w:val="00111FEC"/>
    <w:rsid w:val="00112082"/>
    <w:rsid w:val="0011221A"/>
    <w:rsid w:val="00112329"/>
    <w:rsid w:val="001123C5"/>
    <w:rsid w:val="001124DD"/>
    <w:rsid w:val="001124ED"/>
    <w:rsid w:val="00112512"/>
    <w:rsid w:val="0011259D"/>
    <w:rsid w:val="001126B3"/>
    <w:rsid w:val="00112841"/>
    <w:rsid w:val="001128ED"/>
    <w:rsid w:val="0011298E"/>
    <w:rsid w:val="00112D30"/>
    <w:rsid w:val="00112E7F"/>
    <w:rsid w:val="001130BF"/>
    <w:rsid w:val="00113283"/>
    <w:rsid w:val="0011330E"/>
    <w:rsid w:val="0011332B"/>
    <w:rsid w:val="001133F0"/>
    <w:rsid w:val="001135E4"/>
    <w:rsid w:val="00113687"/>
    <w:rsid w:val="00113782"/>
    <w:rsid w:val="001137AA"/>
    <w:rsid w:val="001137AE"/>
    <w:rsid w:val="001138FD"/>
    <w:rsid w:val="00113ABB"/>
    <w:rsid w:val="00113ADB"/>
    <w:rsid w:val="00113B20"/>
    <w:rsid w:val="00113B76"/>
    <w:rsid w:val="00113CFB"/>
    <w:rsid w:val="00113DE1"/>
    <w:rsid w:val="00113E06"/>
    <w:rsid w:val="00113E37"/>
    <w:rsid w:val="00113F88"/>
    <w:rsid w:val="00113FAB"/>
    <w:rsid w:val="00113FFD"/>
    <w:rsid w:val="00114073"/>
    <w:rsid w:val="001140AB"/>
    <w:rsid w:val="001140AE"/>
    <w:rsid w:val="00114124"/>
    <w:rsid w:val="001144C0"/>
    <w:rsid w:val="00114500"/>
    <w:rsid w:val="00114569"/>
    <w:rsid w:val="001145C0"/>
    <w:rsid w:val="001147B3"/>
    <w:rsid w:val="00114853"/>
    <w:rsid w:val="001148F7"/>
    <w:rsid w:val="001149B2"/>
    <w:rsid w:val="001149BA"/>
    <w:rsid w:val="00114A98"/>
    <w:rsid w:val="00114C09"/>
    <w:rsid w:val="00114C2D"/>
    <w:rsid w:val="00114EDD"/>
    <w:rsid w:val="00115125"/>
    <w:rsid w:val="00115201"/>
    <w:rsid w:val="001152F2"/>
    <w:rsid w:val="0011552E"/>
    <w:rsid w:val="00115554"/>
    <w:rsid w:val="00115601"/>
    <w:rsid w:val="0011563E"/>
    <w:rsid w:val="00115681"/>
    <w:rsid w:val="001156D9"/>
    <w:rsid w:val="0011577D"/>
    <w:rsid w:val="001157D7"/>
    <w:rsid w:val="00115866"/>
    <w:rsid w:val="00115A2C"/>
    <w:rsid w:val="00115A95"/>
    <w:rsid w:val="00115BB6"/>
    <w:rsid w:val="00115BEC"/>
    <w:rsid w:val="00115CA0"/>
    <w:rsid w:val="00115D77"/>
    <w:rsid w:val="00116117"/>
    <w:rsid w:val="0011636C"/>
    <w:rsid w:val="00116382"/>
    <w:rsid w:val="001163B3"/>
    <w:rsid w:val="001163D1"/>
    <w:rsid w:val="00116453"/>
    <w:rsid w:val="00116455"/>
    <w:rsid w:val="00116484"/>
    <w:rsid w:val="001165ED"/>
    <w:rsid w:val="00116639"/>
    <w:rsid w:val="001166AF"/>
    <w:rsid w:val="001166DC"/>
    <w:rsid w:val="001166E4"/>
    <w:rsid w:val="00116A70"/>
    <w:rsid w:val="00116ABF"/>
    <w:rsid w:val="00116ACF"/>
    <w:rsid w:val="00116BA5"/>
    <w:rsid w:val="00116BC8"/>
    <w:rsid w:val="00116BD0"/>
    <w:rsid w:val="00116C0F"/>
    <w:rsid w:val="00116C17"/>
    <w:rsid w:val="00116C8E"/>
    <w:rsid w:val="00116CB6"/>
    <w:rsid w:val="00116D5C"/>
    <w:rsid w:val="00116DCE"/>
    <w:rsid w:val="00116DFE"/>
    <w:rsid w:val="00116E34"/>
    <w:rsid w:val="00116F9D"/>
    <w:rsid w:val="00117033"/>
    <w:rsid w:val="00117082"/>
    <w:rsid w:val="00117092"/>
    <w:rsid w:val="00117139"/>
    <w:rsid w:val="001172B2"/>
    <w:rsid w:val="001172D1"/>
    <w:rsid w:val="0011739D"/>
    <w:rsid w:val="00117457"/>
    <w:rsid w:val="00117483"/>
    <w:rsid w:val="001176B7"/>
    <w:rsid w:val="0011778B"/>
    <w:rsid w:val="001177C3"/>
    <w:rsid w:val="0011783D"/>
    <w:rsid w:val="001178B6"/>
    <w:rsid w:val="001178C8"/>
    <w:rsid w:val="0011794A"/>
    <w:rsid w:val="00117953"/>
    <w:rsid w:val="00117A3B"/>
    <w:rsid w:val="00117B33"/>
    <w:rsid w:val="00117C05"/>
    <w:rsid w:val="00117C41"/>
    <w:rsid w:val="00117DBE"/>
    <w:rsid w:val="00117F9B"/>
    <w:rsid w:val="00120079"/>
    <w:rsid w:val="001200CF"/>
    <w:rsid w:val="001200FC"/>
    <w:rsid w:val="00120108"/>
    <w:rsid w:val="00120119"/>
    <w:rsid w:val="001201AD"/>
    <w:rsid w:val="001201F7"/>
    <w:rsid w:val="001202FD"/>
    <w:rsid w:val="0012042F"/>
    <w:rsid w:val="001204FD"/>
    <w:rsid w:val="001205DA"/>
    <w:rsid w:val="0012073B"/>
    <w:rsid w:val="001207EA"/>
    <w:rsid w:val="00120997"/>
    <w:rsid w:val="001209BA"/>
    <w:rsid w:val="00120C0C"/>
    <w:rsid w:val="00120C20"/>
    <w:rsid w:val="00120D3C"/>
    <w:rsid w:val="00120F5F"/>
    <w:rsid w:val="00120F66"/>
    <w:rsid w:val="00120F96"/>
    <w:rsid w:val="00120FA0"/>
    <w:rsid w:val="00121080"/>
    <w:rsid w:val="00121211"/>
    <w:rsid w:val="0012124C"/>
    <w:rsid w:val="001212FB"/>
    <w:rsid w:val="0012141D"/>
    <w:rsid w:val="0012142F"/>
    <w:rsid w:val="001214A9"/>
    <w:rsid w:val="001214E2"/>
    <w:rsid w:val="00121521"/>
    <w:rsid w:val="00121609"/>
    <w:rsid w:val="00121628"/>
    <w:rsid w:val="00121661"/>
    <w:rsid w:val="0012167D"/>
    <w:rsid w:val="001216A3"/>
    <w:rsid w:val="00121734"/>
    <w:rsid w:val="00121770"/>
    <w:rsid w:val="001217D2"/>
    <w:rsid w:val="00121804"/>
    <w:rsid w:val="0012185C"/>
    <w:rsid w:val="00121898"/>
    <w:rsid w:val="00121913"/>
    <w:rsid w:val="00121B01"/>
    <w:rsid w:val="00121B24"/>
    <w:rsid w:val="00121BB4"/>
    <w:rsid w:val="00121CD7"/>
    <w:rsid w:val="00121D51"/>
    <w:rsid w:val="00121E98"/>
    <w:rsid w:val="00121F4D"/>
    <w:rsid w:val="0012206D"/>
    <w:rsid w:val="00122189"/>
    <w:rsid w:val="0012220A"/>
    <w:rsid w:val="00122280"/>
    <w:rsid w:val="0012235B"/>
    <w:rsid w:val="001223FA"/>
    <w:rsid w:val="001224E3"/>
    <w:rsid w:val="00122668"/>
    <w:rsid w:val="001228C0"/>
    <w:rsid w:val="001228E0"/>
    <w:rsid w:val="00122969"/>
    <w:rsid w:val="001229FA"/>
    <w:rsid w:val="00122A37"/>
    <w:rsid w:val="00122B27"/>
    <w:rsid w:val="00122BE7"/>
    <w:rsid w:val="00122D42"/>
    <w:rsid w:val="00122D77"/>
    <w:rsid w:val="00122F0D"/>
    <w:rsid w:val="00122FB3"/>
    <w:rsid w:val="00123150"/>
    <w:rsid w:val="00123200"/>
    <w:rsid w:val="0012321E"/>
    <w:rsid w:val="0012326B"/>
    <w:rsid w:val="00123345"/>
    <w:rsid w:val="001233C4"/>
    <w:rsid w:val="001234F5"/>
    <w:rsid w:val="00123593"/>
    <w:rsid w:val="001236F7"/>
    <w:rsid w:val="00123774"/>
    <w:rsid w:val="0012381A"/>
    <w:rsid w:val="001238F2"/>
    <w:rsid w:val="00123939"/>
    <w:rsid w:val="00123A27"/>
    <w:rsid w:val="00123BD6"/>
    <w:rsid w:val="00123C46"/>
    <w:rsid w:val="00123C9D"/>
    <w:rsid w:val="00123DA0"/>
    <w:rsid w:val="00123E7D"/>
    <w:rsid w:val="00123E97"/>
    <w:rsid w:val="00123FCC"/>
    <w:rsid w:val="00123FE9"/>
    <w:rsid w:val="0012404B"/>
    <w:rsid w:val="00124073"/>
    <w:rsid w:val="001240BF"/>
    <w:rsid w:val="0012416E"/>
    <w:rsid w:val="00124177"/>
    <w:rsid w:val="0012420E"/>
    <w:rsid w:val="00124225"/>
    <w:rsid w:val="00124286"/>
    <w:rsid w:val="001243D2"/>
    <w:rsid w:val="0012442B"/>
    <w:rsid w:val="001244EC"/>
    <w:rsid w:val="001246E2"/>
    <w:rsid w:val="0012470B"/>
    <w:rsid w:val="001248A8"/>
    <w:rsid w:val="001248CB"/>
    <w:rsid w:val="001249CB"/>
    <w:rsid w:val="001249DE"/>
    <w:rsid w:val="00124DD3"/>
    <w:rsid w:val="00124E13"/>
    <w:rsid w:val="00125141"/>
    <w:rsid w:val="001251E7"/>
    <w:rsid w:val="001251FA"/>
    <w:rsid w:val="0012530E"/>
    <w:rsid w:val="0012533A"/>
    <w:rsid w:val="001254C8"/>
    <w:rsid w:val="00125529"/>
    <w:rsid w:val="001255BF"/>
    <w:rsid w:val="001255EA"/>
    <w:rsid w:val="00125854"/>
    <w:rsid w:val="001259A6"/>
    <w:rsid w:val="00125C75"/>
    <w:rsid w:val="00125C7E"/>
    <w:rsid w:val="00125CD3"/>
    <w:rsid w:val="00125E88"/>
    <w:rsid w:val="00125FC8"/>
    <w:rsid w:val="00126099"/>
    <w:rsid w:val="00126184"/>
    <w:rsid w:val="00126208"/>
    <w:rsid w:val="001262BB"/>
    <w:rsid w:val="0012631F"/>
    <w:rsid w:val="00126362"/>
    <w:rsid w:val="001263BB"/>
    <w:rsid w:val="00126611"/>
    <w:rsid w:val="001266CB"/>
    <w:rsid w:val="00126760"/>
    <w:rsid w:val="0012676C"/>
    <w:rsid w:val="0012687A"/>
    <w:rsid w:val="00126A29"/>
    <w:rsid w:val="00126ABA"/>
    <w:rsid w:val="00126AD0"/>
    <w:rsid w:val="00126C58"/>
    <w:rsid w:val="00126ED7"/>
    <w:rsid w:val="00126F0C"/>
    <w:rsid w:val="00126FCC"/>
    <w:rsid w:val="0012705A"/>
    <w:rsid w:val="00127176"/>
    <w:rsid w:val="001273FC"/>
    <w:rsid w:val="0012755D"/>
    <w:rsid w:val="0012756B"/>
    <w:rsid w:val="001275FA"/>
    <w:rsid w:val="00127814"/>
    <w:rsid w:val="00127945"/>
    <w:rsid w:val="00127946"/>
    <w:rsid w:val="00127AA8"/>
    <w:rsid w:val="00127CA9"/>
    <w:rsid w:val="00127D6A"/>
    <w:rsid w:val="00127D84"/>
    <w:rsid w:val="00127D94"/>
    <w:rsid w:val="00127DE8"/>
    <w:rsid w:val="00127E2C"/>
    <w:rsid w:val="00127E90"/>
    <w:rsid w:val="00127F81"/>
    <w:rsid w:val="0013006D"/>
    <w:rsid w:val="00130087"/>
    <w:rsid w:val="001300D3"/>
    <w:rsid w:val="001301A2"/>
    <w:rsid w:val="001302C1"/>
    <w:rsid w:val="00130448"/>
    <w:rsid w:val="00130503"/>
    <w:rsid w:val="00130556"/>
    <w:rsid w:val="0013056F"/>
    <w:rsid w:val="0013058E"/>
    <w:rsid w:val="001306D3"/>
    <w:rsid w:val="00130779"/>
    <w:rsid w:val="00130851"/>
    <w:rsid w:val="0013097B"/>
    <w:rsid w:val="001309C7"/>
    <w:rsid w:val="001309D4"/>
    <w:rsid w:val="00130A22"/>
    <w:rsid w:val="00130A41"/>
    <w:rsid w:val="00130C44"/>
    <w:rsid w:val="00130CA6"/>
    <w:rsid w:val="00130D63"/>
    <w:rsid w:val="00130E61"/>
    <w:rsid w:val="001310BF"/>
    <w:rsid w:val="0013118A"/>
    <w:rsid w:val="001311FB"/>
    <w:rsid w:val="001313BA"/>
    <w:rsid w:val="001314CD"/>
    <w:rsid w:val="001314F9"/>
    <w:rsid w:val="0013151F"/>
    <w:rsid w:val="0013158E"/>
    <w:rsid w:val="0013165E"/>
    <w:rsid w:val="001317DD"/>
    <w:rsid w:val="00131920"/>
    <w:rsid w:val="00131990"/>
    <w:rsid w:val="00131A8E"/>
    <w:rsid w:val="00131BF8"/>
    <w:rsid w:val="00131C82"/>
    <w:rsid w:val="00131DE0"/>
    <w:rsid w:val="00131F43"/>
    <w:rsid w:val="0013202C"/>
    <w:rsid w:val="001320BB"/>
    <w:rsid w:val="00132233"/>
    <w:rsid w:val="00132481"/>
    <w:rsid w:val="0013256B"/>
    <w:rsid w:val="001325B4"/>
    <w:rsid w:val="00132631"/>
    <w:rsid w:val="00132700"/>
    <w:rsid w:val="00132720"/>
    <w:rsid w:val="001327C9"/>
    <w:rsid w:val="00132B31"/>
    <w:rsid w:val="00132C41"/>
    <w:rsid w:val="00133177"/>
    <w:rsid w:val="001332EB"/>
    <w:rsid w:val="001333B4"/>
    <w:rsid w:val="001333D3"/>
    <w:rsid w:val="0013349F"/>
    <w:rsid w:val="001334F5"/>
    <w:rsid w:val="00133687"/>
    <w:rsid w:val="00133729"/>
    <w:rsid w:val="0013398D"/>
    <w:rsid w:val="001339FD"/>
    <w:rsid w:val="00133AE6"/>
    <w:rsid w:val="00133E73"/>
    <w:rsid w:val="00133FA7"/>
    <w:rsid w:val="00133FBC"/>
    <w:rsid w:val="00133FDB"/>
    <w:rsid w:val="0013418E"/>
    <w:rsid w:val="0013435A"/>
    <w:rsid w:val="001343FC"/>
    <w:rsid w:val="001344DA"/>
    <w:rsid w:val="001344E2"/>
    <w:rsid w:val="0013454C"/>
    <w:rsid w:val="00134557"/>
    <w:rsid w:val="0013464E"/>
    <w:rsid w:val="00134654"/>
    <w:rsid w:val="001346FE"/>
    <w:rsid w:val="00134916"/>
    <w:rsid w:val="00134A7F"/>
    <w:rsid w:val="00134AB7"/>
    <w:rsid w:val="00134C10"/>
    <w:rsid w:val="00134CB8"/>
    <w:rsid w:val="00134D04"/>
    <w:rsid w:val="00134E44"/>
    <w:rsid w:val="00134E56"/>
    <w:rsid w:val="00134E5D"/>
    <w:rsid w:val="00134E66"/>
    <w:rsid w:val="00134F4A"/>
    <w:rsid w:val="00134F7D"/>
    <w:rsid w:val="00134F7E"/>
    <w:rsid w:val="00135074"/>
    <w:rsid w:val="001350B6"/>
    <w:rsid w:val="001351CB"/>
    <w:rsid w:val="00135219"/>
    <w:rsid w:val="0013527A"/>
    <w:rsid w:val="00135303"/>
    <w:rsid w:val="00135551"/>
    <w:rsid w:val="0013559C"/>
    <w:rsid w:val="00135673"/>
    <w:rsid w:val="00135748"/>
    <w:rsid w:val="00135767"/>
    <w:rsid w:val="001357D6"/>
    <w:rsid w:val="00135830"/>
    <w:rsid w:val="00135863"/>
    <w:rsid w:val="0013596B"/>
    <w:rsid w:val="00135972"/>
    <w:rsid w:val="00135A44"/>
    <w:rsid w:val="00135C37"/>
    <w:rsid w:val="00135D92"/>
    <w:rsid w:val="00135DE8"/>
    <w:rsid w:val="00135E4E"/>
    <w:rsid w:val="00135E71"/>
    <w:rsid w:val="00135FA1"/>
    <w:rsid w:val="00136246"/>
    <w:rsid w:val="001363C3"/>
    <w:rsid w:val="001364AE"/>
    <w:rsid w:val="001364C0"/>
    <w:rsid w:val="001364D4"/>
    <w:rsid w:val="00136662"/>
    <w:rsid w:val="001366B8"/>
    <w:rsid w:val="00136856"/>
    <w:rsid w:val="0013690B"/>
    <w:rsid w:val="00136A74"/>
    <w:rsid w:val="00136CA1"/>
    <w:rsid w:val="00136CED"/>
    <w:rsid w:val="00137082"/>
    <w:rsid w:val="001371C8"/>
    <w:rsid w:val="001371D2"/>
    <w:rsid w:val="001372ED"/>
    <w:rsid w:val="001373A4"/>
    <w:rsid w:val="00137512"/>
    <w:rsid w:val="001375FE"/>
    <w:rsid w:val="00137708"/>
    <w:rsid w:val="0013775E"/>
    <w:rsid w:val="00137863"/>
    <w:rsid w:val="001378E0"/>
    <w:rsid w:val="00137A45"/>
    <w:rsid w:val="00137AD2"/>
    <w:rsid w:val="00137C6B"/>
    <w:rsid w:val="00137D00"/>
    <w:rsid w:val="00137D59"/>
    <w:rsid w:val="00137D79"/>
    <w:rsid w:val="00137D9F"/>
    <w:rsid w:val="00137E98"/>
    <w:rsid w:val="00137F7E"/>
    <w:rsid w:val="001403D3"/>
    <w:rsid w:val="00140620"/>
    <w:rsid w:val="00140634"/>
    <w:rsid w:val="0014080A"/>
    <w:rsid w:val="0014081A"/>
    <w:rsid w:val="0014082C"/>
    <w:rsid w:val="00140877"/>
    <w:rsid w:val="001408D0"/>
    <w:rsid w:val="001408DB"/>
    <w:rsid w:val="00140905"/>
    <w:rsid w:val="001409BD"/>
    <w:rsid w:val="00140A31"/>
    <w:rsid w:val="00140B42"/>
    <w:rsid w:val="00140BBF"/>
    <w:rsid w:val="00140D31"/>
    <w:rsid w:val="00140DF6"/>
    <w:rsid w:val="00140E33"/>
    <w:rsid w:val="00140E34"/>
    <w:rsid w:val="00140E8B"/>
    <w:rsid w:val="00140FEF"/>
    <w:rsid w:val="00141049"/>
    <w:rsid w:val="00141161"/>
    <w:rsid w:val="00141292"/>
    <w:rsid w:val="001413FE"/>
    <w:rsid w:val="00141478"/>
    <w:rsid w:val="001415D7"/>
    <w:rsid w:val="0014161C"/>
    <w:rsid w:val="00141630"/>
    <w:rsid w:val="001416B1"/>
    <w:rsid w:val="001416C4"/>
    <w:rsid w:val="00141AB0"/>
    <w:rsid w:val="00141B19"/>
    <w:rsid w:val="00141BD6"/>
    <w:rsid w:val="00141C30"/>
    <w:rsid w:val="00141DD7"/>
    <w:rsid w:val="00141DE1"/>
    <w:rsid w:val="00141F00"/>
    <w:rsid w:val="00141FB3"/>
    <w:rsid w:val="00142036"/>
    <w:rsid w:val="00142072"/>
    <w:rsid w:val="001421C7"/>
    <w:rsid w:val="001421E0"/>
    <w:rsid w:val="001421E4"/>
    <w:rsid w:val="001422CD"/>
    <w:rsid w:val="0014247C"/>
    <w:rsid w:val="001424CD"/>
    <w:rsid w:val="001425C4"/>
    <w:rsid w:val="001429FB"/>
    <w:rsid w:val="00142A09"/>
    <w:rsid w:val="00142A39"/>
    <w:rsid w:val="00142B50"/>
    <w:rsid w:val="00142D60"/>
    <w:rsid w:val="00142E6F"/>
    <w:rsid w:val="00142E91"/>
    <w:rsid w:val="00143021"/>
    <w:rsid w:val="0014324E"/>
    <w:rsid w:val="001435E3"/>
    <w:rsid w:val="001436C0"/>
    <w:rsid w:val="0014374A"/>
    <w:rsid w:val="00143788"/>
    <w:rsid w:val="00143862"/>
    <w:rsid w:val="00143873"/>
    <w:rsid w:val="0014388F"/>
    <w:rsid w:val="001439E9"/>
    <w:rsid w:val="00143B4E"/>
    <w:rsid w:val="00143C0F"/>
    <w:rsid w:val="00143C55"/>
    <w:rsid w:val="00143C67"/>
    <w:rsid w:val="00143CC0"/>
    <w:rsid w:val="00143D38"/>
    <w:rsid w:val="00143DB3"/>
    <w:rsid w:val="00143DC3"/>
    <w:rsid w:val="00143DDD"/>
    <w:rsid w:val="00143E9D"/>
    <w:rsid w:val="00143F40"/>
    <w:rsid w:val="001440E0"/>
    <w:rsid w:val="001440FB"/>
    <w:rsid w:val="001441BE"/>
    <w:rsid w:val="00144343"/>
    <w:rsid w:val="00144481"/>
    <w:rsid w:val="001444F1"/>
    <w:rsid w:val="001445B8"/>
    <w:rsid w:val="00144783"/>
    <w:rsid w:val="001448CC"/>
    <w:rsid w:val="0014495F"/>
    <w:rsid w:val="00144976"/>
    <w:rsid w:val="00144C49"/>
    <w:rsid w:val="00144C6F"/>
    <w:rsid w:val="00144CFA"/>
    <w:rsid w:val="00144D0C"/>
    <w:rsid w:val="00144D40"/>
    <w:rsid w:val="00144E90"/>
    <w:rsid w:val="00144F2F"/>
    <w:rsid w:val="00145020"/>
    <w:rsid w:val="00145089"/>
    <w:rsid w:val="001450D4"/>
    <w:rsid w:val="00145197"/>
    <w:rsid w:val="001451E7"/>
    <w:rsid w:val="00145206"/>
    <w:rsid w:val="0014555C"/>
    <w:rsid w:val="00145793"/>
    <w:rsid w:val="001457AB"/>
    <w:rsid w:val="001459B0"/>
    <w:rsid w:val="00145ACD"/>
    <w:rsid w:val="00145B73"/>
    <w:rsid w:val="00145BA3"/>
    <w:rsid w:val="00145E0A"/>
    <w:rsid w:val="00145E0D"/>
    <w:rsid w:val="001462AD"/>
    <w:rsid w:val="001462E3"/>
    <w:rsid w:val="0014644B"/>
    <w:rsid w:val="001464C7"/>
    <w:rsid w:val="001464CD"/>
    <w:rsid w:val="00146711"/>
    <w:rsid w:val="00146714"/>
    <w:rsid w:val="00146875"/>
    <w:rsid w:val="00146998"/>
    <w:rsid w:val="001469B9"/>
    <w:rsid w:val="00146A45"/>
    <w:rsid w:val="00146A74"/>
    <w:rsid w:val="00146B00"/>
    <w:rsid w:val="00146CBE"/>
    <w:rsid w:val="00146E7E"/>
    <w:rsid w:val="00147019"/>
    <w:rsid w:val="00147044"/>
    <w:rsid w:val="0014716C"/>
    <w:rsid w:val="0014720C"/>
    <w:rsid w:val="0014728A"/>
    <w:rsid w:val="001472B9"/>
    <w:rsid w:val="001472C2"/>
    <w:rsid w:val="001473E7"/>
    <w:rsid w:val="0014743F"/>
    <w:rsid w:val="00147458"/>
    <w:rsid w:val="00147551"/>
    <w:rsid w:val="00147559"/>
    <w:rsid w:val="00147561"/>
    <w:rsid w:val="0014762D"/>
    <w:rsid w:val="0014772E"/>
    <w:rsid w:val="001477A5"/>
    <w:rsid w:val="001477C0"/>
    <w:rsid w:val="001477CB"/>
    <w:rsid w:val="001477DD"/>
    <w:rsid w:val="0014782D"/>
    <w:rsid w:val="0014788B"/>
    <w:rsid w:val="001478CB"/>
    <w:rsid w:val="001478EF"/>
    <w:rsid w:val="00147978"/>
    <w:rsid w:val="001479BA"/>
    <w:rsid w:val="00147BBE"/>
    <w:rsid w:val="00147BF6"/>
    <w:rsid w:val="00147D47"/>
    <w:rsid w:val="00147E21"/>
    <w:rsid w:val="00147E3D"/>
    <w:rsid w:val="00147E91"/>
    <w:rsid w:val="00147EAD"/>
    <w:rsid w:val="00147F2F"/>
    <w:rsid w:val="00147F6E"/>
    <w:rsid w:val="00150273"/>
    <w:rsid w:val="0015039D"/>
    <w:rsid w:val="00150467"/>
    <w:rsid w:val="001506E2"/>
    <w:rsid w:val="00150847"/>
    <w:rsid w:val="0015085F"/>
    <w:rsid w:val="00150883"/>
    <w:rsid w:val="001508AA"/>
    <w:rsid w:val="00150991"/>
    <w:rsid w:val="00150A91"/>
    <w:rsid w:val="00150AB3"/>
    <w:rsid w:val="00150B5A"/>
    <w:rsid w:val="00150B98"/>
    <w:rsid w:val="00150BA8"/>
    <w:rsid w:val="00150BBC"/>
    <w:rsid w:val="00150C37"/>
    <w:rsid w:val="00150CDD"/>
    <w:rsid w:val="00150D19"/>
    <w:rsid w:val="00150D91"/>
    <w:rsid w:val="00150E45"/>
    <w:rsid w:val="00150EB5"/>
    <w:rsid w:val="00150F13"/>
    <w:rsid w:val="00150FFE"/>
    <w:rsid w:val="00151296"/>
    <w:rsid w:val="001512CF"/>
    <w:rsid w:val="00151331"/>
    <w:rsid w:val="001513C8"/>
    <w:rsid w:val="00151511"/>
    <w:rsid w:val="001515E8"/>
    <w:rsid w:val="001517FA"/>
    <w:rsid w:val="0015181B"/>
    <w:rsid w:val="00151820"/>
    <w:rsid w:val="00151A9F"/>
    <w:rsid w:val="00151B62"/>
    <w:rsid w:val="00151C6F"/>
    <w:rsid w:val="00151D6D"/>
    <w:rsid w:val="00151DF0"/>
    <w:rsid w:val="00151E02"/>
    <w:rsid w:val="00151E55"/>
    <w:rsid w:val="0015201F"/>
    <w:rsid w:val="00152067"/>
    <w:rsid w:val="001520D5"/>
    <w:rsid w:val="00152297"/>
    <w:rsid w:val="001522E1"/>
    <w:rsid w:val="0015230E"/>
    <w:rsid w:val="0015233C"/>
    <w:rsid w:val="001523E0"/>
    <w:rsid w:val="0015255B"/>
    <w:rsid w:val="0015258E"/>
    <w:rsid w:val="001526AE"/>
    <w:rsid w:val="00152734"/>
    <w:rsid w:val="00152885"/>
    <w:rsid w:val="001528A7"/>
    <w:rsid w:val="001529B5"/>
    <w:rsid w:val="00152AA4"/>
    <w:rsid w:val="00152AC3"/>
    <w:rsid w:val="00152B87"/>
    <w:rsid w:val="00152D50"/>
    <w:rsid w:val="00152DD3"/>
    <w:rsid w:val="00152DD6"/>
    <w:rsid w:val="00152FD8"/>
    <w:rsid w:val="00153157"/>
    <w:rsid w:val="0015324C"/>
    <w:rsid w:val="001533A7"/>
    <w:rsid w:val="001533EC"/>
    <w:rsid w:val="00153560"/>
    <w:rsid w:val="0015359E"/>
    <w:rsid w:val="00153617"/>
    <w:rsid w:val="00153813"/>
    <w:rsid w:val="00153A5D"/>
    <w:rsid w:val="00153A96"/>
    <w:rsid w:val="00153BC4"/>
    <w:rsid w:val="00153D1C"/>
    <w:rsid w:val="00153E15"/>
    <w:rsid w:val="00153E96"/>
    <w:rsid w:val="00153F7A"/>
    <w:rsid w:val="00153F8A"/>
    <w:rsid w:val="00153FE3"/>
    <w:rsid w:val="00154045"/>
    <w:rsid w:val="00154249"/>
    <w:rsid w:val="0015428D"/>
    <w:rsid w:val="00154290"/>
    <w:rsid w:val="0015436A"/>
    <w:rsid w:val="001543E2"/>
    <w:rsid w:val="001544A5"/>
    <w:rsid w:val="00154581"/>
    <w:rsid w:val="001546BE"/>
    <w:rsid w:val="00154903"/>
    <w:rsid w:val="00154A93"/>
    <w:rsid w:val="00154B18"/>
    <w:rsid w:val="00154BBD"/>
    <w:rsid w:val="00154CDE"/>
    <w:rsid w:val="00154CF9"/>
    <w:rsid w:val="00154D23"/>
    <w:rsid w:val="00154DD9"/>
    <w:rsid w:val="00154E75"/>
    <w:rsid w:val="00154E81"/>
    <w:rsid w:val="00154EFD"/>
    <w:rsid w:val="001550DE"/>
    <w:rsid w:val="00155116"/>
    <w:rsid w:val="0015545E"/>
    <w:rsid w:val="00155848"/>
    <w:rsid w:val="00155921"/>
    <w:rsid w:val="00155963"/>
    <w:rsid w:val="00155A92"/>
    <w:rsid w:val="00155B43"/>
    <w:rsid w:val="00155B93"/>
    <w:rsid w:val="00155C55"/>
    <w:rsid w:val="00155CA2"/>
    <w:rsid w:val="00155CC0"/>
    <w:rsid w:val="00155D19"/>
    <w:rsid w:val="00155E14"/>
    <w:rsid w:val="00156205"/>
    <w:rsid w:val="00156288"/>
    <w:rsid w:val="00156366"/>
    <w:rsid w:val="001565A2"/>
    <w:rsid w:val="001567B5"/>
    <w:rsid w:val="001567C3"/>
    <w:rsid w:val="0015686B"/>
    <w:rsid w:val="00156A12"/>
    <w:rsid w:val="00156A96"/>
    <w:rsid w:val="00156B2F"/>
    <w:rsid w:val="00156C27"/>
    <w:rsid w:val="00156D1D"/>
    <w:rsid w:val="00156DCA"/>
    <w:rsid w:val="00156DCE"/>
    <w:rsid w:val="00156F16"/>
    <w:rsid w:val="00156F17"/>
    <w:rsid w:val="00156F7A"/>
    <w:rsid w:val="00157061"/>
    <w:rsid w:val="0015707B"/>
    <w:rsid w:val="001570F2"/>
    <w:rsid w:val="0015712B"/>
    <w:rsid w:val="001571DE"/>
    <w:rsid w:val="001572CB"/>
    <w:rsid w:val="001572CC"/>
    <w:rsid w:val="001572E6"/>
    <w:rsid w:val="0015735A"/>
    <w:rsid w:val="001573CC"/>
    <w:rsid w:val="00157468"/>
    <w:rsid w:val="00157510"/>
    <w:rsid w:val="0015776B"/>
    <w:rsid w:val="00157A81"/>
    <w:rsid w:val="00157B3F"/>
    <w:rsid w:val="00157B50"/>
    <w:rsid w:val="00157BBA"/>
    <w:rsid w:val="00157DA0"/>
    <w:rsid w:val="00157DE7"/>
    <w:rsid w:val="00157EE8"/>
    <w:rsid w:val="00157EF7"/>
    <w:rsid w:val="00157F8A"/>
    <w:rsid w:val="001600ED"/>
    <w:rsid w:val="0016015A"/>
    <w:rsid w:val="001601B3"/>
    <w:rsid w:val="0016020B"/>
    <w:rsid w:val="001602DD"/>
    <w:rsid w:val="001602DE"/>
    <w:rsid w:val="0016041E"/>
    <w:rsid w:val="001607AD"/>
    <w:rsid w:val="00160943"/>
    <w:rsid w:val="00160973"/>
    <w:rsid w:val="00160BB9"/>
    <w:rsid w:val="00160C3D"/>
    <w:rsid w:val="00160CF2"/>
    <w:rsid w:val="00160E52"/>
    <w:rsid w:val="00160ECA"/>
    <w:rsid w:val="0016113C"/>
    <w:rsid w:val="0016123E"/>
    <w:rsid w:val="00161313"/>
    <w:rsid w:val="00161465"/>
    <w:rsid w:val="00161497"/>
    <w:rsid w:val="00161505"/>
    <w:rsid w:val="0016152E"/>
    <w:rsid w:val="00161827"/>
    <w:rsid w:val="001619BC"/>
    <w:rsid w:val="00161AF4"/>
    <w:rsid w:val="00161B24"/>
    <w:rsid w:val="00161B37"/>
    <w:rsid w:val="00161C41"/>
    <w:rsid w:val="00161DD5"/>
    <w:rsid w:val="00161FD1"/>
    <w:rsid w:val="0016200C"/>
    <w:rsid w:val="00162012"/>
    <w:rsid w:val="00162046"/>
    <w:rsid w:val="0016215F"/>
    <w:rsid w:val="00162164"/>
    <w:rsid w:val="0016221D"/>
    <w:rsid w:val="0016230E"/>
    <w:rsid w:val="00162558"/>
    <w:rsid w:val="00162724"/>
    <w:rsid w:val="0016288C"/>
    <w:rsid w:val="00162AB9"/>
    <w:rsid w:val="00162DAF"/>
    <w:rsid w:val="00162E2F"/>
    <w:rsid w:val="00162F8B"/>
    <w:rsid w:val="00162FE3"/>
    <w:rsid w:val="0016306C"/>
    <w:rsid w:val="00163286"/>
    <w:rsid w:val="001633A4"/>
    <w:rsid w:val="0016347F"/>
    <w:rsid w:val="001634D1"/>
    <w:rsid w:val="001634D6"/>
    <w:rsid w:val="00163558"/>
    <w:rsid w:val="001636F4"/>
    <w:rsid w:val="001637E6"/>
    <w:rsid w:val="00163830"/>
    <w:rsid w:val="0016393C"/>
    <w:rsid w:val="00163A04"/>
    <w:rsid w:val="00163B8D"/>
    <w:rsid w:val="00163C42"/>
    <w:rsid w:val="00163DA8"/>
    <w:rsid w:val="00163DBE"/>
    <w:rsid w:val="00163DD2"/>
    <w:rsid w:val="00163E0D"/>
    <w:rsid w:val="00163E68"/>
    <w:rsid w:val="00163EB9"/>
    <w:rsid w:val="00163F05"/>
    <w:rsid w:val="00163F48"/>
    <w:rsid w:val="00163FC4"/>
    <w:rsid w:val="00163FC6"/>
    <w:rsid w:val="0016404F"/>
    <w:rsid w:val="001641A6"/>
    <w:rsid w:val="001641FD"/>
    <w:rsid w:val="001642E6"/>
    <w:rsid w:val="0016487F"/>
    <w:rsid w:val="001648DD"/>
    <w:rsid w:val="001648E0"/>
    <w:rsid w:val="00164965"/>
    <w:rsid w:val="001649D1"/>
    <w:rsid w:val="00164BFB"/>
    <w:rsid w:val="00164E7D"/>
    <w:rsid w:val="00164E8B"/>
    <w:rsid w:val="00164F08"/>
    <w:rsid w:val="00165002"/>
    <w:rsid w:val="00165026"/>
    <w:rsid w:val="0016517F"/>
    <w:rsid w:val="00165318"/>
    <w:rsid w:val="0016542C"/>
    <w:rsid w:val="001654D7"/>
    <w:rsid w:val="0016550A"/>
    <w:rsid w:val="001655EE"/>
    <w:rsid w:val="00165705"/>
    <w:rsid w:val="00165980"/>
    <w:rsid w:val="001659DC"/>
    <w:rsid w:val="00165AA9"/>
    <w:rsid w:val="00165C60"/>
    <w:rsid w:val="00165D2F"/>
    <w:rsid w:val="00165D88"/>
    <w:rsid w:val="00165F8B"/>
    <w:rsid w:val="00166389"/>
    <w:rsid w:val="0016670C"/>
    <w:rsid w:val="00166844"/>
    <w:rsid w:val="001668AC"/>
    <w:rsid w:val="00166B22"/>
    <w:rsid w:val="00166B3A"/>
    <w:rsid w:val="00166BD1"/>
    <w:rsid w:val="00166C44"/>
    <w:rsid w:val="00166D97"/>
    <w:rsid w:val="00166E03"/>
    <w:rsid w:val="00166E62"/>
    <w:rsid w:val="00166EF8"/>
    <w:rsid w:val="00166F47"/>
    <w:rsid w:val="001671AF"/>
    <w:rsid w:val="001672A0"/>
    <w:rsid w:val="001672A1"/>
    <w:rsid w:val="00167522"/>
    <w:rsid w:val="00167854"/>
    <w:rsid w:val="001678A3"/>
    <w:rsid w:val="00167900"/>
    <w:rsid w:val="00167A37"/>
    <w:rsid w:val="00167AC4"/>
    <w:rsid w:val="00167B78"/>
    <w:rsid w:val="00167D5A"/>
    <w:rsid w:val="00167E39"/>
    <w:rsid w:val="00167E4C"/>
    <w:rsid w:val="00167F3A"/>
    <w:rsid w:val="001700F7"/>
    <w:rsid w:val="001701CB"/>
    <w:rsid w:val="0017034F"/>
    <w:rsid w:val="001704A4"/>
    <w:rsid w:val="001705BA"/>
    <w:rsid w:val="0017062A"/>
    <w:rsid w:val="0017071D"/>
    <w:rsid w:val="0017079D"/>
    <w:rsid w:val="00170835"/>
    <w:rsid w:val="001708DC"/>
    <w:rsid w:val="0017094D"/>
    <w:rsid w:val="00170A8C"/>
    <w:rsid w:val="00170BE8"/>
    <w:rsid w:val="00170D4C"/>
    <w:rsid w:val="00170E10"/>
    <w:rsid w:val="00170E8A"/>
    <w:rsid w:val="00170ED3"/>
    <w:rsid w:val="00170FD8"/>
    <w:rsid w:val="001710B1"/>
    <w:rsid w:val="001710F2"/>
    <w:rsid w:val="00171117"/>
    <w:rsid w:val="0017114D"/>
    <w:rsid w:val="00171386"/>
    <w:rsid w:val="00171389"/>
    <w:rsid w:val="001713DE"/>
    <w:rsid w:val="00171449"/>
    <w:rsid w:val="0017148A"/>
    <w:rsid w:val="001715BF"/>
    <w:rsid w:val="001715DC"/>
    <w:rsid w:val="001715EF"/>
    <w:rsid w:val="00171662"/>
    <w:rsid w:val="001716ED"/>
    <w:rsid w:val="00171702"/>
    <w:rsid w:val="00171848"/>
    <w:rsid w:val="00171877"/>
    <w:rsid w:val="0017199C"/>
    <w:rsid w:val="001719E4"/>
    <w:rsid w:val="00171A79"/>
    <w:rsid w:val="00171AC7"/>
    <w:rsid w:val="00171B3B"/>
    <w:rsid w:val="00171B7B"/>
    <w:rsid w:val="00171C43"/>
    <w:rsid w:val="00171C7E"/>
    <w:rsid w:val="00171CE5"/>
    <w:rsid w:val="00171D79"/>
    <w:rsid w:val="00171DC8"/>
    <w:rsid w:val="00171DEB"/>
    <w:rsid w:val="00171F35"/>
    <w:rsid w:val="00171FB3"/>
    <w:rsid w:val="00171FBF"/>
    <w:rsid w:val="00172113"/>
    <w:rsid w:val="00172123"/>
    <w:rsid w:val="00172327"/>
    <w:rsid w:val="00172340"/>
    <w:rsid w:val="00172361"/>
    <w:rsid w:val="001723FB"/>
    <w:rsid w:val="0017243D"/>
    <w:rsid w:val="00172482"/>
    <w:rsid w:val="00172552"/>
    <w:rsid w:val="00172619"/>
    <w:rsid w:val="001727A2"/>
    <w:rsid w:val="00172873"/>
    <w:rsid w:val="001728D7"/>
    <w:rsid w:val="00172976"/>
    <w:rsid w:val="001729AF"/>
    <w:rsid w:val="00172B03"/>
    <w:rsid w:val="00172B73"/>
    <w:rsid w:val="00172C12"/>
    <w:rsid w:val="00172CF7"/>
    <w:rsid w:val="00172D27"/>
    <w:rsid w:val="00172DD0"/>
    <w:rsid w:val="00172E06"/>
    <w:rsid w:val="00173065"/>
    <w:rsid w:val="001730F4"/>
    <w:rsid w:val="0017319E"/>
    <w:rsid w:val="001731A2"/>
    <w:rsid w:val="00173289"/>
    <w:rsid w:val="0017328A"/>
    <w:rsid w:val="00173291"/>
    <w:rsid w:val="0017343A"/>
    <w:rsid w:val="0017363F"/>
    <w:rsid w:val="001736DA"/>
    <w:rsid w:val="0017381A"/>
    <w:rsid w:val="00173894"/>
    <w:rsid w:val="0017396A"/>
    <w:rsid w:val="00173A1F"/>
    <w:rsid w:val="00173A56"/>
    <w:rsid w:val="00173AD3"/>
    <w:rsid w:val="00173AD5"/>
    <w:rsid w:val="00173BC3"/>
    <w:rsid w:val="00173E7F"/>
    <w:rsid w:val="00173EE6"/>
    <w:rsid w:val="00174128"/>
    <w:rsid w:val="0017414E"/>
    <w:rsid w:val="00174368"/>
    <w:rsid w:val="00174476"/>
    <w:rsid w:val="001745CD"/>
    <w:rsid w:val="001749AF"/>
    <w:rsid w:val="00174A25"/>
    <w:rsid w:val="00174AAE"/>
    <w:rsid w:val="00174AFD"/>
    <w:rsid w:val="00174BA3"/>
    <w:rsid w:val="00174C25"/>
    <w:rsid w:val="00174DDB"/>
    <w:rsid w:val="00174E37"/>
    <w:rsid w:val="001750AD"/>
    <w:rsid w:val="00175270"/>
    <w:rsid w:val="001752BD"/>
    <w:rsid w:val="0017534D"/>
    <w:rsid w:val="00175392"/>
    <w:rsid w:val="001754AF"/>
    <w:rsid w:val="001755C5"/>
    <w:rsid w:val="0017563B"/>
    <w:rsid w:val="00175798"/>
    <w:rsid w:val="0017584A"/>
    <w:rsid w:val="001758F7"/>
    <w:rsid w:val="00175985"/>
    <w:rsid w:val="00175A5D"/>
    <w:rsid w:val="00175BE9"/>
    <w:rsid w:val="00175C34"/>
    <w:rsid w:val="00175DA4"/>
    <w:rsid w:val="00175E34"/>
    <w:rsid w:val="00175F69"/>
    <w:rsid w:val="00175F9A"/>
    <w:rsid w:val="00175FA2"/>
    <w:rsid w:val="001760B9"/>
    <w:rsid w:val="001760BC"/>
    <w:rsid w:val="001760C5"/>
    <w:rsid w:val="001761FA"/>
    <w:rsid w:val="0017620B"/>
    <w:rsid w:val="00176462"/>
    <w:rsid w:val="0017653C"/>
    <w:rsid w:val="0017663A"/>
    <w:rsid w:val="001766A8"/>
    <w:rsid w:val="001766E0"/>
    <w:rsid w:val="001768BE"/>
    <w:rsid w:val="001768C8"/>
    <w:rsid w:val="00176918"/>
    <w:rsid w:val="00176947"/>
    <w:rsid w:val="00176948"/>
    <w:rsid w:val="00176B2F"/>
    <w:rsid w:val="00176CCA"/>
    <w:rsid w:val="00176E58"/>
    <w:rsid w:val="00176E98"/>
    <w:rsid w:val="00177067"/>
    <w:rsid w:val="00177108"/>
    <w:rsid w:val="001771D5"/>
    <w:rsid w:val="00177200"/>
    <w:rsid w:val="001773F6"/>
    <w:rsid w:val="00177553"/>
    <w:rsid w:val="00177641"/>
    <w:rsid w:val="00177996"/>
    <w:rsid w:val="001779B2"/>
    <w:rsid w:val="001779DB"/>
    <w:rsid w:val="00177B14"/>
    <w:rsid w:val="00177BE2"/>
    <w:rsid w:val="00177BE9"/>
    <w:rsid w:val="00177C5D"/>
    <w:rsid w:val="00177C7E"/>
    <w:rsid w:val="00177D8F"/>
    <w:rsid w:val="00177F26"/>
    <w:rsid w:val="0018015D"/>
    <w:rsid w:val="00180160"/>
    <w:rsid w:val="00180185"/>
    <w:rsid w:val="001802D7"/>
    <w:rsid w:val="00180342"/>
    <w:rsid w:val="0018039E"/>
    <w:rsid w:val="0018046D"/>
    <w:rsid w:val="0018059E"/>
    <w:rsid w:val="00180716"/>
    <w:rsid w:val="00180724"/>
    <w:rsid w:val="001808AF"/>
    <w:rsid w:val="00180A36"/>
    <w:rsid w:val="00180B3F"/>
    <w:rsid w:val="00180B94"/>
    <w:rsid w:val="00180C83"/>
    <w:rsid w:val="00180CE5"/>
    <w:rsid w:val="00180D01"/>
    <w:rsid w:val="0018100C"/>
    <w:rsid w:val="00181105"/>
    <w:rsid w:val="001811FD"/>
    <w:rsid w:val="001812E8"/>
    <w:rsid w:val="00181356"/>
    <w:rsid w:val="0018139B"/>
    <w:rsid w:val="0018140B"/>
    <w:rsid w:val="001814F0"/>
    <w:rsid w:val="00181513"/>
    <w:rsid w:val="001815A4"/>
    <w:rsid w:val="00181685"/>
    <w:rsid w:val="0018175B"/>
    <w:rsid w:val="001817D4"/>
    <w:rsid w:val="0018181C"/>
    <w:rsid w:val="0018185A"/>
    <w:rsid w:val="0018193E"/>
    <w:rsid w:val="00181A5D"/>
    <w:rsid w:val="00181E07"/>
    <w:rsid w:val="00181E68"/>
    <w:rsid w:val="00181EC1"/>
    <w:rsid w:val="00181FA5"/>
    <w:rsid w:val="00181FAC"/>
    <w:rsid w:val="0018207E"/>
    <w:rsid w:val="001820A3"/>
    <w:rsid w:val="001820D8"/>
    <w:rsid w:val="001820E5"/>
    <w:rsid w:val="00182113"/>
    <w:rsid w:val="0018235F"/>
    <w:rsid w:val="001824D7"/>
    <w:rsid w:val="0018250C"/>
    <w:rsid w:val="0018254A"/>
    <w:rsid w:val="001825E9"/>
    <w:rsid w:val="001826B2"/>
    <w:rsid w:val="0018272D"/>
    <w:rsid w:val="00182743"/>
    <w:rsid w:val="00182871"/>
    <w:rsid w:val="001829B8"/>
    <w:rsid w:val="00182AB1"/>
    <w:rsid w:val="00182BD8"/>
    <w:rsid w:val="001831C5"/>
    <w:rsid w:val="0018332A"/>
    <w:rsid w:val="00183414"/>
    <w:rsid w:val="00183738"/>
    <w:rsid w:val="001838BA"/>
    <w:rsid w:val="001838E3"/>
    <w:rsid w:val="00183978"/>
    <w:rsid w:val="00183A1B"/>
    <w:rsid w:val="00183AAC"/>
    <w:rsid w:val="00183C86"/>
    <w:rsid w:val="00183D80"/>
    <w:rsid w:val="00183F14"/>
    <w:rsid w:val="00183FBA"/>
    <w:rsid w:val="0018400A"/>
    <w:rsid w:val="001840B2"/>
    <w:rsid w:val="00184139"/>
    <w:rsid w:val="0018422D"/>
    <w:rsid w:val="001842C8"/>
    <w:rsid w:val="001842FE"/>
    <w:rsid w:val="0018440E"/>
    <w:rsid w:val="0018444A"/>
    <w:rsid w:val="0018455E"/>
    <w:rsid w:val="0018457C"/>
    <w:rsid w:val="00184592"/>
    <w:rsid w:val="0018461C"/>
    <w:rsid w:val="00184653"/>
    <w:rsid w:val="001846A0"/>
    <w:rsid w:val="001849B0"/>
    <w:rsid w:val="00184A34"/>
    <w:rsid w:val="00184A91"/>
    <w:rsid w:val="00184B61"/>
    <w:rsid w:val="00184B62"/>
    <w:rsid w:val="00184B77"/>
    <w:rsid w:val="00184B8F"/>
    <w:rsid w:val="00184BC1"/>
    <w:rsid w:val="00184CAB"/>
    <w:rsid w:val="00184E4E"/>
    <w:rsid w:val="00184EF1"/>
    <w:rsid w:val="00184FC3"/>
    <w:rsid w:val="00184FCD"/>
    <w:rsid w:val="00185044"/>
    <w:rsid w:val="001850DB"/>
    <w:rsid w:val="00185118"/>
    <w:rsid w:val="00185196"/>
    <w:rsid w:val="00185323"/>
    <w:rsid w:val="0018541C"/>
    <w:rsid w:val="0018547F"/>
    <w:rsid w:val="001854B4"/>
    <w:rsid w:val="00185590"/>
    <w:rsid w:val="001855BE"/>
    <w:rsid w:val="00185689"/>
    <w:rsid w:val="0018599C"/>
    <w:rsid w:val="001859B0"/>
    <w:rsid w:val="00185AA8"/>
    <w:rsid w:val="00185C8B"/>
    <w:rsid w:val="00185C9D"/>
    <w:rsid w:val="00185CDD"/>
    <w:rsid w:val="00185DDE"/>
    <w:rsid w:val="00185E7B"/>
    <w:rsid w:val="00185F44"/>
    <w:rsid w:val="0018607C"/>
    <w:rsid w:val="00186157"/>
    <w:rsid w:val="001861EF"/>
    <w:rsid w:val="001862A5"/>
    <w:rsid w:val="001863B1"/>
    <w:rsid w:val="001863B2"/>
    <w:rsid w:val="00186476"/>
    <w:rsid w:val="001864BF"/>
    <w:rsid w:val="00186709"/>
    <w:rsid w:val="00186789"/>
    <w:rsid w:val="00186827"/>
    <w:rsid w:val="00186836"/>
    <w:rsid w:val="0018696A"/>
    <w:rsid w:val="001869EE"/>
    <w:rsid w:val="00186A32"/>
    <w:rsid w:val="00186B4B"/>
    <w:rsid w:val="00186D00"/>
    <w:rsid w:val="00186F3E"/>
    <w:rsid w:val="00186F81"/>
    <w:rsid w:val="00186F9B"/>
    <w:rsid w:val="00186FF6"/>
    <w:rsid w:val="0018718D"/>
    <w:rsid w:val="00187194"/>
    <w:rsid w:val="0018743A"/>
    <w:rsid w:val="0018748B"/>
    <w:rsid w:val="0018758F"/>
    <w:rsid w:val="00187749"/>
    <w:rsid w:val="00187788"/>
    <w:rsid w:val="0018794F"/>
    <w:rsid w:val="00187A49"/>
    <w:rsid w:val="00187AA6"/>
    <w:rsid w:val="00187B3D"/>
    <w:rsid w:val="00187B7C"/>
    <w:rsid w:val="00187D09"/>
    <w:rsid w:val="00187D68"/>
    <w:rsid w:val="00187DA4"/>
    <w:rsid w:val="00187DDF"/>
    <w:rsid w:val="00187EE8"/>
    <w:rsid w:val="0019000F"/>
    <w:rsid w:val="0019006E"/>
    <w:rsid w:val="001902D9"/>
    <w:rsid w:val="001904D1"/>
    <w:rsid w:val="001904DC"/>
    <w:rsid w:val="001905DB"/>
    <w:rsid w:val="001908AA"/>
    <w:rsid w:val="001908CD"/>
    <w:rsid w:val="00190A57"/>
    <w:rsid w:val="00190B3F"/>
    <w:rsid w:val="00190C9F"/>
    <w:rsid w:val="00190EC3"/>
    <w:rsid w:val="00190FFE"/>
    <w:rsid w:val="00191086"/>
    <w:rsid w:val="0019117A"/>
    <w:rsid w:val="001911A8"/>
    <w:rsid w:val="0019122C"/>
    <w:rsid w:val="00191449"/>
    <w:rsid w:val="00191545"/>
    <w:rsid w:val="00191660"/>
    <w:rsid w:val="0019167E"/>
    <w:rsid w:val="001916DD"/>
    <w:rsid w:val="00191908"/>
    <w:rsid w:val="001919A1"/>
    <w:rsid w:val="00191A26"/>
    <w:rsid w:val="00191A8E"/>
    <w:rsid w:val="00191B31"/>
    <w:rsid w:val="00191CA7"/>
    <w:rsid w:val="00191D06"/>
    <w:rsid w:val="00191DC6"/>
    <w:rsid w:val="00192061"/>
    <w:rsid w:val="001920F7"/>
    <w:rsid w:val="00192278"/>
    <w:rsid w:val="001923EA"/>
    <w:rsid w:val="001924CA"/>
    <w:rsid w:val="00192568"/>
    <w:rsid w:val="00192578"/>
    <w:rsid w:val="001926B6"/>
    <w:rsid w:val="00192745"/>
    <w:rsid w:val="0019277B"/>
    <w:rsid w:val="00192877"/>
    <w:rsid w:val="00192AC5"/>
    <w:rsid w:val="00192B21"/>
    <w:rsid w:val="00192DD0"/>
    <w:rsid w:val="00192DF3"/>
    <w:rsid w:val="00192EBE"/>
    <w:rsid w:val="00192EFF"/>
    <w:rsid w:val="00192FEB"/>
    <w:rsid w:val="0019301F"/>
    <w:rsid w:val="001930D4"/>
    <w:rsid w:val="001931FA"/>
    <w:rsid w:val="0019324C"/>
    <w:rsid w:val="00193286"/>
    <w:rsid w:val="00193295"/>
    <w:rsid w:val="0019330E"/>
    <w:rsid w:val="0019337B"/>
    <w:rsid w:val="001934B0"/>
    <w:rsid w:val="001935BD"/>
    <w:rsid w:val="0019367B"/>
    <w:rsid w:val="001937B8"/>
    <w:rsid w:val="0019397B"/>
    <w:rsid w:val="00193A70"/>
    <w:rsid w:val="00193ABA"/>
    <w:rsid w:val="00193B12"/>
    <w:rsid w:val="00193B1E"/>
    <w:rsid w:val="00193BB0"/>
    <w:rsid w:val="00193C7B"/>
    <w:rsid w:val="00193D47"/>
    <w:rsid w:val="00193E2B"/>
    <w:rsid w:val="00193E4B"/>
    <w:rsid w:val="00193E6A"/>
    <w:rsid w:val="0019403F"/>
    <w:rsid w:val="00194069"/>
    <w:rsid w:val="0019407C"/>
    <w:rsid w:val="00194110"/>
    <w:rsid w:val="0019411C"/>
    <w:rsid w:val="0019417E"/>
    <w:rsid w:val="0019433F"/>
    <w:rsid w:val="00194373"/>
    <w:rsid w:val="00194453"/>
    <w:rsid w:val="00194638"/>
    <w:rsid w:val="0019471C"/>
    <w:rsid w:val="00194817"/>
    <w:rsid w:val="00194885"/>
    <w:rsid w:val="00194915"/>
    <w:rsid w:val="00194946"/>
    <w:rsid w:val="0019497C"/>
    <w:rsid w:val="001949F1"/>
    <w:rsid w:val="00194A91"/>
    <w:rsid w:val="00194BB7"/>
    <w:rsid w:val="00194C60"/>
    <w:rsid w:val="00194CC3"/>
    <w:rsid w:val="00194CC5"/>
    <w:rsid w:val="00194E7D"/>
    <w:rsid w:val="00194F03"/>
    <w:rsid w:val="00194F86"/>
    <w:rsid w:val="00194FF3"/>
    <w:rsid w:val="00195192"/>
    <w:rsid w:val="001951B2"/>
    <w:rsid w:val="0019520C"/>
    <w:rsid w:val="001952E0"/>
    <w:rsid w:val="0019537E"/>
    <w:rsid w:val="001954D5"/>
    <w:rsid w:val="0019559D"/>
    <w:rsid w:val="00195652"/>
    <w:rsid w:val="0019565D"/>
    <w:rsid w:val="00195749"/>
    <w:rsid w:val="00195809"/>
    <w:rsid w:val="00195822"/>
    <w:rsid w:val="001959B9"/>
    <w:rsid w:val="00195A0D"/>
    <w:rsid w:val="00195A69"/>
    <w:rsid w:val="00195A6D"/>
    <w:rsid w:val="00195E51"/>
    <w:rsid w:val="00195F0C"/>
    <w:rsid w:val="0019609A"/>
    <w:rsid w:val="0019618E"/>
    <w:rsid w:val="0019626A"/>
    <w:rsid w:val="00196333"/>
    <w:rsid w:val="00196341"/>
    <w:rsid w:val="00196350"/>
    <w:rsid w:val="00196519"/>
    <w:rsid w:val="00196542"/>
    <w:rsid w:val="001965B6"/>
    <w:rsid w:val="00196812"/>
    <w:rsid w:val="00196BC6"/>
    <w:rsid w:val="00196D42"/>
    <w:rsid w:val="00196DBA"/>
    <w:rsid w:val="00197025"/>
    <w:rsid w:val="00197087"/>
    <w:rsid w:val="00197102"/>
    <w:rsid w:val="0019742D"/>
    <w:rsid w:val="0019748E"/>
    <w:rsid w:val="001974E0"/>
    <w:rsid w:val="001974ED"/>
    <w:rsid w:val="00197564"/>
    <w:rsid w:val="001975A0"/>
    <w:rsid w:val="001975AC"/>
    <w:rsid w:val="00197745"/>
    <w:rsid w:val="001979D4"/>
    <w:rsid w:val="00197A43"/>
    <w:rsid w:val="00197B12"/>
    <w:rsid w:val="00197BB6"/>
    <w:rsid w:val="00197C68"/>
    <w:rsid w:val="00197CB5"/>
    <w:rsid w:val="00197E32"/>
    <w:rsid w:val="00197EC2"/>
    <w:rsid w:val="00197ECE"/>
    <w:rsid w:val="001A0042"/>
    <w:rsid w:val="001A0134"/>
    <w:rsid w:val="001A01A6"/>
    <w:rsid w:val="001A01F3"/>
    <w:rsid w:val="001A02AF"/>
    <w:rsid w:val="001A02B0"/>
    <w:rsid w:val="001A038A"/>
    <w:rsid w:val="001A039E"/>
    <w:rsid w:val="001A03B1"/>
    <w:rsid w:val="001A03E6"/>
    <w:rsid w:val="001A0554"/>
    <w:rsid w:val="001A085D"/>
    <w:rsid w:val="001A08E8"/>
    <w:rsid w:val="001A0909"/>
    <w:rsid w:val="001A0A3A"/>
    <w:rsid w:val="001A0ADA"/>
    <w:rsid w:val="001A0B0B"/>
    <w:rsid w:val="001A0D0E"/>
    <w:rsid w:val="001A0D9F"/>
    <w:rsid w:val="001A0E09"/>
    <w:rsid w:val="001A0E59"/>
    <w:rsid w:val="001A0F34"/>
    <w:rsid w:val="001A107A"/>
    <w:rsid w:val="001A10C3"/>
    <w:rsid w:val="001A10FF"/>
    <w:rsid w:val="001A111B"/>
    <w:rsid w:val="001A115C"/>
    <w:rsid w:val="001A11D5"/>
    <w:rsid w:val="001A11F6"/>
    <w:rsid w:val="001A1228"/>
    <w:rsid w:val="001A12CF"/>
    <w:rsid w:val="001A131B"/>
    <w:rsid w:val="001A1559"/>
    <w:rsid w:val="001A15DA"/>
    <w:rsid w:val="001A1840"/>
    <w:rsid w:val="001A1871"/>
    <w:rsid w:val="001A1942"/>
    <w:rsid w:val="001A195A"/>
    <w:rsid w:val="001A1AD2"/>
    <w:rsid w:val="001A1B1E"/>
    <w:rsid w:val="001A1CED"/>
    <w:rsid w:val="001A1D97"/>
    <w:rsid w:val="001A1EE2"/>
    <w:rsid w:val="001A1F6E"/>
    <w:rsid w:val="001A2040"/>
    <w:rsid w:val="001A2161"/>
    <w:rsid w:val="001A22AC"/>
    <w:rsid w:val="001A230D"/>
    <w:rsid w:val="001A23F4"/>
    <w:rsid w:val="001A2457"/>
    <w:rsid w:val="001A24AD"/>
    <w:rsid w:val="001A2513"/>
    <w:rsid w:val="001A256F"/>
    <w:rsid w:val="001A26E0"/>
    <w:rsid w:val="001A2769"/>
    <w:rsid w:val="001A279B"/>
    <w:rsid w:val="001A2863"/>
    <w:rsid w:val="001A29F0"/>
    <w:rsid w:val="001A2A07"/>
    <w:rsid w:val="001A2B2B"/>
    <w:rsid w:val="001A2C59"/>
    <w:rsid w:val="001A2C74"/>
    <w:rsid w:val="001A2DC3"/>
    <w:rsid w:val="001A2E0B"/>
    <w:rsid w:val="001A2E26"/>
    <w:rsid w:val="001A2E87"/>
    <w:rsid w:val="001A2F01"/>
    <w:rsid w:val="001A2F87"/>
    <w:rsid w:val="001A30D6"/>
    <w:rsid w:val="001A30FD"/>
    <w:rsid w:val="001A3148"/>
    <w:rsid w:val="001A3280"/>
    <w:rsid w:val="001A329C"/>
    <w:rsid w:val="001A32D1"/>
    <w:rsid w:val="001A3347"/>
    <w:rsid w:val="001A33C8"/>
    <w:rsid w:val="001A3552"/>
    <w:rsid w:val="001A35E5"/>
    <w:rsid w:val="001A3662"/>
    <w:rsid w:val="001A3722"/>
    <w:rsid w:val="001A372A"/>
    <w:rsid w:val="001A379D"/>
    <w:rsid w:val="001A3869"/>
    <w:rsid w:val="001A38C2"/>
    <w:rsid w:val="001A39B2"/>
    <w:rsid w:val="001A39D3"/>
    <w:rsid w:val="001A3B34"/>
    <w:rsid w:val="001A3C8A"/>
    <w:rsid w:val="001A3ED1"/>
    <w:rsid w:val="001A3F6D"/>
    <w:rsid w:val="001A40E2"/>
    <w:rsid w:val="001A4114"/>
    <w:rsid w:val="001A41F4"/>
    <w:rsid w:val="001A4343"/>
    <w:rsid w:val="001A43CB"/>
    <w:rsid w:val="001A43F6"/>
    <w:rsid w:val="001A4430"/>
    <w:rsid w:val="001A460B"/>
    <w:rsid w:val="001A46D5"/>
    <w:rsid w:val="001A475F"/>
    <w:rsid w:val="001A49FD"/>
    <w:rsid w:val="001A4B18"/>
    <w:rsid w:val="001A4B77"/>
    <w:rsid w:val="001A4D20"/>
    <w:rsid w:val="001A4D2B"/>
    <w:rsid w:val="001A4E82"/>
    <w:rsid w:val="001A4E90"/>
    <w:rsid w:val="001A4EB6"/>
    <w:rsid w:val="001A4F26"/>
    <w:rsid w:val="001A4F3C"/>
    <w:rsid w:val="001A4FB6"/>
    <w:rsid w:val="001A5045"/>
    <w:rsid w:val="001A51DA"/>
    <w:rsid w:val="001A52B1"/>
    <w:rsid w:val="001A53D5"/>
    <w:rsid w:val="001A53E1"/>
    <w:rsid w:val="001A5459"/>
    <w:rsid w:val="001A551E"/>
    <w:rsid w:val="001A5567"/>
    <w:rsid w:val="001A556D"/>
    <w:rsid w:val="001A55C3"/>
    <w:rsid w:val="001A55D6"/>
    <w:rsid w:val="001A567B"/>
    <w:rsid w:val="001A5864"/>
    <w:rsid w:val="001A591A"/>
    <w:rsid w:val="001A592A"/>
    <w:rsid w:val="001A5957"/>
    <w:rsid w:val="001A5A4F"/>
    <w:rsid w:val="001A5C0B"/>
    <w:rsid w:val="001A5CA9"/>
    <w:rsid w:val="001A5CB4"/>
    <w:rsid w:val="001A5D0A"/>
    <w:rsid w:val="001A5DC3"/>
    <w:rsid w:val="001A5E55"/>
    <w:rsid w:val="001A6104"/>
    <w:rsid w:val="001A613C"/>
    <w:rsid w:val="001A61BF"/>
    <w:rsid w:val="001A6281"/>
    <w:rsid w:val="001A62C2"/>
    <w:rsid w:val="001A6345"/>
    <w:rsid w:val="001A6380"/>
    <w:rsid w:val="001A649A"/>
    <w:rsid w:val="001A6549"/>
    <w:rsid w:val="001A65C8"/>
    <w:rsid w:val="001A6642"/>
    <w:rsid w:val="001A6787"/>
    <w:rsid w:val="001A689B"/>
    <w:rsid w:val="001A68A7"/>
    <w:rsid w:val="001A6CBE"/>
    <w:rsid w:val="001A6D18"/>
    <w:rsid w:val="001A6E64"/>
    <w:rsid w:val="001A700D"/>
    <w:rsid w:val="001A7030"/>
    <w:rsid w:val="001A7171"/>
    <w:rsid w:val="001A719B"/>
    <w:rsid w:val="001A72B8"/>
    <w:rsid w:val="001A732E"/>
    <w:rsid w:val="001A762A"/>
    <w:rsid w:val="001A7642"/>
    <w:rsid w:val="001A767B"/>
    <w:rsid w:val="001A77EF"/>
    <w:rsid w:val="001A7AA5"/>
    <w:rsid w:val="001A7B46"/>
    <w:rsid w:val="001A7D50"/>
    <w:rsid w:val="001A7DF4"/>
    <w:rsid w:val="001A7E34"/>
    <w:rsid w:val="001A7F06"/>
    <w:rsid w:val="001A7F30"/>
    <w:rsid w:val="001B0159"/>
    <w:rsid w:val="001B01BA"/>
    <w:rsid w:val="001B02BF"/>
    <w:rsid w:val="001B040D"/>
    <w:rsid w:val="001B0600"/>
    <w:rsid w:val="001B06E2"/>
    <w:rsid w:val="001B0821"/>
    <w:rsid w:val="001B0872"/>
    <w:rsid w:val="001B09AF"/>
    <w:rsid w:val="001B0AD3"/>
    <w:rsid w:val="001B0B46"/>
    <w:rsid w:val="001B0CA0"/>
    <w:rsid w:val="001B0DBD"/>
    <w:rsid w:val="001B0DCF"/>
    <w:rsid w:val="001B0E66"/>
    <w:rsid w:val="001B0ECF"/>
    <w:rsid w:val="001B103A"/>
    <w:rsid w:val="001B103D"/>
    <w:rsid w:val="001B112F"/>
    <w:rsid w:val="001B1154"/>
    <w:rsid w:val="001B11CE"/>
    <w:rsid w:val="001B1224"/>
    <w:rsid w:val="001B1247"/>
    <w:rsid w:val="001B1306"/>
    <w:rsid w:val="001B13AC"/>
    <w:rsid w:val="001B1407"/>
    <w:rsid w:val="001B1496"/>
    <w:rsid w:val="001B1513"/>
    <w:rsid w:val="001B16C5"/>
    <w:rsid w:val="001B1767"/>
    <w:rsid w:val="001B1964"/>
    <w:rsid w:val="001B1983"/>
    <w:rsid w:val="001B19C8"/>
    <w:rsid w:val="001B19C9"/>
    <w:rsid w:val="001B19FE"/>
    <w:rsid w:val="001B1A28"/>
    <w:rsid w:val="001B1AB5"/>
    <w:rsid w:val="001B1B83"/>
    <w:rsid w:val="001B1C50"/>
    <w:rsid w:val="001B1C6F"/>
    <w:rsid w:val="001B1C8F"/>
    <w:rsid w:val="001B1EC5"/>
    <w:rsid w:val="001B1F92"/>
    <w:rsid w:val="001B2005"/>
    <w:rsid w:val="001B2058"/>
    <w:rsid w:val="001B2180"/>
    <w:rsid w:val="001B2191"/>
    <w:rsid w:val="001B2270"/>
    <w:rsid w:val="001B2431"/>
    <w:rsid w:val="001B2453"/>
    <w:rsid w:val="001B251A"/>
    <w:rsid w:val="001B2650"/>
    <w:rsid w:val="001B26A1"/>
    <w:rsid w:val="001B2815"/>
    <w:rsid w:val="001B284F"/>
    <w:rsid w:val="001B2A23"/>
    <w:rsid w:val="001B2A80"/>
    <w:rsid w:val="001B2B47"/>
    <w:rsid w:val="001B2C40"/>
    <w:rsid w:val="001B2C47"/>
    <w:rsid w:val="001B2CE0"/>
    <w:rsid w:val="001B2CF6"/>
    <w:rsid w:val="001B2D0F"/>
    <w:rsid w:val="001B2DC9"/>
    <w:rsid w:val="001B2ED7"/>
    <w:rsid w:val="001B2EE9"/>
    <w:rsid w:val="001B2F91"/>
    <w:rsid w:val="001B2F92"/>
    <w:rsid w:val="001B30EB"/>
    <w:rsid w:val="001B32E6"/>
    <w:rsid w:val="001B33A2"/>
    <w:rsid w:val="001B35A1"/>
    <w:rsid w:val="001B35FC"/>
    <w:rsid w:val="001B362A"/>
    <w:rsid w:val="001B3630"/>
    <w:rsid w:val="001B368A"/>
    <w:rsid w:val="001B3791"/>
    <w:rsid w:val="001B3795"/>
    <w:rsid w:val="001B37A0"/>
    <w:rsid w:val="001B388C"/>
    <w:rsid w:val="001B399B"/>
    <w:rsid w:val="001B3A57"/>
    <w:rsid w:val="001B3B9A"/>
    <w:rsid w:val="001B3BFA"/>
    <w:rsid w:val="001B3D48"/>
    <w:rsid w:val="001B3D90"/>
    <w:rsid w:val="001B4043"/>
    <w:rsid w:val="001B4129"/>
    <w:rsid w:val="001B4444"/>
    <w:rsid w:val="001B453E"/>
    <w:rsid w:val="001B4587"/>
    <w:rsid w:val="001B4674"/>
    <w:rsid w:val="001B498D"/>
    <w:rsid w:val="001B4C67"/>
    <w:rsid w:val="001B4E4F"/>
    <w:rsid w:val="001B4F0C"/>
    <w:rsid w:val="001B505E"/>
    <w:rsid w:val="001B5222"/>
    <w:rsid w:val="001B557B"/>
    <w:rsid w:val="001B55F6"/>
    <w:rsid w:val="001B56AC"/>
    <w:rsid w:val="001B5A85"/>
    <w:rsid w:val="001B5AF9"/>
    <w:rsid w:val="001B5BAD"/>
    <w:rsid w:val="001B5C7A"/>
    <w:rsid w:val="001B5FDF"/>
    <w:rsid w:val="001B6077"/>
    <w:rsid w:val="001B6084"/>
    <w:rsid w:val="001B60A4"/>
    <w:rsid w:val="001B60F8"/>
    <w:rsid w:val="001B618A"/>
    <w:rsid w:val="001B6192"/>
    <w:rsid w:val="001B61E7"/>
    <w:rsid w:val="001B62F0"/>
    <w:rsid w:val="001B6300"/>
    <w:rsid w:val="001B636C"/>
    <w:rsid w:val="001B6392"/>
    <w:rsid w:val="001B63FC"/>
    <w:rsid w:val="001B6493"/>
    <w:rsid w:val="001B6499"/>
    <w:rsid w:val="001B65F3"/>
    <w:rsid w:val="001B6600"/>
    <w:rsid w:val="001B6624"/>
    <w:rsid w:val="001B6702"/>
    <w:rsid w:val="001B67EF"/>
    <w:rsid w:val="001B6910"/>
    <w:rsid w:val="001B692B"/>
    <w:rsid w:val="001B6B9B"/>
    <w:rsid w:val="001B6BF0"/>
    <w:rsid w:val="001B6C27"/>
    <w:rsid w:val="001B6CAA"/>
    <w:rsid w:val="001B70CF"/>
    <w:rsid w:val="001B7144"/>
    <w:rsid w:val="001B7220"/>
    <w:rsid w:val="001B72EF"/>
    <w:rsid w:val="001B7431"/>
    <w:rsid w:val="001B7495"/>
    <w:rsid w:val="001B74D8"/>
    <w:rsid w:val="001B775C"/>
    <w:rsid w:val="001B776E"/>
    <w:rsid w:val="001B783D"/>
    <w:rsid w:val="001B7883"/>
    <w:rsid w:val="001B78D1"/>
    <w:rsid w:val="001B7965"/>
    <w:rsid w:val="001B7985"/>
    <w:rsid w:val="001B7AFF"/>
    <w:rsid w:val="001B7B45"/>
    <w:rsid w:val="001B7B4E"/>
    <w:rsid w:val="001B7BA2"/>
    <w:rsid w:val="001B7BC8"/>
    <w:rsid w:val="001B7DB3"/>
    <w:rsid w:val="001B7E47"/>
    <w:rsid w:val="001B7E91"/>
    <w:rsid w:val="001B7EFA"/>
    <w:rsid w:val="001B7F7D"/>
    <w:rsid w:val="001B7F8C"/>
    <w:rsid w:val="001C0026"/>
    <w:rsid w:val="001C0148"/>
    <w:rsid w:val="001C01EF"/>
    <w:rsid w:val="001C0417"/>
    <w:rsid w:val="001C044E"/>
    <w:rsid w:val="001C04CA"/>
    <w:rsid w:val="001C062F"/>
    <w:rsid w:val="001C0656"/>
    <w:rsid w:val="001C074E"/>
    <w:rsid w:val="001C07A2"/>
    <w:rsid w:val="001C08A6"/>
    <w:rsid w:val="001C08B2"/>
    <w:rsid w:val="001C0907"/>
    <w:rsid w:val="001C090E"/>
    <w:rsid w:val="001C0A09"/>
    <w:rsid w:val="001C0B4D"/>
    <w:rsid w:val="001C0C7C"/>
    <w:rsid w:val="001C0DE5"/>
    <w:rsid w:val="001C0E6B"/>
    <w:rsid w:val="001C1039"/>
    <w:rsid w:val="001C1247"/>
    <w:rsid w:val="001C1368"/>
    <w:rsid w:val="001C13EB"/>
    <w:rsid w:val="001C1426"/>
    <w:rsid w:val="001C147E"/>
    <w:rsid w:val="001C14C3"/>
    <w:rsid w:val="001C14DF"/>
    <w:rsid w:val="001C14E7"/>
    <w:rsid w:val="001C151B"/>
    <w:rsid w:val="001C1660"/>
    <w:rsid w:val="001C17B2"/>
    <w:rsid w:val="001C19E5"/>
    <w:rsid w:val="001C1A20"/>
    <w:rsid w:val="001C1A2C"/>
    <w:rsid w:val="001C1BB6"/>
    <w:rsid w:val="001C1BCE"/>
    <w:rsid w:val="001C1C90"/>
    <w:rsid w:val="001C208E"/>
    <w:rsid w:val="001C20A0"/>
    <w:rsid w:val="001C2124"/>
    <w:rsid w:val="001C24A4"/>
    <w:rsid w:val="001C265C"/>
    <w:rsid w:val="001C27BC"/>
    <w:rsid w:val="001C29B7"/>
    <w:rsid w:val="001C2AB4"/>
    <w:rsid w:val="001C2C7A"/>
    <w:rsid w:val="001C2D9C"/>
    <w:rsid w:val="001C2DE0"/>
    <w:rsid w:val="001C308B"/>
    <w:rsid w:val="001C3192"/>
    <w:rsid w:val="001C32A5"/>
    <w:rsid w:val="001C3311"/>
    <w:rsid w:val="001C3375"/>
    <w:rsid w:val="001C3448"/>
    <w:rsid w:val="001C34A8"/>
    <w:rsid w:val="001C359C"/>
    <w:rsid w:val="001C35E6"/>
    <w:rsid w:val="001C3666"/>
    <w:rsid w:val="001C37E9"/>
    <w:rsid w:val="001C37EB"/>
    <w:rsid w:val="001C3800"/>
    <w:rsid w:val="001C38DC"/>
    <w:rsid w:val="001C390C"/>
    <w:rsid w:val="001C3A78"/>
    <w:rsid w:val="001C3B46"/>
    <w:rsid w:val="001C3BC4"/>
    <w:rsid w:val="001C3C7B"/>
    <w:rsid w:val="001C3D85"/>
    <w:rsid w:val="001C3DF5"/>
    <w:rsid w:val="001C3F7C"/>
    <w:rsid w:val="001C421B"/>
    <w:rsid w:val="001C4374"/>
    <w:rsid w:val="001C4427"/>
    <w:rsid w:val="001C4487"/>
    <w:rsid w:val="001C44A0"/>
    <w:rsid w:val="001C44AC"/>
    <w:rsid w:val="001C4531"/>
    <w:rsid w:val="001C46CF"/>
    <w:rsid w:val="001C46EB"/>
    <w:rsid w:val="001C4863"/>
    <w:rsid w:val="001C491B"/>
    <w:rsid w:val="001C49AD"/>
    <w:rsid w:val="001C4AB1"/>
    <w:rsid w:val="001C4B20"/>
    <w:rsid w:val="001C4B4F"/>
    <w:rsid w:val="001C4C84"/>
    <w:rsid w:val="001C4DD3"/>
    <w:rsid w:val="001C4FA5"/>
    <w:rsid w:val="001C51EB"/>
    <w:rsid w:val="001C521D"/>
    <w:rsid w:val="001C5436"/>
    <w:rsid w:val="001C55EA"/>
    <w:rsid w:val="001C5819"/>
    <w:rsid w:val="001C5AA8"/>
    <w:rsid w:val="001C5AD0"/>
    <w:rsid w:val="001C5AE8"/>
    <w:rsid w:val="001C5B98"/>
    <w:rsid w:val="001C5BD6"/>
    <w:rsid w:val="001C5FD9"/>
    <w:rsid w:val="001C6057"/>
    <w:rsid w:val="001C60AE"/>
    <w:rsid w:val="001C610F"/>
    <w:rsid w:val="001C6122"/>
    <w:rsid w:val="001C61B2"/>
    <w:rsid w:val="001C6260"/>
    <w:rsid w:val="001C63C6"/>
    <w:rsid w:val="001C63EE"/>
    <w:rsid w:val="001C6557"/>
    <w:rsid w:val="001C6587"/>
    <w:rsid w:val="001C660F"/>
    <w:rsid w:val="001C6729"/>
    <w:rsid w:val="001C67FC"/>
    <w:rsid w:val="001C6866"/>
    <w:rsid w:val="001C69BE"/>
    <w:rsid w:val="001C6A87"/>
    <w:rsid w:val="001C6BFF"/>
    <w:rsid w:val="001C6C6F"/>
    <w:rsid w:val="001C6C71"/>
    <w:rsid w:val="001C6D13"/>
    <w:rsid w:val="001C6D39"/>
    <w:rsid w:val="001C6D6D"/>
    <w:rsid w:val="001C6DB5"/>
    <w:rsid w:val="001C6EA0"/>
    <w:rsid w:val="001C6EF8"/>
    <w:rsid w:val="001C7117"/>
    <w:rsid w:val="001C718C"/>
    <w:rsid w:val="001C71AC"/>
    <w:rsid w:val="001C71F4"/>
    <w:rsid w:val="001C7316"/>
    <w:rsid w:val="001C732F"/>
    <w:rsid w:val="001C73F6"/>
    <w:rsid w:val="001C7422"/>
    <w:rsid w:val="001C742D"/>
    <w:rsid w:val="001C7510"/>
    <w:rsid w:val="001C760C"/>
    <w:rsid w:val="001C762C"/>
    <w:rsid w:val="001C7757"/>
    <w:rsid w:val="001C79C2"/>
    <w:rsid w:val="001C7A53"/>
    <w:rsid w:val="001C7A8B"/>
    <w:rsid w:val="001C7AAF"/>
    <w:rsid w:val="001C7C11"/>
    <w:rsid w:val="001C7C71"/>
    <w:rsid w:val="001C7E5C"/>
    <w:rsid w:val="001C7EB0"/>
    <w:rsid w:val="001C7F94"/>
    <w:rsid w:val="001C7FC1"/>
    <w:rsid w:val="001D00CC"/>
    <w:rsid w:val="001D013D"/>
    <w:rsid w:val="001D0197"/>
    <w:rsid w:val="001D02B8"/>
    <w:rsid w:val="001D034D"/>
    <w:rsid w:val="001D0494"/>
    <w:rsid w:val="001D0587"/>
    <w:rsid w:val="001D05AD"/>
    <w:rsid w:val="001D05EE"/>
    <w:rsid w:val="001D0689"/>
    <w:rsid w:val="001D0690"/>
    <w:rsid w:val="001D072E"/>
    <w:rsid w:val="001D07B7"/>
    <w:rsid w:val="001D0A27"/>
    <w:rsid w:val="001D0BAB"/>
    <w:rsid w:val="001D0CCC"/>
    <w:rsid w:val="001D0D16"/>
    <w:rsid w:val="001D0DF0"/>
    <w:rsid w:val="001D103C"/>
    <w:rsid w:val="001D121E"/>
    <w:rsid w:val="001D12F9"/>
    <w:rsid w:val="001D13A8"/>
    <w:rsid w:val="001D15BB"/>
    <w:rsid w:val="001D1719"/>
    <w:rsid w:val="001D171B"/>
    <w:rsid w:val="001D1732"/>
    <w:rsid w:val="001D17E3"/>
    <w:rsid w:val="001D1850"/>
    <w:rsid w:val="001D193F"/>
    <w:rsid w:val="001D19BE"/>
    <w:rsid w:val="001D1E26"/>
    <w:rsid w:val="001D1E2E"/>
    <w:rsid w:val="001D1E74"/>
    <w:rsid w:val="001D1F4F"/>
    <w:rsid w:val="001D1FE8"/>
    <w:rsid w:val="001D2020"/>
    <w:rsid w:val="001D20EB"/>
    <w:rsid w:val="001D2203"/>
    <w:rsid w:val="001D23A0"/>
    <w:rsid w:val="001D24D9"/>
    <w:rsid w:val="001D255C"/>
    <w:rsid w:val="001D25B5"/>
    <w:rsid w:val="001D2670"/>
    <w:rsid w:val="001D271C"/>
    <w:rsid w:val="001D27A1"/>
    <w:rsid w:val="001D283A"/>
    <w:rsid w:val="001D2862"/>
    <w:rsid w:val="001D28BA"/>
    <w:rsid w:val="001D28BC"/>
    <w:rsid w:val="001D290D"/>
    <w:rsid w:val="001D2A8F"/>
    <w:rsid w:val="001D2C04"/>
    <w:rsid w:val="001D2DEF"/>
    <w:rsid w:val="001D2E7B"/>
    <w:rsid w:val="001D2F0C"/>
    <w:rsid w:val="001D30BB"/>
    <w:rsid w:val="001D3186"/>
    <w:rsid w:val="001D33B4"/>
    <w:rsid w:val="001D33D5"/>
    <w:rsid w:val="001D341F"/>
    <w:rsid w:val="001D356E"/>
    <w:rsid w:val="001D3738"/>
    <w:rsid w:val="001D3886"/>
    <w:rsid w:val="001D391F"/>
    <w:rsid w:val="001D3A43"/>
    <w:rsid w:val="001D3ACB"/>
    <w:rsid w:val="001D3B80"/>
    <w:rsid w:val="001D3BF0"/>
    <w:rsid w:val="001D3DC6"/>
    <w:rsid w:val="001D3E2E"/>
    <w:rsid w:val="001D3E41"/>
    <w:rsid w:val="001D3F58"/>
    <w:rsid w:val="001D3F85"/>
    <w:rsid w:val="001D417D"/>
    <w:rsid w:val="001D427E"/>
    <w:rsid w:val="001D429C"/>
    <w:rsid w:val="001D4314"/>
    <w:rsid w:val="001D4477"/>
    <w:rsid w:val="001D4499"/>
    <w:rsid w:val="001D4504"/>
    <w:rsid w:val="001D4668"/>
    <w:rsid w:val="001D46C3"/>
    <w:rsid w:val="001D4825"/>
    <w:rsid w:val="001D488C"/>
    <w:rsid w:val="001D49A5"/>
    <w:rsid w:val="001D4A3E"/>
    <w:rsid w:val="001D4A44"/>
    <w:rsid w:val="001D4B5D"/>
    <w:rsid w:val="001D4BD9"/>
    <w:rsid w:val="001D4CDF"/>
    <w:rsid w:val="001D4CED"/>
    <w:rsid w:val="001D4D64"/>
    <w:rsid w:val="001D4DDA"/>
    <w:rsid w:val="001D4F88"/>
    <w:rsid w:val="001D4FA2"/>
    <w:rsid w:val="001D5073"/>
    <w:rsid w:val="001D50DD"/>
    <w:rsid w:val="001D534E"/>
    <w:rsid w:val="001D5484"/>
    <w:rsid w:val="001D5532"/>
    <w:rsid w:val="001D554D"/>
    <w:rsid w:val="001D5558"/>
    <w:rsid w:val="001D563C"/>
    <w:rsid w:val="001D578D"/>
    <w:rsid w:val="001D5818"/>
    <w:rsid w:val="001D5A0F"/>
    <w:rsid w:val="001D5DFF"/>
    <w:rsid w:val="001D5FD6"/>
    <w:rsid w:val="001D60A8"/>
    <w:rsid w:val="001D635C"/>
    <w:rsid w:val="001D652D"/>
    <w:rsid w:val="001D653A"/>
    <w:rsid w:val="001D669E"/>
    <w:rsid w:val="001D67EE"/>
    <w:rsid w:val="001D6840"/>
    <w:rsid w:val="001D6851"/>
    <w:rsid w:val="001D68A9"/>
    <w:rsid w:val="001D68D1"/>
    <w:rsid w:val="001D69EC"/>
    <w:rsid w:val="001D6A30"/>
    <w:rsid w:val="001D6B31"/>
    <w:rsid w:val="001D6F22"/>
    <w:rsid w:val="001D70B2"/>
    <w:rsid w:val="001D7233"/>
    <w:rsid w:val="001D78CF"/>
    <w:rsid w:val="001D798C"/>
    <w:rsid w:val="001D7A33"/>
    <w:rsid w:val="001D7A6C"/>
    <w:rsid w:val="001D7ADC"/>
    <w:rsid w:val="001D7AFD"/>
    <w:rsid w:val="001D7D94"/>
    <w:rsid w:val="001D7DEE"/>
    <w:rsid w:val="001D7F03"/>
    <w:rsid w:val="001D7FD1"/>
    <w:rsid w:val="001D7FD9"/>
    <w:rsid w:val="001D7FDD"/>
    <w:rsid w:val="001E001A"/>
    <w:rsid w:val="001E002E"/>
    <w:rsid w:val="001E0074"/>
    <w:rsid w:val="001E02B8"/>
    <w:rsid w:val="001E02CB"/>
    <w:rsid w:val="001E033F"/>
    <w:rsid w:val="001E049B"/>
    <w:rsid w:val="001E05A4"/>
    <w:rsid w:val="001E05E6"/>
    <w:rsid w:val="001E065D"/>
    <w:rsid w:val="001E065F"/>
    <w:rsid w:val="001E0730"/>
    <w:rsid w:val="001E08BB"/>
    <w:rsid w:val="001E0993"/>
    <w:rsid w:val="001E0A27"/>
    <w:rsid w:val="001E0A2B"/>
    <w:rsid w:val="001E0B81"/>
    <w:rsid w:val="001E0C0B"/>
    <w:rsid w:val="001E0C6F"/>
    <w:rsid w:val="001E0D62"/>
    <w:rsid w:val="001E0EDB"/>
    <w:rsid w:val="001E0F22"/>
    <w:rsid w:val="001E0F94"/>
    <w:rsid w:val="001E10BB"/>
    <w:rsid w:val="001E120D"/>
    <w:rsid w:val="001E1286"/>
    <w:rsid w:val="001E1292"/>
    <w:rsid w:val="001E1373"/>
    <w:rsid w:val="001E1376"/>
    <w:rsid w:val="001E13A0"/>
    <w:rsid w:val="001E13D3"/>
    <w:rsid w:val="001E1429"/>
    <w:rsid w:val="001E14FD"/>
    <w:rsid w:val="001E1559"/>
    <w:rsid w:val="001E17DC"/>
    <w:rsid w:val="001E180F"/>
    <w:rsid w:val="001E1835"/>
    <w:rsid w:val="001E1B07"/>
    <w:rsid w:val="001E1BBE"/>
    <w:rsid w:val="001E1BD5"/>
    <w:rsid w:val="001E1C64"/>
    <w:rsid w:val="001E1CEC"/>
    <w:rsid w:val="001E1D50"/>
    <w:rsid w:val="001E1DE9"/>
    <w:rsid w:val="001E1EDA"/>
    <w:rsid w:val="001E1FE3"/>
    <w:rsid w:val="001E200A"/>
    <w:rsid w:val="001E20CD"/>
    <w:rsid w:val="001E216A"/>
    <w:rsid w:val="001E2217"/>
    <w:rsid w:val="001E22EE"/>
    <w:rsid w:val="001E2343"/>
    <w:rsid w:val="001E2370"/>
    <w:rsid w:val="001E2388"/>
    <w:rsid w:val="001E24D2"/>
    <w:rsid w:val="001E24F6"/>
    <w:rsid w:val="001E25B9"/>
    <w:rsid w:val="001E2664"/>
    <w:rsid w:val="001E2740"/>
    <w:rsid w:val="001E2821"/>
    <w:rsid w:val="001E283C"/>
    <w:rsid w:val="001E2928"/>
    <w:rsid w:val="001E2966"/>
    <w:rsid w:val="001E2C50"/>
    <w:rsid w:val="001E2C91"/>
    <w:rsid w:val="001E2CFC"/>
    <w:rsid w:val="001E2E19"/>
    <w:rsid w:val="001E2ECB"/>
    <w:rsid w:val="001E2ED6"/>
    <w:rsid w:val="001E2F57"/>
    <w:rsid w:val="001E2F8F"/>
    <w:rsid w:val="001E2FEF"/>
    <w:rsid w:val="001E3266"/>
    <w:rsid w:val="001E33A8"/>
    <w:rsid w:val="001E354A"/>
    <w:rsid w:val="001E362F"/>
    <w:rsid w:val="001E370D"/>
    <w:rsid w:val="001E3783"/>
    <w:rsid w:val="001E38A5"/>
    <w:rsid w:val="001E3D8F"/>
    <w:rsid w:val="001E3D9F"/>
    <w:rsid w:val="001E3DC7"/>
    <w:rsid w:val="001E400B"/>
    <w:rsid w:val="001E407D"/>
    <w:rsid w:val="001E412B"/>
    <w:rsid w:val="001E433A"/>
    <w:rsid w:val="001E4576"/>
    <w:rsid w:val="001E459E"/>
    <w:rsid w:val="001E463F"/>
    <w:rsid w:val="001E47BF"/>
    <w:rsid w:val="001E4871"/>
    <w:rsid w:val="001E4927"/>
    <w:rsid w:val="001E4947"/>
    <w:rsid w:val="001E4AB3"/>
    <w:rsid w:val="001E4B64"/>
    <w:rsid w:val="001E4F01"/>
    <w:rsid w:val="001E4F1B"/>
    <w:rsid w:val="001E5037"/>
    <w:rsid w:val="001E5168"/>
    <w:rsid w:val="001E516C"/>
    <w:rsid w:val="001E5259"/>
    <w:rsid w:val="001E5351"/>
    <w:rsid w:val="001E53C0"/>
    <w:rsid w:val="001E543B"/>
    <w:rsid w:val="001E54EA"/>
    <w:rsid w:val="001E552A"/>
    <w:rsid w:val="001E573C"/>
    <w:rsid w:val="001E579E"/>
    <w:rsid w:val="001E57B9"/>
    <w:rsid w:val="001E59E4"/>
    <w:rsid w:val="001E5A09"/>
    <w:rsid w:val="001E5AEE"/>
    <w:rsid w:val="001E5B06"/>
    <w:rsid w:val="001E5D54"/>
    <w:rsid w:val="001E5E38"/>
    <w:rsid w:val="001E5F56"/>
    <w:rsid w:val="001E62E9"/>
    <w:rsid w:val="001E62FB"/>
    <w:rsid w:val="001E63FC"/>
    <w:rsid w:val="001E651A"/>
    <w:rsid w:val="001E65D0"/>
    <w:rsid w:val="001E673C"/>
    <w:rsid w:val="001E69A6"/>
    <w:rsid w:val="001E6A70"/>
    <w:rsid w:val="001E6AF3"/>
    <w:rsid w:val="001E6C5E"/>
    <w:rsid w:val="001E6C67"/>
    <w:rsid w:val="001E6CF5"/>
    <w:rsid w:val="001E6D05"/>
    <w:rsid w:val="001E6D9E"/>
    <w:rsid w:val="001E6E8D"/>
    <w:rsid w:val="001E6F74"/>
    <w:rsid w:val="001E7171"/>
    <w:rsid w:val="001E7243"/>
    <w:rsid w:val="001E7264"/>
    <w:rsid w:val="001E72CB"/>
    <w:rsid w:val="001E733F"/>
    <w:rsid w:val="001E73F2"/>
    <w:rsid w:val="001E7557"/>
    <w:rsid w:val="001E763A"/>
    <w:rsid w:val="001E7A2A"/>
    <w:rsid w:val="001E7E40"/>
    <w:rsid w:val="001E7E8F"/>
    <w:rsid w:val="001E7EE4"/>
    <w:rsid w:val="001E7F76"/>
    <w:rsid w:val="001F002D"/>
    <w:rsid w:val="001F013F"/>
    <w:rsid w:val="001F01A1"/>
    <w:rsid w:val="001F02FC"/>
    <w:rsid w:val="001F0418"/>
    <w:rsid w:val="001F0659"/>
    <w:rsid w:val="001F06C3"/>
    <w:rsid w:val="001F0702"/>
    <w:rsid w:val="001F08A5"/>
    <w:rsid w:val="001F0900"/>
    <w:rsid w:val="001F09FE"/>
    <w:rsid w:val="001F0A21"/>
    <w:rsid w:val="001F0A78"/>
    <w:rsid w:val="001F0B12"/>
    <w:rsid w:val="001F0BA0"/>
    <w:rsid w:val="001F0D9F"/>
    <w:rsid w:val="001F0DAD"/>
    <w:rsid w:val="001F0DC3"/>
    <w:rsid w:val="001F0DE7"/>
    <w:rsid w:val="001F0E19"/>
    <w:rsid w:val="001F0E43"/>
    <w:rsid w:val="001F0FAF"/>
    <w:rsid w:val="001F1054"/>
    <w:rsid w:val="001F1059"/>
    <w:rsid w:val="001F10BF"/>
    <w:rsid w:val="001F11DC"/>
    <w:rsid w:val="001F137A"/>
    <w:rsid w:val="001F139F"/>
    <w:rsid w:val="001F1490"/>
    <w:rsid w:val="001F1AC4"/>
    <w:rsid w:val="001F1C49"/>
    <w:rsid w:val="001F1C71"/>
    <w:rsid w:val="001F1EB8"/>
    <w:rsid w:val="001F1EC8"/>
    <w:rsid w:val="001F1F5A"/>
    <w:rsid w:val="001F1FD3"/>
    <w:rsid w:val="001F20BD"/>
    <w:rsid w:val="001F219E"/>
    <w:rsid w:val="001F21DC"/>
    <w:rsid w:val="001F21DD"/>
    <w:rsid w:val="001F2296"/>
    <w:rsid w:val="001F22F0"/>
    <w:rsid w:val="001F23D0"/>
    <w:rsid w:val="001F251E"/>
    <w:rsid w:val="001F2527"/>
    <w:rsid w:val="001F271B"/>
    <w:rsid w:val="001F27B4"/>
    <w:rsid w:val="001F2805"/>
    <w:rsid w:val="001F29A4"/>
    <w:rsid w:val="001F2B57"/>
    <w:rsid w:val="001F2BA2"/>
    <w:rsid w:val="001F2BE0"/>
    <w:rsid w:val="001F2CD8"/>
    <w:rsid w:val="001F2D41"/>
    <w:rsid w:val="001F2E64"/>
    <w:rsid w:val="001F2E79"/>
    <w:rsid w:val="001F2E9D"/>
    <w:rsid w:val="001F2EF7"/>
    <w:rsid w:val="001F2EF8"/>
    <w:rsid w:val="001F2F06"/>
    <w:rsid w:val="001F2F07"/>
    <w:rsid w:val="001F3007"/>
    <w:rsid w:val="001F3093"/>
    <w:rsid w:val="001F30EB"/>
    <w:rsid w:val="001F3123"/>
    <w:rsid w:val="001F31F2"/>
    <w:rsid w:val="001F3636"/>
    <w:rsid w:val="001F376D"/>
    <w:rsid w:val="001F37DA"/>
    <w:rsid w:val="001F3A08"/>
    <w:rsid w:val="001F3BDE"/>
    <w:rsid w:val="001F3D14"/>
    <w:rsid w:val="001F3D40"/>
    <w:rsid w:val="001F3D61"/>
    <w:rsid w:val="001F3D7C"/>
    <w:rsid w:val="001F3D96"/>
    <w:rsid w:val="001F3DF1"/>
    <w:rsid w:val="001F3EC9"/>
    <w:rsid w:val="001F3F2C"/>
    <w:rsid w:val="001F3F48"/>
    <w:rsid w:val="001F3F63"/>
    <w:rsid w:val="001F3F64"/>
    <w:rsid w:val="001F3F97"/>
    <w:rsid w:val="001F4040"/>
    <w:rsid w:val="001F418C"/>
    <w:rsid w:val="001F422A"/>
    <w:rsid w:val="001F42A1"/>
    <w:rsid w:val="001F4353"/>
    <w:rsid w:val="001F44E0"/>
    <w:rsid w:val="001F4560"/>
    <w:rsid w:val="001F4575"/>
    <w:rsid w:val="001F46C1"/>
    <w:rsid w:val="001F4769"/>
    <w:rsid w:val="001F47F9"/>
    <w:rsid w:val="001F48AA"/>
    <w:rsid w:val="001F4953"/>
    <w:rsid w:val="001F498B"/>
    <w:rsid w:val="001F4B2D"/>
    <w:rsid w:val="001F4BD6"/>
    <w:rsid w:val="001F4C5C"/>
    <w:rsid w:val="001F4C90"/>
    <w:rsid w:val="001F4D2D"/>
    <w:rsid w:val="001F4D53"/>
    <w:rsid w:val="001F4D61"/>
    <w:rsid w:val="001F4EB5"/>
    <w:rsid w:val="001F4EF2"/>
    <w:rsid w:val="001F4F40"/>
    <w:rsid w:val="001F4F73"/>
    <w:rsid w:val="001F4FB3"/>
    <w:rsid w:val="001F50E0"/>
    <w:rsid w:val="001F51AB"/>
    <w:rsid w:val="001F51E7"/>
    <w:rsid w:val="001F5229"/>
    <w:rsid w:val="001F527A"/>
    <w:rsid w:val="001F52A4"/>
    <w:rsid w:val="001F52B4"/>
    <w:rsid w:val="001F52C6"/>
    <w:rsid w:val="001F52E7"/>
    <w:rsid w:val="001F5343"/>
    <w:rsid w:val="001F53AD"/>
    <w:rsid w:val="001F53C5"/>
    <w:rsid w:val="001F545A"/>
    <w:rsid w:val="001F5482"/>
    <w:rsid w:val="001F54AC"/>
    <w:rsid w:val="001F56F0"/>
    <w:rsid w:val="001F57A0"/>
    <w:rsid w:val="001F5872"/>
    <w:rsid w:val="001F58AF"/>
    <w:rsid w:val="001F594C"/>
    <w:rsid w:val="001F5976"/>
    <w:rsid w:val="001F599E"/>
    <w:rsid w:val="001F59CC"/>
    <w:rsid w:val="001F5A53"/>
    <w:rsid w:val="001F5AD1"/>
    <w:rsid w:val="001F5AD3"/>
    <w:rsid w:val="001F5B3C"/>
    <w:rsid w:val="001F5CE7"/>
    <w:rsid w:val="001F5D21"/>
    <w:rsid w:val="001F5D57"/>
    <w:rsid w:val="001F5FCC"/>
    <w:rsid w:val="001F608E"/>
    <w:rsid w:val="001F60B6"/>
    <w:rsid w:val="001F6190"/>
    <w:rsid w:val="001F62C3"/>
    <w:rsid w:val="001F62D3"/>
    <w:rsid w:val="001F63D8"/>
    <w:rsid w:val="001F640F"/>
    <w:rsid w:val="001F6525"/>
    <w:rsid w:val="001F654B"/>
    <w:rsid w:val="001F661F"/>
    <w:rsid w:val="001F6666"/>
    <w:rsid w:val="001F6738"/>
    <w:rsid w:val="001F680F"/>
    <w:rsid w:val="001F6851"/>
    <w:rsid w:val="001F686F"/>
    <w:rsid w:val="001F68F3"/>
    <w:rsid w:val="001F69FC"/>
    <w:rsid w:val="001F6A66"/>
    <w:rsid w:val="001F6B3E"/>
    <w:rsid w:val="001F6BE7"/>
    <w:rsid w:val="001F6C71"/>
    <w:rsid w:val="001F6C7E"/>
    <w:rsid w:val="001F6D62"/>
    <w:rsid w:val="001F6E6D"/>
    <w:rsid w:val="001F6E73"/>
    <w:rsid w:val="001F6EC1"/>
    <w:rsid w:val="001F6EF6"/>
    <w:rsid w:val="001F6F40"/>
    <w:rsid w:val="001F707C"/>
    <w:rsid w:val="001F7133"/>
    <w:rsid w:val="001F7556"/>
    <w:rsid w:val="001F7675"/>
    <w:rsid w:val="001F781C"/>
    <w:rsid w:val="001F79B8"/>
    <w:rsid w:val="001F7A8E"/>
    <w:rsid w:val="001F7AE9"/>
    <w:rsid w:val="001F7BEE"/>
    <w:rsid w:val="001F7C84"/>
    <w:rsid w:val="001F7CDA"/>
    <w:rsid w:val="001F7CEF"/>
    <w:rsid w:val="001F7DBF"/>
    <w:rsid w:val="001F7E3B"/>
    <w:rsid w:val="001F7F81"/>
    <w:rsid w:val="00200153"/>
    <w:rsid w:val="002001BC"/>
    <w:rsid w:val="002001D8"/>
    <w:rsid w:val="0020023E"/>
    <w:rsid w:val="0020028C"/>
    <w:rsid w:val="0020033C"/>
    <w:rsid w:val="00200359"/>
    <w:rsid w:val="0020042B"/>
    <w:rsid w:val="002005C9"/>
    <w:rsid w:val="002007A2"/>
    <w:rsid w:val="00200952"/>
    <w:rsid w:val="00200A5B"/>
    <w:rsid w:val="00200A62"/>
    <w:rsid w:val="00200B9D"/>
    <w:rsid w:val="00200C0D"/>
    <w:rsid w:val="00200C80"/>
    <w:rsid w:val="00200C95"/>
    <w:rsid w:val="00200D0D"/>
    <w:rsid w:val="00200D22"/>
    <w:rsid w:val="00200D9B"/>
    <w:rsid w:val="00200DD9"/>
    <w:rsid w:val="00200E88"/>
    <w:rsid w:val="00200F43"/>
    <w:rsid w:val="00200F59"/>
    <w:rsid w:val="00200FAE"/>
    <w:rsid w:val="00201012"/>
    <w:rsid w:val="0020102D"/>
    <w:rsid w:val="002010B7"/>
    <w:rsid w:val="002010E2"/>
    <w:rsid w:val="00201125"/>
    <w:rsid w:val="002011DF"/>
    <w:rsid w:val="002011F6"/>
    <w:rsid w:val="00201344"/>
    <w:rsid w:val="002014F2"/>
    <w:rsid w:val="002018B7"/>
    <w:rsid w:val="002018BA"/>
    <w:rsid w:val="00201961"/>
    <w:rsid w:val="00201B64"/>
    <w:rsid w:val="00201B73"/>
    <w:rsid w:val="00201BA3"/>
    <w:rsid w:val="00201EB3"/>
    <w:rsid w:val="00201EB6"/>
    <w:rsid w:val="00201F96"/>
    <w:rsid w:val="00201FF5"/>
    <w:rsid w:val="002020BA"/>
    <w:rsid w:val="002021A3"/>
    <w:rsid w:val="002021F8"/>
    <w:rsid w:val="00202249"/>
    <w:rsid w:val="00202283"/>
    <w:rsid w:val="002022F0"/>
    <w:rsid w:val="002022F1"/>
    <w:rsid w:val="00202463"/>
    <w:rsid w:val="00202517"/>
    <w:rsid w:val="002025E5"/>
    <w:rsid w:val="00202ADB"/>
    <w:rsid w:val="00202BB7"/>
    <w:rsid w:val="00202C0C"/>
    <w:rsid w:val="00202CF5"/>
    <w:rsid w:val="00202CFA"/>
    <w:rsid w:val="00202FD0"/>
    <w:rsid w:val="002030C4"/>
    <w:rsid w:val="0020333D"/>
    <w:rsid w:val="0020352C"/>
    <w:rsid w:val="0020353B"/>
    <w:rsid w:val="002036AF"/>
    <w:rsid w:val="002037FA"/>
    <w:rsid w:val="002038CD"/>
    <w:rsid w:val="00203A52"/>
    <w:rsid w:val="00203B21"/>
    <w:rsid w:val="00203BCC"/>
    <w:rsid w:val="00203C59"/>
    <w:rsid w:val="00203CA3"/>
    <w:rsid w:val="00203CCA"/>
    <w:rsid w:val="00203CCB"/>
    <w:rsid w:val="00203D04"/>
    <w:rsid w:val="00203D2A"/>
    <w:rsid w:val="00203D84"/>
    <w:rsid w:val="00203DC6"/>
    <w:rsid w:val="00203E34"/>
    <w:rsid w:val="00203F84"/>
    <w:rsid w:val="00203FE5"/>
    <w:rsid w:val="00204024"/>
    <w:rsid w:val="0020429E"/>
    <w:rsid w:val="0020435B"/>
    <w:rsid w:val="00204533"/>
    <w:rsid w:val="002045E5"/>
    <w:rsid w:val="00204651"/>
    <w:rsid w:val="0020480C"/>
    <w:rsid w:val="0020485D"/>
    <w:rsid w:val="0020487E"/>
    <w:rsid w:val="00204946"/>
    <w:rsid w:val="00204A47"/>
    <w:rsid w:val="00204B64"/>
    <w:rsid w:val="00204B80"/>
    <w:rsid w:val="00204BB1"/>
    <w:rsid w:val="00204BF9"/>
    <w:rsid w:val="00204CB9"/>
    <w:rsid w:val="00204DC9"/>
    <w:rsid w:val="00204E48"/>
    <w:rsid w:val="00204EC7"/>
    <w:rsid w:val="00204F1C"/>
    <w:rsid w:val="00204F2D"/>
    <w:rsid w:val="00204F30"/>
    <w:rsid w:val="002050E4"/>
    <w:rsid w:val="002050F5"/>
    <w:rsid w:val="00205186"/>
    <w:rsid w:val="0020529D"/>
    <w:rsid w:val="002052F4"/>
    <w:rsid w:val="00205357"/>
    <w:rsid w:val="00205375"/>
    <w:rsid w:val="002054B5"/>
    <w:rsid w:val="002054ED"/>
    <w:rsid w:val="00205509"/>
    <w:rsid w:val="00205566"/>
    <w:rsid w:val="00205730"/>
    <w:rsid w:val="00205801"/>
    <w:rsid w:val="002059B6"/>
    <w:rsid w:val="002059D3"/>
    <w:rsid w:val="00205A93"/>
    <w:rsid w:val="00205B18"/>
    <w:rsid w:val="00205BA0"/>
    <w:rsid w:val="00205BBE"/>
    <w:rsid w:val="00205C36"/>
    <w:rsid w:val="00205E76"/>
    <w:rsid w:val="002061AA"/>
    <w:rsid w:val="0020634A"/>
    <w:rsid w:val="0020639D"/>
    <w:rsid w:val="002063AA"/>
    <w:rsid w:val="00206468"/>
    <w:rsid w:val="002064DE"/>
    <w:rsid w:val="0020662A"/>
    <w:rsid w:val="0020679D"/>
    <w:rsid w:val="002067AB"/>
    <w:rsid w:val="002067BF"/>
    <w:rsid w:val="00206940"/>
    <w:rsid w:val="00206AA3"/>
    <w:rsid w:val="00206BC5"/>
    <w:rsid w:val="00206E9A"/>
    <w:rsid w:val="00206E9E"/>
    <w:rsid w:val="00206EE6"/>
    <w:rsid w:val="002070B3"/>
    <w:rsid w:val="00207129"/>
    <w:rsid w:val="00207279"/>
    <w:rsid w:val="0020748D"/>
    <w:rsid w:val="002074E9"/>
    <w:rsid w:val="0020759D"/>
    <w:rsid w:val="002075B3"/>
    <w:rsid w:val="0020760F"/>
    <w:rsid w:val="00207653"/>
    <w:rsid w:val="0020770F"/>
    <w:rsid w:val="00207C74"/>
    <w:rsid w:val="00207C8B"/>
    <w:rsid w:val="00210290"/>
    <w:rsid w:val="00210358"/>
    <w:rsid w:val="002104AE"/>
    <w:rsid w:val="00210549"/>
    <w:rsid w:val="0021054C"/>
    <w:rsid w:val="00210648"/>
    <w:rsid w:val="0021069E"/>
    <w:rsid w:val="0021074E"/>
    <w:rsid w:val="00210777"/>
    <w:rsid w:val="00210804"/>
    <w:rsid w:val="00210825"/>
    <w:rsid w:val="0021088F"/>
    <w:rsid w:val="002109A0"/>
    <w:rsid w:val="00210A84"/>
    <w:rsid w:val="00210B78"/>
    <w:rsid w:val="00210BE1"/>
    <w:rsid w:val="00210C44"/>
    <w:rsid w:val="00210D87"/>
    <w:rsid w:val="00210D9F"/>
    <w:rsid w:val="00210F20"/>
    <w:rsid w:val="00210FCA"/>
    <w:rsid w:val="00211170"/>
    <w:rsid w:val="002111D0"/>
    <w:rsid w:val="0021132C"/>
    <w:rsid w:val="002113FE"/>
    <w:rsid w:val="0021144F"/>
    <w:rsid w:val="002116CF"/>
    <w:rsid w:val="00211737"/>
    <w:rsid w:val="002117B7"/>
    <w:rsid w:val="002117C3"/>
    <w:rsid w:val="0021181B"/>
    <w:rsid w:val="002119A6"/>
    <w:rsid w:val="00211A83"/>
    <w:rsid w:val="00211A9E"/>
    <w:rsid w:val="00211AC9"/>
    <w:rsid w:val="00211B26"/>
    <w:rsid w:val="00211B69"/>
    <w:rsid w:val="00211E49"/>
    <w:rsid w:val="00211E8F"/>
    <w:rsid w:val="00211F9A"/>
    <w:rsid w:val="00212287"/>
    <w:rsid w:val="002122E4"/>
    <w:rsid w:val="0021230F"/>
    <w:rsid w:val="002124CD"/>
    <w:rsid w:val="0021254C"/>
    <w:rsid w:val="00212572"/>
    <w:rsid w:val="002125B0"/>
    <w:rsid w:val="002125F6"/>
    <w:rsid w:val="00212608"/>
    <w:rsid w:val="00212636"/>
    <w:rsid w:val="002127A8"/>
    <w:rsid w:val="00212A07"/>
    <w:rsid w:val="00212A82"/>
    <w:rsid w:val="00212B0A"/>
    <w:rsid w:val="00212D89"/>
    <w:rsid w:val="00212D8C"/>
    <w:rsid w:val="00212DAE"/>
    <w:rsid w:val="00212E03"/>
    <w:rsid w:val="00212EA4"/>
    <w:rsid w:val="00212EC1"/>
    <w:rsid w:val="00212ECF"/>
    <w:rsid w:val="00212F51"/>
    <w:rsid w:val="00212F8F"/>
    <w:rsid w:val="00213075"/>
    <w:rsid w:val="002130DA"/>
    <w:rsid w:val="002136ED"/>
    <w:rsid w:val="00213768"/>
    <w:rsid w:val="00213808"/>
    <w:rsid w:val="00213972"/>
    <w:rsid w:val="00213AF5"/>
    <w:rsid w:val="00213DBF"/>
    <w:rsid w:val="00214250"/>
    <w:rsid w:val="002144C6"/>
    <w:rsid w:val="0021457B"/>
    <w:rsid w:val="00214665"/>
    <w:rsid w:val="00214695"/>
    <w:rsid w:val="002148EF"/>
    <w:rsid w:val="0021492D"/>
    <w:rsid w:val="00214945"/>
    <w:rsid w:val="002149A3"/>
    <w:rsid w:val="002149B3"/>
    <w:rsid w:val="00214B78"/>
    <w:rsid w:val="00214B91"/>
    <w:rsid w:val="00214C02"/>
    <w:rsid w:val="00214D40"/>
    <w:rsid w:val="00214DD9"/>
    <w:rsid w:val="00214DE0"/>
    <w:rsid w:val="00214EA2"/>
    <w:rsid w:val="00214EF2"/>
    <w:rsid w:val="00214F8F"/>
    <w:rsid w:val="0021503F"/>
    <w:rsid w:val="002150D6"/>
    <w:rsid w:val="00215145"/>
    <w:rsid w:val="002151C3"/>
    <w:rsid w:val="00215284"/>
    <w:rsid w:val="00215426"/>
    <w:rsid w:val="00215572"/>
    <w:rsid w:val="00215645"/>
    <w:rsid w:val="00215683"/>
    <w:rsid w:val="00215732"/>
    <w:rsid w:val="002157A9"/>
    <w:rsid w:val="00215816"/>
    <w:rsid w:val="002159DC"/>
    <w:rsid w:val="00215AFF"/>
    <w:rsid w:val="00215CEA"/>
    <w:rsid w:val="00215DB3"/>
    <w:rsid w:val="00215EFA"/>
    <w:rsid w:val="00215F08"/>
    <w:rsid w:val="00215F14"/>
    <w:rsid w:val="00216049"/>
    <w:rsid w:val="00216062"/>
    <w:rsid w:val="002160B1"/>
    <w:rsid w:val="002160D3"/>
    <w:rsid w:val="002160FA"/>
    <w:rsid w:val="00216314"/>
    <w:rsid w:val="00216487"/>
    <w:rsid w:val="002164CF"/>
    <w:rsid w:val="0021651A"/>
    <w:rsid w:val="0021657F"/>
    <w:rsid w:val="00216685"/>
    <w:rsid w:val="002166DD"/>
    <w:rsid w:val="0021689A"/>
    <w:rsid w:val="002168A2"/>
    <w:rsid w:val="002168D0"/>
    <w:rsid w:val="00216915"/>
    <w:rsid w:val="0021694B"/>
    <w:rsid w:val="00216A26"/>
    <w:rsid w:val="00216AB4"/>
    <w:rsid w:val="00216AC3"/>
    <w:rsid w:val="00216C8E"/>
    <w:rsid w:val="00216D99"/>
    <w:rsid w:val="00216DA2"/>
    <w:rsid w:val="00216E30"/>
    <w:rsid w:val="002170F0"/>
    <w:rsid w:val="002171E5"/>
    <w:rsid w:val="002171F2"/>
    <w:rsid w:val="00217225"/>
    <w:rsid w:val="00217256"/>
    <w:rsid w:val="00217453"/>
    <w:rsid w:val="002175C9"/>
    <w:rsid w:val="002175EA"/>
    <w:rsid w:val="00217649"/>
    <w:rsid w:val="00217720"/>
    <w:rsid w:val="00217808"/>
    <w:rsid w:val="00217867"/>
    <w:rsid w:val="002178F3"/>
    <w:rsid w:val="00217936"/>
    <w:rsid w:val="0021793F"/>
    <w:rsid w:val="00217A85"/>
    <w:rsid w:val="00217A9B"/>
    <w:rsid w:val="00217B3B"/>
    <w:rsid w:val="00217CBD"/>
    <w:rsid w:val="0022004A"/>
    <w:rsid w:val="0022009A"/>
    <w:rsid w:val="00220312"/>
    <w:rsid w:val="00220443"/>
    <w:rsid w:val="002205E4"/>
    <w:rsid w:val="00220674"/>
    <w:rsid w:val="002206E0"/>
    <w:rsid w:val="002207E9"/>
    <w:rsid w:val="00220908"/>
    <w:rsid w:val="00220B7E"/>
    <w:rsid w:val="00220B94"/>
    <w:rsid w:val="00220BB8"/>
    <w:rsid w:val="00220C97"/>
    <w:rsid w:val="00220D67"/>
    <w:rsid w:val="00220EC0"/>
    <w:rsid w:val="00220FC5"/>
    <w:rsid w:val="00220FFC"/>
    <w:rsid w:val="00221028"/>
    <w:rsid w:val="0022115E"/>
    <w:rsid w:val="0022117E"/>
    <w:rsid w:val="002211CB"/>
    <w:rsid w:val="002211EB"/>
    <w:rsid w:val="0022122A"/>
    <w:rsid w:val="00221249"/>
    <w:rsid w:val="002212EB"/>
    <w:rsid w:val="00221508"/>
    <w:rsid w:val="0022157E"/>
    <w:rsid w:val="002215D0"/>
    <w:rsid w:val="002215D7"/>
    <w:rsid w:val="002215E0"/>
    <w:rsid w:val="002215F8"/>
    <w:rsid w:val="002216CF"/>
    <w:rsid w:val="0022175E"/>
    <w:rsid w:val="002217B8"/>
    <w:rsid w:val="00221989"/>
    <w:rsid w:val="00221A55"/>
    <w:rsid w:val="00221AAC"/>
    <w:rsid w:val="00221B54"/>
    <w:rsid w:val="00221BA4"/>
    <w:rsid w:val="00221D51"/>
    <w:rsid w:val="00221D78"/>
    <w:rsid w:val="00221DFC"/>
    <w:rsid w:val="00221E0E"/>
    <w:rsid w:val="00221E83"/>
    <w:rsid w:val="00221F1F"/>
    <w:rsid w:val="00221F80"/>
    <w:rsid w:val="00221FE8"/>
    <w:rsid w:val="0022200F"/>
    <w:rsid w:val="00222041"/>
    <w:rsid w:val="00222097"/>
    <w:rsid w:val="00222134"/>
    <w:rsid w:val="0022224D"/>
    <w:rsid w:val="00222349"/>
    <w:rsid w:val="002224FE"/>
    <w:rsid w:val="00222619"/>
    <w:rsid w:val="0022273A"/>
    <w:rsid w:val="002227A0"/>
    <w:rsid w:val="002227A3"/>
    <w:rsid w:val="002227F7"/>
    <w:rsid w:val="00222860"/>
    <w:rsid w:val="002228BC"/>
    <w:rsid w:val="002228EB"/>
    <w:rsid w:val="00222B7E"/>
    <w:rsid w:val="00222BA7"/>
    <w:rsid w:val="00222CD3"/>
    <w:rsid w:val="00222D28"/>
    <w:rsid w:val="00222DD4"/>
    <w:rsid w:val="00222F8B"/>
    <w:rsid w:val="00223027"/>
    <w:rsid w:val="002233BA"/>
    <w:rsid w:val="002234DE"/>
    <w:rsid w:val="002235F4"/>
    <w:rsid w:val="00223771"/>
    <w:rsid w:val="002237C1"/>
    <w:rsid w:val="0022381B"/>
    <w:rsid w:val="00223839"/>
    <w:rsid w:val="00223854"/>
    <w:rsid w:val="002238B7"/>
    <w:rsid w:val="002239A0"/>
    <w:rsid w:val="002239A7"/>
    <w:rsid w:val="00223A01"/>
    <w:rsid w:val="00223AB9"/>
    <w:rsid w:val="00223C33"/>
    <w:rsid w:val="00223C82"/>
    <w:rsid w:val="00223CF4"/>
    <w:rsid w:val="00223E05"/>
    <w:rsid w:val="00223F0C"/>
    <w:rsid w:val="002240CF"/>
    <w:rsid w:val="00224220"/>
    <w:rsid w:val="0022423A"/>
    <w:rsid w:val="002242B8"/>
    <w:rsid w:val="002242C5"/>
    <w:rsid w:val="00224398"/>
    <w:rsid w:val="0022451B"/>
    <w:rsid w:val="002245CC"/>
    <w:rsid w:val="0022463D"/>
    <w:rsid w:val="00224690"/>
    <w:rsid w:val="002246E5"/>
    <w:rsid w:val="002247EF"/>
    <w:rsid w:val="00224A81"/>
    <w:rsid w:val="00224ABA"/>
    <w:rsid w:val="00224B29"/>
    <w:rsid w:val="00224C52"/>
    <w:rsid w:val="00224E91"/>
    <w:rsid w:val="00224F87"/>
    <w:rsid w:val="00224FCE"/>
    <w:rsid w:val="00225112"/>
    <w:rsid w:val="00225160"/>
    <w:rsid w:val="0022519B"/>
    <w:rsid w:val="0022521E"/>
    <w:rsid w:val="00225226"/>
    <w:rsid w:val="0022528A"/>
    <w:rsid w:val="00225552"/>
    <w:rsid w:val="0022560D"/>
    <w:rsid w:val="00225651"/>
    <w:rsid w:val="002256CB"/>
    <w:rsid w:val="002256D5"/>
    <w:rsid w:val="0022571C"/>
    <w:rsid w:val="00225750"/>
    <w:rsid w:val="0022577E"/>
    <w:rsid w:val="00225805"/>
    <w:rsid w:val="002258CD"/>
    <w:rsid w:val="00225B4C"/>
    <w:rsid w:val="00225B86"/>
    <w:rsid w:val="00225BC3"/>
    <w:rsid w:val="00225C20"/>
    <w:rsid w:val="00225E1E"/>
    <w:rsid w:val="0022601A"/>
    <w:rsid w:val="0022601C"/>
    <w:rsid w:val="00226129"/>
    <w:rsid w:val="0022614D"/>
    <w:rsid w:val="00226175"/>
    <w:rsid w:val="00226243"/>
    <w:rsid w:val="00226250"/>
    <w:rsid w:val="002262D4"/>
    <w:rsid w:val="00226386"/>
    <w:rsid w:val="002264F6"/>
    <w:rsid w:val="0022666F"/>
    <w:rsid w:val="0022679C"/>
    <w:rsid w:val="00226815"/>
    <w:rsid w:val="00226939"/>
    <w:rsid w:val="0022695D"/>
    <w:rsid w:val="00226AA2"/>
    <w:rsid w:val="00226C87"/>
    <w:rsid w:val="00226CD8"/>
    <w:rsid w:val="00226D9C"/>
    <w:rsid w:val="00226DF1"/>
    <w:rsid w:val="00226E1C"/>
    <w:rsid w:val="00226EE4"/>
    <w:rsid w:val="00226F06"/>
    <w:rsid w:val="00226F0F"/>
    <w:rsid w:val="00226F53"/>
    <w:rsid w:val="0022706A"/>
    <w:rsid w:val="002270D3"/>
    <w:rsid w:val="00227193"/>
    <w:rsid w:val="002271FF"/>
    <w:rsid w:val="00227203"/>
    <w:rsid w:val="00227218"/>
    <w:rsid w:val="0022723A"/>
    <w:rsid w:val="00227342"/>
    <w:rsid w:val="002273FB"/>
    <w:rsid w:val="0022757F"/>
    <w:rsid w:val="002275A8"/>
    <w:rsid w:val="00227624"/>
    <w:rsid w:val="002276BD"/>
    <w:rsid w:val="0022770A"/>
    <w:rsid w:val="0022798A"/>
    <w:rsid w:val="00227B71"/>
    <w:rsid w:val="00227B7D"/>
    <w:rsid w:val="00227BEE"/>
    <w:rsid w:val="00227C55"/>
    <w:rsid w:val="00227D6A"/>
    <w:rsid w:val="00227F4E"/>
    <w:rsid w:val="00227FB4"/>
    <w:rsid w:val="00227FD4"/>
    <w:rsid w:val="00227FE4"/>
    <w:rsid w:val="00230077"/>
    <w:rsid w:val="00230093"/>
    <w:rsid w:val="0023029B"/>
    <w:rsid w:val="0023057E"/>
    <w:rsid w:val="00230872"/>
    <w:rsid w:val="00230AE4"/>
    <w:rsid w:val="00230B25"/>
    <w:rsid w:val="00230B8E"/>
    <w:rsid w:val="00230C07"/>
    <w:rsid w:val="00230CBD"/>
    <w:rsid w:val="00230E38"/>
    <w:rsid w:val="00230E5A"/>
    <w:rsid w:val="00230E68"/>
    <w:rsid w:val="00230F20"/>
    <w:rsid w:val="00231074"/>
    <w:rsid w:val="002310B5"/>
    <w:rsid w:val="002312BC"/>
    <w:rsid w:val="002312EA"/>
    <w:rsid w:val="00231306"/>
    <w:rsid w:val="0023135D"/>
    <w:rsid w:val="00231548"/>
    <w:rsid w:val="0023159C"/>
    <w:rsid w:val="002316FB"/>
    <w:rsid w:val="00231751"/>
    <w:rsid w:val="00231774"/>
    <w:rsid w:val="00231798"/>
    <w:rsid w:val="0023179D"/>
    <w:rsid w:val="00231ADA"/>
    <w:rsid w:val="00231B7E"/>
    <w:rsid w:val="00231F39"/>
    <w:rsid w:val="00231F7A"/>
    <w:rsid w:val="00231FA8"/>
    <w:rsid w:val="00231FC8"/>
    <w:rsid w:val="00231FE6"/>
    <w:rsid w:val="0023203A"/>
    <w:rsid w:val="0023206F"/>
    <w:rsid w:val="00232227"/>
    <w:rsid w:val="0023241E"/>
    <w:rsid w:val="00232479"/>
    <w:rsid w:val="002325BE"/>
    <w:rsid w:val="002327E4"/>
    <w:rsid w:val="00232904"/>
    <w:rsid w:val="00232907"/>
    <w:rsid w:val="00232BAD"/>
    <w:rsid w:val="00232BD6"/>
    <w:rsid w:val="00232CB3"/>
    <w:rsid w:val="00232D8A"/>
    <w:rsid w:val="00232EBD"/>
    <w:rsid w:val="00232EDF"/>
    <w:rsid w:val="00232F55"/>
    <w:rsid w:val="00232FC3"/>
    <w:rsid w:val="00233039"/>
    <w:rsid w:val="00233169"/>
    <w:rsid w:val="0023316F"/>
    <w:rsid w:val="00233189"/>
    <w:rsid w:val="00233255"/>
    <w:rsid w:val="002333FC"/>
    <w:rsid w:val="0023354A"/>
    <w:rsid w:val="00233648"/>
    <w:rsid w:val="00233659"/>
    <w:rsid w:val="002337E5"/>
    <w:rsid w:val="00233866"/>
    <w:rsid w:val="00233867"/>
    <w:rsid w:val="0023399E"/>
    <w:rsid w:val="002339E3"/>
    <w:rsid w:val="00233B20"/>
    <w:rsid w:val="00233B4A"/>
    <w:rsid w:val="00233C06"/>
    <w:rsid w:val="00233C24"/>
    <w:rsid w:val="00233C42"/>
    <w:rsid w:val="00233C4A"/>
    <w:rsid w:val="00233E20"/>
    <w:rsid w:val="00233E4E"/>
    <w:rsid w:val="00233F24"/>
    <w:rsid w:val="0023404F"/>
    <w:rsid w:val="002341B7"/>
    <w:rsid w:val="0023427A"/>
    <w:rsid w:val="00234328"/>
    <w:rsid w:val="00234600"/>
    <w:rsid w:val="00234678"/>
    <w:rsid w:val="002347EF"/>
    <w:rsid w:val="002348B8"/>
    <w:rsid w:val="002348C6"/>
    <w:rsid w:val="0023495D"/>
    <w:rsid w:val="00234A75"/>
    <w:rsid w:val="00234AD1"/>
    <w:rsid w:val="00234ADF"/>
    <w:rsid w:val="00234AE1"/>
    <w:rsid w:val="00234BBB"/>
    <w:rsid w:val="00234DFB"/>
    <w:rsid w:val="00234E62"/>
    <w:rsid w:val="00234F42"/>
    <w:rsid w:val="002351A3"/>
    <w:rsid w:val="0023521E"/>
    <w:rsid w:val="0023542C"/>
    <w:rsid w:val="002356F4"/>
    <w:rsid w:val="0023576D"/>
    <w:rsid w:val="00235822"/>
    <w:rsid w:val="0023583A"/>
    <w:rsid w:val="00235967"/>
    <w:rsid w:val="00235B76"/>
    <w:rsid w:val="00235D30"/>
    <w:rsid w:val="00235D31"/>
    <w:rsid w:val="00235DC6"/>
    <w:rsid w:val="00235DF7"/>
    <w:rsid w:val="00235F02"/>
    <w:rsid w:val="00235F43"/>
    <w:rsid w:val="00236254"/>
    <w:rsid w:val="00236283"/>
    <w:rsid w:val="00236757"/>
    <w:rsid w:val="002369F0"/>
    <w:rsid w:val="00236B12"/>
    <w:rsid w:val="00236CDC"/>
    <w:rsid w:val="00236D16"/>
    <w:rsid w:val="00236D28"/>
    <w:rsid w:val="00236DB5"/>
    <w:rsid w:val="00236DBA"/>
    <w:rsid w:val="00236E7E"/>
    <w:rsid w:val="002370B9"/>
    <w:rsid w:val="0023712A"/>
    <w:rsid w:val="00237310"/>
    <w:rsid w:val="00237334"/>
    <w:rsid w:val="00237420"/>
    <w:rsid w:val="00237766"/>
    <w:rsid w:val="00237896"/>
    <w:rsid w:val="00237899"/>
    <w:rsid w:val="00237A0C"/>
    <w:rsid w:val="00237F0E"/>
    <w:rsid w:val="00237FE4"/>
    <w:rsid w:val="00237FEB"/>
    <w:rsid w:val="002400C6"/>
    <w:rsid w:val="002400E2"/>
    <w:rsid w:val="00240482"/>
    <w:rsid w:val="00240656"/>
    <w:rsid w:val="00240873"/>
    <w:rsid w:val="00240A95"/>
    <w:rsid w:val="00240AAF"/>
    <w:rsid w:val="00240B15"/>
    <w:rsid w:val="00240B5C"/>
    <w:rsid w:val="00240BCB"/>
    <w:rsid w:val="00240D7C"/>
    <w:rsid w:val="00240E85"/>
    <w:rsid w:val="00240F1A"/>
    <w:rsid w:val="00240F89"/>
    <w:rsid w:val="00241026"/>
    <w:rsid w:val="0024113E"/>
    <w:rsid w:val="00241196"/>
    <w:rsid w:val="002411A8"/>
    <w:rsid w:val="0024123F"/>
    <w:rsid w:val="00241274"/>
    <w:rsid w:val="002413FC"/>
    <w:rsid w:val="002414A2"/>
    <w:rsid w:val="002415F9"/>
    <w:rsid w:val="00241610"/>
    <w:rsid w:val="00241974"/>
    <w:rsid w:val="00241A2D"/>
    <w:rsid w:val="00241A95"/>
    <w:rsid w:val="00241A98"/>
    <w:rsid w:val="00241AED"/>
    <w:rsid w:val="00241B2F"/>
    <w:rsid w:val="00241B47"/>
    <w:rsid w:val="00241C8F"/>
    <w:rsid w:val="00241D42"/>
    <w:rsid w:val="00241D5C"/>
    <w:rsid w:val="00241E1E"/>
    <w:rsid w:val="00241E46"/>
    <w:rsid w:val="00241E56"/>
    <w:rsid w:val="00241E57"/>
    <w:rsid w:val="0024227E"/>
    <w:rsid w:val="002426B6"/>
    <w:rsid w:val="00242B26"/>
    <w:rsid w:val="00242B90"/>
    <w:rsid w:val="00242C4C"/>
    <w:rsid w:val="00242CAD"/>
    <w:rsid w:val="00242D43"/>
    <w:rsid w:val="00242DB0"/>
    <w:rsid w:val="00242E27"/>
    <w:rsid w:val="00242EA2"/>
    <w:rsid w:val="00242F2F"/>
    <w:rsid w:val="00242F4C"/>
    <w:rsid w:val="00242FA9"/>
    <w:rsid w:val="002430A0"/>
    <w:rsid w:val="002430AE"/>
    <w:rsid w:val="00243182"/>
    <w:rsid w:val="0024324B"/>
    <w:rsid w:val="00243293"/>
    <w:rsid w:val="002433BF"/>
    <w:rsid w:val="002434A4"/>
    <w:rsid w:val="002434A7"/>
    <w:rsid w:val="00243518"/>
    <w:rsid w:val="002435BD"/>
    <w:rsid w:val="002436A7"/>
    <w:rsid w:val="002436C9"/>
    <w:rsid w:val="002438E5"/>
    <w:rsid w:val="00243928"/>
    <w:rsid w:val="00243946"/>
    <w:rsid w:val="00243953"/>
    <w:rsid w:val="00243973"/>
    <w:rsid w:val="00243AB4"/>
    <w:rsid w:val="00243AF3"/>
    <w:rsid w:val="00243BB3"/>
    <w:rsid w:val="00243BC5"/>
    <w:rsid w:val="00243BC8"/>
    <w:rsid w:val="00243C19"/>
    <w:rsid w:val="00243C7D"/>
    <w:rsid w:val="00243CA2"/>
    <w:rsid w:val="00243CE0"/>
    <w:rsid w:val="00243E8A"/>
    <w:rsid w:val="00243E9A"/>
    <w:rsid w:val="00243FA5"/>
    <w:rsid w:val="00243FDD"/>
    <w:rsid w:val="00244010"/>
    <w:rsid w:val="00244024"/>
    <w:rsid w:val="0024403C"/>
    <w:rsid w:val="002440FA"/>
    <w:rsid w:val="00244202"/>
    <w:rsid w:val="0024432E"/>
    <w:rsid w:val="00244371"/>
    <w:rsid w:val="002443C9"/>
    <w:rsid w:val="00244448"/>
    <w:rsid w:val="002445EF"/>
    <w:rsid w:val="0024463D"/>
    <w:rsid w:val="00244AF8"/>
    <w:rsid w:val="00244B1E"/>
    <w:rsid w:val="00244B51"/>
    <w:rsid w:val="00244B87"/>
    <w:rsid w:val="00244BC2"/>
    <w:rsid w:val="00244BC5"/>
    <w:rsid w:val="00244CE2"/>
    <w:rsid w:val="00244E68"/>
    <w:rsid w:val="00244F86"/>
    <w:rsid w:val="00244FCF"/>
    <w:rsid w:val="00245049"/>
    <w:rsid w:val="0024514F"/>
    <w:rsid w:val="0024522F"/>
    <w:rsid w:val="00245253"/>
    <w:rsid w:val="00245293"/>
    <w:rsid w:val="002452B7"/>
    <w:rsid w:val="00245312"/>
    <w:rsid w:val="00245360"/>
    <w:rsid w:val="002453AE"/>
    <w:rsid w:val="002453AF"/>
    <w:rsid w:val="002455C6"/>
    <w:rsid w:val="002456C5"/>
    <w:rsid w:val="002456DF"/>
    <w:rsid w:val="00245840"/>
    <w:rsid w:val="002458D2"/>
    <w:rsid w:val="002458ED"/>
    <w:rsid w:val="00245948"/>
    <w:rsid w:val="00245960"/>
    <w:rsid w:val="002459C1"/>
    <w:rsid w:val="002459F0"/>
    <w:rsid w:val="00245ABE"/>
    <w:rsid w:val="00245C0B"/>
    <w:rsid w:val="00245C73"/>
    <w:rsid w:val="00245D82"/>
    <w:rsid w:val="00245D84"/>
    <w:rsid w:val="00245DE2"/>
    <w:rsid w:val="00245DF2"/>
    <w:rsid w:val="00245E32"/>
    <w:rsid w:val="00245E94"/>
    <w:rsid w:val="00245F3D"/>
    <w:rsid w:val="00245FDA"/>
    <w:rsid w:val="00245FE1"/>
    <w:rsid w:val="0024606B"/>
    <w:rsid w:val="00246107"/>
    <w:rsid w:val="00246290"/>
    <w:rsid w:val="00246312"/>
    <w:rsid w:val="002463B5"/>
    <w:rsid w:val="002463BA"/>
    <w:rsid w:val="002463CF"/>
    <w:rsid w:val="0024642C"/>
    <w:rsid w:val="00246459"/>
    <w:rsid w:val="002464CB"/>
    <w:rsid w:val="0024654D"/>
    <w:rsid w:val="00246698"/>
    <w:rsid w:val="002466C3"/>
    <w:rsid w:val="002467BB"/>
    <w:rsid w:val="002467C5"/>
    <w:rsid w:val="002469FC"/>
    <w:rsid w:val="00246B50"/>
    <w:rsid w:val="00246B83"/>
    <w:rsid w:val="00246D17"/>
    <w:rsid w:val="00246D34"/>
    <w:rsid w:val="00246E29"/>
    <w:rsid w:val="00246E2B"/>
    <w:rsid w:val="00246E5F"/>
    <w:rsid w:val="00246EAE"/>
    <w:rsid w:val="00246F69"/>
    <w:rsid w:val="00246FDB"/>
    <w:rsid w:val="00247061"/>
    <w:rsid w:val="00247116"/>
    <w:rsid w:val="002471E5"/>
    <w:rsid w:val="00247271"/>
    <w:rsid w:val="002472BE"/>
    <w:rsid w:val="00247377"/>
    <w:rsid w:val="00247491"/>
    <w:rsid w:val="002475E4"/>
    <w:rsid w:val="00247610"/>
    <w:rsid w:val="00247665"/>
    <w:rsid w:val="002476F1"/>
    <w:rsid w:val="002478C9"/>
    <w:rsid w:val="002478E7"/>
    <w:rsid w:val="00247917"/>
    <w:rsid w:val="00247946"/>
    <w:rsid w:val="00247B87"/>
    <w:rsid w:val="00247BBE"/>
    <w:rsid w:val="00247CF3"/>
    <w:rsid w:val="00247D91"/>
    <w:rsid w:val="00247F10"/>
    <w:rsid w:val="0025001E"/>
    <w:rsid w:val="00250034"/>
    <w:rsid w:val="0025009D"/>
    <w:rsid w:val="00250168"/>
    <w:rsid w:val="002501B7"/>
    <w:rsid w:val="00250244"/>
    <w:rsid w:val="00250246"/>
    <w:rsid w:val="0025027D"/>
    <w:rsid w:val="0025028A"/>
    <w:rsid w:val="002502A2"/>
    <w:rsid w:val="002502B2"/>
    <w:rsid w:val="002502D7"/>
    <w:rsid w:val="002502EC"/>
    <w:rsid w:val="00250307"/>
    <w:rsid w:val="002503F9"/>
    <w:rsid w:val="002504D3"/>
    <w:rsid w:val="00250545"/>
    <w:rsid w:val="002505DA"/>
    <w:rsid w:val="00250671"/>
    <w:rsid w:val="0025069C"/>
    <w:rsid w:val="0025071C"/>
    <w:rsid w:val="002509E5"/>
    <w:rsid w:val="00250BE5"/>
    <w:rsid w:val="00250D52"/>
    <w:rsid w:val="00250E7B"/>
    <w:rsid w:val="00250ED7"/>
    <w:rsid w:val="002510FD"/>
    <w:rsid w:val="002515E6"/>
    <w:rsid w:val="002515F9"/>
    <w:rsid w:val="00251644"/>
    <w:rsid w:val="002516DD"/>
    <w:rsid w:val="002517A8"/>
    <w:rsid w:val="00251889"/>
    <w:rsid w:val="002518E2"/>
    <w:rsid w:val="00251AC7"/>
    <w:rsid w:val="00251AE7"/>
    <w:rsid w:val="00251D43"/>
    <w:rsid w:val="00251E7E"/>
    <w:rsid w:val="00251EEE"/>
    <w:rsid w:val="0025200A"/>
    <w:rsid w:val="0025207A"/>
    <w:rsid w:val="002520C6"/>
    <w:rsid w:val="002521DF"/>
    <w:rsid w:val="00252321"/>
    <w:rsid w:val="0025233E"/>
    <w:rsid w:val="0025242C"/>
    <w:rsid w:val="0025243E"/>
    <w:rsid w:val="002524DD"/>
    <w:rsid w:val="002526CC"/>
    <w:rsid w:val="00252787"/>
    <w:rsid w:val="0025287F"/>
    <w:rsid w:val="002528AD"/>
    <w:rsid w:val="0025290A"/>
    <w:rsid w:val="00252988"/>
    <w:rsid w:val="00252BB7"/>
    <w:rsid w:val="00252BED"/>
    <w:rsid w:val="00252C46"/>
    <w:rsid w:val="00252CAF"/>
    <w:rsid w:val="00252DE3"/>
    <w:rsid w:val="00252FBF"/>
    <w:rsid w:val="00252FE0"/>
    <w:rsid w:val="00252FE1"/>
    <w:rsid w:val="00252FF6"/>
    <w:rsid w:val="0025300C"/>
    <w:rsid w:val="00253177"/>
    <w:rsid w:val="00253179"/>
    <w:rsid w:val="0025320F"/>
    <w:rsid w:val="00253288"/>
    <w:rsid w:val="002532DD"/>
    <w:rsid w:val="0025340B"/>
    <w:rsid w:val="0025346D"/>
    <w:rsid w:val="002534AA"/>
    <w:rsid w:val="002534E8"/>
    <w:rsid w:val="002535BA"/>
    <w:rsid w:val="0025360E"/>
    <w:rsid w:val="0025367B"/>
    <w:rsid w:val="002537C8"/>
    <w:rsid w:val="00253845"/>
    <w:rsid w:val="002538B8"/>
    <w:rsid w:val="0025393F"/>
    <w:rsid w:val="0025396F"/>
    <w:rsid w:val="00253C2F"/>
    <w:rsid w:val="00253D8F"/>
    <w:rsid w:val="00253DD0"/>
    <w:rsid w:val="00253E4C"/>
    <w:rsid w:val="00253E84"/>
    <w:rsid w:val="00253EC3"/>
    <w:rsid w:val="00253EE3"/>
    <w:rsid w:val="002542B2"/>
    <w:rsid w:val="00254319"/>
    <w:rsid w:val="0025432C"/>
    <w:rsid w:val="00254374"/>
    <w:rsid w:val="00254472"/>
    <w:rsid w:val="002545B1"/>
    <w:rsid w:val="002545EA"/>
    <w:rsid w:val="002546A4"/>
    <w:rsid w:val="002546C4"/>
    <w:rsid w:val="0025470A"/>
    <w:rsid w:val="00254828"/>
    <w:rsid w:val="00254874"/>
    <w:rsid w:val="002548DC"/>
    <w:rsid w:val="002549ED"/>
    <w:rsid w:val="00254A7A"/>
    <w:rsid w:val="00254E89"/>
    <w:rsid w:val="00254F76"/>
    <w:rsid w:val="00254F8F"/>
    <w:rsid w:val="00255045"/>
    <w:rsid w:val="00255053"/>
    <w:rsid w:val="00255127"/>
    <w:rsid w:val="00255280"/>
    <w:rsid w:val="00255307"/>
    <w:rsid w:val="0025539F"/>
    <w:rsid w:val="002554F6"/>
    <w:rsid w:val="00255510"/>
    <w:rsid w:val="002555A8"/>
    <w:rsid w:val="00255681"/>
    <w:rsid w:val="002557B1"/>
    <w:rsid w:val="00255828"/>
    <w:rsid w:val="00255854"/>
    <w:rsid w:val="0025586D"/>
    <w:rsid w:val="00255904"/>
    <w:rsid w:val="00255AE8"/>
    <w:rsid w:val="00255BD9"/>
    <w:rsid w:val="00255D25"/>
    <w:rsid w:val="00255D59"/>
    <w:rsid w:val="00255E35"/>
    <w:rsid w:val="00255E7E"/>
    <w:rsid w:val="00255ED5"/>
    <w:rsid w:val="00255F21"/>
    <w:rsid w:val="00255F9C"/>
    <w:rsid w:val="002562C9"/>
    <w:rsid w:val="00256388"/>
    <w:rsid w:val="0025639E"/>
    <w:rsid w:val="002564D2"/>
    <w:rsid w:val="002565F3"/>
    <w:rsid w:val="002566DF"/>
    <w:rsid w:val="0025673C"/>
    <w:rsid w:val="002568F4"/>
    <w:rsid w:val="002569C5"/>
    <w:rsid w:val="00256B4E"/>
    <w:rsid w:val="00256B71"/>
    <w:rsid w:val="00256DD8"/>
    <w:rsid w:val="00256E44"/>
    <w:rsid w:val="00256EAD"/>
    <w:rsid w:val="00256F56"/>
    <w:rsid w:val="00256F6C"/>
    <w:rsid w:val="0025702F"/>
    <w:rsid w:val="00257454"/>
    <w:rsid w:val="00257583"/>
    <w:rsid w:val="00257593"/>
    <w:rsid w:val="002576E4"/>
    <w:rsid w:val="0025779F"/>
    <w:rsid w:val="002578F8"/>
    <w:rsid w:val="00257905"/>
    <w:rsid w:val="00257AAF"/>
    <w:rsid w:val="00257ABB"/>
    <w:rsid w:val="00257B4E"/>
    <w:rsid w:val="00257BC7"/>
    <w:rsid w:val="00257C13"/>
    <w:rsid w:val="00257FE4"/>
    <w:rsid w:val="0026014C"/>
    <w:rsid w:val="00260353"/>
    <w:rsid w:val="0026035F"/>
    <w:rsid w:val="0026049B"/>
    <w:rsid w:val="00260587"/>
    <w:rsid w:val="002605BF"/>
    <w:rsid w:val="0026078D"/>
    <w:rsid w:val="002607F2"/>
    <w:rsid w:val="00260805"/>
    <w:rsid w:val="0026080A"/>
    <w:rsid w:val="00260871"/>
    <w:rsid w:val="002608F6"/>
    <w:rsid w:val="00260919"/>
    <w:rsid w:val="00260A6F"/>
    <w:rsid w:val="00260BDC"/>
    <w:rsid w:val="00260CE2"/>
    <w:rsid w:val="00260E16"/>
    <w:rsid w:val="00260E68"/>
    <w:rsid w:val="00260EF6"/>
    <w:rsid w:val="00260FBE"/>
    <w:rsid w:val="002610F8"/>
    <w:rsid w:val="002612FD"/>
    <w:rsid w:val="002613DA"/>
    <w:rsid w:val="002613DC"/>
    <w:rsid w:val="00261513"/>
    <w:rsid w:val="00261517"/>
    <w:rsid w:val="002615E1"/>
    <w:rsid w:val="00261664"/>
    <w:rsid w:val="00261755"/>
    <w:rsid w:val="002617F1"/>
    <w:rsid w:val="0026183C"/>
    <w:rsid w:val="00261855"/>
    <w:rsid w:val="0026191F"/>
    <w:rsid w:val="00261A00"/>
    <w:rsid w:val="00261AAA"/>
    <w:rsid w:val="00261AE8"/>
    <w:rsid w:val="00261E7C"/>
    <w:rsid w:val="00261F32"/>
    <w:rsid w:val="00262083"/>
    <w:rsid w:val="00262097"/>
    <w:rsid w:val="002620AA"/>
    <w:rsid w:val="0026238D"/>
    <w:rsid w:val="0026247F"/>
    <w:rsid w:val="00262513"/>
    <w:rsid w:val="00262611"/>
    <w:rsid w:val="002626A2"/>
    <w:rsid w:val="002626D9"/>
    <w:rsid w:val="00262724"/>
    <w:rsid w:val="00262868"/>
    <w:rsid w:val="0026298E"/>
    <w:rsid w:val="00262C9B"/>
    <w:rsid w:val="00262D20"/>
    <w:rsid w:val="00262E23"/>
    <w:rsid w:val="00262E47"/>
    <w:rsid w:val="00262F87"/>
    <w:rsid w:val="00262FD0"/>
    <w:rsid w:val="002631B4"/>
    <w:rsid w:val="0026329A"/>
    <w:rsid w:val="00263383"/>
    <w:rsid w:val="002633B1"/>
    <w:rsid w:val="002633C0"/>
    <w:rsid w:val="00263412"/>
    <w:rsid w:val="002634AB"/>
    <w:rsid w:val="002634F5"/>
    <w:rsid w:val="002635CA"/>
    <w:rsid w:val="00263686"/>
    <w:rsid w:val="002636AF"/>
    <w:rsid w:val="002636F4"/>
    <w:rsid w:val="00263775"/>
    <w:rsid w:val="002637F7"/>
    <w:rsid w:val="002638E0"/>
    <w:rsid w:val="00263949"/>
    <w:rsid w:val="00263A4F"/>
    <w:rsid w:val="00263A52"/>
    <w:rsid w:val="00263BCC"/>
    <w:rsid w:val="00263C19"/>
    <w:rsid w:val="00263C53"/>
    <w:rsid w:val="00263E2D"/>
    <w:rsid w:val="00263E9F"/>
    <w:rsid w:val="00264070"/>
    <w:rsid w:val="00264178"/>
    <w:rsid w:val="00264234"/>
    <w:rsid w:val="002642C7"/>
    <w:rsid w:val="0026432C"/>
    <w:rsid w:val="002643BD"/>
    <w:rsid w:val="002644F4"/>
    <w:rsid w:val="0026457E"/>
    <w:rsid w:val="0026459F"/>
    <w:rsid w:val="002646A1"/>
    <w:rsid w:val="0026476C"/>
    <w:rsid w:val="002647AE"/>
    <w:rsid w:val="002648C5"/>
    <w:rsid w:val="00264987"/>
    <w:rsid w:val="00264C66"/>
    <w:rsid w:val="00264C9A"/>
    <w:rsid w:val="00264CAD"/>
    <w:rsid w:val="00264DE7"/>
    <w:rsid w:val="00264E0E"/>
    <w:rsid w:val="00264ED2"/>
    <w:rsid w:val="00264F03"/>
    <w:rsid w:val="00264F8F"/>
    <w:rsid w:val="00264FFA"/>
    <w:rsid w:val="00265053"/>
    <w:rsid w:val="00265092"/>
    <w:rsid w:val="002655AE"/>
    <w:rsid w:val="002656DA"/>
    <w:rsid w:val="002656F6"/>
    <w:rsid w:val="002657AC"/>
    <w:rsid w:val="002657C9"/>
    <w:rsid w:val="002658AB"/>
    <w:rsid w:val="0026591F"/>
    <w:rsid w:val="00265A4F"/>
    <w:rsid w:val="00265A65"/>
    <w:rsid w:val="00265A6F"/>
    <w:rsid w:val="00265B76"/>
    <w:rsid w:val="00265FA6"/>
    <w:rsid w:val="002660F0"/>
    <w:rsid w:val="00266389"/>
    <w:rsid w:val="00266424"/>
    <w:rsid w:val="002665B6"/>
    <w:rsid w:val="0026671A"/>
    <w:rsid w:val="002668DC"/>
    <w:rsid w:val="002669CC"/>
    <w:rsid w:val="00266A10"/>
    <w:rsid w:val="00266A22"/>
    <w:rsid w:val="00266BEF"/>
    <w:rsid w:val="00266CC9"/>
    <w:rsid w:val="00266E56"/>
    <w:rsid w:val="00266EAD"/>
    <w:rsid w:val="00266EF1"/>
    <w:rsid w:val="00266FD9"/>
    <w:rsid w:val="00266FEF"/>
    <w:rsid w:val="00267038"/>
    <w:rsid w:val="002672CC"/>
    <w:rsid w:val="00267389"/>
    <w:rsid w:val="002675B6"/>
    <w:rsid w:val="0026785C"/>
    <w:rsid w:val="00267949"/>
    <w:rsid w:val="00267A99"/>
    <w:rsid w:val="00267B37"/>
    <w:rsid w:val="00267B71"/>
    <w:rsid w:val="00267C6B"/>
    <w:rsid w:val="00267CEC"/>
    <w:rsid w:val="00267D12"/>
    <w:rsid w:val="00267D65"/>
    <w:rsid w:val="00267F32"/>
    <w:rsid w:val="00267F40"/>
    <w:rsid w:val="00270050"/>
    <w:rsid w:val="00270151"/>
    <w:rsid w:val="00270271"/>
    <w:rsid w:val="002703E5"/>
    <w:rsid w:val="002706A0"/>
    <w:rsid w:val="002708D9"/>
    <w:rsid w:val="002708E5"/>
    <w:rsid w:val="00270A26"/>
    <w:rsid w:val="00270B40"/>
    <w:rsid w:val="00270B79"/>
    <w:rsid w:val="00270CA4"/>
    <w:rsid w:val="00270CFC"/>
    <w:rsid w:val="00270D14"/>
    <w:rsid w:val="00270D7B"/>
    <w:rsid w:val="00270ED5"/>
    <w:rsid w:val="00270FC7"/>
    <w:rsid w:val="00270FD3"/>
    <w:rsid w:val="0027130B"/>
    <w:rsid w:val="0027136A"/>
    <w:rsid w:val="0027149D"/>
    <w:rsid w:val="002714D2"/>
    <w:rsid w:val="0027152B"/>
    <w:rsid w:val="0027152C"/>
    <w:rsid w:val="00271603"/>
    <w:rsid w:val="0027175E"/>
    <w:rsid w:val="0027176C"/>
    <w:rsid w:val="002717D6"/>
    <w:rsid w:val="00271819"/>
    <w:rsid w:val="00271A17"/>
    <w:rsid w:val="00271B50"/>
    <w:rsid w:val="00271B73"/>
    <w:rsid w:val="00271D28"/>
    <w:rsid w:val="00271DB1"/>
    <w:rsid w:val="00271DBA"/>
    <w:rsid w:val="00271DDF"/>
    <w:rsid w:val="00271EFD"/>
    <w:rsid w:val="00271F23"/>
    <w:rsid w:val="00272036"/>
    <w:rsid w:val="002720F9"/>
    <w:rsid w:val="00272174"/>
    <w:rsid w:val="002721A6"/>
    <w:rsid w:val="002722E0"/>
    <w:rsid w:val="0027257C"/>
    <w:rsid w:val="002725CD"/>
    <w:rsid w:val="00272615"/>
    <w:rsid w:val="00272623"/>
    <w:rsid w:val="00272853"/>
    <w:rsid w:val="00272A5D"/>
    <w:rsid w:val="00272BD3"/>
    <w:rsid w:val="00272ECA"/>
    <w:rsid w:val="00272F2F"/>
    <w:rsid w:val="00272FC6"/>
    <w:rsid w:val="0027300A"/>
    <w:rsid w:val="002730CA"/>
    <w:rsid w:val="002730EC"/>
    <w:rsid w:val="002730FB"/>
    <w:rsid w:val="00273100"/>
    <w:rsid w:val="002731A8"/>
    <w:rsid w:val="002731AD"/>
    <w:rsid w:val="002731BF"/>
    <w:rsid w:val="0027345B"/>
    <w:rsid w:val="002734CD"/>
    <w:rsid w:val="002734E7"/>
    <w:rsid w:val="002735CC"/>
    <w:rsid w:val="0027366F"/>
    <w:rsid w:val="0027383B"/>
    <w:rsid w:val="00273A58"/>
    <w:rsid w:val="00273A86"/>
    <w:rsid w:val="00273B18"/>
    <w:rsid w:val="00273B3A"/>
    <w:rsid w:val="00273B8F"/>
    <w:rsid w:val="00273D5D"/>
    <w:rsid w:val="00273DAE"/>
    <w:rsid w:val="00273E5E"/>
    <w:rsid w:val="00273E73"/>
    <w:rsid w:val="00273EE3"/>
    <w:rsid w:val="00273F72"/>
    <w:rsid w:val="0027410A"/>
    <w:rsid w:val="002743C4"/>
    <w:rsid w:val="00274588"/>
    <w:rsid w:val="00274707"/>
    <w:rsid w:val="002747B8"/>
    <w:rsid w:val="00274823"/>
    <w:rsid w:val="00274A5E"/>
    <w:rsid w:val="00274A67"/>
    <w:rsid w:val="00274AA2"/>
    <w:rsid w:val="00274AAA"/>
    <w:rsid w:val="00274BFD"/>
    <w:rsid w:val="00274C3F"/>
    <w:rsid w:val="00274DEA"/>
    <w:rsid w:val="00275004"/>
    <w:rsid w:val="00275038"/>
    <w:rsid w:val="0027508B"/>
    <w:rsid w:val="002750C2"/>
    <w:rsid w:val="00275145"/>
    <w:rsid w:val="00275247"/>
    <w:rsid w:val="00275383"/>
    <w:rsid w:val="002753E4"/>
    <w:rsid w:val="002754BE"/>
    <w:rsid w:val="0027558E"/>
    <w:rsid w:val="002756EF"/>
    <w:rsid w:val="00275708"/>
    <w:rsid w:val="002757BE"/>
    <w:rsid w:val="002758A6"/>
    <w:rsid w:val="002758F6"/>
    <w:rsid w:val="00275AC8"/>
    <w:rsid w:val="00275AFB"/>
    <w:rsid w:val="00275B23"/>
    <w:rsid w:val="00275B28"/>
    <w:rsid w:val="00275CBF"/>
    <w:rsid w:val="00275D6D"/>
    <w:rsid w:val="00275F79"/>
    <w:rsid w:val="002760C2"/>
    <w:rsid w:val="00276148"/>
    <w:rsid w:val="00276156"/>
    <w:rsid w:val="0027630C"/>
    <w:rsid w:val="00276517"/>
    <w:rsid w:val="00276547"/>
    <w:rsid w:val="00276714"/>
    <w:rsid w:val="002768CF"/>
    <w:rsid w:val="00276948"/>
    <w:rsid w:val="0027695E"/>
    <w:rsid w:val="00276978"/>
    <w:rsid w:val="00276B13"/>
    <w:rsid w:val="00276D78"/>
    <w:rsid w:val="00276D97"/>
    <w:rsid w:val="00276F7C"/>
    <w:rsid w:val="00276F82"/>
    <w:rsid w:val="00276FAA"/>
    <w:rsid w:val="00276FD5"/>
    <w:rsid w:val="00276FD7"/>
    <w:rsid w:val="002770A2"/>
    <w:rsid w:val="00277104"/>
    <w:rsid w:val="00277149"/>
    <w:rsid w:val="00277228"/>
    <w:rsid w:val="00277259"/>
    <w:rsid w:val="00277286"/>
    <w:rsid w:val="002772A8"/>
    <w:rsid w:val="002773FE"/>
    <w:rsid w:val="002774BD"/>
    <w:rsid w:val="002774EC"/>
    <w:rsid w:val="0027754B"/>
    <w:rsid w:val="00277590"/>
    <w:rsid w:val="00277616"/>
    <w:rsid w:val="0027768D"/>
    <w:rsid w:val="002776CF"/>
    <w:rsid w:val="00277767"/>
    <w:rsid w:val="0027777A"/>
    <w:rsid w:val="00277793"/>
    <w:rsid w:val="002777BF"/>
    <w:rsid w:val="00277859"/>
    <w:rsid w:val="00277954"/>
    <w:rsid w:val="0027799C"/>
    <w:rsid w:val="00277CFB"/>
    <w:rsid w:val="00277DB4"/>
    <w:rsid w:val="00277E07"/>
    <w:rsid w:val="00277EB3"/>
    <w:rsid w:val="00277EC5"/>
    <w:rsid w:val="002803CB"/>
    <w:rsid w:val="0028059A"/>
    <w:rsid w:val="002805C7"/>
    <w:rsid w:val="002805DF"/>
    <w:rsid w:val="002807B3"/>
    <w:rsid w:val="002807E9"/>
    <w:rsid w:val="0028092D"/>
    <w:rsid w:val="00280958"/>
    <w:rsid w:val="00280BF4"/>
    <w:rsid w:val="00280C4F"/>
    <w:rsid w:val="00280D21"/>
    <w:rsid w:val="00280DE0"/>
    <w:rsid w:val="00280F20"/>
    <w:rsid w:val="00280F2A"/>
    <w:rsid w:val="00280F96"/>
    <w:rsid w:val="00281137"/>
    <w:rsid w:val="00281209"/>
    <w:rsid w:val="0028137C"/>
    <w:rsid w:val="0028149D"/>
    <w:rsid w:val="00281522"/>
    <w:rsid w:val="00281541"/>
    <w:rsid w:val="002815C4"/>
    <w:rsid w:val="002815D6"/>
    <w:rsid w:val="002815D9"/>
    <w:rsid w:val="00281787"/>
    <w:rsid w:val="00281864"/>
    <w:rsid w:val="0028188F"/>
    <w:rsid w:val="00281A68"/>
    <w:rsid w:val="00281C73"/>
    <w:rsid w:val="00281D33"/>
    <w:rsid w:val="00281F34"/>
    <w:rsid w:val="00281F4C"/>
    <w:rsid w:val="0028206B"/>
    <w:rsid w:val="002820AF"/>
    <w:rsid w:val="00282317"/>
    <w:rsid w:val="00282486"/>
    <w:rsid w:val="002824D1"/>
    <w:rsid w:val="00282550"/>
    <w:rsid w:val="00282A93"/>
    <w:rsid w:val="00282BE7"/>
    <w:rsid w:val="00282D25"/>
    <w:rsid w:val="00282DF9"/>
    <w:rsid w:val="00282F97"/>
    <w:rsid w:val="0028301D"/>
    <w:rsid w:val="00283326"/>
    <w:rsid w:val="00283445"/>
    <w:rsid w:val="00283451"/>
    <w:rsid w:val="00283643"/>
    <w:rsid w:val="002836FB"/>
    <w:rsid w:val="00283738"/>
    <w:rsid w:val="00283749"/>
    <w:rsid w:val="002838A6"/>
    <w:rsid w:val="002839D5"/>
    <w:rsid w:val="00283A44"/>
    <w:rsid w:val="00283A5B"/>
    <w:rsid w:val="00283B3F"/>
    <w:rsid w:val="00283B64"/>
    <w:rsid w:val="00283C18"/>
    <w:rsid w:val="00283CFA"/>
    <w:rsid w:val="00283D03"/>
    <w:rsid w:val="00283EC6"/>
    <w:rsid w:val="00283F19"/>
    <w:rsid w:val="00283F74"/>
    <w:rsid w:val="00284198"/>
    <w:rsid w:val="002841EF"/>
    <w:rsid w:val="00284244"/>
    <w:rsid w:val="00284349"/>
    <w:rsid w:val="002849A2"/>
    <w:rsid w:val="002849C0"/>
    <w:rsid w:val="00284A78"/>
    <w:rsid w:val="00284AD5"/>
    <w:rsid w:val="00284B18"/>
    <w:rsid w:val="00284D00"/>
    <w:rsid w:val="00284E6C"/>
    <w:rsid w:val="00284EF5"/>
    <w:rsid w:val="00284EF9"/>
    <w:rsid w:val="00284FCF"/>
    <w:rsid w:val="00285104"/>
    <w:rsid w:val="00285144"/>
    <w:rsid w:val="002851D4"/>
    <w:rsid w:val="0028529F"/>
    <w:rsid w:val="002852E1"/>
    <w:rsid w:val="0028537D"/>
    <w:rsid w:val="002853BE"/>
    <w:rsid w:val="002853CD"/>
    <w:rsid w:val="00285480"/>
    <w:rsid w:val="002854BC"/>
    <w:rsid w:val="0028551B"/>
    <w:rsid w:val="00285531"/>
    <w:rsid w:val="00285617"/>
    <w:rsid w:val="00285640"/>
    <w:rsid w:val="00285687"/>
    <w:rsid w:val="00285799"/>
    <w:rsid w:val="002857E1"/>
    <w:rsid w:val="00285AC5"/>
    <w:rsid w:val="00285C0F"/>
    <w:rsid w:val="00285D85"/>
    <w:rsid w:val="00285FB9"/>
    <w:rsid w:val="002860A9"/>
    <w:rsid w:val="002861DD"/>
    <w:rsid w:val="00286249"/>
    <w:rsid w:val="0028653F"/>
    <w:rsid w:val="0028661A"/>
    <w:rsid w:val="002866F5"/>
    <w:rsid w:val="002867A1"/>
    <w:rsid w:val="00286804"/>
    <w:rsid w:val="002868D5"/>
    <w:rsid w:val="00286999"/>
    <w:rsid w:val="002869FE"/>
    <w:rsid w:val="00286A57"/>
    <w:rsid w:val="00286A5C"/>
    <w:rsid w:val="00286A96"/>
    <w:rsid w:val="00286BAE"/>
    <w:rsid w:val="00286D42"/>
    <w:rsid w:val="00286DA0"/>
    <w:rsid w:val="00286FB1"/>
    <w:rsid w:val="00286FE8"/>
    <w:rsid w:val="002870DF"/>
    <w:rsid w:val="00287229"/>
    <w:rsid w:val="00287283"/>
    <w:rsid w:val="00287525"/>
    <w:rsid w:val="00287583"/>
    <w:rsid w:val="002875D8"/>
    <w:rsid w:val="00287649"/>
    <w:rsid w:val="00287684"/>
    <w:rsid w:val="002877AE"/>
    <w:rsid w:val="00287828"/>
    <w:rsid w:val="00287867"/>
    <w:rsid w:val="00287913"/>
    <w:rsid w:val="002879D0"/>
    <w:rsid w:val="00287A25"/>
    <w:rsid w:val="00287A84"/>
    <w:rsid w:val="00287B2C"/>
    <w:rsid w:val="00287BBB"/>
    <w:rsid w:val="00287D39"/>
    <w:rsid w:val="00287D87"/>
    <w:rsid w:val="00287DAB"/>
    <w:rsid w:val="00287ED3"/>
    <w:rsid w:val="00287FB6"/>
    <w:rsid w:val="00287FFE"/>
    <w:rsid w:val="00290056"/>
    <w:rsid w:val="002900C0"/>
    <w:rsid w:val="002900C5"/>
    <w:rsid w:val="002901E0"/>
    <w:rsid w:val="0029029F"/>
    <w:rsid w:val="0029057E"/>
    <w:rsid w:val="0029074C"/>
    <w:rsid w:val="0029075B"/>
    <w:rsid w:val="002907DF"/>
    <w:rsid w:val="00290951"/>
    <w:rsid w:val="00290A43"/>
    <w:rsid w:val="00290AC6"/>
    <w:rsid w:val="00290AF2"/>
    <w:rsid w:val="00290B07"/>
    <w:rsid w:val="00290BA0"/>
    <w:rsid w:val="00290BB1"/>
    <w:rsid w:val="00290CC6"/>
    <w:rsid w:val="00290CDC"/>
    <w:rsid w:val="00290D30"/>
    <w:rsid w:val="00290D5C"/>
    <w:rsid w:val="00290E1E"/>
    <w:rsid w:val="00290E76"/>
    <w:rsid w:val="00291011"/>
    <w:rsid w:val="00291081"/>
    <w:rsid w:val="002910B7"/>
    <w:rsid w:val="002911A8"/>
    <w:rsid w:val="002911BD"/>
    <w:rsid w:val="002912BD"/>
    <w:rsid w:val="00291381"/>
    <w:rsid w:val="00291427"/>
    <w:rsid w:val="002915B9"/>
    <w:rsid w:val="00291612"/>
    <w:rsid w:val="00291633"/>
    <w:rsid w:val="002916A9"/>
    <w:rsid w:val="00291785"/>
    <w:rsid w:val="002917FE"/>
    <w:rsid w:val="0029193E"/>
    <w:rsid w:val="00291B25"/>
    <w:rsid w:val="00291BC1"/>
    <w:rsid w:val="00291E1E"/>
    <w:rsid w:val="002920B2"/>
    <w:rsid w:val="002920DB"/>
    <w:rsid w:val="002921B1"/>
    <w:rsid w:val="00292285"/>
    <w:rsid w:val="0029235C"/>
    <w:rsid w:val="00292680"/>
    <w:rsid w:val="002927A1"/>
    <w:rsid w:val="00292804"/>
    <w:rsid w:val="002929D5"/>
    <w:rsid w:val="002929E3"/>
    <w:rsid w:val="00292B69"/>
    <w:rsid w:val="00292DE2"/>
    <w:rsid w:val="00292E69"/>
    <w:rsid w:val="00292EA4"/>
    <w:rsid w:val="00292FE6"/>
    <w:rsid w:val="002931D3"/>
    <w:rsid w:val="002932CB"/>
    <w:rsid w:val="002933CA"/>
    <w:rsid w:val="00293419"/>
    <w:rsid w:val="00293430"/>
    <w:rsid w:val="00293726"/>
    <w:rsid w:val="00293817"/>
    <w:rsid w:val="002938B4"/>
    <w:rsid w:val="00293A71"/>
    <w:rsid w:val="00293A8F"/>
    <w:rsid w:val="00293CE4"/>
    <w:rsid w:val="00293D5C"/>
    <w:rsid w:val="00293D7E"/>
    <w:rsid w:val="00293D8E"/>
    <w:rsid w:val="00293DA3"/>
    <w:rsid w:val="00293E00"/>
    <w:rsid w:val="00293E8B"/>
    <w:rsid w:val="00293E92"/>
    <w:rsid w:val="00293ED9"/>
    <w:rsid w:val="002940D0"/>
    <w:rsid w:val="0029411E"/>
    <w:rsid w:val="00294375"/>
    <w:rsid w:val="002943DF"/>
    <w:rsid w:val="0029446B"/>
    <w:rsid w:val="002944E0"/>
    <w:rsid w:val="00294572"/>
    <w:rsid w:val="002949C9"/>
    <w:rsid w:val="00294A6E"/>
    <w:rsid w:val="00294AB9"/>
    <w:rsid w:val="00294AC5"/>
    <w:rsid w:val="00294C83"/>
    <w:rsid w:val="00294C88"/>
    <w:rsid w:val="00294D1C"/>
    <w:rsid w:val="00294DA9"/>
    <w:rsid w:val="00295041"/>
    <w:rsid w:val="002950DD"/>
    <w:rsid w:val="0029512F"/>
    <w:rsid w:val="00295155"/>
    <w:rsid w:val="00295160"/>
    <w:rsid w:val="002951A9"/>
    <w:rsid w:val="00295224"/>
    <w:rsid w:val="0029525A"/>
    <w:rsid w:val="0029527A"/>
    <w:rsid w:val="002952B3"/>
    <w:rsid w:val="00295387"/>
    <w:rsid w:val="00295461"/>
    <w:rsid w:val="0029549A"/>
    <w:rsid w:val="002955BF"/>
    <w:rsid w:val="00295686"/>
    <w:rsid w:val="002956A5"/>
    <w:rsid w:val="002956C4"/>
    <w:rsid w:val="00295707"/>
    <w:rsid w:val="002957C2"/>
    <w:rsid w:val="002959F5"/>
    <w:rsid w:val="00295B47"/>
    <w:rsid w:val="00295B76"/>
    <w:rsid w:val="00295C67"/>
    <w:rsid w:val="00295D51"/>
    <w:rsid w:val="00295EAE"/>
    <w:rsid w:val="00296203"/>
    <w:rsid w:val="00296260"/>
    <w:rsid w:val="00296352"/>
    <w:rsid w:val="00296428"/>
    <w:rsid w:val="0029643D"/>
    <w:rsid w:val="002964A1"/>
    <w:rsid w:val="002965E5"/>
    <w:rsid w:val="002965F8"/>
    <w:rsid w:val="002967C5"/>
    <w:rsid w:val="00296842"/>
    <w:rsid w:val="00296A5C"/>
    <w:rsid w:val="00296AAF"/>
    <w:rsid w:val="00296B64"/>
    <w:rsid w:val="00296C56"/>
    <w:rsid w:val="00296D54"/>
    <w:rsid w:val="00296E0F"/>
    <w:rsid w:val="00296EF2"/>
    <w:rsid w:val="00296EFB"/>
    <w:rsid w:val="00296F1E"/>
    <w:rsid w:val="0029706A"/>
    <w:rsid w:val="0029714B"/>
    <w:rsid w:val="002971B1"/>
    <w:rsid w:val="0029726D"/>
    <w:rsid w:val="002972EE"/>
    <w:rsid w:val="00297329"/>
    <w:rsid w:val="00297393"/>
    <w:rsid w:val="002973B1"/>
    <w:rsid w:val="002975A2"/>
    <w:rsid w:val="002975D9"/>
    <w:rsid w:val="002977C1"/>
    <w:rsid w:val="00297810"/>
    <w:rsid w:val="0029792F"/>
    <w:rsid w:val="002979B0"/>
    <w:rsid w:val="002979D2"/>
    <w:rsid w:val="00297A2C"/>
    <w:rsid w:val="00297A87"/>
    <w:rsid w:val="00297B6E"/>
    <w:rsid w:val="00297B9F"/>
    <w:rsid w:val="00297CD0"/>
    <w:rsid w:val="00297D06"/>
    <w:rsid w:val="00297DAA"/>
    <w:rsid w:val="00297E17"/>
    <w:rsid w:val="00297E3D"/>
    <w:rsid w:val="00297F01"/>
    <w:rsid w:val="00297F74"/>
    <w:rsid w:val="00297F8A"/>
    <w:rsid w:val="002A00E7"/>
    <w:rsid w:val="002A030C"/>
    <w:rsid w:val="002A03D0"/>
    <w:rsid w:val="002A04AD"/>
    <w:rsid w:val="002A052D"/>
    <w:rsid w:val="002A05F1"/>
    <w:rsid w:val="002A05F9"/>
    <w:rsid w:val="002A0980"/>
    <w:rsid w:val="002A0A17"/>
    <w:rsid w:val="002A0AFE"/>
    <w:rsid w:val="002A0B18"/>
    <w:rsid w:val="002A0B93"/>
    <w:rsid w:val="002A0D27"/>
    <w:rsid w:val="002A0DBA"/>
    <w:rsid w:val="002A0DF8"/>
    <w:rsid w:val="002A0F5C"/>
    <w:rsid w:val="002A0F66"/>
    <w:rsid w:val="002A108C"/>
    <w:rsid w:val="002A1114"/>
    <w:rsid w:val="002A1466"/>
    <w:rsid w:val="002A14F0"/>
    <w:rsid w:val="002A154A"/>
    <w:rsid w:val="002A15D1"/>
    <w:rsid w:val="002A163B"/>
    <w:rsid w:val="002A17D3"/>
    <w:rsid w:val="002A1880"/>
    <w:rsid w:val="002A1928"/>
    <w:rsid w:val="002A1E35"/>
    <w:rsid w:val="002A1F1F"/>
    <w:rsid w:val="002A1FB1"/>
    <w:rsid w:val="002A21B5"/>
    <w:rsid w:val="002A21EA"/>
    <w:rsid w:val="002A22D9"/>
    <w:rsid w:val="002A2631"/>
    <w:rsid w:val="002A2678"/>
    <w:rsid w:val="002A26F5"/>
    <w:rsid w:val="002A2714"/>
    <w:rsid w:val="002A27BA"/>
    <w:rsid w:val="002A2815"/>
    <w:rsid w:val="002A2857"/>
    <w:rsid w:val="002A2913"/>
    <w:rsid w:val="002A29AA"/>
    <w:rsid w:val="002A2A0C"/>
    <w:rsid w:val="002A2B6B"/>
    <w:rsid w:val="002A2BAC"/>
    <w:rsid w:val="002A2BB6"/>
    <w:rsid w:val="002A2C25"/>
    <w:rsid w:val="002A2D8F"/>
    <w:rsid w:val="002A2D9F"/>
    <w:rsid w:val="002A2DC4"/>
    <w:rsid w:val="002A2DD4"/>
    <w:rsid w:val="002A30E0"/>
    <w:rsid w:val="002A310C"/>
    <w:rsid w:val="002A3132"/>
    <w:rsid w:val="002A3195"/>
    <w:rsid w:val="002A32D9"/>
    <w:rsid w:val="002A3521"/>
    <w:rsid w:val="002A35C5"/>
    <w:rsid w:val="002A35F7"/>
    <w:rsid w:val="002A3613"/>
    <w:rsid w:val="002A37E1"/>
    <w:rsid w:val="002A38E6"/>
    <w:rsid w:val="002A39EE"/>
    <w:rsid w:val="002A3A6B"/>
    <w:rsid w:val="002A3ABE"/>
    <w:rsid w:val="002A3ADF"/>
    <w:rsid w:val="002A3B61"/>
    <w:rsid w:val="002A3C3E"/>
    <w:rsid w:val="002A3CFB"/>
    <w:rsid w:val="002A3DD8"/>
    <w:rsid w:val="002A3E05"/>
    <w:rsid w:val="002A3E49"/>
    <w:rsid w:val="002A3E93"/>
    <w:rsid w:val="002A3F9D"/>
    <w:rsid w:val="002A3FE3"/>
    <w:rsid w:val="002A402A"/>
    <w:rsid w:val="002A4047"/>
    <w:rsid w:val="002A4374"/>
    <w:rsid w:val="002A43C5"/>
    <w:rsid w:val="002A4543"/>
    <w:rsid w:val="002A45AA"/>
    <w:rsid w:val="002A46B6"/>
    <w:rsid w:val="002A473A"/>
    <w:rsid w:val="002A49D3"/>
    <w:rsid w:val="002A4A39"/>
    <w:rsid w:val="002A4A92"/>
    <w:rsid w:val="002A4AEC"/>
    <w:rsid w:val="002A4B06"/>
    <w:rsid w:val="002A4B0B"/>
    <w:rsid w:val="002A4B6F"/>
    <w:rsid w:val="002A4CA3"/>
    <w:rsid w:val="002A4E6D"/>
    <w:rsid w:val="002A4EA0"/>
    <w:rsid w:val="002A4EEE"/>
    <w:rsid w:val="002A4F02"/>
    <w:rsid w:val="002A4F0A"/>
    <w:rsid w:val="002A4FFF"/>
    <w:rsid w:val="002A50EA"/>
    <w:rsid w:val="002A51AD"/>
    <w:rsid w:val="002A51B8"/>
    <w:rsid w:val="002A533C"/>
    <w:rsid w:val="002A56E1"/>
    <w:rsid w:val="002A58B5"/>
    <w:rsid w:val="002A59BD"/>
    <w:rsid w:val="002A59FD"/>
    <w:rsid w:val="002A5A0A"/>
    <w:rsid w:val="002A5A96"/>
    <w:rsid w:val="002A5AA0"/>
    <w:rsid w:val="002A5C5F"/>
    <w:rsid w:val="002A5E0E"/>
    <w:rsid w:val="002A5EC0"/>
    <w:rsid w:val="002A5F62"/>
    <w:rsid w:val="002A5F74"/>
    <w:rsid w:val="002A609E"/>
    <w:rsid w:val="002A60C8"/>
    <w:rsid w:val="002A626A"/>
    <w:rsid w:val="002A6373"/>
    <w:rsid w:val="002A65E1"/>
    <w:rsid w:val="002A699C"/>
    <w:rsid w:val="002A69B1"/>
    <w:rsid w:val="002A6A24"/>
    <w:rsid w:val="002A6A58"/>
    <w:rsid w:val="002A6B78"/>
    <w:rsid w:val="002A6B9F"/>
    <w:rsid w:val="002A6BDB"/>
    <w:rsid w:val="002A6C93"/>
    <w:rsid w:val="002A6D03"/>
    <w:rsid w:val="002A6DA6"/>
    <w:rsid w:val="002A6E8E"/>
    <w:rsid w:val="002A6FB4"/>
    <w:rsid w:val="002A7204"/>
    <w:rsid w:val="002A72D8"/>
    <w:rsid w:val="002A7300"/>
    <w:rsid w:val="002A731F"/>
    <w:rsid w:val="002A7484"/>
    <w:rsid w:val="002A750E"/>
    <w:rsid w:val="002A7579"/>
    <w:rsid w:val="002A75CA"/>
    <w:rsid w:val="002A75E6"/>
    <w:rsid w:val="002A75F4"/>
    <w:rsid w:val="002A760E"/>
    <w:rsid w:val="002A7658"/>
    <w:rsid w:val="002A779A"/>
    <w:rsid w:val="002A7889"/>
    <w:rsid w:val="002A799A"/>
    <w:rsid w:val="002A79AF"/>
    <w:rsid w:val="002A79DD"/>
    <w:rsid w:val="002A7BD5"/>
    <w:rsid w:val="002A7C0B"/>
    <w:rsid w:val="002B0236"/>
    <w:rsid w:val="002B02C7"/>
    <w:rsid w:val="002B03D5"/>
    <w:rsid w:val="002B04B6"/>
    <w:rsid w:val="002B05AF"/>
    <w:rsid w:val="002B05FB"/>
    <w:rsid w:val="002B069A"/>
    <w:rsid w:val="002B077B"/>
    <w:rsid w:val="002B07E6"/>
    <w:rsid w:val="002B089D"/>
    <w:rsid w:val="002B097D"/>
    <w:rsid w:val="002B09D9"/>
    <w:rsid w:val="002B0C2C"/>
    <w:rsid w:val="002B0DA2"/>
    <w:rsid w:val="002B0EDD"/>
    <w:rsid w:val="002B0FD7"/>
    <w:rsid w:val="002B1011"/>
    <w:rsid w:val="002B11B2"/>
    <w:rsid w:val="002B133A"/>
    <w:rsid w:val="002B15B2"/>
    <w:rsid w:val="002B1820"/>
    <w:rsid w:val="002B1825"/>
    <w:rsid w:val="002B18C2"/>
    <w:rsid w:val="002B18F7"/>
    <w:rsid w:val="002B1AD1"/>
    <w:rsid w:val="002B1AF6"/>
    <w:rsid w:val="002B1C09"/>
    <w:rsid w:val="002B1CA9"/>
    <w:rsid w:val="002B1E85"/>
    <w:rsid w:val="002B1F1A"/>
    <w:rsid w:val="002B1FE0"/>
    <w:rsid w:val="002B24D6"/>
    <w:rsid w:val="002B2526"/>
    <w:rsid w:val="002B2888"/>
    <w:rsid w:val="002B28D0"/>
    <w:rsid w:val="002B29D7"/>
    <w:rsid w:val="002B2A48"/>
    <w:rsid w:val="002B2C40"/>
    <w:rsid w:val="002B2C9A"/>
    <w:rsid w:val="002B2E9E"/>
    <w:rsid w:val="002B2F63"/>
    <w:rsid w:val="002B2FB9"/>
    <w:rsid w:val="002B2FE0"/>
    <w:rsid w:val="002B31AF"/>
    <w:rsid w:val="002B31CF"/>
    <w:rsid w:val="002B3356"/>
    <w:rsid w:val="002B33B1"/>
    <w:rsid w:val="002B34DF"/>
    <w:rsid w:val="002B358C"/>
    <w:rsid w:val="002B358F"/>
    <w:rsid w:val="002B36CD"/>
    <w:rsid w:val="002B374C"/>
    <w:rsid w:val="002B3752"/>
    <w:rsid w:val="002B3757"/>
    <w:rsid w:val="002B394B"/>
    <w:rsid w:val="002B3972"/>
    <w:rsid w:val="002B3974"/>
    <w:rsid w:val="002B39F0"/>
    <w:rsid w:val="002B3AFA"/>
    <w:rsid w:val="002B3B73"/>
    <w:rsid w:val="002B3D3C"/>
    <w:rsid w:val="002B3DE5"/>
    <w:rsid w:val="002B3E2C"/>
    <w:rsid w:val="002B3E52"/>
    <w:rsid w:val="002B3ED7"/>
    <w:rsid w:val="002B3FE6"/>
    <w:rsid w:val="002B4181"/>
    <w:rsid w:val="002B41ED"/>
    <w:rsid w:val="002B44A3"/>
    <w:rsid w:val="002B454C"/>
    <w:rsid w:val="002B4639"/>
    <w:rsid w:val="002B467D"/>
    <w:rsid w:val="002B46EC"/>
    <w:rsid w:val="002B4778"/>
    <w:rsid w:val="002B49DD"/>
    <w:rsid w:val="002B4A18"/>
    <w:rsid w:val="002B4B53"/>
    <w:rsid w:val="002B4C23"/>
    <w:rsid w:val="002B4C84"/>
    <w:rsid w:val="002B4E08"/>
    <w:rsid w:val="002B4FAA"/>
    <w:rsid w:val="002B502A"/>
    <w:rsid w:val="002B503E"/>
    <w:rsid w:val="002B5043"/>
    <w:rsid w:val="002B5136"/>
    <w:rsid w:val="002B5172"/>
    <w:rsid w:val="002B5258"/>
    <w:rsid w:val="002B5368"/>
    <w:rsid w:val="002B54F7"/>
    <w:rsid w:val="002B558F"/>
    <w:rsid w:val="002B5628"/>
    <w:rsid w:val="002B5699"/>
    <w:rsid w:val="002B57C3"/>
    <w:rsid w:val="002B57D8"/>
    <w:rsid w:val="002B5833"/>
    <w:rsid w:val="002B58BD"/>
    <w:rsid w:val="002B5939"/>
    <w:rsid w:val="002B596A"/>
    <w:rsid w:val="002B5A43"/>
    <w:rsid w:val="002B5C37"/>
    <w:rsid w:val="002B5DA7"/>
    <w:rsid w:val="002B5ECA"/>
    <w:rsid w:val="002B5F1B"/>
    <w:rsid w:val="002B60A8"/>
    <w:rsid w:val="002B6179"/>
    <w:rsid w:val="002B6330"/>
    <w:rsid w:val="002B6558"/>
    <w:rsid w:val="002B6769"/>
    <w:rsid w:val="002B694C"/>
    <w:rsid w:val="002B6A88"/>
    <w:rsid w:val="002B6AE9"/>
    <w:rsid w:val="002B6C0C"/>
    <w:rsid w:val="002B6C1B"/>
    <w:rsid w:val="002B6C80"/>
    <w:rsid w:val="002B6D02"/>
    <w:rsid w:val="002B6F35"/>
    <w:rsid w:val="002B6F3B"/>
    <w:rsid w:val="002B7096"/>
    <w:rsid w:val="002B710D"/>
    <w:rsid w:val="002B718F"/>
    <w:rsid w:val="002B7199"/>
    <w:rsid w:val="002B7200"/>
    <w:rsid w:val="002B7225"/>
    <w:rsid w:val="002B737C"/>
    <w:rsid w:val="002B7382"/>
    <w:rsid w:val="002B740D"/>
    <w:rsid w:val="002B74C3"/>
    <w:rsid w:val="002B74D1"/>
    <w:rsid w:val="002B75B2"/>
    <w:rsid w:val="002B772A"/>
    <w:rsid w:val="002B7823"/>
    <w:rsid w:val="002B799E"/>
    <w:rsid w:val="002B79B7"/>
    <w:rsid w:val="002B7A02"/>
    <w:rsid w:val="002B7ADE"/>
    <w:rsid w:val="002B7C74"/>
    <w:rsid w:val="002B7CFC"/>
    <w:rsid w:val="002B7D9C"/>
    <w:rsid w:val="002B7EA5"/>
    <w:rsid w:val="002B7EF1"/>
    <w:rsid w:val="002C01EB"/>
    <w:rsid w:val="002C01FD"/>
    <w:rsid w:val="002C0278"/>
    <w:rsid w:val="002C032E"/>
    <w:rsid w:val="002C0352"/>
    <w:rsid w:val="002C04ED"/>
    <w:rsid w:val="002C062C"/>
    <w:rsid w:val="002C06B3"/>
    <w:rsid w:val="002C06E6"/>
    <w:rsid w:val="002C0792"/>
    <w:rsid w:val="002C084D"/>
    <w:rsid w:val="002C08F2"/>
    <w:rsid w:val="002C09BD"/>
    <w:rsid w:val="002C0A97"/>
    <w:rsid w:val="002C0BCF"/>
    <w:rsid w:val="002C0D06"/>
    <w:rsid w:val="002C0D33"/>
    <w:rsid w:val="002C0D50"/>
    <w:rsid w:val="002C0E63"/>
    <w:rsid w:val="002C0ED3"/>
    <w:rsid w:val="002C0FD0"/>
    <w:rsid w:val="002C10A9"/>
    <w:rsid w:val="002C1132"/>
    <w:rsid w:val="002C12EB"/>
    <w:rsid w:val="002C1316"/>
    <w:rsid w:val="002C1334"/>
    <w:rsid w:val="002C141D"/>
    <w:rsid w:val="002C164C"/>
    <w:rsid w:val="002C16C5"/>
    <w:rsid w:val="002C176A"/>
    <w:rsid w:val="002C17FE"/>
    <w:rsid w:val="002C19C0"/>
    <w:rsid w:val="002C1AA2"/>
    <w:rsid w:val="002C1AC8"/>
    <w:rsid w:val="002C1ADA"/>
    <w:rsid w:val="002C1B01"/>
    <w:rsid w:val="002C1BA6"/>
    <w:rsid w:val="002C1DED"/>
    <w:rsid w:val="002C1E43"/>
    <w:rsid w:val="002C1EEA"/>
    <w:rsid w:val="002C1F33"/>
    <w:rsid w:val="002C1F5A"/>
    <w:rsid w:val="002C1F74"/>
    <w:rsid w:val="002C205B"/>
    <w:rsid w:val="002C2178"/>
    <w:rsid w:val="002C2274"/>
    <w:rsid w:val="002C2485"/>
    <w:rsid w:val="002C24D4"/>
    <w:rsid w:val="002C24DF"/>
    <w:rsid w:val="002C25E0"/>
    <w:rsid w:val="002C2687"/>
    <w:rsid w:val="002C29D0"/>
    <w:rsid w:val="002C29EA"/>
    <w:rsid w:val="002C2A2D"/>
    <w:rsid w:val="002C2BE8"/>
    <w:rsid w:val="002C2D1F"/>
    <w:rsid w:val="002C2D80"/>
    <w:rsid w:val="002C2DA5"/>
    <w:rsid w:val="002C2ED9"/>
    <w:rsid w:val="002C30EF"/>
    <w:rsid w:val="002C3315"/>
    <w:rsid w:val="002C331E"/>
    <w:rsid w:val="002C33A7"/>
    <w:rsid w:val="002C3643"/>
    <w:rsid w:val="002C36C0"/>
    <w:rsid w:val="002C36EC"/>
    <w:rsid w:val="002C371C"/>
    <w:rsid w:val="002C37AD"/>
    <w:rsid w:val="002C37B0"/>
    <w:rsid w:val="002C3928"/>
    <w:rsid w:val="002C39E0"/>
    <w:rsid w:val="002C3A89"/>
    <w:rsid w:val="002C3A96"/>
    <w:rsid w:val="002C3B2C"/>
    <w:rsid w:val="002C3B33"/>
    <w:rsid w:val="002C3CC9"/>
    <w:rsid w:val="002C3CCA"/>
    <w:rsid w:val="002C416D"/>
    <w:rsid w:val="002C41BA"/>
    <w:rsid w:val="002C435E"/>
    <w:rsid w:val="002C4360"/>
    <w:rsid w:val="002C43BB"/>
    <w:rsid w:val="002C4401"/>
    <w:rsid w:val="002C44A6"/>
    <w:rsid w:val="002C44AB"/>
    <w:rsid w:val="002C4545"/>
    <w:rsid w:val="002C4653"/>
    <w:rsid w:val="002C4803"/>
    <w:rsid w:val="002C490C"/>
    <w:rsid w:val="002C4951"/>
    <w:rsid w:val="002C4EA5"/>
    <w:rsid w:val="002C4FFC"/>
    <w:rsid w:val="002C512E"/>
    <w:rsid w:val="002C5172"/>
    <w:rsid w:val="002C5216"/>
    <w:rsid w:val="002C5263"/>
    <w:rsid w:val="002C52A9"/>
    <w:rsid w:val="002C5360"/>
    <w:rsid w:val="002C537D"/>
    <w:rsid w:val="002C5405"/>
    <w:rsid w:val="002C549D"/>
    <w:rsid w:val="002C554C"/>
    <w:rsid w:val="002C5584"/>
    <w:rsid w:val="002C55B7"/>
    <w:rsid w:val="002C560A"/>
    <w:rsid w:val="002C576F"/>
    <w:rsid w:val="002C578D"/>
    <w:rsid w:val="002C5818"/>
    <w:rsid w:val="002C58B9"/>
    <w:rsid w:val="002C5985"/>
    <w:rsid w:val="002C5988"/>
    <w:rsid w:val="002C59FD"/>
    <w:rsid w:val="002C5A55"/>
    <w:rsid w:val="002C5AF8"/>
    <w:rsid w:val="002C5B32"/>
    <w:rsid w:val="002C5D55"/>
    <w:rsid w:val="002C5DD4"/>
    <w:rsid w:val="002C5E39"/>
    <w:rsid w:val="002C5E9A"/>
    <w:rsid w:val="002C5EFA"/>
    <w:rsid w:val="002C5F94"/>
    <w:rsid w:val="002C5FA2"/>
    <w:rsid w:val="002C5FDA"/>
    <w:rsid w:val="002C617E"/>
    <w:rsid w:val="002C6227"/>
    <w:rsid w:val="002C631E"/>
    <w:rsid w:val="002C650A"/>
    <w:rsid w:val="002C65F9"/>
    <w:rsid w:val="002C6721"/>
    <w:rsid w:val="002C6830"/>
    <w:rsid w:val="002C69C3"/>
    <w:rsid w:val="002C6A05"/>
    <w:rsid w:val="002C6C83"/>
    <w:rsid w:val="002C6CD2"/>
    <w:rsid w:val="002C6F7C"/>
    <w:rsid w:val="002C6FD5"/>
    <w:rsid w:val="002C70D4"/>
    <w:rsid w:val="002C71D4"/>
    <w:rsid w:val="002C72F1"/>
    <w:rsid w:val="002C7319"/>
    <w:rsid w:val="002C7521"/>
    <w:rsid w:val="002C7572"/>
    <w:rsid w:val="002C7579"/>
    <w:rsid w:val="002C75B4"/>
    <w:rsid w:val="002C7869"/>
    <w:rsid w:val="002C7A02"/>
    <w:rsid w:val="002C7ACC"/>
    <w:rsid w:val="002C7BD4"/>
    <w:rsid w:val="002C7E74"/>
    <w:rsid w:val="002C7EC3"/>
    <w:rsid w:val="002C7F43"/>
    <w:rsid w:val="002D0107"/>
    <w:rsid w:val="002D0121"/>
    <w:rsid w:val="002D02D7"/>
    <w:rsid w:val="002D0502"/>
    <w:rsid w:val="002D0528"/>
    <w:rsid w:val="002D0626"/>
    <w:rsid w:val="002D062E"/>
    <w:rsid w:val="002D06BD"/>
    <w:rsid w:val="002D07FD"/>
    <w:rsid w:val="002D09A3"/>
    <w:rsid w:val="002D0A2C"/>
    <w:rsid w:val="002D0B14"/>
    <w:rsid w:val="002D0B5E"/>
    <w:rsid w:val="002D0D43"/>
    <w:rsid w:val="002D0E06"/>
    <w:rsid w:val="002D0E07"/>
    <w:rsid w:val="002D0E16"/>
    <w:rsid w:val="002D0EDD"/>
    <w:rsid w:val="002D0F59"/>
    <w:rsid w:val="002D1066"/>
    <w:rsid w:val="002D10BB"/>
    <w:rsid w:val="002D141C"/>
    <w:rsid w:val="002D15C2"/>
    <w:rsid w:val="002D162F"/>
    <w:rsid w:val="002D1650"/>
    <w:rsid w:val="002D175B"/>
    <w:rsid w:val="002D17FE"/>
    <w:rsid w:val="002D185B"/>
    <w:rsid w:val="002D18DB"/>
    <w:rsid w:val="002D1ACA"/>
    <w:rsid w:val="002D1C76"/>
    <w:rsid w:val="002D1EB6"/>
    <w:rsid w:val="002D1EBF"/>
    <w:rsid w:val="002D227F"/>
    <w:rsid w:val="002D22C3"/>
    <w:rsid w:val="002D2320"/>
    <w:rsid w:val="002D2357"/>
    <w:rsid w:val="002D23F9"/>
    <w:rsid w:val="002D2440"/>
    <w:rsid w:val="002D2703"/>
    <w:rsid w:val="002D27E5"/>
    <w:rsid w:val="002D29D2"/>
    <w:rsid w:val="002D2B10"/>
    <w:rsid w:val="002D2CAF"/>
    <w:rsid w:val="002D2E39"/>
    <w:rsid w:val="002D3001"/>
    <w:rsid w:val="002D3222"/>
    <w:rsid w:val="002D3389"/>
    <w:rsid w:val="002D33AF"/>
    <w:rsid w:val="002D3437"/>
    <w:rsid w:val="002D347F"/>
    <w:rsid w:val="002D3540"/>
    <w:rsid w:val="002D3655"/>
    <w:rsid w:val="002D3684"/>
    <w:rsid w:val="002D36A9"/>
    <w:rsid w:val="002D37AD"/>
    <w:rsid w:val="002D3842"/>
    <w:rsid w:val="002D386A"/>
    <w:rsid w:val="002D387B"/>
    <w:rsid w:val="002D3A08"/>
    <w:rsid w:val="002D3BF5"/>
    <w:rsid w:val="002D3C7B"/>
    <w:rsid w:val="002D3CB5"/>
    <w:rsid w:val="002D3D22"/>
    <w:rsid w:val="002D3E18"/>
    <w:rsid w:val="002D3FCB"/>
    <w:rsid w:val="002D3FFC"/>
    <w:rsid w:val="002D4100"/>
    <w:rsid w:val="002D413E"/>
    <w:rsid w:val="002D4144"/>
    <w:rsid w:val="002D4233"/>
    <w:rsid w:val="002D42F6"/>
    <w:rsid w:val="002D436B"/>
    <w:rsid w:val="002D438E"/>
    <w:rsid w:val="002D45C0"/>
    <w:rsid w:val="002D45FA"/>
    <w:rsid w:val="002D470F"/>
    <w:rsid w:val="002D477F"/>
    <w:rsid w:val="002D4B7A"/>
    <w:rsid w:val="002D4C30"/>
    <w:rsid w:val="002D4C7A"/>
    <w:rsid w:val="002D4C7C"/>
    <w:rsid w:val="002D4E70"/>
    <w:rsid w:val="002D4EF8"/>
    <w:rsid w:val="002D4F48"/>
    <w:rsid w:val="002D519B"/>
    <w:rsid w:val="002D5417"/>
    <w:rsid w:val="002D5461"/>
    <w:rsid w:val="002D54FF"/>
    <w:rsid w:val="002D5570"/>
    <w:rsid w:val="002D557A"/>
    <w:rsid w:val="002D5591"/>
    <w:rsid w:val="002D5937"/>
    <w:rsid w:val="002D5998"/>
    <w:rsid w:val="002D59D4"/>
    <w:rsid w:val="002D59E9"/>
    <w:rsid w:val="002D5A11"/>
    <w:rsid w:val="002D5B2C"/>
    <w:rsid w:val="002D5B5C"/>
    <w:rsid w:val="002D5BB1"/>
    <w:rsid w:val="002D5D59"/>
    <w:rsid w:val="002D5E31"/>
    <w:rsid w:val="002D5E98"/>
    <w:rsid w:val="002D5ED4"/>
    <w:rsid w:val="002D620F"/>
    <w:rsid w:val="002D621E"/>
    <w:rsid w:val="002D6442"/>
    <w:rsid w:val="002D6520"/>
    <w:rsid w:val="002D65BF"/>
    <w:rsid w:val="002D6607"/>
    <w:rsid w:val="002D66BA"/>
    <w:rsid w:val="002D66DA"/>
    <w:rsid w:val="002D670C"/>
    <w:rsid w:val="002D6928"/>
    <w:rsid w:val="002D6A32"/>
    <w:rsid w:val="002D6A69"/>
    <w:rsid w:val="002D6A87"/>
    <w:rsid w:val="002D6AC5"/>
    <w:rsid w:val="002D6AFE"/>
    <w:rsid w:val="002D6B0C"/>
    <w:rsid w:val="002D6B4C"/>
    <w:rsid w:val="002D6BF8"/>
    <w:rsid w:val="002D6D8D"/>
    <w:rsid w:val="002D6E9D"/>
    <w:rsid w:val="002D7024"/>
    <w:rsid w:val="002D7027"/>
    <w:rsid w:val="002D703B"/>
    <w:rsid w:val="002D7091"/>
    <w:rsid w:val="002D709E"/>
    <w:rsid w:val="002D70DC"/>
    <w:rsid w:val="002D712A"/>
    <w:rsid w:val="002D7209"/>
    <w:rsid w:val="002D7329"/>
    <w:rsid w:val="002D7398"/>
    <w:rsid w:val="002D74BD"/>
    <w:rsid w:val="002D758B"/>
    <w:rsid w:val="002D7699"/>
    <w:rsid w:val="002D7777"/>
    <w:rsid w:val="002D77A8"/>
    <w:rsid w:val="002D77FB"/>
    <w:rsid w:val="002D79B8"/>
    <w:rsid w:val="002D79BC"/>
    <w:rsid w:val="002D7A3D"/>
    <w:rsid w:val="002D7CBF"/>
    <w:rsid w:val="002D7D73"/>
    <w:rsid w:val="002D7D87"/>
    <w:rsid w:val="002D7D9C"/>
    <w:rsid w:val="002D7E08"/>
    <w:rsid w:val="002D7E58"/>
    <w:rsid w:val="002D7F12"/>
    <w:rsid w:val="002D7F59"/>
    <w:rsid w:val="002E013F"/>
    <w:rsid w:val="002E0144"/>
    <w:rsid w:val="002E01EB"/>
    <w:rsid w:val="002E03B4"/>
    <w:rsid w:val="002E0438"/>
    <w:rsid w:val="002E0448"/>
    <w:rsid w:val="002E0601"/>
    <w:rsid w:val="002E079A"/>
    <w:rsid w:val="002E08D4"/>
    <w:rsid w:val="002E0938"/>
    <w:rsid w:val="002E0A10"/>
    <w:rsid w:val="002E0B46"/>
    <w:rsid w:val="002E0C68"/>
    <w:rsid w:val="002E0D07"/>
    <w:rsid w:val="002E0D31"/>
    <w:rsid w:val="002E0EF7"/>
    <w:rsid w:val="002E0EFA"/>
    <w:rsid w:val="002E0F4E"/>
    <w:rsid w:val="002E0F84"/>
    <w:rsid w:val="002E1073"/>
    <w:rsid w:val="002E12EC"/>
    <w:rsid w:val="002E1305"/>
    <w:rsid w:val="002E1372"/>
    <w:rsid w:val="002E146D"/>
    <w:rsid w:val="002E1476"/>
    <w:rsid w:val="002E1503"/>
    <w:rsid w:val="002E15CF"/>
    <w:rsid w:val="002E1635"/>
    <w:rsid w:val="002E1690"/>
    <w:rsid w:val="002E172E"/>
    <w:rsid w:val="002E1798"/>
    <w:rsid w:val="002E17AC"/>
    <w:rsid w:val="002E17C9"/>
    <w:rsid w:val="002E1803"/>
    <w:rsid w:val="002E184A"/>
    <w:rsid w:val="002E18E7"/>
    <w:rsid w:val="002E196C"/>
    <w:rsid w:val="002E1D24"/>
    <w:rsid w:val="002E1D31"/>
    <w:rsid w:val="002E1FAD"/>
    <w:rsid w:val="002E2193"/>
    <w:rsid w:val="002E21B5"/>
    <w:rsid w:val="002E227F"/>
    <w:rsid w:val="002E22A6"/>
    <w:rsid w:val="002E238A"/>
    <w:rsid w:val="002E2540"/>
    <w:rsid w:val="002E2679"/>
    <w:rsid w:val="002E272B"/>
    <w:rsid w:val="002E294D"/>
    <w:rsid w:val="002E29E9"/>
    <w:rsid w:val="002E29F8"/>
    <w:rsid w:val="002E2A46"/>
    <w:rsid w:val="002E2AF4"/>
    <w:rsid w:val="002E2B19"/>
    <w:rsid w:val="002E2BC9"/>
    <w:rsid w:val="002E2C4B"/>
    <w:rsid w:val="002E2C52"/>
    <w:rsid w:val="002E2FD5"/>
    <w:rsid w:val="002E3036"/>
    <w:rsid w:val="002E3068"/>
    <w:rsid w:val="002E30CC"/>
    <w:rsid w:val="002E31C9"/>
    <w:rsid w:val="002E31D0"/>
    <w:rsid w:val="002E3334"/>
    <w:rsid w:val="002E3341"/>
    <w:rsid w:val="002E342B"/>
    <w:rsid w:val="002E34D1"/>
    <w:rsid w:val="002E38C8"/>
    <w:rsid w:val="002E38D6"/>
    <w:rsid w:val="002E39BA"/>
    <w:rsid w:val="002E3B73"/>
    <w:rsid w:val="002E3B81"/>
    <w:rsid w:val="002E3C37"/>
    <w:rsid w:val="002E3CBC"/>
    <w:rsid w:val="002E3D08"/>
    <w:rsid w:val="002E3D6C"/>
    <w:rsid w:val="002E3E1D"/>
    <w:rsid w:val="002E3EEA"/>
    <w:rsid w:val="002E3FD0"/>
    <w:rsid w:val="002E3FFA"/>
    <w:rsid w:val="002E4012"/>
    <w:rsid w:val="002E4060"/>
    <w:rsid w:val="002E4152"/>
    <w:rsid w:val="002E4226"/>
    <w:rsid w:val="002E433A"/>
    <w:rsid w:val="002E45E2"/>
    <w:rsid w:val="002E4600"/>
    <w:rsid w:val="002E460A"/>
    <w:rsid w:val="002E476C"/>
    <w:rsid w:val="002E49FA"/>
    <w:rsid w:val="002E4A35"/>
    <w:rsid w:val="002E4AD7"/>
    <w:rsid w:val="002E4D08"/>
    <w:rsid w:val="002E4DA5"/>
    <w:rsid w:val="002E4DF2"/>
    <w:rsid w:val="002E4E0C"/>
    <w:rsid w:val="002E4E81"/>
    <w:rsid w:val="002E4F2F"/>
    <w:rsid w:val="002E5105"/>
    <w:rsid w:val="002E51C9"/>
    <w:rsid w:val="002E52B2"/>
    <w:rsid w:val="002E52B8"/>
    <w:rsid w:val="002E5336"/>
    <w:rsid w:val="002E5436"/>
    <w:rsid w:val="002E5448"/>
    <w:rsid w:val="002E5550"/>
    <w:rsid w:val="002E5563"/>
    <w:rsid w:val="002E5667"/>
    <w:rsid w:val="002E5747"/>
    <w:rsid w:val="002E5845"/>
    <w:rsid w:val="002E5891"/>
    <w:rsid w:val="002E5AA1"/>
    <w:rsid w:val="002E5B12"/>
    <w:rsid w:val="002E5B29"/>
    <w:rsid w:val="002E5CE4"/>
    <w:rsid w:val="002E5DBF"/>
    <w:rsid w:val="002E5E01"/>
    <w:rsid w:val="002E5FA8"/>
    <w:rsid w:val="002E603E"/>
    <w:rsid w:val="002E60C9"/>
    <w:rsid w:val="002E60F5"/>
    <w:rsid w:val="002E61B5"/>
    <w:rsid w:val="002E635F"/>
    <w:rsid w:val="002E6485"/>
    <w:rsid w:val="002E64A3"/>
    <w:rsid w:val="002E650E"/>
    <w:rsid w:val="002E6536"/>
    <w:rsid w:val="002E656E"/>
    <w:rsid w:val="002E65AB"/>
    <w:rsid w:val="002E6687"/>
    <w:rsid w:val="002E66EB"/>
    <w:rsid w:val="002E67E2"/>
    <w:rsid w:val="002E69F5"/>
    <w:rsid w:val="002E6A2A"/>
    <w:rsid w:val="002E6B13"/>
    <w:rsid w:val="002E6B72"/>
    <w:rsid w:val="002E6CAA"/>
    <w:rsid w:val="002E6DB6"/>
    <w:rsid w:val="002E6EBE"/>
    <w:rsid w:val="002E6EF3"/>
    <w:rsid w:val="002E6FC9"/>
    <w:rsid w:val="002E732D"/>
    <w:rsid w:val="002E73EC"/>
    <w:rsid w:val="002E742F"/>
    <w:rsid w:val="002E7515"/>
    <w:rsid w:val="002E7684"/>
    <w:rsid w:val="002E7738"/>
    <w:rsid w:val="002E77F1"/>
    <w:rsid w:val="002E7850"/>
    <w:rsid w:val="002E792D"/>
    <w:rsid w:val="002E79B2"/>
    <w:rsid w:val="002E7AB2"/>
    <w:rsid w:val="002E7AB3"/>
    <w:rsid w:val="002E7B08"/>
    <w:rsid w:val="002E7B55"/>
    <w:rsid w:val="002E7BBA"/>
    <w:rsid w:val="002E7BD4"/>
    <w:rsid w:val="002EF388"/>
    <w:rsid w:val="002F000A"/>
    <w:rsid w:val="002F00C2"/>
    <w:rsid w:val="002F00FA"/>
    <w:rsid w:val="002F021F"/>
    <w:rsid w:val="002F023D"/>
    <w:rsid w:val="002F0590"/>
    <w:rsid w:val="002F0658"/>
    <w:rsid w:val="002F070E"/>
    <w:rsid w:val="002F0714"/>
    <w:rsid w:val="002F07AC"/>
    <w:rsid w:val="002F07B7"/>
    <w:rsid w:val="002F0853"/>
    <w:rsid w:val="002F0868"/>
    <w:rsid w:val="002F08BC"/>
    <w:rsid w:val="002F093A"/>
    <w:rsid w:val="002F0989"/>
    <w:rsid w:val="002F09CD"/>
    <w:rsid w:val="002F0A15"/>
    <w:rsid w:val="002F0A2C"/>
    <w:rsid w:val="002F0A6A"/>
    <w:rsid w:val="002F0B3C"/>
    <w:rsid w:val="002F0BE1"/>
    <w:rsid w:val="002F0C14"/>
    <w:rsid w:val="002F0CC0"/>
    <w:rsid w:val="002F0DA8"/>
    <w:rsid w:val="002F0E30"/>
    <w:rsid w:val="002F0F27"/>
    <w:rsid w:val="002F0F9C"/>
    <w:rsid w:val="002F10A9"/>
    <w:rsid w:val="002F10EC"/>
    <w:rsid w:val="002F1136"/>
    <w:rsid w:val="002F1231"/>
    <w:rsid w:val="002F12CE"/>
    <w:rsid w:val="002F130E"/>
    <w:rsid w:val="002F1521"/>
    <w:rsid w:val="002F1530"/>
    <w:rsid w:val="002F15EE"/>
    <w:rsid w:val="002F160F"/>
    <w:rsid w:val="002F1831"/>
    <w:rsid w:val="002F190B"/>
    <w:rsid w:val="002F1959"/>
    <w:rsid w:val="002F1AC8"/>
    <w:rsid w:val="002F1C5A"/>
    <w:rsid w:val="002F1E6E"/>
    <w:rsid w:val="002F1EC5"/>
    <w:rsid w:val="002F1FDA"/>
    <w:rsid w:val="002F2087"/>
    <w:rsid w:val="002F2156"/>
    <w:rsid w:val="002F2196"/>
    <w:rsid w:val="002F2205"/>
    <w:rsid w:val="002F220B"/>
    <w:rsid w:val="002F2234"/>
    <w:rsid w:val="002F2344"/>
    <w:rsid w:val="002F2389"/>
    <w:rsid w:val="002F2625"/>
    <w:rsid w:val="002F2689"/>
    <w:rsid w:val="002F2834"/>
    <w:rsid w:val="002F28DF"/>
    <w:rsid w:val="002F28EB"/>
    <w:rsid w:val="002F296F"/>
    <w:rsid w:val="002F2A58"/>
    <w:rsid w:val="002F2AB6"/>
    <w:rsid w:val="002F2B04"/>
    <w:rsid w:val="002F2B41"/>
    <w:rsid w:val="002F2BFA"/>
    <w:rsid w:val="002F2C8A"/>
    <w:rsid w:val="002F30B1"/>
    <w:rsid w:val="002F342A"/>
    <w:rsid w:val="002F3594"/>
    <w:rsid w:val="002F3597"/>
    <w:rsid w:val="002F35B4"/>
    <w:rsid w:val="002F3632"/>
    <w:rsid w:val="002F36CD"/>
    <w:rsid w:val="002F3884"/>
    <w:rsid w:val="002F3A79"/>
    <w:rsid w:val="002F3AFB"/>
    <w:rsid w:val="002F3B8F"/>
    <w:rsid w:val="002F3BF9"/>
    <w:rsid w:val="002F3C41"/>
    <w:rsid w:val="002F3DEE"/>
    <w:rsid w:val="002F3E0F"/>
    <w:rsid w:val="002F3E2D"/>
    <w:rsid w:val="002F3EFB"/>
    <w:rsid w:val="002F430E"/>
    <w:rsid w:val="002F43A0"/>
    <w:rsid w:val="002F451F"/>
    <w:rsid w:val="002F4528"/>
    <w:rsid w:val="002F4735"/>
    <w:rsid w:val="002F4891"/>
    <w:rsid w:val="002F4917"/>
    <w:rsid w:val="002F49E4"/>
    <w:rsid w:val="002F4A39"/>
    <w:rsid w:val="002F4A8B"/>
    <w:rsid w:val="002F4B06"/>
    <w:rsid w:val="002F4B74"/>
    <w:rsid w:val="002F4C8E"/>
    <w:rsid w:val="002F4E5F"/>
    <w:rsid w:val="002F5076"/>
    <w:rsid w:val="002F5095"/>
    <w:rsid w:val="002F517A"/>
    <w:rsid w:val="002F5282"/>
    <w:rsid w:val="002F529C"/>
    <w:rsid w:val="002F52B8"/>
    <w:rsid w:val="002F5327"/>
    <w:rsid w:val="002F535E"/>
    <w:rsid w:val="002F53C3"/>
    <w:rsid w:val="002F558F"/>
    <w:rsid w:val="002F55D7"/>
    <w:rsid w:val="002F5630"/>
    <w:rsid w:val="002F5839"/>
    <w:rsid w:val="002F590B"/>
    <w:rsid w:val="002F5938"/>
    <w:rsid w:val="002F594D"/>
    <w:rsid w:val="002F5975"/>
    <w:rsid w:val="002F5978"/>
    <w:rsid w:val="002F5BF4"/>
    <w:rsid w:val="002F5CEB"/>
    <w:rsid w:val="002F5D8A"/>
    <w:rsid w:val="002F5F25"/>
    <w:rsid w:val="002F5F4D"/>
    <w:rsid w:val="002F6079"/>
    <w:rsid w:val="002F623D"/>
    <w:rsid w:val="002F625C"/>
    <w:rsid w:val="002F6347"/>
    <w:rsid w:val="002F63C3"/>
    <w:rsid w:val="002F63C7"/>
    <w:rsid w:val="002F64D9"/>
    <w:rsid w:val="002F64FD"/>
    <w:rsid w:val="002F651D"/>
    <w:rsid w:val="002F6648"/>
    <w:rsid w:val="002F6780"/>
    <w:rsid w:val="002F69BC"/>
    <w:rsid w:val="002F6BC1"/>
    <w:rsid w:val="002F6BD7"/>
    <w:rsid w:val="002F6D9A"/>
    <w:rsid w:val="002F6DAF"/>
    <w:rsid w:val="002F6E44"/>
    <w:rsid w:val="002F718E"/>
    <w:rsid w:val="002F7264"/>
    <w:rsid w:val="002F72E8"/>
    <w:rsid w:val="002F7363"/>
    <w:rsid w:val="002F74FD"/>
    <w:rsid w:val="002F787B"/>
    <w:rsid w:val="002F78A5"/>
    <w:rsid w:val="002F7974"/>
    <w:rsid w:val="002F7D01"/>
    <w:rsid w:val="002F7D0E"/>
    <w:rsid w:val="002F7D34"/>
    <w:rsid w:val="002F7EC9"/>
    <w:rsid w:val="002F7EEB"/>
    <w:rsid w:val="002F7FB8"/>
    <w:rsid w:val="002F7FD1"/>
    <w:rsid w:val="0030005C"/>
    <w:rsid w:val="00300095"/>
    <w:rsid w:val="003001BD"/>
    <w:rsid w:val="003001F8"/>
    <w:rsid w:val="00300333"/>
    <w:rsid w:val="00300369"/>
    <w:rsid w:val="003004B6"/>
    <w:rsid w:val="003004F8"/>
    <w:rsid w:val="00300597"/>
    <w:rsid w:val="003005A8"/>
    <w:rsid w:val="003005DC"/>
    <w:rsid w:val="0030063D"/>
    <w:rsid w:val="0030067D"/>
    <w:rsid w:val="003006F8"/>
    <w:rsid w:val="003007AA"/>
    <w:rsid w:val="0030089A"/>
    <w:rsid w:val="0030093C"/>
    <w:rsid w:val="00300A78"/>
    <w:rsid w:val="00300ABC"/>
    <w:rsid w:val="00300AD5"/>
    <w:rsid w:val="00300B79"/>
    <w:rsid w:val="00300C73"/>
    <w:rsid w:val="003010A5"/>
    <w:rsid w:val="003010F2"/>
    <w:rsid w:val="00301178"/>
    <w:rsid w:val="003011F7"/>
    <w:rsid w:val="00301346"/>
    <w:rsid w:val="00301367"/>
    <w:rsid w:val="00301468"/>
    <w:rsid w:val="00301528"/>
    <w:rsid w:val="003015FC"/>
    <w:rsid w:val="00301665"/>
    <w:rsid w:val="00301698"/>
    <w:rsid w:val="003016F3"/>
    <w:rsid w:val="003018DB"/>
    <w:rsid w:val="003018FB"/>
    <w:rsid w:val="00301944"/>
    <w:rsid w:val="0030196D"/>
    <w:rsid w:val="00301BBD"/>
    <w:rsid w:val="00301BF7"/>
    <w:rsid w:val="00301CBE"/>
    <w:rsid w:val="00301D0A"/>
    <w:rsid w:val="00301D25"/>
    <w:rsid w:val="00301E11"/>
    <w:rsid w:val="00301F0D"/>
    <w:rsid w:val="00301F11"/>
    <w:rsid w:val="00301FEC"/>
    <w:rsid w:val="00302002"/>
    <w:rsid w:val="00302268"/>
    <w:rsid w:val="003023BE"/>
    <w:rsid w:val="003023C4"/>
    <w:rsid w:val="00302695"/>
    <w:rsid w:val="003027B4"/>
    <w:rsid w:val="003027B8"/>
    <w:rsid w:val="0030293F"/>
    <w:rsid w:val="00302947"/>
    <w:rsid w:val="00302A04"/>
    <w:rsid w:val="00302A9F"/>
    <w:rsid w:val="00302C50"/>
    <w:rsid w:val="00302D5A"/>
    <w:rsid w:val="00302D62"/>
    <w:rsid w:val="00302D63"/>
    <w:rsid w:val="00302DB7"/>
    <w:rsid w:val="00302EA5"/>
    <w:rsid w:val="00302EC9"/>
    <w:rsid w:val="00302F40"/>
    <w:rsid w:val="00302F8A"/>
    <w:rsid w:val="00303007"/>
    <w:rsid w:val="0030303A"/>
    <w:rsid w:val="00303106"/>
    <w:rsid w:val="00303118"/>
    <w:rsid w:val="003031C2"/>
    <w:rsid w:val="00303208"/>
    <w:rsid w:val="00303262"/>
    <w:rsid w:val="0030329E"/>
    <w:rsid w:val="003034FC"/>
    <w:rsid w:val="00303568"/>
    <w:rsid w:val="0030359D"/>
    <w:rsid w:val="003035C8"/>
    <w:rsid w:val="00303855"/>
    <w:rsid w:val="00303861"/>
    <w:rsid w:val="003039E8"/>
    <w:rsid w:val="00303A46"/>
    <w:rsid w:val="00303B70"/>
    <w:rsid w:val="00303B7A"/>
    <w:rsid w:val="00303CD0"/>
    <w:rsid w:val="00303CED"/>
    <w:rsid w:val="00303CF4"/>
    <w:rsid w:val="00303D53"/>
    <w:rsid w:val="00303E35"/>
    <w:rsid w:val="00303EA1"/>
    <w:rsid w:val="00303FF7"/>
    <w:rsid w:val="00304063"/>
    <w:rsid w:val="0030443F"/>
    <w:rsid w:val="003044E7"/>
    <w:rsid w:val="0030458D"/>
    <w:rsid w:val="003045B6"/>
    <w:rsid w:val="003045C2"/>
    <w:rsid w:val="003046C5"/>
    <w:rsid w:val="003046F8"/>
    <w:rsid w:val="003047D8"/>
    <w:rsid w:val="00304841"/>
    <w:rsid w:val="003049B1"/>
    <w:rsid w:val="003049B2"/>
    <w:rsid w:val="00304B3A"/>
    <w:rsid w:val="00304B6A"/>
    <w:rsid w:val="00304BD6"/>
    <w:rsid w:val="00304BD7"/>
    <w:rsid w:val="00304C12"/>
    <w:rsid w:val="00304F0C"/>
    <w:rsid w:val="00304FFF"/>
    <w:rsid w:val="0030508B"/>
    <w:rsid w:val="003050D9"/>
    <w:rsid w:val="0030511B"/>
    <w:rsid w:val="00305269"/>
    <w:rsid w:val="00305453"/>
    <w:rsid w:val="0030545C"/>
    <w:rsid w:val="0030549A"/>
    <w:rsid w:val="00305557"/>
    <w:rsid w:val="0030561F"/>
    <w:rsid w:val="0030574C"/>
    <w:rsid w:val="00305816"/>
    <w:rsid w:val="003058D4"/>
    <w:rsid w:val="003059A6"/>
    <w:rsid w:val="00305B29"/>
    <w:rsid w:val="00305BF1"/>
    <w:rsid w:val="00305C24"/>
    <w:rsid w:val="00305C4E"/>
    <w:rsid w:val="00305C66"/>
    <w:rsid w:val="00305CA3"/>
    <w:rsid w:val="00305CB1"/>
    <w:rsid w:val="00305CE5"/>
    <w:rsid w:val="00305F0A"/>
    <w:rsid w:val="00306032"/>
    <w:rsid w:val="0030611B"/>
    <w:rsid w:val="00306319"/>
    <w:rsid w:val="00306375"/>
    <w:rsid w:val="0030647D"/>
    <w:rsid w:val="003065C9"/>
    <w:rsid w:val="003066F2"/>
    <w:rsid w:val="00306789"/>
    <w:rsid w:val="00306919"/>
    <w:rsid w:val="00306A88"/>
    <w:rsid w:val="00306C38"/>
    <w:rsid w:val="00306D30"/>
    <w:rsid w:val="00306DC1"/>
    <w:rsid w:val="00306E07"/>
    <w:rsid w:val="00306E5C"/>
    <w:rsid w:val="00306F31"/>
    <w:rsid w:val="00306FBD"/>
    <w:rsid w:val="00306FF3"/>
    <w:rsid w:val="00307017"/>
    <w:rsid w:val="0030711B"/>
    <w:rsid w:val="003071F3"/>
    <w:rsid w:val="003073C0"/>
    <w:rsid w:val="003075BC"/>
    <w:rsid w:val="003076F3"/>
    <w:rsid w:val="00307863"/>
    <w:rsid w:val="003078E3"/>
    <w:rsid w:val="00307AFA"/>
    <w:rsid w:val="00307BC1"/>
    <w:rsid w:val="00307BD1"/>
    <w:rsid w:val="00307C19"/>
    <w:rsid w:val="00307C7A"/>
    <w:rsid w:val="00307D33"/>
    <w:rsid w:val="00307DAB"/>
    <w:rsid w:val="00307DEA"/>
    <w:rsid w:val="00307E44"/>
    <w:rsid w:val="00307E95"/>
    <w:rsid w:val="00310185"/>
    <w:rsid w:val="003101D3"/>
    <w:rsid w:val="00310245"/>
    <w:rsid w:val="0031028C"/>
    <w:rsid w:val="00310393"/>
    <w:rsid w:val="0031043F"/>
    <w:rsid w:val="00310448"/>
    <w:rsid w:val="003106F3"/>
    <w:rsid w:val="00310732"/>
    <w:rsid w:val="0031094B"/>
    <w:rsid w:val="003109BC"/>
    <w:rsid w:val="003109E9"/>
    <w:rsid w:val="00310BC9"/>
    <w:rsid w:val="00310C8F"/>
    <w:rsid w:val="00310D7E"/>
    <w:rsid w:val="00310E28"/>
    <w:rsid w:val="00310E77"/>
    <w:rsid w:val="00310ED0"/>
    <w:rsid w:val="0031113B"/>
    <w:rsid w:val="0031138E"/>
    <w:rsid w:val="003113EF"/>
    <w:rsid w:val="00311430"/>
    <w:rsid w:val="003116A0"/>
    <w:rsid w:val="003116A3"/>
    <w:rsid w:val="0031172D"/>
    <w:rsid w:val="00311762"/>
    <w:rsid w:val="003117A2"/>
    <w:rsid w:val="00311985"/>
    <w:rsid w:val="00311998"/>
    <w:rsid w:val="0031199C"/>
    <w:rsid w:val="003119E0"/>
    <w:rsid w:val="00311A8E"/>
    <w:rsid w:val="00311A93"/>
    <w:rsid w:val="00311B5A"/>
    <w:rsid w:val="00311BA0"/>
    <w:rsid w:val="00311BA2"/>
    <w:rsid w:val="00311BB2"/>
    <w:rsid w:val="00311C0A"/>
    <w:rsid w:val="00311E98"/>
    <w:rsid w:val="00311F18"/>
    <w:rsid w:val="00312093"/>
    <w:rsid w:val="003120FB"/>
    <w:rsid w:val="00312116"/>
    <w:rsid w:val="00312215"/>
    <w:rsid w:val="0031231E"/>
    <w:rsid w:val="00312333"/>
    <w:rsid w:val="0031240B"/>
    <w:rsid w:val="0031241D"/>
    <w:rsid w:val="00312457"/>
    <w:rsid w:val="0031249C"/>
    <w:rsid w:val="003124D7"/>
    <w:rsid w:val="0031259E"/>
    <w:rsid w:val="003125AF"/>
    <w:rsid w:val="003125B3"/>
    <w:rsid w:val="003125C3"/>
    <w:rsid w:val="003125F6"/>
    <w:rsid w:val="00312667"/>
    <w:rsid w:val="00312713"/>
    <w:rsid w:val="00312857"/>
    <w:rsid w:val="00312883"/>
    <w:rsid w:val="00312892"/>
    <w:rsid w:val="00312896"/>
    <w:rsid w:val="00312948"/>
    <w:rsid w:val="00312A2F"/>
    <w:rsid w:val="00312A49"/>
    <w:rsid w:val="00312A53"/>
    <w:rsid w:val="00312AEF"/>
    <w:rsid w:val="00312BE8"/>
    <w:rsid w:val="00312C43"/>
    <w:rsid w:val="00312C92"/>
    <w:rsid w:val="00312DE5"/>
    <w:rsid w:val="00312FE8"/>
    <w:rsid w:val="003130BA"/>
    <w:rsid w:val="00313118"/>
    <w:rsid w:val="0031315D"/>
    <w:rsid w:val="00313256"/>
    <w:rsid w:val="003132B1"/>
    <w:rsid w:val="003135D9"/>
    <w:rsid w:val="003135DE"/>
    <w:rsid w:val="003137C5"/>
    <w:rsid w:val="003138EA"/>
    <w:rsid w:val="00313B42"/>
    <w:rsid w:val="00313C3A"/>
    <w:rsid w:val="00313C8D"/>
    <w:rsid w:val="00313DBE"/>
    <w:rsid w:val="00313DF5"/>
    <w:rsid w:val="00313E36"/>
    <w:rsid w:val="00313EAC"/>
    <w:rsid w:val="00313EDA"/>
    <w:rsid w:val="00314081"/>
    <w:rsid w:val="0031418D"/>
    <w:rsid w:val="003142F4"/>
    <w:rsid w:val="00314339"/>
    <w:rsid w:val="0031450C"/>
    <w:rsid w:val="0031454E"/>
    <w:rsid w:val="003145BC"/>
    <w:rsid w:val="00314727"/>
    <w:rsid w:val="00314730"/>
    <w:rsid w:val="0031473F"/>
    <w:rsid w:val="0031475A"/>
    <w:rsid w:val="003148AF"/>
    <w:rsid w:val="00314959"/>
    <w:rsid w:val="00314A8C"/>
    <w:rsid w:val="00314E73"/>
    <w:rsid w:val="00314F34"/>
    <w:rsid w:val="00314F9B"/>
    <w:rsid w:val="00315096"/>
    <w:rsid w:val="003150D0"/>
    <w:rsid w:val="0031523C"/>
    <w:rsid w:val="00315312"/>
    <w:rsid w:val="0031547B"/>
    <w:rsid w:val="0031550B"/>
    <w:rsid w:val="00315614"/>
    <w:rsid w:val="00315A3B"/>
    <w:rsid w:val="00315DD1"/>
    <w:rsid w:val="00315DE7"/>
    <w:rsid w:val="00315F3C"/>
    <w:rsid w:val="0031611F"/>
    <w:rsid w:val="00316184"/>
    <w:rsid w:val="00316213"/>
    <w:rsid w:val="00316767"/>
    <w:rsid w:val="00316884"/>
    <w:rsid w:val="0031696F"/>
    <w:rsid w:val="0031698B"/>
    <w:rsid w:val="00316A10"/>
    <w:rsid w:val="00316A5E"/>
    <w:rsid w:val="00316A7C"/>
    <w:rsid w:val="00316CF9"/>
    <w:rsid w:val="00316E71"/>
    <w:rsid w:val="00317005"/>
    <w:rsid w:val="003171F1"/>
    <w:rsid w:val="003172E5"/>
    <w:rsid w:val="00317680"/>
    <w:rsid w:val="003176F8"/>
    <w:rsid w:val="003176F9"/>
    <w:rsid w:val="00317910"/>
    <w:rsid w:val="00317A33"/>
    <w:rsid w:val="00317B69"/>
    <w:rsid w:val="00317BBB"/>
    <w:rsid w:val="00317C2F"/>
    <w:rsid w:val="00317D9B"/>
    <w:rsid w:val="00317E92"/>
    <w:rsid w:val="003200BA"/>
    <w:rsid w:val="003200D6"/>
    <w:rsid w:val="0032028D"/>
    <w:rsid w:val="00320339"/>
    <w:rsid w:val="003203D6"/>
    <w:rsid w:val="003203DC"/>
    <w:rsid w:val="003204C5"/>
    <w:rsid w:val="0032056E"/>
    <w:rsid w:val="00320598"/>
    <w:rsid w:val="00320750"/>
    <w:rsid w:val="00320786"/>
    <w:rsid w:val="0032083E"/>
    <w:rsid w:val="00320840"/>
    <w:rsid w:val="003209A4"/>
    <w:rsid w:val="00320B7D"/>
    <w:rsid w:val="00320BFC"/>
    <w:rsid w:val="00320D55"/>
    <w:rsid w:val="00320D88"/>
    <w:rsid w:val="00320E33"/>
    <w:rsid w:val="00320F50"/>
    <w:rsid w:val="00320F52"/>
    <w:rsid w:val="00321039"/>
    <w:rsid w:val="003210C4"/>
    <w:rsid w:val="003210E3"/>
    <w:rsid w:val="0032110A"/>
    <w:rsid w:val="0032112A"/>
    <w:rsid w:val="003211A8"/>
    <w:rsid w:val="00321200"/>
    <w:rsid w:val="00321214"/>
    <w:rsid w:val="003213D5"/>
    <w:rsid w:val="00321470"/>
    <w:rsid w:val="00321608"/>
    <w:rsid w:val="0032160D"/>
    <w:rsid w:val="00321941"/>
    <w:rsid w:val="00321AEF"/>
    <w:rsid w:val="00321B32"/>
    <w:rsid w:val="00321CD7"/>
    <w:rsid w:val="00321CE9"/>
    <w:rsid w:val="00321D27"/>
    <w:rsid w:val="00321FC4"/>
    <w:rsid w:val="00321FD4"/>
    <w:rsid w:val="00321FE1"/>
    <w:rsid w:val="003220C3"/>
    <w:rsid w:val="003221AB"/>
    <w:rsid w:val="003222BE"/>
    <w:rsid w:val="00322698"/>
    <w:rsid w:val="0032275E"/>
    <w:rsid w:val="00322A75"/>
    <w:rsid w:val="00322B08"/>
    <w:rsid w:val="00322BF9"/>
    <w:rsid w:val="00322C4A"/>
    <w:rsid w:val="00322C65"/>
    <w:rsid w:val="00322C88"/>
    <w:rsid w:val="00322E72"/>
    <w:rsid w:val="00322E93"/>
    <w:rsid w:val="00322F41"/>
    <w:rsid w:val="003232C4"/>
    <w:rsid w:val="0032336B"/>
    <w:rsid w:val="003234CA"/>
    <w:rsid w:val="003235C2"/>
    <w:rsid w:val="0032365D"/>
    <w:rsid w:val="00323737"/>
    <w:rsid w:val="0032382D"/>
    <w:rsid w:val="00323870"/>
    <w:rsid w:val="003238AD"/>
    <w:rsid w:val="00323AD6"/>
    <w:rsid w:val="00323B76"/>
    <w:rsid w:val="00323B8E"/>
    <w:rsid w:val="00323E1B"/>
    <w:rsid w:val="00323F22"/>
    <w:rsid w:val="00323F27"/>
    <w:rsid w:val="0032406D"/>
    <w:rsid w:val="003241E9"/>
    <w:rsid w:val="003242EF"/>
    <w:rsid w:val="003243B4"/>
    <w:rsid w:val="003243DE"/>
    <w:rsid w:val="003243E9"/>
    <w:rsid w:val="00324465"/>
    <w:rsid w:val="003244DA"/>
    <w:rsid w:val="00324503"/>
    <w:rsid w:val="00324544"/>
    <w:rsid w:val="00324621"/>
    <w:rsid w:val="00324635"/>
    <w:rsid w:val="00324704"/>
    <w:rsid w:val="00324761"/>
    <w:rsid w:val="0032484D"/>
    <w:rsid w:val="00324862"/>
    <w:rsid w:val="0032489D"/>
    <w:rsid w:val="003248F4"/>
    <w:rsid w:val="003249CD"/>
    <w:rsid w:val="00324AC7"/>
    <w:rsid w:val="00324B24"/>
    <w:rsid w:val="00324B8A"/>
    <w:rsid w:val="00324C79"/>
    <w:rsid w:val="00324CA6"/>
    <w:rsid w:val="00324F6F"/>
    <w:rsid w:val="00324FDF"/>
    <w:rsid w:val="00325087"/>
    <w:rsid w:val="003250B4"/>
    <w:rsid w:val="00325182"/>
    <w:rsid w:val="00325275"/>
    <w:rsid w:val="00325339"/>
    <w:rsid w:val="0032543E"/>
    <w:rsid w:val="0032545A"/>
    <w:rsid w:val="003255AA"/>
    <w:rsid w:val="00325702"/>
    <w:rsid w:val="00325787"/>
    <w:rsid w:val="003257A6"/>
    <w:rsid w:val="00325B36"/>
    <w:rsid w:val="00325B6F"/>
    <w:rsid w:val="00325B8F"/>
    <w:rsid w:val="00325BBF"/>
    <w:rsid w:val="00325C27"/>
    <w:rsid w:val="00325D9E"/>
    <w:rsid w:val="00325E76"/>
    <w:rsid w:val="00325E94"/>
    <w:rsid w:val="00325E96"/>
    <w:rsid w:val="00326141"/>
    <w:rsid w:val="0032617F"/>
    <w:rsid w:val="00326208"/>
    <w:rsid w:val="00326306"/>
    <w:rsid w:val="003265ED"/>
    <w:rsid w:val="003267D7"/>
    <w:rsid w:val="00326906"/>
    <w:rsid w:val="00326A94"/>
    <w:rsid w:val="00326B8B"/>
    <w:rsid w:val="00326D9F"/>
    <w:rsid w:val="00326FC7"/>
    <w:rsid w:val="00326FCE"/>
    <w:rsid w:val="0032717D"/>
    <w:rsid w:val="00327198"/>
    <w:rsid w:val="00327286"/>
    <w:rsid w:val="0032728F"/>
    <w:rsid w:val="0032731B"/>
    <w:rsid w:val="003273D6"/>
    <w:rsid w:val="00327420"/>
    <w:rsid w:val="003274D1"/>
    <w:rsid w:val="003274F3"/>
    <w:rsid w:val="003275FF"/>
    <w:rsid w:val="003276B5"/>
    <w:rsid w:val="00327713"/>
    <w:rsid w:val="0032771F"/>
    <w:rsid w:val="003278B3"/>
    <w:rsid w:val="0032790D"/>
    <w:rsid w:val="003279B1"/>
    <w:rsid w:val="00327A99"/>
    <w:rsid w:val="00327AD4"/>
    <w:rsid w:val="00327D3E"/>
    <w:rsid w:val="00327DFF"/>
    <w:rsid w:val="00327F1C"/>
    <w:rsid w:val="00327FEC"/>
    <w:rsid w:val="003303F4"/>
    <w:rsid w:val="0033043B"/>
    <w:rsid w:val="003304AA"/>
    <w:rsid w:val="003304E5"/>
    <w:rsid w:val="003304E9"/>
    <w:rsid w:val="0033050C"/>
    <w:rsid w:val="00330708"/>
    <w:rsid w:val="0033076D"/>
    <w:rsid w:val="0033086A"/>
    <w:rsid w:val="003308AC"/>
    <w:rsid w:val="003308EC"/>
    <w:rsid w:val="00330B2D"/>
    <w:rsid w:val="00330DE2"/>
    <w:rsid w:val="00330E6E"/>
    <w:rsid w:val="00330F05"/>
    <w:rsid w:val="00330F43"/>
    <w:rsid w:val="00331249"/>
    <w:rsid w:val="0033136A"/>
    <w:rsid w:val="003314B6"/>
    <w:rsid w:val="00331503"/>
    <w:rsid w:val="003315A1"/>
    <w:rsid w:val="00331847"/>
    <w:rsid w:val="00331922"/>
    <w:rsid w:val="00331941"/>
    <w:rsid w:val="00331A20"/>
    <w:rsid w:val="00331A23"/>
    <w:rsid w:val="00331B03"/>
    <w:rsid w:val="00331E65"/>
    <w:rsid w:val="00331E77"/>
    <w:rsid w:val="00331E8D"/>
    <w:rsid w:val="00331FFF"/>
    <w:rsid w:val="003320B3"/>
    <w:rsid w:val="003320F3"/>
    <w:rsid w:val="00332138"/>
    <w:rsid w:val="00332202"/>
    <w:rsid w:val="00332238"/>
    <w:rsid w:val="003322EA"/>
    <w:rsid w:val="00332655"/>
    <w:rsid w:val="003326E5"/>
    <w:rsid w:val="0033295E"/>
    <w:rsid w:val="00332998"/>
    <w:rsid w:val="003329B8"/>
    <w:rsid w:val="00332BAF"/>
    <w:rsid w:val="00332C51"/>
    <w:rsid w:val="00332C90"/>
    <w:rsid w:val="00332DB8"/>
    <w:rsid w:val="00332DC5"/>
    <w:rsid w:val="0033302B"/>
    <w:rsid w:val="0033304F"/>
    <w:rsid w:val="00333107"/>
    <w:rsid w:val="00333132"/>
    <w:rsid w:val="0033322A"/>
    <w:rsid w:val="003332C0"/>
    <w:rsid w:val="0033334D"/>
    <w:rsid w:val="003333B7"/>
    <w:rsid w:val="00333405"/>
    <w:rsid w:val="0033343B"/>
    <w:rsid w:val="00333644"/>
    <w:rsid w:val="00333700"/>
    <w:rsid w:val="00333794"/>
    <w:rsid w:val="00333886"/>
    <w:rsid w:val="003338CD"/>
    <w:rsid w:val="0033393C"/>
    <w:rsid w:val="0033397A"/>
    <w:rsid w:val="003339C2"/>
    <w:rsid w:val="00333A25"/>
    <w:rsid w:val="00333A69"/>
    <w:rsid w:val="00333A9D"/>
    <w:rsid w:val="00333B02"/>
    <w:rsid w:val="00333B7C"/>
    <w:rsid w:val="00333C5D"/>
    <w:rsid w:val="00333CA4"/>
    <w:rsid w:val="00333DEB"/>
    <w:rsid w:val="00333E63"/>
    <w:rsid w:val="00333E6E"/>
    <w:rsid w:val="00333F0B"/>
    <w:rsid w:val="00334052"/>
    <w:rsid w:val="003340F2"/>
    <w:rsid w:val="00334214"/>
    <w:rsid w:val="00334272"/>
    <w:rsid w:val="003342B5"/>
    <w:rsid w:val="00334317"/>
    <w:rsid w:val="00334439"/>
    <w:rsid w:val="003344CA"/>
    <w:rsid w:val="00334531"/>
    <w:rsid w:val="00334795"/>
    <w:rsid w:val="00334813"/>
    <w:rsid w:val="0033483A"/>
    <w:rsid w:val="003348B9"/>
    <w:rsid w:val="003348D0"/>
    <w:rsid w:val="00334926"/>
    <w:rsid w:val="00334CE9"/>
    <w:rsid w:val="00334D25"/>
    <w:rsid w:val="00334DB3"/>
    <w:rsid w:val="00334FB2"/>
    <w:rsid w:val="00334FF8"/>
    <w:rsid w:val="0033527B"/>
    <w:rsid w:val="0033555A"/>
    <w:rsid w:val="003355D5"/>
    <w:rsid w:val="003357EE"/>
    <w:rsid w:val="0033580B"/>
    <w:rsid w:val="0033581D"/>
    <w:rsid w:val="00335824"/>
    <w:rsid w:val="0033599B"/>
    <w:rsid w:val="00335A44"/>
    <w:rsid w:val="00335A4F"/>
    <w:rsid w:val="00335A58"/>
    <w:rsid w:val="00335DEE"/>
    <w:rsid w:val="0033600B"/>
    <w:rsid w:val="0033608D"/>
    <w:rsid w:val="00336120"/>
    <w:rsid w:val="00336436"/>
    <w:rsid w:val="00336462"/>
    <w:rsid w:val="003365A3"/>
    <w:rsid w:val="003366BE"/>
    <w:rsid w:val="00336712"/>
    <w:rsid w:val="003367EA"/>
    <w:rsid w:val="003367F1"/>
    <w:rsid w:val="003367F5"/>
    <w:rsid w:val="00336924"/>
    <w:rsid w:val="00336942"/>
    <w:rsid w:val="003369B6"/>
    <w:rsid w:val="003369E2"/>
    <w:rsid w:val="00336ADB"/>
    <w:rsid w:val="00336BA6"/>
    <w:rsid w:val="00336BE8"/>
    <w:rsid w:val="00336C46"/>
    <w:rsid w:val="00336D74"/>
    <w:rsid w:val="00336DAE"/>
    <w:rsid w:val="00336F9C"/>
    <w:rsid w:val="00337042"/>
    <w:rsid w:val="003371BA"/>
    <w:rsid w:val="0033729D"/>
    <w:rsid w:val="00337368"/>
    <w:rsid w:val="00337382"/>
    <w:rsid w:val="00337453"/>
    <w:rsid w:val="003375DA"/>
    <w:rsid w:val="0033773C"/>
    <w:rsid w:val="003377CB"/>
    <w:rsid w:val="00337AA8"/>
    <w:rsid w:val="00337B4D"/>
    <w:rsid w:val="00337BA6"/>
    <w:rsid w:val="00337C6C"/>
    <w:rsid w:val="00337CDA"/>
    <w:rsid w:val="00337DCC"/>
    <w:rsid w:val="00337E14"/>
    <w:rsid w:val="00337F08"/>
    <w:rsid w:val="00337F69"/>
    <w:rsid w:val="0034008E"/>
    <w:rsid w:val="00340119"/>
    <w:rsid w:val="00340122"/>
    <w:rsid w:val="00340194"/>
    <w:rsid w:val="003401B1"/>
    <w:rsid w:val="00340214"/>
    <w:rsid w:val="0034025F"/>
    <w:rsid w:val="00340300"/>
    <w:rsid w:val="0034040A"/>
    <w:rsid w:val="00340467"/>
    <w:rsid w:val="0034053B"/>
    <w:rsid w:val="00340587"/>
    <w:rsid w:val="003407A9"/>
    <w:rsid w:val="003407AA"/>
    <w:rsid w:val="0034081C"/>
    <w:rsid w:val="00340896"/>
    <w:rsid w:val="003408AE"/>
    <w:rsid w:val="003408DB"/>
    <w:rsid w:val="00340928"/>
    <w:rsid w:val="00340975"/>
    <w:rsid w:val="00340A58"/>
    <w:rsid w:val="00340AE5"/>
    <w:rsid w:val="00340AEC"/>
    <w:rsid w:val="00340B0A"/>
    <w:rsid w:val="00340B9E"/>
    <w:rsid w:val="00340BA3"/>
    <w:rsid w:val="00340BAF"/>
    <w:rsid w:val="00340BC1"/>
    <w:rsid w:val="00340C2B"/>
    <w:rsid w:val="00340C73"/>
    <w:rsid w:val="00340F36"/>
    <w:rsid w:val="00340F9A"/>
    <w:rsid w:val="00341018"/>
    <w:rsid w:val="00341082"/>
    <w:rsid w:val="0034126A"/>
    <w:rsid w:val="003413B3"/>
    <w:rsid w:val="00341419"/>
    <w:rsid w:val="003414CA"/>
    <w:rsid w:val="003415A9"/>
    <w:rsid w:val="003415C7"/>
    <w:rsid w:val="003416E0"/>
    <w:rsid w:val="0034171E"/>
    <w:rsid w:val="00341723"/>
    <w:rsid w:val="003418CC"/>
    <w:rsid w:val="003419BC"/>
    <w:rsid w:val="00341D3B"/>
    <w:rsid w:val="00341EDB"/>
    <w:rsid w:val="003420D9"/>
    <w:rsid w:val="00342342"/>
    <w:rsid w:val="003423E0"/>
    <w:rsid w:val="00342427"/>
    <w:rsid w:val="003424C8"/>
    <w:rsid w:val="003425AA"/>
    <w:rsid w:val="003425D2"/>
    <w:rsid w:val="0034263C"/>
    <w:rsid w:val="003428C2"/>
    <w:rsid w:val="003428D2"/>
    <w:rsid w:val="003429CB"/>
    <w:rsid w:val="00342E6E"/>
    <w:rsid w:val="00342E95"/>
    <w:rsid w:val="00342F5E"/>
    <w:rsid w:val="0034301A"/>
    <w:rsid w:val="0034333B"/>
    <w:rsid w:val="003433A5"/>
    <w:rsid w:val="00343599"/>
    <w:rsid w:val="00343667"/>
    <w:rsid w:val="003437E7"/>
    <w:rsid w:val="00343941"/>
    <w:rsid w:val="00343A04"/>
    <w:rsid w:val="00343A06"/>
    <w:rsid w:val="00343BBF"/>
    <w:rsid w:val="00343C1E"/>
    <w:rsid w:val="00343D76"/>
    <w:rsid w:val="00343DAE"/>
    <w:rsid w:val="00343F2F"/>
    <w:rsid w:val="00343FBD"/>
    <w:rsid w:val="00344075"/>
    <w:rsid w:val="00344094"/>
    <w:rsid w:val="00344175"/>
    <w:rsid w:val="00344226"/>
    <w:rsid w:val="0034427F"/>
    <w:rsid w:val="003442C2"/>
    <w:rsid w:val="00344300"/>
    <w:rsid w:val="0034447E"/>
    <w:rsid w:val="0034455D"/>
    <w:rsid w:val="00344640"/>
    <w:rsid w:val="003446A5"/>
    <w:rsid w:val="003446ED"/>
    <w:rsid w:val="00344850"/>
    <w:rsid w:val="00344926"/>
    <w:rsid w:val="00344C9E"/>
    <w:rsid w:val="00344D10"/>
    <w:rsid w:val="00344D4F"/>
    <w:rsid w:val="00344D82"/>
    <w:rsid w:val="00344DC6"/>
    <w:rsid w:val="00344DFD"/>
    <w:rsid w:val="00344EEE"/>
    <w:rsid w:val="00345086"/>
    <w:rsid w:val="003451D3"/>
    <w:rsid w:val="00345309"/>
    <w:rsid w:val="0034569E"/>
    <w:rsid w:val="003456AC"/>
    <w:rsid w:val="0034570A"/>
    <w:rsid w:val="003457CE"/>
    <w:rsid w:val="0034587E"/>
    <w:rsid w:val="00345B0F"/>
    <w:rsid w:val="00345B64"/>
    <w:rsid w:val="00345BB6"/>
    <w:rsid w:val="00345BEC"/>
    <w:rsid w:val="00345C91"/>
    <w:rsid w:val="00345CA5"/>
    <w:rsid w:val="00345D28"/>
    <w:rsid w:val="00345F9A"/>
    <w:rsid w:val="00345FD4"/>
    <w:rsid w:val="00346009"/>
    <w:rsid w:val="00346054"/>
    <w:rsid w:val="003461C6"/>
    <w:rsid w:val="003461D3"/>
    <w:rsid w:val="00346374"/>
    <w:rsid w:val="00346378"/>
    <w:rsid w:val="0034640E"/>
    <w:rsid w:val="00346463"/>
    <w:rsid w:val="00346631"/>
    <w:rsid w:val="003466D4"/>
    <w:rsid w:val="00346838"/>
    <w:rsid w:val="003468E0"/>
    <w:rsid w:val="00346943"/>
    <w:rsid w:val="00346AAD"/>
    <w:rsid w:val="00346AE1"/>
    <w:rsid w:val="00346B3C"/>
    <w:rsid w:val="00346B61"/>
    <w:rsid w:val="00346B96"/>
    <w:rsid w:val="00346D96"/>
    <w:rsid w:val="00347073"/>
    <w:rsid w:val="00347297"/>
    <w:rsid w:val="003472F2"/>
    <w:rsid w:val="0034736A"/>
    <w:rsid w:val="0034747C"/>
    <w:rsid w:val="0034755A"/>
    <w:rsid w:val="003475FE"/>
    <w:rsid w:val="003476BE"/>
    <w:rsid w:val="00347859"/>
    <w:rsid w:val="0034786B"/>
    <w:rsid w:val="0034791B"/>
    <w:rsid w:val="0034792D"/>
    <w:rsid w:val="00347B1C"/>
    <w:rsid w:val="00347B6C"/>
    <w:rsid w:val="00350046"/>
    <w:rsid w:val="0035011B"/>
    <w:rsid w:val="00350169"/>
    <w:rsid w:val="00350173"/>
    <w:rsid w:val="003501CB"/>
    <w:rsid w:val="0035021F"/>
    <w:rsid w:val="0035025B"/>
    <w:rsid w:val="003502D3"/>
    <w:rsid w:val="00350400"/>
    <w:rsid w:val="003505F3"/>
    <w:rsid w:val="003507FF"/>
    <w:rsid w:val="00350805"/>
    <w:rsid w:val="0035082E"/>
    <w:rsid w:val="0035088A"/>
    <w:rsid w:val="003508DC"/>
    <w:rsid w:val="00350904"/>
    <w:rsid w:val="00350BFF"/>
    <w:rsid w:val="00350C78"/>
    <w:rsid w:val="00350D1D"/>
    <w:rsid w:val="00350D7B"/>
    <w:rsid w:val="00350D8E"/>
    <w:rsid w:val="00350E16"/>
    <w:rsid w:val="003510A8"/>
    <w:rsid w:val="00351144"/>
    <w:rsid w:val="003511AC"/>
    <w:rsid w:val="00351472"/>
    <w:rsid w:val="00351479"/>
    <w:rsid w:val="0035151C"/>
    <w:rsid w:val="003515A7"/>
    <w:rsid w:val="00351685"/>
    <w:rsid w:val="003516B3"/>
    <w:rsid w:val="00351862"/>
    <w:rsid w:val="003519F9"/>
    <w:rsid w:val="003519FE"/>
    <w:rsid w:val="00351D35"/>
    <w:rsid w:val="00351E7D"/>
    <w:rsid w:val="00351FC4"/>
    <w:rsid w:val="00351FDF"/>
    <w:rsid w:val="00351FED"/>
    <w:rsid w:val="003520E7"/>
    <w:rsid w:val="00352254"/>
    <w:rsid w:val="003522A3"/>
    <w:rsid w:val="0035231C"/>
    <w:rsid w:val="00352389"/>
    <w:rsid w:val="003523B8"/>
    <w:rsid w:val="003523D7"/>
    <w:rsid w:val="0035254B"/>
    <w:rsid w:val="00352567"/>
    <w:rsid w:val="003526AF"/>
    <w:rsid w:val="003528C2"/>
    <w:rsid w:val="00352989"/>
    <w:rsid w:val="00352A76"/>
    <w:rsid w:val="00352AE8"/>
    <w:rsid w:val="00352B5F"/>
    <w:rsid w:val="00352BD2"/>
    <w:rsid w:val="00352BFE"/>
    <w:rsid w:val="00352ECB"/>
    <w:rsid w:val="0035303D"/>
    <w:rsid w:val="00353191"/>
    <w:rsid w:val="003532CF"/>
    <w:rsid w:val="003532D4"/>
    <w:rsid w:val="003532DA"/>
    <w:rsid w:val="003533A3"/>
    <w:rsid w:val="003533B5"/>
    <w:rsid w:val="003533F5"/>
    <w:rsid w:val="00353484"/>
    <w:rsid w:val="003534BF"/>
    <w:rsid w:val="003534D5"/>
    <w:rsid w:val="003535EA"/>
    <w:rsid w:val="003535EE"/>
    <w:rsid w:val="00353676"/>
    <w:rsid w:val="00353771"/>
    <w:rsid w:val="0035378D"/>
    <w:rsid w:val="003537CC"/>
    <w:rsid w:val="00353830"/>
    <w:rsid w:val="00353929"/>
    <w:rsid w:val="00353A70"/>
    <w:rsid w:val="00353A7B"/>
    <w:rsid w:val="00353B7A"/>
    <w:rsid w:val="00353C85"/>
    <w:rsid w:val="00353E91"/>
    <w:rsid w:val="00353EA0"/>
    <w:rsid w:val="00353EDB"/>
    <w:rsid w:val="00353F06"/>
    <w:rsid w:val="00353F9E"/>
    <w:rsid w:val="003540D1"/>
    <w:rsid w:val="00354240"/>
    <w:rsid w:val="00354257"/>
    <w:rsid w:val="003542D9"/>
    <w:rsid w:val="00354310"/>
    <w:rsid w:val="003543D8"/>
    <w:rsid w:val="00354459"/>
    <w:rsid w:val="00354580"/>
    <w:rsid w:val="003545BF"/>
    <w:rsid w:val="00354602"/>
    <w:rsid w:val="003547B9"/>
    <w:rsid w:val="003548DC"/>
    <w:rsid w:val="00354978"/>
    <w:rsid w:val="00354A90"/>
    <w:rsid w:val="00354AEB"/>
    <w:rsid w:val="00354B8A"/>
    <w:rsid w:val="00354BBE"/>
    <w:rsid w:val="00354E57"/>
    <w:rsid w:val="003550BB"/>
    <w:rsid w:val="00355213"/>
    <w:rsid w:val="003552CB"/>
    <w:rsid w:val="00355395"/>
    <w:rsid w:val="00355424"/>
    <w:rsid w:val="003557C6"/>
    <w:rsid w:val="0035586A"/>
    <w:rsid w:val="00355934"/>
    <w:rsid w:val="00355956"/>
    <w:rsid w:val="00355B2C"/>
    <w:rsid w:val="00355B48"/>
    <w:rsid w:val="00355CDC"/>
    <w:rsid w:val="00355CF1"/>
    <w:rsid w:val="00355D41"/>
    <w:rsid w:val="00355D54"/>
    <w:rsid w:val="00355D9F"/>
    <w:rsid w:val="00355E4A"/>
    <w:rsid w:val="00355E9B"/>
    <w:rsid w:val="00355EE3"/>
    <w:rsid w:val="003560B4"/>
    <w:rsid w:val="003560FE"/>
    <w:rsid w:val="0035611A"/>
    <w:rsid w:val="00356184"/>
    <w:rsid w:val="00356217"/>
    <w:rsid w:val="00356233"/>
    <w:rsid w:val="003562BB"/>
    <w:rsid w:val="00356352"/>
    <w:rsid w:val="0035657C"/>
    <w:rsid w:val="003565A9"/>
    <w:rsid w:val="003565D6"/>
    <w:rsid w:val="00356715"/>
    <w:rsid w:val="003568DA"/>
    <w:rsid w:val="003568FD"/>
    <w:rsid w:val="0035693D"/>
    <w:rsid w:val="00356A79"/>
    <w:rsid w:val="00356C0A"/>
    <w:rsid w:val="00356C3D"/>
    <w:rsid w:val="00356C6E"/>
    <w:rsid w:val="00356D00"/>
    <w:rsid w:val="00356D10"/>
    <w:rsid w:val="00356D12"/>
    <w:rsid w:val="00356DDC"/>
    <w:rsid w:val="00356DF4"/>
    <w:rsid w:val="00356ED1"/>
    <w:rsid w:val="00356F0B"/>
    <w:rsid w:val="00357090"/>
    <w:rsid w:val="0035721E"/>
    <w:rsid w:val="00357266"/>
    <w:rsid w:val="00357344"/>
    <w:rsid w:val="00357682"/>
    <w:rsid w:val="003576EE"/>
    <w:rsid w:val="0035789E"/>
    <w:rsid w:val="00357AEB"/>
    <w:rsid w:val="00357B88"/>
    <w:rsid w:val="00357C39"/>
    <w:rsid w:val="00357CF6"/>
    <w:rsid w:val="00357D37"/>
    <w:rsid w:val="00357F33"/>
    <w:rsid w:val="00360104"/>
    <w:rsid w:val="0036010E"/>
    <w:rsid w:val="003602A4"/>
    <w:rsid w:val="003603AC"/>
    <w:rsid w:val="00360586"/>
    <w:rsid w:val="0036058E"/>
    <w:rsid w:val="0036077A"/>
    <w:rsid w:val="00360900"/>
    <w:rsid w:val="0036098A"/>
    <w:rsid w:val="003609BE"/>
    <w:rsid w:val="00360B12"/>
    <w:rsid w:val="00360B75"/>
    <w:rsid w:val="00360BA9"/>
    <w:rsid w:val="00360BAA"/>
    <w:rsid w:val="00360BC7"/>
    <w:rsid w:val="00360C76"/>
    <w:rsid w:val="00360E6E"/>
    <w:rsid w:val="00360F44"/>
    <w:rsid w:val="00360F95"/>
    <w:rsid w:val="00360FA8"/>
    <w:rsid w:val="00360FD6"/>
    <w:rsid w:val="0036116D"/>
    <w:rsid w:val="0036151C"/>
    <w:rsid w:val="00361527"/>
    <w:rsid w:val="00361792"/>
    <w:rsid w:val="0036181D"/>
    <w:rsid w:val="00361A9B"/>
    <w:rsid w:val="00361ACF"/>
    <w:rsid w:val="00361B39"/>
    <w:rsid w:val="00361B8F"/>
    <w:rsid w:val="00361BA3"/>
    <w:rsid w:val="00361BC6"/>
    <w:rsid w:val="00361BED"/>
    <w:rsid w:val="00361C82"/>
    <w:rsid w:val="00361E94"/>
    <w:rsid w:val="00361F1F"/>
    <w:rsid w:val="0036202D"/>
    <w:rsid w:val="0036210A"/>
    <w:rsid w:val="0036210F"/>
    <w:rsid w:val="00362120"/>
    <w:rsid w:val="00362163"/>
    <w:rsid w:val="003622C1"/>
    <w:rsid w:val="003622EE"/>
    <w:rsid w:val="0036269D"/>
    <w:rsid w:val="0036275C"/>
    <w:rsid w:val="0036276A"/>
    <w:rsid w:val="0036276D"/>
    <w:rsid w:val="003627A9"/>
    <w:rsid w:val="003627CB"/>
    <w:rsid w:val="003628AA"/>
    <w:rsid w:val="00362969"/>
    <w:rsid w:val="00362A6D"/>
    <w:rsid w:val="00362B77"/>
    <w:rsid w:val="00362CCF"/>
    <w:rsid w:val="00362D0D"/>
    <w:rsid w:val="00362ECA"/>
    <w:rsid w:val="00363080"/>
    <w:rsid w:val="0036309B"/>
    <w:rsid w:val="003630C6"/>
    <w:rsid w:val="0036319D"/>
    <w:rsid w:val="003631DB"/>
    <w:rsid w:val="00363328"/>
    <w:rsid w:val="0036337E"/>
    <w:rsid w:val="00363453"/>
    <w:rsid w:val="00363574"/>
    <w:rsid w:val="003635E2"/>
    <w:rsid w:val="003638D1"/>
    <w:rsid w:val="00363A85"/>
    <w:rsid w:val="00363AD7"/>
    <w:rsid w:val="00363B6D"/>
    <w:rsid w:val="00363BCE"/>
    <w:rsid w:val="00363E20"/>
    <w:rsid w:val="00363E8B"/>
    <w:rsid w:val="0036408A"/>
    <w:rsid w:val="003640FD"/>
    <w:rsid w:val="00364107"/>
    <w:rsid w:val="00364124"/>
    <w:rsid w:val="0036427C"/>
    <w:rsid w:val="00364385"/>
    <w:rsid w:val="00364524"/>
    <w:rsid w:val="00364528"/>
    <w:rsid w:val="003645FD"/>
    <w:rsid w:val="0036460C"/>
    <w:rsid w:val="003646D9"/>
    <w:rsid w:val="0036470D"/>
    <w:rsid w:val="003647A8"/>
    <w:rsid w:val="003647B6"/>
    <w:rsid w:val="003647D3"/>
    <w:rsid w:val="0036486B"/>
    <w:rsid w:val="003648B4"/>
    <w:rsid w:val="003649CE"/>
    <w:rsid w:val="00364A4A"/>
    <w:rsid w:val="00364A4B"/>
    <w:rsid w:val="00364A80"/>
    <w:rsid w:val="00364C1B"/>
    <w:rsid w:val="00364F5E"/>
    <w:rsid w:val="00364F78"/>
    <w:rsid w:val="003650A1"/>
    <w:rsid w:val="0036513A"/>
    <w:rsid w:val="00365180"/>
    <w:rsid w:val="003651E1"/>
    <w:rsid w:val="00365235"/>
    <w:rsid w:val="00365237"/>
    <w:rsid w:val="00365238"/>
    <w:rsid w:val="0036528C"/>
    <w:rsid w:val="003652CC"/>
    <w:rsid w:val="003652E2"/>
    <w:rsid w:val="0036530C"/>
    <w:rsid w:val="003653B3"/>
    <w:rsid w:val="003653F8"/>
    <w:rsid w:val="003654E8"/>
    <w:rsid w:val="0036559C"/>
    <w:rsid w:val="003655EF"/>
    <w:rsid w:val="00365729"/>
    <w:rsid w:val="003657BF"/>
    <w:rsid w:val="0036587E"/>
    <w:rsid w:val="00365883"/>
    <w:rsid w:val="0036596B"/>
    <w:rsid w:val="00365C90"/>
    <w:rsid w:val="00365DC4"/>
    <w:rsid w:val="00365E29"/>
    <w:rsid w:val="00365EDA"/>
    <w:rsid w:val="00365F32"/>
    <w:rsid w:val="00365F8B"/>
    <w:rsid w:val="00365F9D"/>
    <w:rsid w:val="003660CD"/>
    <w:rsid w:val="0036629E"/>
    <w:rsid w:val="0036640A"/>
    <w:rsid w:val="003664A7"/>
    <w:rsid w:val="003664B9"/>
    <w:rsid w:val="00366543"/>
    <w:rsid w:val="00366751"/>
    <w:rsid w:val="0036684C"/>
    <w:rsid w:val="00366AC2"/>
    <w:rsid w:val="00366AF7"/>
    <w:rsid w:val="00366B08"/>
    <w:rsid w:val="00366BC5"/>
    <w:rsid w:val="00366BED"/>
    <w:rsid w:val="00366E19"/>
    <w:rsid w:val="00366E97"/>
    <w:rsid w:val="0036724B"/>
    <w:rsid w:val="003672AF"/>
    <w:rsid w:val="0036744C"/>
    <w:rsid w:val="0036745C"/>
    <w:rsid w:val="0036746A"/>
    <w:rsid w:val="00367496"/>
    <w:rsid w:val="0036752F"/>
    <w:rsid w:val="00367751"/>
    <w:rsid w:val="00367788"/>
    <w:rsid w:val="00367803"/>
    <w:rsid w:val="003678BE"/>
    <w:rsid w:val="003678CB"/>
    <w:rsid w:val="00367924"/>
    <w:rsid w:val="00367CC9"/>
    <w:rsid w:val="00367D77"/>
    <w:rsid w:val="00367DC4"/>
    <w:rsid w:val="00367F6E"/>
    <w:rsid w:val="00367F89"/>
    <w:rsid w:val="003700BE"/>
    <w:rsid w:val="003700EA"/>
    <w:rsid w:val="003700F8"/>
    <w:rsid w:val="0037025A"/>
    <w:rsid w:val="0037040F"/>
    <w:rsid w:val="003704B4"/>
    <w:rsid w:val="003704C8"/>
    <w:rsid w:val="0037057E"/>
    <w:rsid w:val="003705C7"/>
    <w:rsid w:val="0037061D"/>
    <w:rsid w:val="003706AC"/>
    <w:rsid w:val="003706BB"/>
    <w:rsid w:val="0037070D"/>
    <w:rsid w:val="00370787"/>
    <w:rsid w:val="00370795"/>
    <w:rsid w:val="003707A1"/>
    <w:rsid w:val="003708DF"/>
    <w:rsid w:val="003708E6"/>
    <w:rsid w:val="00370949"/>
    <w:rsid w:val="00370CAD"/>
    <w:rsid w:val="00370ECF"/>
    <w:rsid w:val="003713F0"/>
    <w:rsid w:val="003714A3"/>
    <w:rsid w:val="0037160B"/>
    <w:rsid w:val="00371656"/>
    <w:rsid w:val="0037186A"/>
    <w:rsid w:val="003718CD"/>
    <w:rsid w:val="00371A5F"/>
    <w:rsid w:val="00371A81"/>
    <w:rsid w:val="00371A9C"/>
    <w:rsid w:val="00371B2A"/>
    <w:rsid w:val="00371B2E"/>
    <w:rsid w:val="00371B2F"/>
    <w:rsid w:val="00371D51"/>
    <w:rsid w:val="00371D67"/>
    <w:rsid w:val="00371DAE"/>
    <w:rsid w:val="00371E80"/>
    <w:rsid w:val="00371F3E"/>
    <w:rsid w:val="00371F53"/>
    <w:rsid w:val="00371FE8"/>
    <w:rsid w:val="00371FEB"/>
    <w:rsid w:val="0037203B"/>
    <w:rsid w:val="0037209E"/>
    <w:rsid w:val="0037209F"/>
    <w:rsid w:val="0037211C"/>
    <w:rsid w:val="0037211E"/>
    <w:rsid w:val="00372155"/>
    <w:rsid w:val="003722BB"/>
    <w:rsid w:val="00372439"/>
    <w:rsid w:val="0037243B"/>
    <w:rsid w:val="003724AF"/>
    <w:rsid w:val="003724D1"/>
    <w:rsid w:val="0037251C"/>
    <w:rsid w:val="00372578"/>
    <w:rsid w:val="00372707"/>
    <w:rsid w:val="0037272C"/>
    <w:rsid w:val="003728B0"/>
    <w:rsid w:val="003728F8"/>
    <w:rsid w:val="00372945"/>
    <w:rsid w:val="00372B30"/>
    <w:rsid w:val="00372B91"/>
    <w:rsid w:val="00372B9A"/>
    <w:rsid w:val="00372C59"/>
    <w:rsid w:val="00372DF9"/>
    <w:rsid w:val="00372FAA"/>
    <w:rsid w:val="00372FEF"/>
    <w:rsid w:val="003730F7"/>
    <w:rsid w:val="0037310B"/>
    <w:rsid w:val="00373145"/>
    <w:rsid w:val="003731BF"/>
    <w:rsid w:val="003731EE"/>
    <w:rsid w:val="0037329F"/>
    <w:rsid w:val="00373372"/>
    <w:rsid w:val="00373593"/>
    <w:rsid w:val="0037362D"/>
    <w:rsid w:val="003737B4"/>
    <w:rsid w:val="003738B9"/>
    <w:rsid w:val="003738DC"/>
    <w:rsid w:val="00373A14"/>
    <w:rsid w:val="00373A3E"/>
    <w:rsid w:val="00373B26"/>
    <w:rsid w:val="00373C7A"/>
    <w:rsid w:val="00373DC0"/>
    <w:rsid w:val="00373DC1"/>
    <w:rsid w:val="00373FD3"/>
    <w:rsid w:val="00374082"/>
    <w:rsid w:val="00374163"/>
    <w:rsid w:val="00374165"/>
    <w:rsid w:val="00374243"/>
    <w:rsid w:val="003745CB"/>
    <w:rsid w:val="00374606"/>
    <w:rsid w:val="00374674"/>
    <w:rsid w:val="003746C5"/>
    <w:rsid w:val="003748F3"/>
    <w:rsid w:val="00374AF9"/>
    <w:rsid w:val="00374B5B"/>
    <w:rsid w:val="00374C96"/>
    <w:rsid w:val="00374CCC"/>
    <w:rsid w:val="00374F15"/>
    <w:rsid w:val="00374F2A"/>
    <w:rsid w:val="00374FB6"/>
    <w:rsid w:val="00375144"/>
    <w:rsid w:val="00375287"/>
    <w:rsid w:val="0037528B"/>
    <w:rsid w:val="003752C7"/>
    <w:rsid w:val="00375319"/>
    <w:rsid w:val="00375332"/>
    <w:rsid w:val="003754B5"/>
    <w:rsid w:val="00375619"/>
    <w:rsid w:val="0037574D"/>
    <w:rsid w:val="00375791"/>
    <w:rsid w:val="00375826"/>
    <w:rsid w:val="00375994"/>
    <w:rsid w:val="003759E7"/>
    <w:rsid w:val="00375A7B"/>
    <w:rsid w:val="00375A7E"/>
    <w:rsid w:val="00375B68"/>
    <w:rsid w:val="00375BBE"/>
    <w:rsid w:val="00375BFE"/>
    <w:rsid w:val="00375C59"/>
    <w:rsid w:val="00375CE8"/>
    <w:rsid w:val="00375D4C"/>
    <w:rsid w:val="00375E05"/>
    <w:rsid w:val="00375F4B"/>
    <w:rsid w:val="00376118"/>
    <w:rsid w:val="00376258"/>
    <w:rsid w:val="003763D7"/>
    <w:rsid w:val="003764C6"/>
    <w:rsid w:val="003765A9"/>
    <w:rsid w:val="00376608"/>
    <w:rsid w:val="0037663B"/>
    <w:rsid w:val="003766F4"/>
    <w:rsid w:val="0037673F"/>
    <w:rsid w:val="0037678F"/>
    <w:rsid w:val="003767FB"/>
    <w:rsid w:val="00376900"/>
    <w:rsid w:val="003769DB"/>
    <w:rsid w:val="00376A63"/>
    <w:rsid w:val="00376AC7"/>
    <w:rsid w:val="00376B10"/>
    <w:rsid w:val="00376BB7"/>
    <w:rsid w:val="00376C81"/>
    <w:rsid w:val="00376CAB"/>
    <w:rsid w:val="00376EEE"/>
    <w:rsid w:val="00376FA6"/>
    <w:rsid w:val="0037704D"/>
    <w:rsid w:val="0037733E"/>
    <w:rsid w:val="0037793B"/>
    <w:rsid w:val="00377A62"/>
    <w:rsid w:val="00377BA1"/>
    <w:rsid w:val="00377C36"/>
    <w:rsid w:val="00377E11"/>
    <w:rsid w:val="00377E7E"/>
    <w:rsid w:val="00377EA2"/>
    <w:rsid w:val="00377FF0"/>
    <w:rsid w:val="00380101"/>
    <w:rsid w:val="00380112"/>
    <w:rsid w:val="003801FB"/>
    <w:rsid w:val="00380214"/>
    <w:rsid w:val="0038031F"/>
    <w:rsid w:val="0038048D"/>
    <w:rsid w:val="003804DB"/>
    <w:rsid w:val="00380616"/>
    <w:rsid w:val="0038066B"/>
    <w:rsid w:val="003806E6"/>
    <w:rsid w:val="00380725"/>
    <w:rsid w:val="003807C1"/>
    <w:rsid w:val="003807CC"/>
    <w:rsid w:val="0038081C"/>
    <w:rsid w:val="00380850"/>
    <w:rsid w:val="00380893"/>
    <w:rsid w:val="00380954"/>
    <w:rsid w:val="00380A34"/>
    <w:rsid w:val="00380AA1"/>
    <w:rsid w:val="00380B32"/>
    <w:rsid w:val="00380E01"/>
    <w:rsid w:val="00380FD7"/>
    <w:rsid w:val="00381022"/>
    <w:rsid w:val="003810AE"/>
    <w:rsid w:val="0038144C"/>
    <w:rsid w:val="0038147B"/>
    <w:rsid w:val="003814B8"/>
    <w:rsid w:val="00381637"/>
    <w:rsid w:val="00381C6B"/>
    <w:rsid w:val="00381C75"/>
    <w:rsid w:val="00381D5A"/>
    <w:rsid w:val="00381FB7"/>
    <w:rsid w:val="003820A4"/>
    <w:rsid w:val="00382157"/>
    <w:rsid w:val="00382267"/>
    <w:rsid w:val="003822A5"/>
    <w:rsid w:val="003822CE"/>
    <w:rsid w:val="0038233F"/>
    <w:rsid w:val="00382557"/>
    <w:rsid w:val="003827B9"/>
    <w:rsid w:val="00382897"/>
    <w:rsid w:val="003828AD"/>
    <w:rsid w:val="00382909"/>
    <w:rsid w:val="00382B18"/>
    <w:rsid w:val="00382BC9"/>
    <w:rsid w:val="00382C71"/>
    <w:rsid w:val="00382C7E"/>
    <w:rsid w:val="00382E10"/>
    <w:rsid w:val="00382E48"/>
    <w:rsid w:val="00382ECB"/>
    <w:rsid w:val="00382EE1"/>
    <w:rsid w:val="00382F95"/>
    <w:rsid w:val="00383006"/>
    <w:rsid w:val="0038319E"/>
    <w:rsid w:val="003831A1"/>
    <w:rsid w:val="0038328E"/>
    <w:rsid w:val="00383301"/>
    <w:rsid w:val="0038335F"/>
    <w:rsid w:val="00383381"/>
    <w:rsid w:val="003833DE"/>
    <w:rsid w:val="0038347D"/>
    <w:rsid w:val="00383570"/>
    <w:rsid w:val="003836E8"/>
    <w:rsid w:val="00383722"/>
    <w:rsid w:val="003837F2"/>
    <w:rsid w:val="0038381C"/>
    <w:rsid w:val="003838C2"/>
    <w:rsid w:val="003838F1"/>
    <w:rsid w:val="00383B70"/>
    <w:rsid w:val="00383BEA"/>
    <w:rsid w:val="00383C7D"/>
    <w:rsid w:val="00383C8A"/>
    <w:rsid w:val="00383CAC"/>
    <w:rsid w:val="00383F00"/>
    <w:rsid w:val="00383F0F"/>
    <w:rsid w:val="00383F59"/>
    <w:rsid w:val="00384048"/>
    <w:rsid w:val="0038412D"/>
    <w:rsid w:val="00384258"/>
    <w:rsid w:val="0038425E"/>
    <w:rsid w:val="00384279"/>
    <w:rsid w:val="0038432B"/>
    <w:rsid w:val="00384555"/>
    <w:rsid w:val="00384773"/>
    <w:rsid w:val="0038482B"/>
    <w:rsid w:val="00384889"/>
    <w:rsid w:val="003848CA"/>
    <w:rsid w:val="0038490C"/>
    <w:rsid w:val="00384DD6"/>
    <w:rsid w:val="00384E7B"/>
    <w:rsid w:val="00384FF4"/>
    <w:rsid w:val="00385084"/>
    <w:rsid w:val="0038509C"/>
    <w:rsid w:val="00385131"/>
    <w:rsid w:val="00385169"/>
    <w:rsid w:val="0038520A"/>
    <w:rsid w:val="0038522B"/>
    <w:rsid w:val="00385268"/>
    <w:rsid w:val="00385349"/>
    <w:rsid w:val="00385381"/>
    <w:rsid w:val="00385416"/>
    <w:rsid w:val="00385471"/>
    <w:rsid w:val="003854C6"/>
    <w:rsid w:val="00385696"/>
    <w:rsid w:val="003857CB"/>
    <w:rsid w:val="003858E6"/>
    <w:rsid w:val="003859F8"/>
    <w:rsid w:val="00385B17"/>
    <w:rsid w:val="00385D15"/>
    <w:rsid w:val="00385FBF"/>
    <w:rsid w:val="00386099"/>
    <w:rsid w:val="0038613F"/>
    <w:rsid w:val="0038620B"/>
    <w:rsid w:val="0038621B"/>
    <w:rsid w:val="00386500"/>
    <w:rsid w:val="00386525"/>
    <w:rsid w:val="003865C1"/>
    <w:rsid w:val="00386642"/>
    <w:rsid w:val="0038676A"/>
    <w:rsid w:val="003867C4"/>
    <w:rsid w:val="003867F8"/>
    <w:rsid w:val="00386B1B"/>
    <w:rsid w:val="00386B63"/>
    <w:rsid w:val="00386C26"/>
    <w:rsid w:val="00386C79"/>
    <w:rsid w:val="00386CFE"/>
    <w:rsid w:val="00386D28"/>
    <w:rsid w:val="00386E30"/>
    <w:rsid w:val="00386E6E"/>
    <w:rsid w:val="003870EA"/>
    <w:rsid w:val="0038720C"/>
    <w:rsid w:val="003873A2"/>
    <w:rsid w:val="0038752E"/>
    <w:rsid w:val="00387608"/>
    <w:rsid w:val="00387647"/>
    <w:rsid w:val="00387653"/>
    <w:rsid w:val="00387716"/>
    <w:rsid w:val="003878DD"/>
    <w:rsid w:val="0038791A"/>
    <w:rsid w:val="00387AF2"/>
    <w:rsid w:val="00387B4E"/>
    <w:rsid w:val="00387C70"/>
    <w:rsid w:val="00387CCD"/>
    <w:rsid w:val="00387D5F"/>
    <w:rsid w:val="00387D8E"/>
    <w:rsid w:val="00387E1A"/>
    <w:rsid w:val="00387FE5"/>
    <w:rsid w:val="00390056"/>
    <w:rsid w:val="00390122"/>
    <w:rsid w:val="00390170"/>
    <w:rsid w:val="0039042C"/>
    <w:rsid w:val="00390544"/>
    <w:rsid w:val="00390552"/>
    <w:rsid w:val="0039055C"/>
    <w:rsid w:val="003906EC"/>
    <w:rsid w:val="00390718"/>
    <w:rsid w:val="00390719"/>
    <w:rsid w:val="00390767"/>
    <w:rsid w:val="003907EF"/>
    <w:rsid w:val="00390883"/>
    <w:rsid w:val="0039099F"/>
    <w:rsid w:val="003909B6"/>
    <w:rsid w:val="00390A77"/>
    <w:rsid w:val="00390B87"/>
    <w:rsid w:val="0039105C"/>
    <w:rsid w:val="0039145E"/>
    <w:rsid w:val="00391470"/>
    <w:rsid w:val="00391480"/>
    <w:rsid w:val="0039154D"/>
    <w:rsid w:val="003915E6"/>
    <w:rsid w:val="0039184E"/>
    <w:rsid w:val="003919A5"/>
    <w:rsid w:val="00391A78"/>
    <w:rsid w:val="00391A91"/>
    <w:rsid w:val="00391AF2"/>
    <w:rsid w:val="00391E66"/>
    <w:rsid w:val="00392027"/>
    <w:rsid w:val="003920C4"/>
    <w:rsid w:val="00392147"/>
    <w:rsid w:val="00392184"/>
    <w:rsid w:val="003921BD"/>
    <w:rsid w:val="0039220D"/>
    <w:rsid w:val="00392286"/>
    <w:rsid w:val="00392321"/>
    <w:rsid w:val="003923C0"/>
    <w:rsid w:val="00392564"/>
    <w:rsid w:val="00392652"/>
    <w:rsid w:val="003927B0"/>
    <w:rsid w:val="003927E5"/>
    <w:rsid w:val="00392854"/>
    <w:rsid w:val="00392946"/>
    <w:rsid w:val="00392964"/>
    <w:rsid w:val="003929B7"/>
    <w:rsid w:val="00392A93"/>
    <w:rsid w:val="00392AA2"/>
    <w:rsid w:val="00392B3F"/>
    <w:rsid w:val="00392B41"/>
    <w:rsid w:val="00392B9A"/>
    <w:rsid w:val="00392D19"/>
    <w:rsid w:val="00392FBB"/>
    <w:rsid w:val="0039319A"/>
    <w:rsid w:val="003932DC"/>
    <w:rsid w:val="003933FF"/>
    <w:rsid w:val="00393435"/>
    <w:rsid w:val="003936C3"/>
    <w:rsid w:val="0039377A"/>
    <w:rsid w:val="003937FC"/>
    <w:rsid w:val="0039392A"/>
    <w:rsid w:val="003939D6"/>
    <w:rsid w:val="00393AE5"/>
    <w:rsid w:val="00393E17"/>
    <w:rsid w:val="00393E8A"/>
    <w:rsid w:val="00393F0B"/>
    <w:rsid w:val="003941D4"/>
    <w:rsid w:val="00394404"/>
    <w:rsid w:val="003944AB"/>
    <w:rsid w:val="003944C8"/>
    <w:rsid w:val="0039456F"/>
    <w:rsid w:val="003945C8"/>
    <w:rsid w:val="003945C9"/>
    <w:rsid w:val="003945F5"/>
    <w:rsid w:val="00394643"/>
    <w:rsid w:val="00394696"/>
    <w:rsid w:val="0039469C"/>
    <w:rsid w:val="00394804"/>
    <w:rsid w:val="0039480D"/>
    <w:rsid w:val="00394833"/>
    <w:rsid w:val="00394873"/>
    <w:rsid w:val="003949AD"/>
    <w:rsid w:val="00394BF0"/>
    <w:rsid w:val="00394C0D"/>
    <w:rsid w:val="00394C46"/>
    <w:rsid w:val="00394D5B"/>
    <w:rsid w:val="00394DCF"/>
    <w:rsid w:val="00394E92"/>
    <w:rsid w:val="00395446"/>
    <w:rsid w:val="0039558B"/>
    <w:rsid w:val="003956C1"/>
    <w:rsid w:val="0039581B"/>
    <w:rsid w:val="0039583F"/>
    <w:rsid w:val="00395898"/>
    <w:rsid w:val="003958FE"/>
    <w:rsid w:val="00395A01"/>
    <w:rsid w:val="00395A5F"/>
    <w:rsid w:val="00395A67"/>
    <w:rsid w:val="00395A84"/>
    <w:rsid w:val="00395CBA"/>
    <w:rsid w:val="00395EB5"/>
    <w:rsid w:val="00395EC8"/>
    <w:rsid w:val="00395FFD"/>
    <w:rsid w:val="0039608F"/>
    <w:rsid w:val="00396102"/>
    <w:rsid w:val="00396200"/>
    <w:rsid w:val="00396312"/>
    <w:rsid w:val="00396331"/>
    <w:rsid w:val="00396370"/>
    <w:rsid w:val="003966B3"/>
    <w:rsid w:val="00396725"/>
    <w:rsid w:val="00396823"/>
    <w:rsid w:val="003968AA"/>
    <w:rsid w:val="00396A36"/>
    <w:rsid w:val="00396CAF"/>
    <w:rsid w:val="00396F6D"/>
    <w:rsid w:val="00396FAD"/>
    <w:rsid w:val="00396FB1"/>
    <w:rsid w:val="0039702F"/>
    <w:rsid w:val="00397089"/>
    <w:rsid w:val="003970A2"/>
    <w:rsid w:val="003970C4"/>
    <w:rsid w:val="0039713A"/>
    <w:rsid w:val="00397343"/>
    <w:rsid w:val="003974F9"/>
    <w:rsid w:val="0039755A"/>
    <w:rsid w:val="0039769F"/>
    <w:rsid w:val="003976AC"/>
    <w:rsid w:val="00397782"/>
    <w:rsid w:val="003977CA"/>
    <w:rsid w:val="00397909"/>
    <w:rsid w:val="00397A28"/>
    <w:rsid w:val="00397A77"/>
    <w:rsid w:val="00397B27"/>
    <w:rsid w:val="00397BD5"/>
    <w:rsid w:val="00397BE5"/>
    <w:rsid w:val="00397D17"/>
    <w:rsid w:val="00397D88"/>
    <w:rsid w:val="00397DCD"/>
    <w:rsid w:val="00397E32"/>
    <w:rsid w:val="00397E47"/>
    <w:rsid w:val="00397E94"/>
    <w:rsid w:val="00397F05"/>
    <w:rsid w:val="003A00D5"/>
    <w:rsid w:val="003A0439"/>
    <w:rsid w:val="003A0442"/>
    <w:rsid w:val="003A04F1"/>
    <w:rsid w:val="003A0560"/>
    <w:rsid w:val="003A0899"/>
    <w:rsid w:val="003A0ADB"/>
    <w:rsid w:val="003A0B0F"/>
    <w:rsid w:val="003A0BFA"/>
    <w:rsid w:val="003A0CB8"/>
    <w:rsid w:val="003A0E48"/>
    <w:rsid w:val="003A0F0E"/>
    <w:rsid w:val="003A1250"/>
    <w:rsid w:val="003A13B0"/>
    <w:rsid w:val="003A1512"/>
    <w:rsid w:val="003A1530"/>
    <w:rsid w:val="003A15EB"/>
    <w:rsid w:val="003A18AB"/>
    <w:rsid w:val="003A1923"/>
    <w:rsid w:val="003A195B"/>
    <w:rsid w:val="003A1B6A"/>
    <w:rsid w:val="003A1BEB"/>
    <w:rsid w:val="003A1D0D"/>
    <w:rsid w:val="003A1DCA"/>
    <w:rsid w:val="003A1EB7"/>
    <w:rsid w:val="003A1F17"/>
    <w:rsid w:val="003A2053"/>
    <w:rsid w:val="003A20F2"/>
    <w:rsid w:val="003A2119"/>
    <w:rsid w:val="003A2122"/>
    <w:rsid w:val="003A218A"/>
    <w:rsid w:val="003A2193"/>
    <w:rsid w:val="003A21D3"/>
    <w:rsid w:val="003A2213"/>
    <w:rsid w:val="003A2231"/>
    <w:rsid w:val="003A2269"/>
    <w:rsid w:val="003A22BD"/>
    <w:rsid w:val="003A23F3"/>
    <w:rsid w:val="003A2477"/>
    <w:rsid w:val="003A2593"/>
    <w:rsid w:val="003A260B"/>
    <w:rsid w:val="003A26DD"/>
    <w:rsid w:val="003A278A"/>
    <w:rsid w:val="003A27EF"/>
    <w:rsid w:val="003A298F"/>
    <w:rsid w:val="003A2CA2"/>
    <w:rsid w:val="003A2D46"/>
    <w:rsid w:val="003A2D82"/>
    <w:rsid w:val="003A2E8C"/>
    <w:rsid w:val="003A2FED"/>
    <w:rsid w:val="003A3045"/>
    <w:rsid w:val="003A3353"/>
    <w:rsid w:val="003A337C"/>
    <w:rsid w:val="003A33A5"/>
    <w:rsid w:val="003A33BC"/>
    <w:rsid w:val="003A3403"/>
    <w:rsid w:val="003A3519"/>
    <w:rsid w:val="003A36DA"/>
    <w:rsid w:val="003A37EE"/>
    <w:rsid w:val="003A38BF"/>
    <w:rsid w:val="003A38F1"/>
    <w:rsid w:val="003A38FF"/>
    <w:rsid w:val="003A39B9"/>
    <w:rsid w:val="003A39D0"/>
    <w:rsid w:val="003A3A5B"/>
    <w:rsid w:val="003A3A6C"/>
    <w:rsid w:val="003A3B2C"/>
    <w:rsid w:val="003A3CC0"/>
    <w:rsid w:val="003A3D1B"/>
    <w:rsid w:val="003A3DFF"/>
    <w:rsid w:val="003A3E16"/>
    <w:rsid w:val="003A3F39"/>
    <w:rsid w:val="003A4052"/>
    <w:rsid w:val="003A40D0"/>
    <w:rsid w:val="003A4122"/>
    <w:rsid w:val="003A4253"/>
    <w:rsid w:val="003A4296"/>
    <w:rsid w:val="003A44A3"/>
    <w:rsid w:val="003A4549"/>
    <w:rsid w:val="003A457C"/>
    <w:rsid w:val="003A45A6"/>
    <w:rsid w:val="003A47DF"/>
    <w:rsid w:val="003A4958"/>
    <w:rsid w:val="003A49B3"/>
    <w:rsid w:val="003A4BAE"/>
    <w:rsid w:val="003A4BB5"/>
    <w:rsid w:val="003A4BDF"/>
    <w:rsid w:val="003A4BEE"/>
    <w:rsid w:val="003A4C53"/>
    <w:rsid w:val="003A5086"/>
    <w:rsid w:val="003A508E"/>
    <w:rsid w:val="003A50B0"/>
    <w:rsid w:val="003A52F0"/>
    <w:rsid w:val="003A55B4"/>
    <w:rsid w:val="003A579D"/>
    <w:rsid w:val="003A585C"/>
    <w:rsid w:val="003A58E3"/>
    <w:rsid w:val="003A5920"/>
    <w:rsid w:val="003A5AC2"/>
    <w:rsid w:val="003A5B0C"/>
    <w:rsid w:val="003A5BE6"/>
    <w:rsid w:val="003A5C84"/>
    <w:rsid w:val="003A5C9F"/>
    <w:rsid w:val="003A5CA9"/>
    <w:rsid w:val="003A5CFB"/>
    <w:rsid w:val="003A5FBE"/>
    <w:rsid w:val="003A5FDE"/>
    <w:rsid w:val="003A61B6"/>
    <w:rsid w:val="003A6227"/>
    <w:rsid w:val="003A6235"/>
    <w:rsid w:val="003A623F"/>
    <w:rsid w:val="003A6361"/>
    <w:rsid w:val="003A639E"/>
    <w:rsid w:val="003A6406"/>
    <w:rsid w:val="003A6481"/>
    <w:rsid w:val="003A6518"/>
    <w:rsid w:val="003A662B"/>
    <w:rsid w:val="003A67B3"/>
    <w:rsid w:val="003A67BC"/>
    <w:rsid w:val="003A67C6"/>
    <w:rsid w:val="003A6936"/>
    <w:rsid w:val="003A6967"/>
    <w:rsid w:val="003A6988"/>
    <w:rsid w:val="003A69DD"/>
    <w:rsid w:val="003A6A80"/>
    <w:rsid w:val="003A6B22"/>
    <w:rsid w:val="003A6B48"/>
    <w:rsid w:val="003A6C5F"/>
    <w:rsid w:val="003A6F3E"/>
    <w:rsid w:val="003A6F41"/>
    <w:rsid w:val="003A6FD0"/>
    <w:rsid w:val="003A708B"/>
    <w:rsid w:val="003A70B1"/>
    <w:rsid w:val="003A71AD"/>
    <w:rsid w:val="003A71D4"/>
    <w:rsid w:val="003A71E8"/>
    <w:rsid w:val="003A7264"/>
    <w:rsid w:val="003A740F"/>
    <w:rsid w:val="003A74DF"/>
    <w:rsid w:val="003A76F9"/>
    <w:rsid w:val="003A7840"/>
    <w:rsid w:val="003A7872"/>
    <w:rsid w:val="003A7964"/>
    <w:rsid w:val="003A7A41"/>
    <w:rsid w:val="003A7C71"/>
    <w:rsid w:val="003A7C95"/>
    <w:rsid w:val="003A7D1D"/>
    <w:rsid w:val="003A7D9B"/>
    <w:rsid w:val="003B0096"/>
    <w:rsid w:val="003B0225"/>
    <w:rsid w:val="003B0260"/>
    <w:rsid w:val="003B04D6"/>
    <w:rsid w:val="003B052C"/>
    <w:rsid w:val="003B06D4"/>
    <w:rsid w:val="003B07FA"/>
    <w:rsid w:val="003B0815"/>
    <w:rsid w:val="003B0885"/>
    <w:rsid w:val="003B099D"/>
    <w:rsid w:val="003B09D8"/>
    <w:rsid w:val="003B0A37"/>
    <w:rsid w:val="003B0B20"/>
    <w:rsid w:val="003B0D1A"/>
    <w:rsid w:val="003B0DA0"/>
    <w:rsid w:val="003B0E3D"/>
    <w:rsid w:val="003B0E44"/>
    <w:rsid w:val="003B0F91"/>
    <w:rsid w:val="003B0FA0"/>
    <w:rsid w:val="003B1034"/>
    <w:rsid w:val="003B1181"/>
    <w:rsid w:val="003B1182"/>
    <w:rsid w:val="003B122D"/>
    <w:rsid w:val="003B12AD"/>
    <w:rsid w:val="003B1669"/>
    <w:rsid w:val="003B1688"/>
    <w:rsid w:val="003B17CB"/>
    <w:rsid w:val="003B1838"/>
    <w:rsid w:val="003B18D0"/>
    <w:rsid w:val="003B197B"/>
    <w:rsid w:val="003B19B9"/>
    <w:rsid w:val="003B1A77"/>
    <w:rsid w:val="003B1B7F"/>
    <w:rsid w:val="003B1C3D"/>
    <w:rsid w:val="003B1D61"/>
    <w:rsid w:val="003B1DA9"/>
    <w:rsid w:val="003B1DB2"/>
    <w:rsid w:val="003B1F2B"/>
    <w:rsid w:val="003B1FA4"/>
    <w:rsid w:val="003B1FD4"/>
    <w:rsid w:val="003B1FE6"/>
    <w:rsid w:val="003B20C1"/>
    <w:rsid w:val="003B238D"/>
    <w:rsid w:val="003B24B8"/>
    <w:rsid w:val="003B24C0"/>
    <w:rsid w:val="003B257B"/>
    <w:rsid w:val="003B25BA"/>
    <w:rsid w:val="003B2620"/>
    <w:rsid w:val="003B267D"/>
    <w:rsid w:val="003B28C2"/>
    <w:rsid w:val="003B2B46"/>
    <w:rsid w:val="003B2C41"/>
    <w:rsid w:val="003B2CC1"/>
    <w:rsid w:val="003B301C"/>
    <w:rsid w:val="003B3094"/>
    <w:rsid w:val="003B309B"/>
    <w:rsid w:val="003B3106"/>
    <w:rsid w:val="003B3155"/>
    <w:rsid w:val="003B315B"/>
    <w:rsid w:val="003B3236"/>
    <w:rsid w:val="003B3259"/>
    <w:rsid w:val="003B3261"/>
    <w:rsid w:val="003B3306"/>
    <w:rsid w:val="003B3341"/>
    <w:rsid w:val="003B336F"/>
    <w:rsid w:val="003B35BA"/>
    <w:rsid w:val="003B3720"/>
    <w:rsid w:val="003B380C"/>
    <w:rsid w:val="003B3844"/>
    <w:rsid w:val="003B393C"/>
    <w:rsid w:val="003B3974"/>
    <w:rsid w:val="003B39A1"/>
    <w:rsid w:val="003B39E0"/>
    <w:rsid w:val="003B3DAB"/>
    <w:rsid w:val="003B3E1F"/>
    <w:rsid w:val="003B3F45"/>
    <w:rsid w:val="003B404D"/>
    <w:rsid w:val="003B419F"/>
    <w:rsid w:val="003B4270"/>
    <w:rsid w:val="003B429A"/>
    <w:rsid w:val="003B4328"/>
    <w:rsid w:val="003B4353"/>
    <w:rsid w:val="003B4492"/>
    <w:rsid w:val="003B44AB"/>
    <w:rsid w:val="003B491D"/>
    <w:rsid w:val="003B4A7F"/>
    <w:rsid w:val="003B4B34"/>
    <w:rsid w:val="003B4B88"/>
    <w:rsid w:val="003B4C9C"/>
    <w:rsid w:val="003B4CDA"/>
    <w:rsid w:val="003B4ED8"/>
    <w:rsid w:val="003B4F2D"/>
    <w:rsid w:val="003B50E4"/>
    <w:rsid w:val="003B51E6"/>
    <w:rsid w:val="003B520A"/>
    <w:rsid w:val="003B5262"/>
    <w:rsid w:val="003B5311"/>
    <w:rsid w:val="003B535F"/>
    <w:rsid w:val="003B541C"/>
    <w:rsid w:val="003B5482"/>
    <w:rsid w:val="003B5593"/>
    <w:rsid w:val="003B5667"/>
    <w:rsid w:val="003B566C"/>
    <w:rsid w:val="003B5770"/>
    <w:rsid w:val="003B57CA"/>
    <w:rsid w:val="003B5803"/>
    <w:rsid w:val="003B5832"/>
    <w:rsid w:val="003B583B"/>
    <w:rsid w:val="003B58C6"/>
    <w:rsid w:val="003B59AA"/>
    <w:rsid w:val="003B59DF"/>
    <w:rsid w:val="003B5AA6"/>
    <w:rsid w:val="003B5BD9"/>
    <w:rsid w:val="003B5C3F"/>
    <w:rsid w:val="003B6042"/>
    <w:rsid w:val="003B611B"/>
    <w:rsid w:val="003B61CF"/>
    <w:rsid w:val="003B6212"/>
    <w:rsid w:val="003B622F"/>
    <w:rsid w:val="003B626D"/>
    <w:rsid w:val="003B62B7"/>
    <w:rsid w:val="003B62C7"/>
    <w:rsid w:val="003B6334"/>
    <w:rsid w:val="003B63A1"/>
    <w:rsid w:val="003B63EB"/>
    <w:rsid w:val="003B64A3"/>
    <w:rsid w:val="003B6520"/>
    <w:rsid w:val="003B6722"/>
    <w:rsid w:val="003B68E1"/>
    <w:rsid w:val="003B6908"/>
    <w:rsid w:val="003B6B28"/>
    <w:rsid w:val="003B6B40"/>
    <w:rsid w:val="003B6D2B"/>
    <w:rsid w:val="003B6D95"/>
    <w:rsid w:val="003B6DB8"/>
    <w:rsid w:val="003B6E74"/>
    <w:rsid w:val="003B6E94"/>
    <w:rsid w:val="003B6EB4"/>
    <w:rsid w:val="003B7059"/>
    <w:rsid w:val="003B711A"/>
    <w:rsid w:val="003B71C0"/>
    <w:rsid w:val="003B72B9"/>
    <w:rsid w:val="003B7307"/>
    <w:rsid w:val="003B7355"/>
    <w:rsid w:val="003B74FF"/>
    <w:rsid w:val="003B75C5"/>
    <w:rsid w:val="003B789C"/>
    <w:rsid w:val="003B78D5"/>
    <w:rsid w:val="003B7986"/>
    <w:rsid w:val="003B79D4"/>
    <w:rsid w:val="003B7BDC"/>
    <w:rsid w:val="003B7F2A"/>
    <w:rsid w:val="003B7F33"/>
    <w:rsid w:val="003B7F7B"/>
    <w:rsid w:val="003B7F8C"/>
    <w:rsid w:val="003C0030"/>
    <w:rsid w:val="003C00A6"/>
    <w:rsid w:val="003C02B1"/>
    <w:rsid w:val="003C034A"/>
    <w:rsid w:val="003C05FF"/>
    <w:rsid w:val="003C0701"/>
    <w:rsid w:val="003C0771"/>
    <w:rsid w:val="003C0887"/>
    <w:rsid w:val="003C08AF"/>
    <w:rsid w:val="003C0AA7"/>
    <w:rsid w:val="003C0CFA"/>
    <w:rsid w:val="003C10F6"/>
    <w:rsid w:val="003C1256"/>
    <w:rsid w:val="003C14DE"/>
    <w:rsid w:val="003C157A"/>
    <w:rsid w:val="003C1687"/>
    <w:rsid w:val="003C1735"/>
    <w:rsid w:val="003C177D"/>
    <w:rsid w:val="003C17C3"/>
    <w:rsid w:val="003C180B"/>
    <w:rsid w:val="003C18E5"/>
    <w:rsid w:val="003C1977"/>
    <w:rsid w:val="003C1A6E"/>
    <w:rsid w:val="003C1AA8"/>
    <w:rsid w:val="003C1C93"/>
    <w:rsid w:val="003C1D74"/>
    <w:rsid w:val="003C1EC9"/>
    <w:rsid w:val="003C2144"/>
    <w:rsid w:val="003C2233"/>
    <w:rsid w:val="003C2286"/>
    <w:rsid w:val="003C2393"/>
    <w:rsid w:val="003C262E"/>
    <w:rsid w:val="003C26E4"/>
    <w:rsid w:val="003C28DA"/>
    <w:rsid w:val="003C28F6"/>
    <w:rsid w:val="003C2A55"/>
    <w:rsid w:val="003C2A5B"/>
    <w:rsid w:val="003C2A62"/>
    <w:rsid w:val="003C2B9C"/>
    <w:rsid w:val="003C2C06"/>
    <w:rsid w:val="003C2C9B"/>
    <w:rsid w:val="003C2CED"/>
    <w:rsid w:val="003C2D1D"/>
    <w:rsid w:val="003C2DF6"/>
    <w:rsid w:val="003C2E71"/>
    <w:rsid w:val="003C2EDD"/>
    <w:rsid w:val="003C2F94"/>
    <w:rsid w:val="003C303E"/>
    <w:rsid w:val="003C30CD"/>
    <w:rsid w:val="003C310D"/>
    <w:rsid w:val="003C3220"/>
    <w:rsid w:val="003C32C2"/>
    <w:rsid w:val="003C33BD"/>
    <w:rsid w:val="003C359B"/>
    <w:rsid w:val="003C365D"/>
    <w:rsid w:val="003C3684"/>
    <w:rsid w:val="003C36CD"/>
    <w:rsid w:val="003C3709"/>
    <w:rsid w:val="003C38E1"/>
    <w:rsid w:val="003C3A0A"/>
    <w:rsid w:val="003C3A47"/>
    <w:rsid w:val="003C3A79"/>
    <w:rsid w:val="003C3B5B"/>
    <w:rsid w:val="003C3BF2"/>
    <w:rsid w:val="003C3C28"/>
    <w:rsid w:val="003C3C7F"/>
    <w:rsid w:val="003C3DDC"/>
    <w:rsid w:val="003C3E03"/>
    <w:rsid w:val="003C41DD"/>
    <w:rsid w:val="003C4412"/>
    <w:rsid w:val="003C44BE"/>
    <w:rsid w:val="003C458C"/>
    <w:rsid w:val="003C47AB"/>
    <w:rsid w:val="003C47B6"/>
    <w:rsid w:val="003C4831"/>
    <w:rsid w:val="003C48F2"/>
    <w:rsid w:val="003C4A5D"/>
    <w:rsid w:val="003C4D5F"/>
    <w:rsid w:val="003C4E82"/>
    <w:rsid w:val="003C4ECE"/>
    <w:rsid w:val="003C5020"/>
    <w:rsid w:val="003C503C"/>
    <w:rsid w:val="003C50F6"/>
    <w:rsid w:val="003C5139"/>
    <w:rsid w:val="003C5152"/>
    <w:rsid w:val="003C5177"/>
    <w:rsid w:val="003C521E"/>
    <w:rsid w:val="003C52B0"/>
    <w:rsid w:val="003C530D"/>
    <w:rsid w:val="003C5329"/>
    <w:rsid w:val="003C5389"/>
    <w:rsid w:val="003C54EF"/>
    <w:rsid w:val="003C550C"/>
    <w:rsid w:val="003C5613"/>
    <w:rsid w:val="003C5694"/>
    <w:rsid w:val="003C583C"/>
    <w:rsid w:val="003C5911"/>
    <w:rsid w:val="003C5926"/>
    <w:rsid w:val="003C599C"/>
    <w:rsid w:val="003C59DF"/>
    <w:rsid w:val="003C5A94"/>
    <w:rsid w:val="003C5AEC"/>
    <w:rsid w:val="003C5BDD"/>
    <w:rsid w:val="003C5C80"/>
    <w:rsid w:val="003C5C8D"/>
    <w:rsid w:val="003C5CDB"/>
    <w:rsid w:val="003C5EA8"/>
    <w:rsid w:val="003C5EFC"/>
    <w:rsid w:val="003C60C0"/>
    <w:rsid w:val="003C60C1"/>
    <w:rsid w:val="003C6162"/>
    <w:rsid w:val="003C61D0"/>
    <w:rsid w:val="003C6260"/>
    <w:rsid w:val="003C62AB"/>
    <w:rsid w:val="003C630A"/>
    <w:rsid w:val="003C6333"/>
    <w:rsid w:val="003C63CF"/>
    <w:rsid w:val="003C6465"/>
    <w:rsid w:val="003C64A1"/>
    <w:rsid w:val="003C65E4"/>
    <w:rsid w:val="003C670F"/>
    <w:rsid w:val="003C676E"/>
    <w:rsid w:val="003C6801"/>
    <w:rsid w:val="003C6853"/>
    <w:rsid w:val="003C6996"/>
    <w:rsid w:val="003C6A6E"/>
    <w:rsid w:val="003C6B86"/>
    <w:rsid w:val="003C6C63"/>
    <w:rsid w:val="003C6C97"/>
    <w:rsid w:val="003C6CD9"/>
    <w:rsid w:val="003C6DC7"/>
    <w:rsid w:val="003C7088"/>
    <w:rsid w:val="003C712F"/>
    <w:rsid w:val="003C72E1"/>
    <w:rsid w:val="003C72ED"/>
    <w:rsid w:val="003C7712"/>
    <w:rsid w:val="003C7748"/>
    <w:rsid w:val="003C7862"/>
    <w:rsid w:val="003C7A6E"/>
    <w:rsid w:val="003C7ECD"/>
    <w:rsid w:val="003C7EE3"/>
    <w:rsid w:val="003D007D"/>
    <w:rsid w:val="003D008F"/>
    <w:rsid w:val="003D017F"/>
    <w:rsid w:val="003D018F"/>
    <w:rsid w:val="003D01A1"/>
    <w:rsid w:val="003D02BB"/>
    <w:rsid w:val="003D04A1"/>
    <w:rsid w:val="003D04AB"/>
    <w:rsid w:val="003D04D6"/>
    <w:rsid w:val="003D04F6"/>
    <w:rsid w:val="003D06BF"/>
    <w:rsid w:val="003D06D0"/>
    <w:rsid w:val="003D074D"/>
    <w:rsid w:val="003D0755"/>
    <w:rsid w:val="003D08B2"/>
    <w:rsid w:val="003D0A04"/>
    <w:rsid w:val="003D0AFB"/>
    <w:rsid w:val="003D0B3A"/>
    <w:rsid w:val="003D0BC8"/>
    <w:rsid w:val="003D0CC1"/>
    <w:rsid w:val="003D0D1A"/>
    <w:rsid w:val="003D0FAC"/>
    <w:rsid w:val="003D0FD3"/>
    <w:rsid w:val="003D1077"/>
    <w:rsid w:val="003D11B7"/>
    <w:rsid w:val="003D127F"/>
    <w:rsid w:val="003D1380"/>
    <w:rsid w:val="003D1401"/>
    <w:rsid w:val="003D14F5"/>
    <w:rsid w:val="003D1585"/>
    <w:rsid w:val="003D15B8"/>
    <w:rsid w:val="003D15FD"/>
    <w:rsid w:val="003D1606"/>
    <w:rsid w:val="003D16CF"/>
    <w:rsid w:val="003D1819"/>
    <w:rsid w:val="003D1833"/>
    <w:rsid w:val="003D1864"/>
    <w:rsid w:val="003D18CC"/>
    <w:rsid w:val="003D19B0"/>
    <w:rsid w:val="003D1A15"/>
    <w:rsid w:val="003D1BC0"/>
    <w:rsid w:val="003D1BD6"/>
    <w:rsid w:val="003D1BF0"/>
    <w:rsid w:val="003D1D31"/>
    <w:rsid w:val="003D1DA5"/>
    <w:rsid w:val="003D1E1F"/>
    <w:rsid w:val="003D1E53"/>
    <w:rsid w:val="003D1FDB"/>
    <w:rsid w:val="003D1FF6"/>
    <w:rsid w:val="003D20DD"/>
    <w:rsid w:val="003D2162"/>
    <w:rsid w:val="003D21C0"/>
    <w:rsid w:val="003D2258"/>
    <w:rsid w:val="003D22EC"/>
    <w:rsid w:val="003D2378"/>
    <w:rsid w:val="003D25F0"/>
    <w:rsid w:val="003D26A7"/>
    <w:rsid w:val="003D2763"/>
    <w:rsid w:val="003D2835"/>
    <w:rsid w:val="003D2A2F"/>
    <w:rsid w:val="003D2ABA"/>
    <w:rsid w:val="003D2CF1"/>
    <w:rsid w:val="003D2D2C"/>
    <w:rsid w:val="003D2D6D"/>
    <w:rsid w:val="003D2E45"/>
    <w:rsid w:val="003D2EB1"/>
    <w:rsid w:val="003D2FC8"/>
    <w:rsid w:val="003D3104"/>
    <w:rsid w:val="003D33C7"/>
    <w:rsid w:val="003D3457"/>
    <w:rsid w:val="003D3534"/>
    <w:rsid w:val="003D3583"/>
    <w:rsid w:val="003D365C"/>
    <w:rsid w:val="003D377C"/>
    <w:rsid w:val="003D383B"/>
    <w:rsid w:val="003D391E"/>
    <w:rsid w:val="003D3956"/>
    <w:rsid w:val="003D3B6F"/>
    <w:rsid w:val="003D3B98"/>
    <w:rsid w:val="003D3BE1"/>
    <w:rsid w:val="003D3C75"/>
    <w:rsid w:val="003D4042"/>
    <w:rsid w:val="003D4090"/>
    <w:rsid w:val="003D4094"/>
    <w:rsid w:val="003D40E8"/>
    <w:rsid w:val="003D40F2"/>
    <w:rsid w:val="003D442C"/>
    <w:rsid w:val="003D44AC"/>
    <w:rsid w:val="003D44B6"/>
    <w:rsid w:val="003D44BB"/>
    <w:rsid w:val="003D452B"/>
    <w:rsid w:val="003D455E"/>
    <w:rsid w:val="003D457D"/>
    <w:rsid w:val="003D46D4"/>
    <w:rsid w:val="003D4783"/>
    <w:rsid w:val="003D48B7"/>
    <w:rsid w:val="003D48DE"/>
    <w:rsid w:val="003D48FA"/>
    <w:rsid w:val="003D49D9"/>
    <w:rsid w:val="003D4A1D"/>
    <w:rsid w:val="003D4A8F"/>
    <w:rsid w:val="003D4CF6"/>
    <w:rsid w:val="003D4DD7"/>
    <w:rsid w:val="003D4E04"/>
    <w:rsid w:val="003D4EAB"/>
    <w:rsid w:val="003D4FF8"/>
    <w:rsid w:val="003D52E8"/>
    <w:rsid w:val="003D55A9"/>
    <w:rsid w:val="003D569E"/>
    <w:rsid w:val="003D5785"/>
    <w:rsid w:val="003D57A0"/>
    <w:rsid w:val="003D5835"/>
    <w:rsid w:val="003D5889"/>
    <w:rsid w:val="003D5A13"/>
    <w:rsid w:val="003D5A2D"/>
    <w:rsid w:val="003D5A9D"/>
    <w:rsid w:val="003D5BE9"/>
    <w:rsid w:val="003D5E81"/>
    <w:rsid w:val="003D61AB"/>
    <w:rsid w:val="003D6209"/>
    <w:rsid w:val="003D62C0"/>
    <w:rsid w:val="003D634F"/>
    <w:rsid w:val="003D6427"/>
    <w:rsid w:val="003D64DE"/>
    <w:rsid w:val="003D6538"/>
    <w:rsid w:val="003D65F6"/>
    <w:rsid w:val="003D68D0"/>
    <w:rsid w:val="003D6911"/>
    <w:rsid w:val="003D6942"/>
    <w:rsid w:val="003D6A16"/>
    <w:rsid w:val="003D6A25"/>
    <w:rsid w:val="003D6AA5"/>
    <w:rsid w:val="003D6BF4"/>
    <w:rsid w:val="003D6EE4"/>
    <w:rsid w:val="003D6F0D"/>
    <w:rsid w:val="003D71B6"/>
    <w:rsid w:val="003D7223"/>
    <w:rsid w:val="003D7339"/>
    <w:rsid w:val="003D74B2"/>
    <w:rsid w:val="003D75C0"/>
    <w:rsid w:val="003D7626"/>
    <w:rsid w:val="003D7740"/>
    <w:rsid w:val="003D7870"/>
    <w:rsid w:val="003D78A2"/>
    <w:rsid w:val="003D78BA"/>
    <w:rsid w:val="003D79AC"/>
    <w:rsid w:val="003D7B22"/>
    <w:rsid w:val="003D7E40"/>
    <w:rsid w:val="003D7E4B"/>
    <w:rsid w:val="003D7FA3"/>
    <w:rsid w:val="003E0035"/>
    <w:rsid w:val="003E003A"/>
    <w:rsid w:val="003E01AB"/>
    <w:rsid w:val="003E01F5"/>
    <w:rsid w:val="003E02A5"/>
    <w:rsid w:val="003E069A"/>
    <w:rsid w:val="003E07B4"/>
    <w:rsid w:val="003E07CF"/>
    <w:rsid w:val="003E07E7"/>
    <w:rsid w:val="003E0C14"/>
    <w:rsid w:val="003E0D6F"/>
    <w:rsid w:val="003E0FAA"/>
    <w:rsid w:val="003E105F"/>
    <w:rsid w:val="003E10E0"/>
    <w:rsid w:val="003E1264"/>
    <w:rsid w:val="003E131B"/>
    <w:rsid w:val="003E1362"/>
    <w:rsid w:val="003E142A"/>
    <w:rsid w:val="003E14A6"/>
    <w:rsid w:val="003E1591"/>
    <w:rsid w:val="003E16BC"/>
    <w:rsid w:val="003E175D"/>
    <w:rsid w:val="003E176C"/>
    <w:rsid w:val="003E17BE"/>
    <w:rsid w:val="003E1812"/>
    <w:rsid w:val="003E199E"/>
    <w:rsid w:val="003E1ACF"/>
    <w:rsid w:val="003E1AEA"/>
    <w:rsid w:val="003E1B23"/>
    <w:rsid w:val="003E1BE5"/>
    <w:rsid w:val="003E1C14"/>
    <w:rsid w:val="003E1CA6"/>
    <w:rsid w:val="003E1D63"/>
    <w:rsid w:val="003E1D6C"/>
    <w:rsid w:val="003E1DD9"/>
    <w:rsid w:val="003E1E51"/>
    <w:rsid w:val="003E1F67"/>
    <w:rsid w:val="003E211D"/>
    <w:rsid w:val="003E2126"/>
    <w:rsid w:val="003E216C"/>
    <w:rsid w:val="003E2282"/>
    <w:rsid w:val="003E236E"/>
    <w:rsid w:val="003E2485"/>
    <w:rsid w:val="003E2538"/>
    <w:rsid w:val="003E2559"/>
    <w:rsid w:val="003E259D"/>
    <w:rsid w:val="003E26BA"/>
    <w:rsid w:val="003E2906"/>
    <w:rsid w:val="003E2969"/>
    <w:rsid w:val="003E298F"/>
    <w:rsid w:val="003E2A1A"/>
    <w:rsid w:val="003E2A6F"/>
    <w:rsid w:val="003E2A7F"/>
    <w:rsid w:val="003E2BAB"/>
    <w:rsid w:val="003E2C1A"/>
    <w:rsid w:val="003E2C2A"/>
    <w:rsid w:val="003E2C3A"/>
    <w:rsid w:val="003E2DA1"/>
    <w:rsid w:val="003E2F62"/>
    <w:rsid w:val="003E2FB4"/>
    <w:rsid w:val="003E2FEF"/>
    <w:rsid w:val="003E30D4"/>
    <w:rsid w:val="003E31E9"/>
    <w:rsid w:val="003E330F"/>
    <w:rsid w:val="003E344B"/>
    <w:rsid w:val="003E3478"/>
    <w:rsid w:val="003E34DD"/>
    <w:rsid w:val="003E35C3"/>
    <w:rsid w:val="003E37D2"/>
    <w:rsid w:val="003E3912"/>
    <w:rsid w:val="003E3933"/>
    <w:rsid w:val="003E3C00"/>
    <w:rsid w:val="003E3C13"/>
    <w:rsid w:val="003E3C2E"/>
    <w:rsid w:val="003E3CC7"/>
    <w:rsid w:val="003E3EB0"/>
    <w:rsid w:val="003E3F10"/>
    <w:rsid w:val="003E3F3C"/>
    <w:rsid w:val="003E413A"/>
    <w:rsid w:val="003E415C"/>
    <w:rsid w:val="003E41CE"/>
    <w:rsid w:val="003E4213"/>
    <w:rsid w:val="003E449E"/>
    <w:rsid w:val="003E44C8"/>
    <w:rsid w:val="003E46BE"/>
    <w:rsid w:val="003E479F"/>
    <w:rsid w:val="003E482D"/>
    <w:rsid w:val="003E495F"/>
    <w:rsid w:val="003E4AFB"/>
    <w:rsid w:val="003E4BF8"/>
    <w:rsid w:val="003E4D1C"/>
    <w:rsid w:val="003E4E74"/>
    <w:rsid w:val="003E4EB0"/>
    <w:rsid w:val="003E4F6F"/>
    <w:rsid w:val="003E51C4"/>
    <w:rsid w:val="003E52D0"/>
    <w:rsid w:val="003E5312"/>
    <w:rsid w:val="003E5323"/>
    <w:rsid w:val="003E53D2"/>
    <w:rsid w:val="003E54E7"/>
    <w:rsid w:val="003E5510"/>
    <w:rsid w:val="003E5832"/>
    <w:rsid w:val="003E5B8D"/>
    <w:rsid w:val="003E5D37"/>
    <w:rsid w:val="003E5F1C"/>
    <w:rsid w:val="003E5F7D"/>
    <w:rsid w:val="003E60B7"/>
    <w:rsid w:val="003E60CB"/>
    <w:rsid w:val="003E60F5"/>
    <w:rsid w:val="003E6141"/>
    <w:rsid w:val="003E6192"/>
    <w:rsid w:val="003E624C"/>
    <w:rsid w:val="003E6284"/>
    <w:rsid w:val="003E6336"/>
    <w:rsid w:val="003E6520"/>
    <w:rsid w:val="003E6523"/>
    <w:rsid w:val="003E65EF"/>
    <w:rsid w:val="003E6778"/>
    <w:rsid w:val="003E6792"/>
    <w:rsid w:val="003E67A3"/>
    <w:rsid w:val="003E67E7"/>
    <w:rsid w:val="003E6B25"/>
    <w:rsid w:val="003E6B3A"/>
    <w:rsid w:val="003E6B3C"/>
    <w:rsid w:val="003E6B95"/>
    <w:rsid w:val="003E6C77"/>
    <w:rsid w:val="003E6DAD"/>
    <w:rsid w:val="003E6E80"/>
    <w:rsid w:val="003E6EB0"/>
    <w:rsid w:val="003E6EC2"/>
    <w:rsid w:val="003E70FF"/>
    <w:rsid w:val="003E720C"/>
    <w:rsid w:val="003E7275"/>
    <w:rsid w:val="003E7340"/>
    <w:rsid w:val="003E7362"/>
    <w:rsid w:val="003E74B0"/>
    <w:rsid w:val="003E75D3"/>
    <w:rsid w:val="003E75FF"/>
    <w:rsid w:val="003E7709"/>
    <w:rsid w:val="003E793D"/>
    <w:rsid w:val="003E7AC6"/>
    <w:rsid w:val="003E7B23"/>
    <w:rsid w:val="003E7BC1"/>
    <w:rsid w:val="003E7BD1"/>
    <w:rsid w:val="003E7F1B"/>
    <w:rsid w:val="003E7F81"/>
    <w:rsid w:val="003E7FD8"/>
    <w:rsid w:val="003E7FEE"/>
    <w:rsid w:val="003F0025"/>
    <w:rsid w:val="003F0069"/>
    <w:rsid w:val="003F00B6"/>
    <w:rsid w:val="003F0128"/>
    <w:rsid w:val="003F021C"/>
    <w:rsid w:val="003F0301"/>
    <w:rsid w:val="003F0303"/>
    <w:rsid w:val="003F0398"/>
    <w:rsid w:val="003F03A3"/>
    <w:rsid w:val="003F050A"/>
    <w:rsid w:val="003F0545"/>
    <w:rsid w:val="003F0554"/>
    <w:rsid w:val="003F087D"/>
    <w:rsid w:val="003F09CE"/>
    <w:rsid w:val="003F0A61"/>
    <w:rsid w:val="003F0B41"/>
    <w:rsid w:val="003F0B8D"/>
    <w:rsid w:val="003F0BDD"/>
    <w:rsid w:val="003F0C6F"/>
    <w:rsid w:val="003F0D63"/>
    <w:rsid w:val="003F0DD7"/>
    <w:rsid w:val="003F0EDE"/>
    <w:rsid w:val="003F0F76"/>
    <w:rsid w:val="003F0F83"/>
    <w:rsid w:val="003F0FC4"/>
    <w:rsid w:val="003F10FE"/>
    <w:rsid w:val="003F1150"/>
    <w:rsid w:val="003F1154"/>
    <w:rsid w:val="003F1161"/>
    <w:rsid w:val="003F11C1"/>
    <w:rsid w:val="003F1321"/>
    <w:rsid w:val="003F1325"/>
    <w:rsid w:val="003F1400"/>
    <w:rsid w:val="003F140B"/>
    <w:rsid w:val="003F14F3"/>
    <w:rsid w:val="003F164A"/>
    <w:rsid w:val="003F166C"/>
    <w:rsid w:val="003F166F"/>
    <w:rsid w:val="003F1851"/>
    <w:rsid w:val="003F1854"/>
    <w:rsid w:val="003F1876"/>
    <w:rsid w:val="003F1A08"/>
    <w:rsid w:val="003F1B76"/>
    <w:rsid w:val="003F1C2F"/>
    <w:rsid w:val="003F1C88"/>
    <w:rsid w:val="003F1D81"/>
    <w:rsid w:val="003F1DF2"/>
    <w:rsid w:val="003F1E39"/>
    <w:rsid w:val="003F1F6A"/>
    <w:rsid w:val="003F1FCA"/>
    <w:rsid w:val="003F207C"/>
    <w:rsid w:val="003F20C6"/>
    <w:rsid w:val="003F20FF"/>
    <w:rsid w:val="003F218C"/>
    <w:rsid w:val="003F223E"/>
    <w:rsid w:val="003F229D"/>
    <w:rsid w:val="003F23B0"/>
    <w:rsid w:val="003F25F0"/>
    <w:rsid w:val="003F27CF"/>
    <w:rsid w:val="003F28C8"/>
    <w:rsid w:val="003F2A15"/>
    <w:rsid w:val="003F2B52"/>
    <w:rsid w:val="003F2CD1"/>
    <w:rsid w:val="003F2D00"/>
    <w:rsid w:val="003F2D5B"/>
    <w:rsid w:val="003F2E71"/>
    <w:rsid w:val="003F301D"/>
    <w:rsid w:val="003F3128"/>
    <w:rsid w:val="003F3161"/>
    <w:rsid w:val="003F317D"/>
    <w:rsid w:val="003F31E1"/>
    <w:rsid w:val="003F3234"/>
    <w:rsid w:val="003F3410"/>
    <w:rsid w:val="003F34B0"/>
    <w:rsid w:val="003F34CF"/>
    <w:rsid w:val="003F357A"/>
    <w:rsid w:val="003F3659"/>
    <w:rsid w:val="003F3730"/>
    <w:rsid w:val="003F3851"/>
    <w:rsid w:val="003F38E7"/>
    <w:rsid w:val="003F3ABC"/>
    <w:rsid w:val="003F3B08"/>
    <w:rsid w:val="003F3B56"/>
    <w:rsid w:val="003F3B76"/>
    <w:rsid w:val="003F3E01"/>
    <w:rsid w:val="003F3E1C"/>
    <w:rsid w:val="003F3E87"/>
    <w:rsid w:val="003F3F3B"/>
    <w:rsid w:val="003F3F3E"/>
    <w:rsid w:val="003F3F98"/>
    <w:rsid w:val="003F4121"/>
    <w:rsid w:val="003F4266"/>
    <w:rsid w:val="003F42C0"/>
    <w:rsid w:val="003F435F"/>
    <w:rsid w:val="003F4515"/>
    <w:rsid w:val="003F4600"/>
    <w:rsid w:val="003F46AA"/>
    <w:rsid w:val="003F46E6"/>
    <w:rsid w:val="003F4764"/>
    <w:rsid w:val="003F485F"/>
    <w:rsid w:val="003F48D3"/>
    <w:rsid w:val="003F499D"/>
    <w:rsid w:val="003F4A67"/>
    <w:rsid w:val="003F4B20"/>
    <w:rsid w:val="003F4D04"/>
    <w:rsid w:val="003F4DBF"/>
    <w:rsid w:val="003F4E34"/>
    <w:rsid w:val="003F4F0D"/>
    <w:rsid w:val="003F515E"/>
    <w:rsid w:val="003F52FD"/>
    <w:rsid w:val="003F5366"/>
    <w:rsid w:val="003F5436"/>
    <w:rsid w:val="003F55E5"/>
    <w:rsid w:val="003F56B6"/>
    <w:rsid w:val="003F5710"/>
    <w:rsid w:val="003F5764"/>
    <w:rsid w:val="003F59A7"/>
    <w:rsid w:val="003F5AD2"/>
    <w:rsid w:val="003F5BF4"/>
    <w:rsid w:val="003F5C89"/>
    <w:rsid w:val="003F5CA4"/>
    <w:rsid w:val="003F5D1D"/>
    <w:rsid w:val="003F5D69"/>
    <w:rsid w:val="003F5F4E"/>
    <w:rsid w:val="003F608E"/>
    <w:rsid w:val="003F62D3"/>
    <w:rsid w:val="003F63F4"/>
    <w:rsid w:val="003F64AB"/>
    <w:rsid w:val="003F6517"/>
    <w:rsid w:val="003F656D"/>
    <w:rsid w:val="003F6668"/>
    <w:rsid w:val="003F668C"/>
    <w:rsid w:val="003F67DD"/>
    <w:rsid w:val="003F683D"/>
    <w:rsid w:val="003F68F3"/>
    <w:rsid w:val="003F6ACA"/>
    <w:rsid w:val="003F6AFF"/>
    <w:rsid w:val="003F6B6A"/>
    <w:rsid w:val="003F6CBA"/>
    <w:rsid w:val="003F6CF2"/>
    <w:rsid w:val="003F6D50"/>
    <w:rsid w:val="003F6D6B"/>
    <w:rsid w:val="003F6D72"/>
    <w:rsid w:val="003F7006"/>
    <w:rsid w:val="003F70BC"/>
    <w:rsid w:val="003F71D8"/>
    <w:rsid w:val="003F7422"/>
    <w:rsid w:val="003F7507"/>
    <w:rsid w:val="003F78BC"/>
    <w:rsid w:val="003F7A3B"/>
    <w:rsid w:val="003F7ACB"/>
    <w:rsid w:val="003F7B37"/>
    <w:rsid w:val="003F7C06"/>
    <w:rsid w:val="003F7C72"/>
    <w:rsid w:val="003F7D10"/>
    <w:rsid w:val="003F7D5F"/>
    <w:rsid w:val="003F7E29"/>
    <w:rsid w:val="003F7E5F"/>
    <w:rsid w:val="00400056"/>
    <w:rsid w:val="00400104"/>
    <w:rsid w:val="004002F9"/>
    <w:rsid w:val="004004E4"/>
    <w:rsid w:val="00400653"/>
    <w:rsid w:val="0040076E"/>
    <w:rsid w:val="0040086B"/>
    <w:rsid w:val="00400A1E"/>
    <w:rsid w:val="00400AC4"/>
    <w:rsid w:val="00400C01"/>
    <w:rsid w:val="00400DF0"/>
    <w:rsid w:val="00400E3E"/>
    <w:rsid w:val="00400F33"/>
    <w:rsid w:val="00400F57"/>
    <w:rsid w:val="00400FAB"/>
    <w:rsid w:val="00400FEF"/>
    <w:rsid w:val="00401000"/>
    <w:rsid w:val="00401257"/>
    <w:rsid w:val="00401363"/>
    <w:rsid w:val="00401607"/>
    <w:rsid w:val="00401683"/>
    <w:rsid w:val="004016C6"/>
    <w:rsid w:val="0040176B"/>
    <w:rsid w:val="0040179A"/>
    <w:rsid w:val="00401856"/>
    <w:rsid w:val="00401A90"/>
    <w:rsid w:val="00401AFF"/>
    <w:rsid w:val="00401B7F"/>
    <w:rsid w:val="00401BDF"/>
    <w:rsid w:val="00402036"/>
    <w:rsid w:val="00402048"/>
    <w:rsid w:val="004020AC"/>
    <w:rsid w:val="00402150"/>
    <w:rsid w:val="0040228C"/>
    <w:rsid w:val="004024F0"/>
    <w:rsid w:val="004028A2"/>
    <w:rsid w:val="004028AF"/>
    <w:rsid w:val="004028D9"/>
    <w:rsid w:val="004029FD"/>
    <w:rsid w:val="00402A11"/>
    <w:rsid w:val="00402B71"/>
    <w:rsid w:val="00402BA1"/>
    <w:rsid w:val="00402BA8"/>
    <w:rsid w:val="00402D39"/>
    <w:rsid w:val="00402FD2"/>
    <w:rsid w:val="00402FEB"/>
    <w:rsid w:val="0040302F"/>
    <w:rsid w:val="00403064"/>
    <w:rsid w:val="0040314F"/>
    <w:rsid w:val="0040315E"/>
    <w:rsid w:val="00403344"/>
    <w:rsid w:val="00403439"/>
    <w:rsid w:val="0040348B"/>
    <w:rsid w:val="004034ED"/>
    <w:rsid w:val="0040357B"/>
    <w:rsid w:val="00403627"/>
    <w:rsid w:val="0040368A"/>
    <w:rsid w:val="004036E5"/>
    <w:rsid w:val="004037E1"/>
    <w:rsid w:val="0040380A"/>
    <w:rsid w:val="00403825"/>
    <w:rsid w:val="00403911"/>
    <w:rsid w:val="00403A16"/>
    <w:rsid w:val="00403A3C"/>
    <w:rsid w:val="00403A8E"/>
    <w:rsid w:val="00403B13"/>
    <w:rsid w:val="00403C1A"/>
    <w:rsid w:val="00403C82"/>
    <w:rsid w:val="00403D95"/>
    <w:rsid w:val="00403DB3"/>
    <w:rsid w:val="00403F1B"/>
    <w:rsid w:val="00403F67"/>
    <w:rsid w:val="00403FC5"/>
    <w:rsid w:val="00404088"/>
    <w:rsid w:val="004040D9"/>
    <w:rsid w:val="00404157"/>
    <w:rsid w:val="00404492"/>
    <w:rsid w:val="00404571"/>
    <w:rsid w:val="004045BE"/>
    <w:rsid w:val="004046E8"/>
    <w:rsid w:val="004046ED"/>
    <w:rsid w:val="00404730"/>
    <w:rsid w:val="004047A6"/>
    <w:rsid w:val="0040485F"/>
    <w:rsid w:val="00404874"/>
    <w:rsid w:val="0040487B"/>
    <w:rsid w:val="004048C2"/>
    <w:rsid w:val="00404900"/>
    <w:rsid w:val="00404979"/>
    <w:rsid w:val="004049CE"/>
    <w:rsid w:val="00404A2B"/>
    <w:rsid w:val="00404BA2"/>
    <w:rsid w:val="00404C44"/>
    <w:rsid w:val="00404EE8"/>
    <w:rsid w:val="004050CF"/>
    <w:rsid w:val="004050F3"/>
    <w:rsid w:val="0040510D"/>
    <w:rsid w:val="0040512D"/>
    <w:rsid w:val="0040514C"/>
    <w:rsid w:val="00405258"/>
    <w:rsid w:val="004053CF"/>
    <w:rsid w:val="004054E3"/>
    <w:rsid w:val="004055A9"/>
    <w:rsid w:val="00405607"/>
    <w:rsid w:val="00405793"/>
    <w:rsid w:val="00405816"/>
    <w:rsid w:val="00405841"/>
    <w:rsid w:val="00405A82"/>
    <w:rsid w:val="00405C19"/>
    <w:rsid w:val="00405C22"/>
    <w:rsid w:val="00405C53"/>
    <w:rsid w:val="00405C7C"/>
    <w:rsid w:val="00405DDE"/>
    <w:rsid w:val="00405EFA"/>
    <w:rsid w:val="00405F6C"/>
    <w:rsid w:val="0040602F"/>
    <w:rsid w:val="00406088"/>
    <w:rsid w:val="004060BC"/>
    <w:rsid w:val="00406449"/>
    <w:rsid w:val="00406640"/>
    <w:rsid w:val="0040665A"/>
    <w:rsid w:val="004066F8"/>
    <w:rsid w:val="004067F1"/>
    <w:rsid w:val="004068D8"/>
    <w:rsid w:val="00406AFB"/>
    <w:rsid w:val="00406B23"/>
    <w:rsid w:val="00406C8F"/>
    <w:rsid w:val="00406DEE"/>
    <w:rsid w:val="004071B7"/>
    <w:rsid w:val="004071D4"/>
    <w:rsid w:val="00407382"/>
    <w:rsid w:val="004073E8"/>
    <w:rsid w:val="004073FA"/>
    <w:rsid w:val="0040776E"/>
    <w:rsid w:val="0040791B"/>
    <w:rsid w:val="0040793C"/>
    <w:rsid w:val="0040798E"/>
    <w:rsid w:val="00407C0B"/>
    <w:rsid w:val="00407D49"/>
    <w:rsid w:val="00407DC4"/>
    <w:rsid w:val="00407F75"/>
    <w:rsid w:val="00407FBF"/>
    <w:rsid w:val="00407FF6"/>
    <w:rsid w:val="00410174"/>
    <w:rsid w:val="004102C9"/>
    <w:rsid w:val="00410350"/>
    <w:rsid w:val="004107A5"/>
    <w:rsid w:val="004107F5"/>
    <w:rsid w:val="004108E1"/>
    <w:rsid w:val="004109AA"/>
    <w:rsid w:val="00410A33"/>
    <w:rsid w:val="00410A36"/>
    <w:rsid w:val="00410A65"/>
    <w:rsid w:val="00410D09"/>
    <w:rsid w:val="004110EA"/>
    <w:rsid w:val="00411225"/>
    <w:rsid w:val="004112C1"/>
    <w:rsid w:val="004112EC"/>
    <w:rsid w:val="00411395"/>
    <w:rsid w:val="004114C6"/>
    <w:rsid w:val="004114FE"/>
    <w:rsid w:val="004116E4"/>
    <w:rsid w:val="004118B5"/>
    <w:rsid w:val="00411920"/>
    <w:rsid w:val="00411954"/>
    <w:rsid w:val="00411958"/>
    <w:rsid w:val="00411992"/>
    <w:rsid w:val="00411A87"/>
    <w:rsid w:val="00411ACF"/>
    <w:rsid w:val="00411B2A"/>
    <w:rsid w:val="00411CF2"/>
    <w:rsid w:val="00411DAA"/>
    <w:rsid w:val="00411DDE"/>
    <w:rsid w:val="00411DEB"/>
    <w:rsid w:val="00411DFD"/>
    <w:rsid w:val="00411E72"/>
    <w:rsid w:val="00411F04"/>
    <w:rsid w:val="00412004"/>
    <w:rsid w:val="0041226F"/>
    <w:rsid w:val="004122B8"/>
    <w:rsid w:val="00412387"/>
    <w:rsid w:val="0041239C"/>
    <w:rsid w:val="00412415"/>
    <w:rsid w:val="004125D9"/>
    <w:rsid w:val="00412735"/>
    <w:rsid w:val="00412973"/>
    <w:rsid w:val="00412C13"/>
    <w:rsid w:val="00412D42"/>
    <w:rsid w:val="00412DA4"/>
    <w:rsid w:val="00412DF6"/>
    <w:rsid w:val="00412E8E"/>
    <w:rsid w:val="00412EB6"/>
    <w:rsid w:val="00413054"/>
    <w:rsid w:val="0041351F"/>
    <w:rsid w:val="00413538"/>
    <w:rsid w:val="0041354C"/>
    <w:rsid w:val="00413608"/>
    <w:rsid w:val="00413675"/>
    <w:rsid w:val="004136BF"/>
    <w:rsid w:val="004137C8"/>
    <w:rsid w:val="0041387F"/>
    <w:rsid w:val="00413989"/>
    <w:rsid w:val="00413A22"/>
    <w:rsid w:val="00413ABA"/>
    <w:rsid w:val="00413B2F"/>
    <w:rsid w:val="00413BA1"/>
    <w:rsid w:val="00413BF9"/>
    <w:rsid w:val="00413C1A"/>
    <w:rsid w:val="00413C25"/>
    <w:rsid w:val="00413C2A"/>
    <w:rsid w:val="00413C73"/>
    <w:rsid w:val="00413FDA"/>
    <w:rsid w:val="00414051"/>
    <w:rsid w:val="004140D7"/>
    <w:rsid w:val="00414139"/>
    <w:rsid w:val="0041423C"/>
    <w:rsid w:val="004142CB"/>
    <w:rsid w:val="0041436B"/>
    <w:rsid w:val="00414413"/>
    <w:rsid w:val="00414546"/>
    <w:rsid w:val="0041468D"/>
    <w:rsid w:val="00414723"/>
    <w:rsid w:val="00414741"/>
    <w:rsid w:val="004147D4"/>
    <w:rsid w:val="00414810"/>
    <w:rsid w:val="0041487F"/>
    <w:rsid w:val="00414918"/>
    <w:rsid w:val="00414A89"/>
    <w:rsid w:val="00414E22"/>
    <w:rsid w:val="00414E67"/>
    <w:rsid w:val="00414F5E"/>
    <w:rsid w:val="00414FA1"/>
    <w:rsid w:val="0041501D"/>
    <w:rsid w:val="00415531"/>
    <w:rsid w:val="00415677"/>
    <w:rsid w:val="00415707"/>
    <w:rsid w:val="00415911"/>
    <w:rsid w:val="00415A58"/>
    <w:rsid w:val="00415AC9"/>
    <w:rsid w:val="00415B12"/>
    <w:rsid w:val="00415B22"/>
    <w:rsid w:val="00415B25"/>
    <w:rsid w:val="00415C6F"/>
    <w:rsid w:val="00415D13"/>
    <w:rsid w:val="00416013"/>
    <w:rsid w:val="00416074"/>
    <w:rsid w:val="00416091"/>
    <w:rsid w:val="004160AB"/>
    <w:rsid w:val="004160C9"/>
    <w:rsid w:val="004162B2"/>
    <w:rsid w:val="004162B9"/>
    <w:rsid w:val="004162FA"/>
    <w:rsid w:val="00416330"/>
    <w:rsid w:val="00416354"/>
    <w:rsid w:val="00416399"/>
    <w:rsid w:val="004164FC"/>
    <w:rsid w:val="004165D5"/>
    <w:rsid w:val="00416702"/>
    <w:rsid w:val="004167C2"/>
    <w:rsid w:val="004168D0"/>
    <w:rsid w:val="00416B0E"/>
    <w:rsid w:val="00416CCE"/>
    <w:rsid w:val="00416CFF"/>
    <w:rsid w:val="00416E75"/>
    <w:rsid w:val="00416FB8"/>
    <w:rsid w:val="00416FFF"/>
    <w:rsid w:val="004170F0"/>
    <w:rsid w:val="004171CC"/>
    <w:rsid w:val="00417237"/>
    <w:rsid w:val="00417355"/>
    <w:rsid w:val="00417485"/>
    <w:rsid w:val="0041751F"/>
    <w:rsid w:val="004176C7"/>
    <w:rsid w:val="0041776E"/>
    <w:rsid w:val="00417819"/>
    <w:rsid w:val="00417877"/>
    <w:rsid w:val="004178EE"/>
    <w:rsid w:val="004178FA"/>
    <w:rsid w:val="00417948"/>
    <w:rsid w:val="00417A2A"/>
    <w:rsid w:val="00417A86"/>
    <w:rsid w:val="00417C4C"/>
    <w:rsid w:val="00417D21"/>
    <w:rsid w:val="00417D9F"/>
    <w:rsid w:val="0042003B"/>
    <w:rsid w:val="00420165"/>
    <w:rsid w:val="00420193"/>
    <w:rsid w:val="004201DA"/>
    <w:rsid w:val="00420229"/>
    <w:rsid w:val="0042022B"/>
    <w:rsid w:val="00420358"/>
    <w:rsid w:val="0042049A"/>
    <w:rsid w:val="00420541"/>
    <w:rsid w:val="004205BA"/>
    <w:rsid w:val="004205BC"/>
    <w:rsid w:val="0042084A"/>
    <w:rsid w:val="00420911"/>
    <w:rsid w:val="00420988"/>
    <w:rsid w:val="00420A4E"/>
    <w:rsid w:val="00420BE2"/>
    <w:rsid w:val="00420DBA"/>
    <w:rsid w:val="0042119C"/>
    <w:rsid w:val="004211C1"/>
    <w:rsid w:val="00421270"/>
    <w:rsid w:val="0042129E"/>
    <w:rsid w:val="004212D0"/>
    <w:rsid w:val="00421311"/>
    <w:rsid w:val="00421368"/>
    <w:rsid w:val="0042137A"/>
    <w:rsid w:val="0042143B"/>
    <w:rsid w:val="004215A7"/>
    <w:rsid w:val="0042161C"/>
    <w:rsid w:val="0042165E"/>
    <w:rsid w:val="004218F0"/>
    <w:rsid w:val="00421959"/>
    <w:rsid w:val="004219BC"/>
    <w:rsid w:val="004219C0"/>
    <w:rsid w:val="00421A23"/>
    <w:rsid w:val="00421C59"/>
    <w:rsid w:val="00421D58"/>
    <w:rsid w:val="00421D64"/>
    <w:rsid w:val="00421D67"/>
    <w:rsid w:val="00421DBD"/>
    <w:rsid w:val="00421EE4"/>
    <w:rsid w:val="00421FBB"/>
    <w:rsid w:val="00421FDA"/>
    <w:rsid w:val="0042203B"/>
    <w:rsid w:val="00422092"/>
    <w:rsid w:val="004220A1"/>
    <w:rsid w:val="00422347"/>
    <w:rsid w:val="0042242A"/>
    <w:rsid w:val="0042253F"/>
    <w:rsid w:val="00422576"/>
    <w:rsid w:val="0042259F"/>
    <w:rsid w:val="00422967"/>
    <w:rsid w:val="00422AAE"/>
    <w:rsid w:val="00422B5D"/>
    <w:rsid w:val="00422D48"/>
    <w:rsid w:val="00422D54"/>
    <w:rsid w:val="00422E13"/>
    <w:rsid w:val="00422E3F"/>
    <w:rsid w:val="0042300F"/>
    <w:rsid w:val="004230DE"/>
    <w:rsid w:val="0042310B"/>
    <w:rsid w:val="004232AA"/>
    <w:rsid w:val="004233F5"/>
    <w:rsid w:val="00423415"/>
    <w:rsid w:val="0042350F"/>
    <w:rsid w:val="00423599"/>
    <w:rsid w:val="00423636"/>
    <w:rsid w:val="0042370F"/>
    <w:rsid w:val="0042384C"/>
    <w:rsid w:val="00423893"/>
    <w:rsid w:val="004238E7"/>
    <w:rsid w:val="004238F3"/>
    <w:rsid w:val="00423A40"/>
    <w:rsid w:val="00423B1A"/>
    <w:rsid w:val="00423B2A"/>
    <w:rsid w:val="00423BC9"/>
    <w:rsid w:val="00423C54"/>
    <w:rsid w:val="00423C7A"/>
    <w:rsid w:val="00423CBF"/>
    <w:rsid w:val="00423D40"/>
    <w:rsid w:val="00423DD4"/>
    <w:rsid w:val="00424011"/>
    <w:rsid w:val="00424030"/>
    <w:rsid w:val="00424090"/>
    <w:rsid w:val="004241BD"/>
    <w:rsid w:val="0042428F"/>
    <w:rsid w:val="004242B9"/>
    <w:rsid w:val="00424325"/>
    <w:rsid w:val="00424343"/>
    <w:rsid w:val="004243E2"/>
    <w:rsid w:val="00424575"/>
    <w:rsid w:val="00424868"/>
    <w:rsid w:val="00424877"/>
    <w:rsid w:val="004248C0"/>
    <w:rsid w:val="0042490A"/>
    <w:rsid w:val="00424A21"/>
    <w:rsid w:val="00424A6E"/>
    <w:rsid w:val="00424AA8"/>
    <w:rsid w:val="00424AE7"/>
    <w:rsid w:val="00424AFA"/>
    <w:rsid w:val="00424B9B"/>
    <w:rsid w:val="00424CAC"/>
    <w:rsid w:val="00424D67"/>
    <w:rsid w:val="00424DFB"/>
    <w:rsid w:val="00424E59"/>
    <w:rsid w:val="00424EEE"/>
    <w:rsid w:val="00425043"/>
    <w:rsid w:val="004250EF"/>
    <w:rsid w:val="004255B4"/>
    <w:rsid w:val="00425726"/>
    <w:rsid w:val="00425A02"/>
    <w:rsid w:val="00425C49"/>
    <w:rsid w:val="00425C90"/>
    <w:rsid w:val="00425C91"/>
    <w:rsid w:val="00425CA2"/>
    <w:rsid w:val="00425CEA"/>
    <w:rsid w:val="00425E82"/>
    <w:rsid w:val="00426132"/>
    <w:rsid w:val="00426333"/>
    <w:rsid w:val="00426336"/>
    <w:rsid w:val="004266CE"/>
    <w:rsid w:val="0042672B"/>
    <w:rsid w:val="00426766"/>
    <w:rsid w:val="004267D0"/>
    <w:rsid w:val="004268D0"/>
    <w:rsid w:val="00426A3C"/>
    <w:rsid w:val="00426A5F"/>
    <w:rsid w:val="00426C8D"/>
    <w:rsid w:val="00426CF9"/>
    <w:rsid w:val="00426D8F"/>
    <w:rsid w:val="00426E01"/>
    <w:rsid w:val="00426FAB"/>
    <w:rsid w:val="00427301"/>
    <w:rsid w:val="00427360"/>
    <w:rsid w:val="004273ED"/>
    <w:rsid w:val="00427473"/>
    <w:rsid w:val="00427678"/>
    <w:rsid w:val="00427764"/>
    <w:rsid w:val="00427811"/>
    <w:rsid w:val="004278E7"/>
    <w:rsid w:val="00427918"/>
    <w:rsid w:val="004279CA"/>
    <w:rsid w:val="00427A75"/>
    <w:rsid w:val="00427A82"/>
    <w:rsid w:val="00427B20"/>
    <w:rsid w:val="00427BFA"/>
    <w:rsid w:val="00427D41"/>
    <w:rsid w:val="00427DBA"/>
    <w:rsid w:val="00427EA2"/>
    <w:rsid w:val="00427ECA"/>
    <w:rsid w:val="00427FF5"/>
    <w:rsid w:val="00427FFA"/>
    <w:rsid w:val="00430115"/>
    <w:rsid w:val="0043011A"/>
    <w:rsid w:val="00430226"/>
    <w:rsid w:val="004302D4"/>
    <w:rsid w:val="00430308"/>
    <w:rsid w:val="00430737"/>
    <w:rsid w:val="004307B2"/>
    <w:rsid w:val="0043083F"/>
    <w:rsid w:val="00430863"/>
    <w:rsid w:val="00430870"/>
    <w:rsid w:val="00430A4B"/>
    <w:rsid w:val="00430ACD"/>
    <w:rsid w:val="00430BA2"/>
    <w:rsid w:val="00430C7F"/>
    <w:rsid w:val="00430CAB"/>
    <w:rsid w:val="00430DF1"/>
    <w:rsid w:val="00430E67"/>
    <w:rsid w:val="00430FC4"/>
    <w:rsid w:val="00431024"/>
    <w:rsid w:val="004310E6"/>
    <w:rsid w:val="0043111E"/>
    <w:rsid w:val="0043123B"/>
    <w:rsid w:val="00431251"/>
    <w:rsid w:val="0043131D"/>
    <w:rsid w:val="004313B2"/>
    <w:rsid w:val="004313CA"/>
    <w:rsid w:val="00431627"/>
    <w:rsid w:val="0043165A"/>
    <w:rsid w:val="004316C2"/>
    <w:rsid w:val="00431A5A"/>
    <w:rsid w:val="00431A9D"/>
    <w:rsid w:val="00431C46"/>
    <w:rsid w:val="00431DD8"/>
    <w:rsid w:val="00431DF5"/>
    <w:rsid w:val="00431FE8"/>
    <w:rsid w:val="00432210"/>
    <w:rsid w:val="00432362"/>
    <w:rsid w:val="00432392"/>
    <w:rsid w:val="004325FF"/>
    <w:rsid w:val="00432640"/>
    <w:rsid w:val="00432735"/>
    <w:rsid w:val="004327E6"/>
    <w:rsid w:val="004327F1"/>
    <w:rsid w:val="0043291A"/>
    <w:rsid w:val="00432974"/>
    <w:rsid w:val="004329DC"/>
    <w:rsid w:val="00432AC6"/>
    <w:rsid w:val="00432C2B"/>
    <w:rsid w:val="00432DE5"/>
    <w:rsid w:val="00432EE3"/>
    <w:rsid w:val="00433158"/>
    <w:rsid w:val="00433164"/>
    <w:rsid w:val="00433326"/>
    <w:rsid w:val="0043335B"/>
    <w:rsid w:val="004333EA"/>
    <w:rsid w:val="00433853"/>
    <w:rsid w:val="00433AE2"/>
    <w:rsid w:val="00433AE3"/>
    <w:rsid w:val="00433B30"/>
    <w:rsid w:val="00433B8A"/>
    <w:rsid w:val="00433BB8"/>
    <w:rsid w:val="00433C82"/>
    <w:rsid w:val="00433D85"/>
    <w:rsid w:val="00433D91"/>
    <w:rsid w:val="00433E5A"/>
    <w:rsid w:val="00433E9D"/>
    <w:rsid w:val="00433ED1"/>
    <w:rsid w:val="00433F21"/>
    <w:rsid w:val="00434066"/>
    <w:rsid w:val="004341C6"/>
    <w:rsid w:val="004342F2"/>
    <w:rsid w:val="004343FE"/>
    <w:rsid w:val="004347AA"/>
    <w:rsid w:val="0043488C"/>
    <w:rsid w:val="0043491E"/>
    <w:rsid w:val="004349C7"/>
    <w:rsid w:val="00434AAB"/>
    <w:rsid w:val="00434AB9"/>
    <w:rsid w:val="00434C2A"/>
    <w:rsid w:val="00434C5E"/>
    <w:rsid w:val="00434E20"/>
    <w:rsid w:val="0043517C"/>
    <w:rsid w:val="0043518D"/>
    <w:rsid w:val="004352D9"/>
    <w:rsid w:val="004353EB"/>
    <w:rsid w:val="00435419"/>
    <w:rsid w:val="00435527"/>
    <w:rsid w:val="00435603"/>
    <w:rsid w:val="00435619"/>
    <w:rsid w:val="0043575B"/>
    <w:rsid w:val="00435765"/>
    <w:rsid w:val="004358EA"/>
    <w:rsid w:val="004359EB"/>
    <w:rsid w:val="00435A28"/>
    <w:rsid w:val="00435A61"/>
    <w:rsid w:val="00435A94"/>
    <w:rsid w:val="00435AB6"/>
    <w:rsid w:val="00435F73"/>
    <w:rsid w:val="00435FA7"/>
    <w:rsid w:val="00435FDA"/>
    <w:rsid w:val="00436033"/>
    <w:rsid w:val="004360B6"/>
    <w:rsid w:val="00436124"/>
    <w:rsid w:val="004361A2"/>
    <w:rsid w:val="00436221"/>
    <w:rsid w:val="004362E5"/>
    <w:rsid w:val="00436356"/>
    <w:rsid w:val="004363E2"/>
    <w:rsid w:val="004364DF"/>
    <w:rsid w:val="0043666A"/>
    <w:rsid w:val="004366C1"/>
    <w:rsid w:val="00436753"/>
    <w:rsid w:val="00436995"/>
    <w:rsid w:val="00436A09"/>
    <w:rsid w:val="00436A30"/>
    <w:rsid w:val="00436A39"/>
    <w:rsid w:val="00436C53"/>
    <w:rsid w:val="00436CC8"/>
    <w:rsid w:val="00436DAD"/>
    <w:rsid w:val="00436DFA"/>
    <w:rsid w:val="00437053"/>
    <w:rsid w:val="004370F1"/>
    <w:rsid w:val="00437109"/>
    <w:rsid w:val="004373D7"/>
    <w:rsid w:val="00437443"/>
    <w:rsid w:val="00437485"/>
    <w:rsid w:val="004374AA"/>
    <w:rsid w:val="0043751C"/>
    <w:rsid w:val="00437613"/>
    <w:rsid w:val="00437832"/>
    <w:rsid w:val="004379D0"/>
    <w:rsid w:val="004379D8"/>
    <w:rsid w:val="00437A26"/>
    <w:rsid w:val="00437B6E"/>
    <w:rsid w:val="00437BCB"/>
    <w:rsid w:val="00437BDF"/>
    <w:rsid w:val="00437C2D"/>
    <w:rsid w:val="00437C49"/>
    <w:rsid w:val="00437E25"/>
    <w:rsid w:val="00437E74"/>
    <w:rsid w:val="004400D1"/>
    <w:rsid w:val="004400ED"/>
    <w:rsid w:val="00440226"/>
    <w:rsid w:val="004402A0"/>
    <w:rsid w:val="0044045B"/>
    <w:rsid w:val="00440574"/>
    <w:rsid w:val="0044063A"/>
    <w:rsid w:val="00440722"/>
    <w:rsid w:val="00440792"/>
    <w:rsid w:val="00440826"/>
    <w:rsid w:val="00440868"/>
    <w:rsid w:val="00440912"/>
    <w:rsid w:val="004409BF"/>
    <w:rsid w:val="00440A17"/>
    <w:rsid w:val="00440A1C"/>
    <w:rsid w:val="00440B97"/>
    <w:rsid w:val="00440C81"/>
    <w:rsid w:val="00440D24"/>
    <w:rsid w:val="00441133"/>
    <w:rsid w:val="00441173"/>
    <w:rsid w:val="004411B2"/>
    <w:rsid w:val="00441275"/>
    <w:rsid w:val="00441365"/>
    <w:rsid w:val="0044161F"/>
    <w:rsid w:val="004416A8"/>
    <w:rsid w:val="00441708"/>
    <w:rsid w:val="00441945"/>
    <w:rsid w:val="00441B11"/>
    <w:rsid w:val="00441C28"/>
    <w:rsid w:val="00441CD1"/>
    <w:rsid w:val="00441D26"/>
    <w:rsid w:val="00441D5B"/>
    <w:rsid w:val="00441D9E"/>
    <w:rsid w:val="00441DA6"/>
    <w:rsid w:val="00441E17"/>
    <w:rsid w:val="00441ECB"/>
    <w:rsid w:val="00442003"/>
    <w:rsid w:val="00442190"/>
    <w:rsid w:val="0044222E"/>
    <w:rsid w:val="00442267"/>
    <w:rsid w:val="004422D3"/>
    <w:rsid w:val="0044253C"/>
    <w:rsid w:val="004425A3"/>
    <w:rsid w:val="004425BF"/>
    <w:rsid w:val="004425D9"/>
    <w:rsid w:val="00442712"/>
    <w:rsid w:val="00442B48"/>
    <w:rsid w:val="00443025"/>
    <w:rsid w:val="004430D5"/>
    <w:rsid w:val="0044312C"/>
    <w:rsid w:val="00443244"/>
    <w:rsid w:val="004432B7"/>
    <w:rsid w:val="00443393"/>
    <w:rsid w:val="0044349C"/>
    <w:rsid w:val="0044354E"/>
    <w:rsid w:val="004436A3"/>
    <w:rsid w:val="004436BC"/>
    <w:rsid w:val="004437FB"/>
    <w:rsid w:val="00443A38"/>
    <w:rsid w:val="00443B1E"/>
    <w:rsid w:val="00443B7A"/>
    <w:rsid w:val="00443C29"/>
    <w:rsid w:val="00443EB3"/>
    <w:rsid w:val="00443ECD"/>
    <w:rsid w:val="0044405C"/>
    <w:rsid w:val="0044414E"/>
    <w:rsid w:val="0044418C"/>
    <w:rsid w:val="004441B4"/>
    <w:rsid w:val="004441B5"/>
    <w:rsid w:val="00444263"/>
    <w:rsid w:val="004442F6"/>
    <w:rsid w:val="0044439B"/>
    <w:rsid w:val="004443E0"/>
    <w:rsid w:val="00444657"/>
    <w:rsid w:val="004446C7"/>
    <w:rsid w:val="00444746"/>
    <w:rsid w:val="00444795"/>
    <w:rsid w:val="004448FF"/>
    <w:rsid w:val="00444A87"/>
    <w:rsid w:val="00444AF6"/>
    <w:rsid w:val="00444F38"/>
    <w:rsid w:val="0044519D"/>
    <w:rsid w:val="004451D7"/>
    <w:rsid w:val="004451F3"/>
    <w:rsid w:val="00445318"/>
    <w:rsid w:val="0044537E"/>
    <w:rsid w:val="00445419"/>
    <w:rsid w:val="00445544"/>
    <w:rsid w:val="0044556F"/>
    <w:rsid w:val="004455BA"/>
    <w:rsid w:val="00445786"/>
    <w:rsid w:val="00445924"/>
    <w:rsid w:val="00445984"/>
    <w:rsid w:val="00445A21"/>
    <w:rsid w:val="00445B5E"/>
    <w:rsid w:val="00445BB2"/>
    <w:rsid w:val="00445C0B"/>
    <w:rsid w:val="00445DA5"/>
    <w:rsid w:val="00445DA6"/>
    <w:rsid w:val="00445DC3"/>
    <w:rsid w:val="00445DE5"/>
    <w:rsid w:val="00445F0D"/>
    <w:rsid w:val="00445F5C"/>
    <w:rsid w:val="00446042"/>
    <w:rsid w:val="00446096"/>
    <w:rsid w:val="0044617F"/>
    <w:rsid w:val="00446195"/>
    <w:rsid w:val="0044632A"/>
    <w:rsid w:val="00446390"/>
    <w:rsid w:val="004466EB"/>
    <w:rsid w:val="004467CF"/>
    <w:rsid w:val="004467DC"/>
    <w:rsid w:val="0044697F"/>
    <w:rsid w:val="00446B8C"/>
    <w:rsid w:val="00446C4D"/>
    <w:rsid w:val="00446DA3"/>
    <w:rsid w:val="00446DC8"/>
    <w:rsid w:val="00446E49"/>
    <w:rsid w:val="00446EA3"/>
    <w:rsid w:val="00447035"/>
    <w:rsid w:val="0044709C"/>
    <w:rsid w:val="00447166"/>
    <w:rsid w:val="004472FB"/>
    <w:rsid w:val="00447470"/>
    <w:rsid w:val="00447537"/>
    <w:rsid w:val="0044773C"/>
    <w:rsid w:val="004479FE"/>
    <w:rsid w:val="00447A81"/>
    <w:rsid w:val="00447CD0"/>
    <w:rsid w:val="00447D8A"/>
    <w:rsid w:val="00447DEA"/>
    <w:rsid w:val="00447EEB"/>
    <w:rsid w:val="00447FC2"/>
    <w:rsid w:val="00447FE8"/>
    <w:rsid w:val="004502C1"/>
    <w:rsid w:val="004502F4"/>
    <w:rsid w:val="0045048E"/>
    <w:rsid w:val="00450560"/>
    <w:rsid w:val="00450602"/>
    <w:rsid w:val="004506E4"/>
    <w:rsid w:val="004506F4"/>
    <w:rsid w:val="00450724"/>
    <w:rsid w:val="004508D3"/>
    <w:rsid w:val="004509BF"/>
    <w:rsid w:val="004509D1"/>
    <w:rsid w:val="00450A42"/>
    <w:rsid w:val="00450B86"/>
    <w:rsid w:val="00450BC4"/>
    <w:rsid w:val="00450CFD"/>
    <w:rsid w:val="00450DB1"/>
    <w:rsid w:val="00450DFA"/>
    <w:rsid w:val="00450E1C"/>
    <w:rsid w:val="00450E28"/>
    <w:rsid w:val="00450E98"/>
    <w:rsid w:val="00450F90"/>
    <w:rsid w:val="0045120F"/>
    <w:rsid w:val="00451277"/>
    <w:rsid w:val="004512E6"/>
    <w:rsid w:val="0045136A"/>
    <w:rsid w:val="0045137A"/>
    <w:rsid w:val="004513A5"/>
    <w:rsid w:val="004513E9"/>
    <w:rsid w:val="004515CC"/>
    <w:rsid w:val="004518C5"/>
    <w:rsid w:val="0045195B"/>
    <w:rsid w:val="00451B42"/>
    <w:rsid w:val="00451B4D"/>
    <w:rsid w:val="00451D50"/>
    <w:rsid w:val="00451FEB"/>
    <w:rsid w:val="00452025"/>
    <w:rsid w:val="0045208F"/>
    <w:rsid w:val="004523AA"/>
    <w:rsid w:val="004523C7"/>
    <w:rsid w:val="00452439"/>
    <w:rsid w:val="004524CD"/>
    <w:rsid w:val="00452586"/>
    <w:rsid w:val="004525E9"/>
    <w:rsid w:val="004525F4"/>
    <w:rsid w:val="00452637"/>
    <w:rsid w:val="004527B4"/>
    <w:rsid w:val="00452B30"/>
    <w:rsid w:val="00452B82"/>
    <w:rsid w:val="00452C48"/>
    <w:rsid w:val="00452CE4"/>
    <w:rsid w:val="00452E06"/>
    <w:rsid w:val="00452EC4"/>
    <w:rsid w:val="00452F4F"/>
    <w:rsid w:val="00452FAB"/>
    <w:rsid w:val="00453116"/>
    <w:rsid w:val="0045316B"/>
    <w:rsid w:val="00453233"/>
    <w:rsid w:val="00453289"/>
    <w:rsid w:val="00453340"/>
    <w:rsid w:val="00453485"/>
    <w:rsid w:val="004535A9"/>
    <w:rsid w:val="00453775"/>
    <w:rsid w:val="00453890"/>
    <w:rsid w:val="00453993"/>
    <w:rsid w:val="00453AAD"/>
    <w:rsid w:val="00453B1F"/>
    <w:rsid w:val="00453B44"/>
    <w:rsid w:val="00453E99"/>
    <w:rsid w:val="00453EA3"/>
    <w:rsid w:val="0045405A"/>
    <w:rsid w:val="00454130"/>
    <w:rsid w:val="004541F1"/>
    <w:rsid w:val="0045424F"/>
    <w:rsid w:val="00454363"/>
    <w:rsid w:val="00454380"/>
    <w:rsid w:val="004544BF"/>
    <w:rsid w:val="0045470C"/>
    <w:rsid w:val="004547CB"/>
    <w:rsid w:val="004548B2"/>
    <w:rsid w:val="00454E08"/>
    <w:rsid w:val="00454EB2"/>
    <w:rsid w:val="00454F8D"/>
    <w:rsid w:val="004550AA"/>
    <w:rsid w:val="00455181"/>
    <w:rsid w:val="004552BF"/>
    <w:rsid w:val="004552C8"/>
    <w:rsid w:val="004552E7"/>
    <w:rsid w:val="004552FF"/>
    <w:rsid w:val="0045532C"/>
    <w:rsid w:val="0045536C"/>
    <w:rsid w:val="004553DA"/>
    <w:rsid w:val="004554EA"/>
    <w:rsid w:val="00455506"/>
    <w:rsid w:val="0045566F"/>
    <w:rsid w:val="004556EF"/>
    <w:rsid w:val="0045583A"/>
    <w:rsid w:val="004558BE"/>
    <w:rsid w:val="00455A07"/>
    <w:rsid w:val="00455AB5"/>
    <w:rsid w:val="00455AEB"/>
    <w:rsid w:val="00455BFD"/>
    <w:rsid w:val="00455C93"/>
    <w:rsid w:val="00455DA6"/>
    <w:rsid w:val="00455E02"/>
    <w:rsid w:val="00455F7E"/>
    <w:rsid w:val="0045603C"/>
    <w:rsid w:val="00456053"/>
    <w:rsid w:val="00456068"/>
    <w:rsid w:val="00456118"/>
    <w:rsid w:val="0045612D"/>
    <w:rsid w:val="0045618E"/>
    <w:rsid w:val="00456203"/>
    <w:rsid w:val="004564EF"/>
    <w:rsid w:val="0045658A"/>
    <w:rsid w:val="004565B2"/>
    <w:rsid w:val="0045661E"/>
    <w:rsid w:val="00456675"/>
    <w:rsid w:val="0045668A"/>
    <w:rsid w:val="004566C7"/>
    <w:rsid w:val="004566E2"/>
    <w:rsid w:val="0045677A"/>
    <w:rsid w:val="00456896"/>
    <w:rsid w:val="004568C0"/>
    <w:rsid w:val="0045691D"/>
    <w:rsid w:val="004569E9"/>
    <w:rsid w:val="00456A6B"/>
    <w:rsid w:val="00456ADA"/>
    <w:rsid w:val="00456B0D"/>
    <w:rsid w:val="00456BD3"/>
    <w:rsid w:val="00456BEB"/>
    <w:rsid w:val="00456C74"/>
    <w:rsid w:val="00456CDF"/>
    <w:rsid w:val="00456E3A"/>
    <w:rsid w:val="00456E90"/>
    <w:rsid w:val="00456EF4"/>
    <w:rsid w:val="00457097"/>
    <w:rsid w:val="00457135"/>
    <w:rsid w:val="00457266"/>
    <w:rsid w:val="0045745E"/>
    <w:rsid w:val="0045757B"/>
    <w:rsid w:val="0045769B"/>
    <w:rsid w:val="0045770D"/>
    <w:rsid w:val="00457904"/>
    <w:rsid w:val="0045790F"/>
    <w:rsid w:val="0045792B"/>
    <w:rsid w:val="00457954"/>
    <w:rsid w:val="004579AA"/>
    <w:rsid w:val="004579D0"/>
    <w:rsid w:val="00457A5B"/>
    <w:rsid w:val="00457D63"/>
    <w:rsid w:val="00457DBB"/>
    <w:rsid w:val="00457DEA"/>
    <w:rsid w:val="00457E21"/>
    <w:rsid w:val="00457E39"/>
    <w:rsid w:val="00457E8B"/>
    <w:rsid w:val="00457F16"/>
    <w:rsid w:val="00457F58"/>
    <w:rsid w:val="00457FAA"/>
    <w:rsid w:val="00457FC7"/>
    <w:rsid w:val="0046007E"/>
    <w:rsid w:val="0046010E"/>
    <w:rsid w:val="00460201"/>
    <w:rsid w:val="00460217"/>
    <w:rsid w:val="0046024B"/>
    <w:rsid w:val="00460381"/>
    <w:rsid w:val="00460463"/>
    <w:rsid w:val="00460504"/>
    <w:rsid w:val="004606C0"/>
    <w:rsid w:val="00460710"/>
    <w:rsid w:val="0046073A"/>
    <w:rsid w:val="00460ADF"/>
    <w:rsid w:val="00460B08"/>
    <w:rsid w:val="00460D4F"/>
    <w:rsid w:val="00460DCB"/>
    <w:rsid w:val="00460DEF"/>
    <w:rsid w:val="00460E36"/>
    <w:rsid w:val="00460F49"/>
    <w:rsid w:val="00461010"/>
    <w:rsid w:val="00461063"/>
    <w:rsid w:val="00461137"/>
    <w:rsid w:val="00461155"/>
    <w:rsid w:val="0046126D"/>
    <w:rsid w:val="00461360"/>
    <w:rsid w:val="00461374"/>
    <w:rsid w:val="00461501"/>
    <w:rsid w:val="004616CB"/>
    <w:rsid w:val="0046173C"/>
    <w:rsid w:val="0046174F"/>
    <w:rsid w:val="0046177E"/>
    <w:rsid w:val="004617B3"/>
    <w:rsid w:val="0046182E"/>
    <w:rsid w:val="00461891"/>
    <w:rsid w:val="004618F9"/>
    <w:rsid w:val="00461956"/>
    <w:rsid w:val="00461BD5"/>
    <w:rsid w:val="00461BE5"/>
    <w:rsid w:val="00461EE5"/>
    <w:rsid w:val="00461F95"/>
    <w:rsid w:val="0046207D"/>
    <w:rsid w:val="0046218C"/>
    <w:rsid w:val="00462310"/>
    <w:rsid w:val="00462316"/>
    <w:rsid w:val="00462374"/>
    <w:rsid w:val="004623D4"/>
    <w:rsid w:val="0046258D"/>
    <w:rsid w:val="00462766"/>
    <w:rsid w:val="0046292E"/>
    <w:rsid w:val="00462F74"/>
    <w:rsid w:val="00462F98"/>
    <w:rsid w:val="00463235"/>
    <w:rsid w:val="0046331B"/>
    <w:rsid w:val="00463332"/>
    <w:rsid w:val="00463336"/>
    <w:rsid w:val="004634AC"/>
    <w:rsid w:val="00463552"/>
    <w:rsid w:val="00463944"/>
    <w:rsid w:val="00463A15"/>
    <w:rsid w:val="00463AF7"/>
    <w:rsid w:val="00463BF6"/>
    <w:rsid w:val="00463C76"/>
    <w:rsid w:val="00463C7E"/>
    <w:rsid w:val="00463F39"/>
    <w:rsid w:val="00463F6E"/>
    <w:rsid w:val="0046402A"/>
    <w:rsid w:val="00464081"/>
    <w:rsid w:val="004640A9"/>
    <w:rsid w:val="004640E3"/>
    <w:rsid w:val="004640FB"/>
    <w:rsid w:val="004641DA"/>
    <w:rsid w:val="004643EB"/>
    <w:rsid w:val="004644FC"/>
    <w:rsid w:val="004647F5"/>
    <w:rsid w:val="004648F1"/>
    <w:rsid w:val="00464901"/>
    <w:rsid w:val="00464963"/>
    <w:rsid w:val="00464B53"/>
    <w:rsid w:val="00464B58"/>
    <w:rsid w:val="00464B85"/>
    <w:rsid w:val="00464C03"/>
    <w:rsid w:val="00464C83"/>
    <w:rsid w:val="00464D02"/>
    <w:rsid w:val="00464D2E"/>
    <w:rsid w:val="00464EB3"/>
    <w:rsid w:val="00464F0B"/>
    <w:rsid w:val="00464FC4"/>
    <w:rsid w:val="0046512A"/>
    <w:rsid w:val="004651D9"/>
    <w:rsid w:val="00465234"/>
    <w:rsid w:val="0046536F"/>
    <w:rsid w:val="004653FD"/>
    <w:rsid w:val="0046551D"/>
    <w:rsid w:val="004656FE"/>
    <w:rsid w:val="00465723"/>
    <w:rsid w:val="0046572E"/>
    <w:rsid w:val="0046574A"/>
    <w:rsid w:val="0046575B"/>
    <w:rsid w:val="00465764"/>
    <w:rsid w:val="004657E5"/>
    <w:rsid w:val="004657F6"/>
    <w:rsid w:val="0046586F"/>
    <w:rsid w:val="00465AB0"/>
    <w:rsid w:val="00465ABD"/>
    <w:rsid w:val="00465B24"/>
    <w:rsid w:val="00465B8E"/>
    <w:rsid w:val="00465C22"/>
    <w:rsid w:val="00465C2E"/>
    <w:rsid w:val="00465D09"/>
    <w:rsid w:val="00465E9D"/>
    <w:rsid w:val="00465F3C"/>
    <w:rsid w:val="00466033"/>
    <w:rsid w:val="00466047"/>
    <w:rsid w:val="004660C0"/>
    <w:rsid w:val="004662B8"/>
    <w:rsid w:val="00466366"/>
    <w:rsid w:val="004663A2"/>
    <w:rsid w:val="00466677"/>
    <w:rsid w:val="004666D6"/>
    <w:rsid w:val="00466858"/>
    <w:rsid w:val="00466956"/>
    <w:rsid w:val="004669A1"/>
    <w:rsid w:val="004669B8"/>
    <w:rsid w:val="00466A73"/>
    <w:rsid w:val="00466AE0"/>
    <w:rsid w:val="00466C0A"/>
    <w:rsid w:val="00466D0F"/>
    <w:rsid w:val="00466D92"/>
    <w:rsid w:val="00466E08"/>
    <w:rsid w:val="00466E97"/>
    <w:rsid w:val="00466F69"/>
    <w:rsid w:val="0046719A"/>
    <w:rsid w:val="00467224"/>
    <w:rsid w:val="004672E3"/>
    <w:rsid w:val="0046741F"/>
    <w:rsid w:val="004674EB"/>
    <w:rsid w:val="00467544"/>
    <w:rsid w:val="00467551"/>
    <w:rsid w:val="00467586"/>
    <w:rsid w:val="0046769D"/>
    <w:rsid w:val="004676BA"/>
    <w:rsid w:val="00467707"/>
    <w:rsid w:val="00467777"/>
    <w:rsid w:val="004677A4"/>
    <w:rsid w:val="004677E2"/>
    <w:rsid w:val="0046784C"/>
    <w:rsid w:val="004678EC"/>
    <w:rsid w:val="00467B0B"/>
    <w:rsid w:val="00467B72"/>
    <w:rsid w:val="00467C14"/>
    <w:rsid w:val="00467E3C"/>
    <w:rsid w:val="00467ECB"/>
    <w:rsid w:val="00467EF4"/>
    <w:rsid w:val="004700E4"/>
    <w:rsid w:val="0047029D"/>
    <w:rsid w:val="004704E1"/>
    <w:rsid w:val="004707E5"/>
    <w:rsid w:val="00470849"/>
    <w:rsid w:val="004708EA"/>
    <w:rsid w:val="00470925"/>
    <w:rsid w:val="00470934"/>
    <w:rsid w:val="00470AC8"/>
    <w:rsid w:val="00470AE3"/>
    <w:rsid w:val="00470BFA"/>
    <w:rsid w:val="00470DED"/>
    <w:rsid w:val="00470DF0"/>
    <w:rsid w:val="00470F12"/>
    <w:rsid w:val="00470F5B"/>
    <w:rsid w:val="00470FC9"/>
    <w:rsid w:val="0047108C"/>
    <w:rsid w:val="004710C3"/>
    <w:rsid w:val="004712D8"/>
    <w:rsid w:val="004713F2"/>
    <w:rsid w:val="00471459"/>
    <w:rsid w:val="0047145B"/>
    <w:rsid w:val="00471509"/>
    <w:rsid w:val="004715DC"/>
    <w:rsid w:val="00471841"/>
    <w:rsid w:val="00471AE1"/>
    <w:rsid w:val="00471C66"/>
    <w:rsid w:val="00471E09"/>
    <w:rsid w:val="00471E0D"/>
    <w:rsid w:val="00471EFB"/>
    <w:rsid w:val="004720B1"/>
    <w:rsid w:val="0047215D"/>
    <w:rsid w:val="004721A2"/>
    <w:rsid w:val="00472274"/>
    <w:rsid w:val="004722D4"/>
    <w:rsid w:val="004722F5"/>
    <w:rsid w:val="0047233D"/>
    <w:rsid w:val="004723AC"/>
    <w:rsid w:val="00472571"/>
    <w:rsid w:val="004725B8"/>
    <w:rsid w:val="00472641"/>
    <w:rsid w:val="0047286D"/>
    <w:rsid w:val="004729FC"/>
    <w:rsid w:val="004729FE"/>
    <w:rsid w:val="00472AA6"/>
    <w:rsid w:val="00472AD0"/>
    <w:rsid w:val="00472B32"/>
    <w:rsid w:val="00472D0E"/>
    <w:rsid w:val="00472D94"/>
    <w:rsid w:val="00472D9C"/>
    <w:rsid w:val="00472E1E"/>
    <w:rsid w:val="00472E64"/>
    <w:rsid w:val="00472E79"/>
    <w:rsid w:val="004730B8"/>
    <w:rsid w:val="004730E7"/>
    <w:rsid w:val="00473AD5"/>
    <w:rsid w:val="00473ADB"/>
    <w:rsid w:val="00473B45"/>
    <w:rsid w:val="00473B60"/>
    <w:rsid w:val="00473CA5"/>
    <w:rsid w:val="00473D1F"/>
    <w:rsid w:val="00473D5D"/>
    <w:rsid w:val="00473DDC"/>
    <w:rsid w:val="00473DEC"/>
    <w:rsid w:val="00473F9F"/>
    <w:rsid w:val="004740BC"/>
    <w:rsid w:val="004741A0"/>
    <w:rsid w:val="00474289"/>
    <w:rsid w:val="0047440F"/>
    <w:rsid w:val="00474478"/>
    <w:rsid w:val="00474499"/>
    <w:rsid w:val="004746BA"/>
    <w:rsid w:val="004746F5"/>
    <w:rsid w:val="0047479C"/>
    <w:rsid w:val="004747DF"/>
    <w:rsid w:val="00474857"/>
    <w:rsid w:val="00474977"/>
    <w:rsid w:val="004749D4"/>
    <w:rsid w:val="00474A08"/>
    <w:rsid w:val="00474A35"/>
    <w:rsid w:val="00474B26"/>
    <w:rsid w:val="00474BBA"/>
    <w:rsid w:val="00474C01"/>
    <w:rsid w:val="00474C31"/>
    <w:rsid w:val="00474C3E"/>
    <w:rsid w:val="00474D6F"/>
    <w:rsid w:val="00474F32"/>
    <w:rsid w:val="0047502D"/>
    <w:rsid w:val="0047503C"/>
    <w:rsid w:val="00475250"/>
    <w:rsid w:val="0047527D"/>
    <w:rsid w:val="00475285"/>
    <w:rsid w:val="004752C8"/>
    <w:rsid w:val="0047531C"/>
    <w:rsid w:val="00475396"/>
    <w:rsid w:val="0047552D"/>
    <w:rsid w:val="004755B2"/>
    <w:rsid w:val="0047560C"/>
    <w:rsid w:val="0047565E"/>
    <w:rsid w:val="004756A5"/>
    <w:rsid w:val="00475866"/>
    <w:rsid w:val="004758AE"/>
    <w:rsid w:val="004758CE"/>
    <w:rsid w:val="0047594A"/>
    <w:rsid w:val="00475982"/>
    <w:rsid w:val="004759BE"/>
    <w:rsid w:val="00475AFF"/>
    <w:rsid w:val="00475B33"/>
    <w:rsid w:val="00475BF6"/>
    <w:rsid w:val="00475C97"/>
    <w:rsid w:val="00475D30"/>
    <w:rsid w:val="00475E3F"/>
    <w:rsid w:val="00475E9A"/>
    <w:rsid w:val="00475FA5"/>
    <w:rsid w:val="00475FA6"/>
    <w:rsid w:val="0047602B"/>
    <w:rsid w:val="00476039"/>
    <w:rsid w:val="0047619A"/>
    <w:rsid w:val="0047632C"/>
    <w:rsid w:val="004763CE"/>
    <w:rsid w:val="004765F4"/>
    <w:rsid w:val="004766A1"/>
    <w:rsid w:val="004766EE"/>
    <w:rsid w:val="004766F6"/>
    <w:rsid w:val="004768A3"/>
    <w:rsid w:val="004769B2"/>
    <w:rsid w:val="004769EF"/>
    <w:rsid w:val="00476A4D"/>
    <w:rsid w:val="00476B4D"/>
    <w:rsid w:val="00476CBC"/>
    <w:rsid w:val="00476E1D"/>
    <w:rsid w:val="00476E62"/>
    <w:rsid w:val="00476E6C"/>
    <w:rsid w:val="00476EF6"/>
    <w:rsid w:val="00476F2C"/>
    <w:rsid w:val="00476F8B"/>
    <w:rsid w:val="0047704D"/>
    <w:rsid w:val="0047708D"/>
    <w:rsid w:val="00477093"/>
    <w:rsid w:val="00477282"/>
    <w:rsid w:val="00477308"/>
    <w:rsid w:val="0047736E"/>
    <w:rsid w:val="004773B2"/>
    <w:rsid w:val="00477472"/>
    <w:rsid w:val="0047747F"/>
    <w:rsid w:val="00477575"/>
    <w:rsid w:val="004776DB"/>
    <w:rsid w:val="0047771A"/>
    <w:rsid w:val="00477771"/>
    <w:rsid w:val="004777F3"/>
    <w:rsid w:val="0047793D"/>
    <w:rsid w:val="00477947"/>
    <w:rsid w:val="00477953"/>
    <w:rsid w:val="00477B2F"/>
    <w:rsid w:val="00477D47"/>
    <w:rsid w:val="00477DCC"/>
    <w:rsid w:val="00477EEF"/>
    <w:rsid w:val="00477FF5"/>
    <w:rsid w:val="0048005C"/>
    <w:rsid w:val="004800B7"/>
    <w:rsid w:val="00480137"/>
    <w:rsid w:val="004802F2"/>
    <w:rsid w:val="00480457"/>
    <w:rsid w:val="004806B7"/>
    <w:rsid w:val="004807BA"/>
    <w:rsid w:val="004807E3"/>
    <w:rsid w:val="004808E0"/>
    <w:rsid w:val="00480A58"/>
    <w:rsid w:val="00480C67"/>
    <w:rsid w:val="00480C8C"/>
    <w:rsid w:val="00480CAD"/>
    <w:rsid w:val="00480CAE"/>
    <w:rsid w:val="00480E0B"/>
    <w:rsid w:val="00480E72"/>
    <w:rsid w:val="00480EA1"/>
    <w:rsid w:val="00480EEF"/>
    <w:rsid w:val="00480FA1"/>
    <w:rsid w:val="00481082"/>
    <w:rsid w:val="004810C4"/>
    <w:rsid w:val="004811F4"/>
    <w:rsid w:val="004812C5"/>
    <w:rsid w:val="00481647"/>
    <w:rsid w:val="0048187F"/>
    <w:rsid w:val="00481890"/>
    <w:rsid w:val="004818FC"/>
    <w:rsid w:val="00481A53"/>
    <w:rsid w:val="00481A64"/>
    <w:rsid w:val="00481A88"/>
    <w:rsid w:val="00481B12"/>
    <w:rsid w:val="00481B2B"/>
    <w:rsid w:val="00481B8E"/>
    <w:rsid w:val="00481C1D"/>
    <w:rsid w:val="00481C5C"/>
    <w:rsid w:val="00481D03"/>
    <w:rsid w:val="00481DE6"/>
    <w:rsid w:val="00481E83"/>
    <w:rsid w:val="00481ECD"/>
    <w:rsid w:val="00481F0D"/>
    <w:rsid w:val="00481F54"/>
    <w:rsid w:val="00481FD7"/>
    <w:rsid w:val="00482106"/>
    <w:rsid w:val="00482303"/>
    <w:rsid w:val="00482325"/>
    <w:rsid w:val="004823CB"/>
    <w:rsid w:val="004825FE"/>
    <w:rsid w:val="00482684"/>
    <w:rsid w:val="004826D8"/>
    <w:rsid w:val="00482847"/>
    <w:rsid w:val="004829BB"/>
    <w:rsid w:val="00482A3A"/>
    <w:rsid w:val="00482AB3"/>
    <w:rsid w:val="00482BC0"/>
    <w:rsid w:val="00482C0B"/>
    <w:rsid w:val="00482C44"/>
    <w:rsid w:val="00482C72"/>
    <w:rsid w:val="00482D4A"/>
    <w:rsid w:val="00482DE5"/>
    <w:rsid w:val="00482E56"/>
    <w:rsid w:val="00482F0D"/>
    <w:rsid w:val="00482F3C"/>
    <w:rsid w:val="00482F66"/>
    <w:rsid w:val="00482F93"/>
    <w:rsid w:val="0048300E"/>
    <w:rsid w:val="00483159"/>
    <w:rsid w:val="00483169"/>
    <w:rsid w:val="0048317F"/>
    <w:rsid w:val="00483266"/>
    <w:rsid w:val="00483430"/>
    <w:rsid w:val="0048352C"/>
    <w:rsid w:val="0048352E"/>
    <w:rsid w:val="00483602"/>
    <w:rsid w:val="00483657"/>
    <w:rsid w:val="004836A9"/>
    <w:rsid w:val="0048373C"/>
    <w:rsid w:val="00483776"/>
    <w:rsid w:val="0048391D"/>
    <w:rsid w:val="00483995"/>
    <w:rsid w:val="00483B23"/>
    <w:rsid w:val="00483BB2"/>
    <w:rsid w:val="00483C7E"/>
    <w:rsid w:val="00483EBB"/>
    <w:rsid w:val="00483F29"/>
    <w:rsid w:val="00483F6F"/>
    <w:rsid w:val="00483FD7"/>
    <w:rsid w:val="0048401C"/>
    <w:rsid w:val="004840D7"/>
    <w:rsid w:val="00484336"/>
    <w:rsid w:val="00484356"/>
    <w:rsid w:val="004843ED"/>
    <w:rsid w:val="004843FE"/>
    <w:rsid w:val="00484509"/>
    <w:rsid w:val="00484562"/>
    <w:rsid w:val="004846F4"/>
    <w:rsid w:val="004847E2"/>
    <w:rsid w:val="0048489D"/>
    <w:rsid w:val="00484D62"/>
    <w:rsid w:val="00484D7A"/>
    <w:rsid w:val="00484E7A"/>
    <w:rsid w:val="00485011"/>
    <w:rsid w:val="00485175"/>
    <w:rsid w:val="004851CD"/>
    <w:rsid w:val="0048540D"/>
    <w:rsid w:val="004854DA"/>
    <w:rsid w:val="00485517"/>
    <w:rsid w:val="00485581"/>
    <w:rsid w:val="0048559B"/>
    <w:rsid w:val="00485608"/>
    <w:rsid w:val="004856B9"/>
    <w:rsid w:val="004856C9"/>
    <w:rsid w:val="004856EE"/>
    <w:rsid w:val="004856F8"/>
    <w:rsid w:val="00485830"/>
    <w:rsid w:val="00485A7B"/>
    <w:rsid w:val="00485AC4"/>
    <w:rsid w:val="00485C26"/>
    <w:rsid w:val="00485C47"/>
    <w:rsid w:val="00485C4E"/>
    <w:rsid w:val="00485E13"/>
    <w:rsid w:val="00485E33"/>
    <w:rsid w:val="00485EC0"/>
    <w:rsid w:val="00485F31"/>
    <w:rsid w:val="00485F53"/>
    <w:rsid w:val="00485FA3"/>
    <w:rsid w:val="0048603C"/>
    <w:rsid w:val="0048613C"/>
    <w:rsid w:val="00486149"/>
    <w:rsid w:val="0048615B"/>
    <w:rsid w:val="00486326"/>
    <w:rsid w:val="00486403"/>
    <w:rsid w:val="00486475"/>
    <w:rsid w:val="00486677"/>
    <w:rsid w:val="004866FA"/>
    <w:rsid w:val="0048677E"/>
    <w:rsid w:val="00486792"/>
    <w:rsid w:val="004867A7"/>
    <w:rsid w:val="004867AF"/>
    <w:rsid w:val="004868D0"/>
    <w:rsid w:val="00486998"/>
    <w:rsid w:val="004869FE"/>
    <w:rsid w:val="00486A51"/>
    <w:rsid w:val="00486AFF"/>
    <w:rsid w:val="00486C68"/>
    <w:rsid w:val="00486DEF"/>
    <w:rsid w:val="00486E18"/>
    <w:rsid w:val="00486E2A"/>
    <w:rsid w:val="00486E65"/>
    <w:rsid w:val="00486F8C"/>
    <w:rsid w:val="0048700B"/>
    <w:rsid w:val="00487076"/>
    <w:rsid w:val="0048712F"/>
    <w:rsid w:val="00487366"/>
    <w:rsid w:val="00487378"/>
    <w:rsid w:val="0048756F"/>
    <w:rsid w:val="004875B9"/>
    <w:rsid w:val="004875E1"/>
    <w:rsid w:val="004876D5"/>
    <w:rsid w:val="00487785"/>
    <w:rsid w:val="00487932"/>
    <w:rsid w:val="004879A1"/>
    <w:rsid w:val="00487A48"/>
    <w:rsid w:val="00487B1F"/>
    <w:rsid w:val="00487B37"/>
    <w:rsid w:val="00487B49"/>
    <w:rsid w:val="00487CE6"/>
    <w:rsid w:val="00487DD1"/>
    <w:rsid w:val="00487F22"/>
    <w:rsid w:val="00487F36"/>
    <w:rsid w:val="00487F63"/>
    <w:rsid w:val="00490018"/>
    <w:rsid w:val="004901C2"/>
    <w:rsid w:val="004901C3"/>
    <w:rsid w:val="00490229"/>
    <w:rsid w:val="00490255"/>
    <w:rsid w:val="004902B3"/>
    <w:rsid w:val="004903CB"/>
    <w:rsid w:val="004904F0"/>
    <w:rsid w:val="0049051E"/>
    <w:rsid w:val="00490577"/>
    <w:rsid w:val="004905A4"/>
    <w:rsid w:val="00490636"/>
    <w:rsid w:val="004909B2"/>
    <w:rsid w:val="004909D7"/>
    <w:rsid w:val="00490B0C"/>
    <w:rsid w:val="00490C9F"/>
    <w:rsid w:val="00490CF0"/>
    <w:rsid w:val="00490E61"/>
    <w:rsid w:val="00490E68"/>
    <w:rsid w:val="00490F54"/>
    <w:rsid w:val="00490FF0"/>
    <w:rsid w:val="00491080"/>
    <w:rsid w:val="004910FE"/>
    <w:rsid w:val="00491198"/>
    <w:rsid w:val="004912ED"/>
    <w:rsid w:val="0049169A"/>
    <w:rsid w:val="00491777"/>
    <w:rsid w:val="00491795"/>
    <w:rsid w:val="004917E0"/>
    <w:rsid w:val="0049180E"/>
    <w:rsid w:val="0049199B"/>
    <w:rsid w:val="00491AEB"/>
    <w:rsid w:val="00491BF6"/>
    <w:rsid w:val="00491C87"/>
    <w:rsid w:val="00491D0C"/>
    <w:rsid w:val="00491D9E"/>
    <w:rsid w:val="00491E80"/>
    <w:rsid w:val="00491F0A"/>
    <w:rsid w:val="00491FED"/>
    <w:rsid w:val="00491FF4"/>
    <w:rsid w:val="0049217B"/>
    <w:rsid w:val="004921BE"/>
    <w:rsid w:val="0049229F"/>
    <w:rsid w:val="00492316"/>
    <w:rsid w:val="00492339"/>
    <w:rsid w:val="00492540"/>
    <w:rsid w:val="004925ED"/>
    <w:rsid w:val="004925FE"/>
    <w:rsid w:val="004928B2"/>
    <w:rsid w:val="0049297B"/>
    <w:rsid w:val="00492A6C"/>
    <w:rsid w:val="00492AE4"/>
    <w:rsid w:val="00492B31"/>
    <w:rsid w:val="00492D08"/>
    <w:rsid w:val="00492D5E"/>
    <w:rsid w:val="00492D69"/>
    <w:rsid w:val="00492DBB"/>
    <w:rsid w:val="00492F82"/>
    <w:rsid w:val="004931EE"/>
    <w:rsid w:val="0049351F"/>
    <w:rsid w:val="00493548"/>
    <w:rsid w:val="00493660"/>
    <w:rsid w:val="0049379C"/>
    <w:rsid w:val="004939B5"/>
    <w:rsid w:val="00493A12"/>
    <w:rsid w:val="00493B83"/>
    <w:rsid w:val="00493BF9"/>
    <w:rsid w:val="00493C27"/>
    <w:rsid w:val="00493C9D"/>
    <w:rsid w:val="00493D9D"/>
    <w:rsid w:val="00493DE1"/>
    <w:rsid w:val="00493ED7"/>
    <w:rsid w:val="00493EFB"/>
    <w:rsid w:val="00493F2D"/>
    <w:rsid w:val="00494109"/>
    <w:rsid w:val="00494121"/>
    <w:rsid w:val="00494323"/>
    <w:rsid w:val="004943C2"/>
    <w:rsid w:val="004943CF"/>
    <w:rsid w:val="0049444C"/>
    <w:rsid w:val="00494633"/>
    <w:rsid w:val="004946B3"/>
    <w:rsid w:val="004946F3"/>
    <w:rsid w:val="00494700"/>
    <w:rsid w:val="00494815"/>
    <w:rsid w:val="004948DE"/>
    <w:rsid w:val="00494918"/>
    <w:rsid w:val="004949A0"/>
    <w:rsid w:val="004949BA"/>
    <w:rsid w:val="00494C65"/>
    <w:rsid w:val="00494C90"/>
    <w:rsid w:val="00494DDD"/>
    <w:rsid w:val="00494E18"/>
    <w:rsid w:val="00494F0C"/>
    <w:rsid w:val="00494F5A"/>
    <w:rsid w:val="0049522F"/>
    <w:rsid w:val="00495293"/>
    <w:rsid w:val="004953AC"/>
    <w:rsid w:val="00495468"/>
    <w:rsid w:val="00495539"/>
    <w:rsid w:val="00495557"/>
    <w:rsid w:val="00495575"/>
    <w:rsid w:val="0049567E"/>
    <w:rsid w:val="004956D3"/>
    <w:rsid w:val="00495779"/>
    <w:rsid w:val="004958A4"/>
    <w:rsid w:val="004958D3"/>
    <w:rsid w:val="00495904"/>
    <w:rsid w:val="00495BB1"/>
    <w:rsid w:val="00495C2A"/>
    <w:rsid w:val="00495C80"/>
    <w:rsid w:val="00495CF1"/>
    <w:rsid w:val="00495D85"/>
    <w:rsid w:val="00495DDF"/>
    <w:rsid w:val="00495E56"/>
    <w:rsid w:val="00495F76"/>
    <w:rsid w:val="0049618D"/>
    <w:rsid w:val="004962A4"/>
    <w:rsid w:val="004963E0"/>
    <w:rsid w:val="0049641C"/>
    <w:rsid w:val="00496481"/>
    <w:rsid w:val="00496505"/>
    <w:rsid w:val="0049653E"/>
    <w:rsid w:val="004965EF"/>
    <w:rsid w:val="0049670F"/>
    <w:rsid w:val="0049676E"/>
    <w:rsid w:val="00496947"/>
    <w:rsid w:val="00496982"/>
    <w:rsid w:val="00496B95"/>
    <w:rsid w:val="00496C03"/>
    <w:rsid w:val="00496C4C"/>
    <w:rsid w:val="00496D5A"/>
    <w:rsid w:val="00496DA4"/>
    <w:rsid w:val="00496DCE"/>
    <w:rsid w:val="00496E24"/>
    <w:rsid w:val="00496E6B"/>
    <w:rsid w:val="00496E6D"/>
    <w:rsid w:val="00496EF6"/>
    <w:rsid w:val="0049704D"/>
    <w:rsid w:val="0049708C"/>
    <w:rsid w:val="004970D2"/>
    <w:rsid w:val="00497173"/>
    <w:rsid w:val="0049719D"/>
    <w:rsid w:val="004971A1"/>
    <w:rsid w:val="0049727A"/>
    <w:rsid w:val="00497327"/>
    <w:rsid w:val="0049737B"/>
    <w:rsid w:val="0049742C"/>
    <w:rsid w:val="00497566"/>
    <w:rsid w:val="0049762E"/>
    <w:rsid w:val="00497633"/>
    <w:rsid w:val="00497775"/>
    <w:rsid w:val="0049781B"/>
    <w:rsid w:val="00497837"/>
    <w:rsid w:val="00497923"/>
    <w:rsid w:val="0049799D"/>
    <w:rsid w:val="004979D5"/>
    <w:rsid w:val="00497A03"/>
    <w:rsid w:val="00497B67"/>
    <w:rsid w:val="00497DD6"/>
    <w:rsid w:val="00497E98"/>
    <w:rsid w:val="00497F4D"/>
    <w:rsid w:val="00497FCD"/>
    <w:rsid w:val="004A0059"/>
    <w:rsid w:val="004A0101"/>
    <w:rsid w:val="004A0464"/>
    <w:rsid w:val="004A0656"/>
    <w:rsid w:val="004A06AE"/>
    <w:rsid w:val="004A0809"/>
    <w:rsid w:val="004A0916"/>
    <w:rsid w:val="004A095C"/>
    <w:rsid w:val="004A0AFC"/>
    <w:rsid w:val="004A0C26"/>
    <w:rsid w:val="004A0D1E"/>
    <w:rsid w:val="004A0DD2"/>
    <w:rsid w:val="004A0E66"/>
    <w:rsid w:val="004A0EEC"/>
    <w:rsid w:val="004A11B9"/>
    <w:rsid w:val="004A122C"/>
    <w:rsid w:val="004A122E"/>
    <w:rsid w:val="004A130F"/>
    <w:rsid w:val="004A1318"/>
    <w:rsid w:val="004A1373"/>
    <w:rsid w:val="004A137E"/>
    <w:rsid w:val="004A14AF"/>
    <w:rsid w:val="004A14F2"/>
    <w:rsid w:val="004A1505"/>
    <w:rsid w:val="004A15D5"/>
    <w:rsid w:val="004A1630"/>
    <w:rsid w:val="004A16AC"/>
    <w:rsid w:val="004A17D0"/>
    <w:rsid w:val="004A17EF"/>
    <w:rsid w:val="004A1801"/>
    <w:rsid w:val="004A1A19"/>
    <w:rsid w:val="004A1B02"/>
    <w:rsid w:val="004A1B38"/>
    <w:rsid w:val="004A1BDA"/>
    <w:rsid w:val="004A1C3D"/>
    <w:rsid w:val="004A1CBB"/>
    <w:rsid w:val="004A1D8D"/>
    <w:rsid w:val="004A1DCB"/>
    <w:rsid w:val="004A1DE0"/>
    <w:rsid w:val="004A1E43"/>
    <w:rsid w:val="004A1F0B"/>
    <w:rsid w:val="004A2032"/>
    <w:rsid w:val="004A2283"/>
    <w:rsid w:val="004A22DA"/>
    <w:rsid w:val="004A232D"/>
    <w:rsid w:val="004A2350"/>
    <w:rsid w:val="004A24D9"/>
    <w:rsid w:val="004A2590"/>
    <w:rsid w:val="004A2700"/>
    <w:rsid w:val="004A2947"/>
    <w:rsid w:val="004A29DA"/>
    <w:rsid w:val="004A2A04"/>
    <w:rsid w:val="004A2B9B"/>
    <w:rsid w:val="004A2BA2"/>
    <w:rsid w:val="004A2CDC"/>
    <w:rsid w:val="004A2E12"/>
    <w:rsid w:val="004A2F70"/>
    <w:rsid w:val="004A3220"/>
    <w:rsid w:val="004A341A"/>
    <w:rsid w:val="004A351E"/>
    <w:rsid w:val="004A3550"/>
    <w:rsid w:val="004A3622"/>
    <w:rsid w:val="004A36C8"/>
    <w:rsid w:val="004A3721"/>
    <w:rsid w:val="004A3742"/>
    <w:rsid w:val="004A37B8"/>
    <w:rsid w:val="004A38B8"/>
    <w:rsid w:val="004A3A14"/>
    <w:rsid w:val="004A3CC2"/>
    <w:rsid w:val="004A3D7E"/>
    <w:rsid w:val="004A3E0A"/>
    <w:rsid w:val="004A3EA5"/>
    <w:rsid w:val="004A3ED3"/>
    <w:rsid w:val="004A3F7E"/>
    <w:rsid w:val="004A3F86"/>
    <w:rsid w:val="004A3F9E"/>
    <w:rsid w:val="004A40AC"/>
    <w:rsid w:val="004A414A"/>
    <w:rsid w:val="004A4190"/>
    <w:rsid w:val="004A4216"/>
    <w:rsid w:val="004A4217"/>
    <w:rsid w:val="004A423E"/>
    <w:rsid w:val="004A4329"/>
    <w:rsid w:val="004A432B"/>
    <w:rsid w:val="004A438F"/>
    <w:rsid w:val="004A451C"/>
    <w:rsid w:val="004A46C2"/>
    <w:rsid w:val="004A46C7"/>
    <w:rsid w:val="004A4787"/>
    <w:rsid w:val="004A47BC"/>
    <w:rsid w:val="004A47F9"/>
    <w:rsid w:val="004A480B"/>
    <w:rsid w:val="004A48E4"/>
    <w:rsid w:val="004A49F0"/>
    <w:rsid w:val="004A4AC6"/>
    <w:rsid w:val="004A4C7B"/>
    <w:rsid w:val="004A4C8C"/>
    <w:rsid w:val="004A4CE6"/>
    <w:rsid w:val="004A4EAA"/>
    <w:rsid w:val="004A504B"/>
    <w:rsid w:val="004A511F"/>
    <w:rsid w:val="004A528A"/>
    <w:rsid w:val="004A5472"/>
    <w:rsid w:val="004A551A"/>
    <w:rsid w:val="004A568E"/>
    <w:rsid w:val="004A56E3"/>
    <w:rsid w:val="004A56EB"/>
    <w:rsid w:val="004A58F0"/>
    <w:rsid w:val="004A5CAE"/>
    <w:rsid w:val="004A5D1E"/>
    <w:rsid w:val="004A5E79"/>
    <w:rsid w:val="004A5EDB"/>
    <w:rsid w:val="004A5FA8"/>
    <w:rsid w:val="004A5FAA"/>
    <w:rsid w:val="004A614B"/>
    <w:rsid w:val="004A61C0"/>
    <w:rsid w:val="004A61ED"/>
    <w:rsid w:val="004A628D"/>
    <w:rsid w:val="004A6412"/>
    <w:rsid w:val="004A65D4"/>
    <w:rsid w:val="004A65E1"/>
    <w:rsid w:val="004A6606"/>
    <w:rsid w:val="004A66B0"/>
    <w:rsid w:val="004A6773"/>
    <w:rsid w:val="004A6786"/>
    <w:rsid w:val="004A69B1"/>
    <w:rsid w:val="004A6A38"/>
    <w:rsid w:val="004A6B66"/>
    <w:rsid w:val="004A6D58"/>
    <w:rsid w:val="004A71B9"/>
    <w:rsid w:val="004A71C9"/>
    <w:rsid w:val="004A7245"/>
    <w:rsid w:val="004A72CE"/>
    <w:rsid w:val="004A7434"/>
    <w:rsid w:val="004A7493"/>
    <w:rsid w:val="004A7706"/>
    <w:rsid w:val="004A780D"/>
    <w:rsid w:val="004A7850"/>
    <w:rsid w:val="004A792C"/>
    <w:rsid w:val="004A7AEB"/>
    <w:rsid w:val="004A7B46"/>
    <w:rsid w:val="004A7BC8"/>
    <w:rsid w:val="004A7DCF"/>
    <w:rsid w:val="004A7EF9"/>
    <w:rsid w:val="004A7F8F"/>
    <w:rsid w:val="004B0699"/>
    <w:rsid w:val="004B06B2"/>
    <w:rsid w:val="004B0742"/>
    <w:rsid w:val="004B0A40"/>
    <w:rsid w:val="004B0B9A"/>
    <w:rsid w:val="004B0C6D"/>
    <w:rsid w:val="004B0C6E"/>
    <w:rsid w:val="004B0DC9"/>
    <w:rsid w:val="004B0E88"/>
    <w:rsid w:val="004B1036"/>
    <w:rsid w:val="004B1063"/>
    <w:rsid w:val="004B10B1"/>
    <w:rsid w:val="004B1199"/>
    <w:rsid w:val="004B11C3"/>
    <w:rsid w:val="004B1229"/>
    <w:rsid w:val="004B1250"/>
    <w:rsid w:val="004B1422"/>
    <w:rsid w:val="004B144B"/>
    <w:rsid w:val="004B14D9"/>
    <w:rsid w:val="004B150C"/>
    <w:rsid w:val="004B15B1"/>
    <w:rsid w:val="004B15D4"/>
    <w:rsid w:val="004B16C4"/>
    <w:rsid w:val="004B177E"/>
    <w:rsid w:val="004B1803"/>
    <w:rsid w:val="004B1867"/>
    <w:rsid w:val="004B188D"/>
    <w:rsid w:val="004B18A9"/>
    <w:rsid w:val="004B1A7B"/>
    <w:rsid w:val="004B1AED"/>
    <w:rsid w:val="004B1BE5"/>
    <w:rsid w:val="004B1C7D"/>
    <w:rsid w:val="004B1D90"/>
    <w:rsid w:val="004B1DC1"/>
    <w:rsid w:val="004B1ECC"/>
    <w:rsid w:val="004B223F"/>
    <w:rsid w:val="004B2385"/>
    <w:rsid w:val="004B29DC"/>
    <w:rsid w:val="004B2A05"/>
    <w:rsid w:val="004B2A64"/>
    <w:rsid w:val="004B2D2D"/>
    <w:rsid w:val="004B2D3E"/>
    <w:rsid w:val="004B2D5E"/>
    <w:rsid w:val="004B2DBE"/>
    <w:rsid w:val="004B2E82"/>
    <w:rsid w:val="004B2ED0"/>
    <w:rsid w:val="004B3042"/>
    <w:rsid w:val="004B30D8"/>
    <w:rsid w:val="004B3118"/>
    <w:rsid w:val="004B311B"/>
    <w:rsid w:val="004B3162"/>
    <w:rsid w:val="004B31A5"/>
    <w:rsid w:val="004B31AD"/>
    <w:rsid w:val="004B3359"/>
    <w:rsid w:val="004B3437"/>
    <w:rsid w:val="004B356D"/>
    <w:rsid w:val="004B3594"/>
    <w:rsid w:val="004B35D8"/>
    <w:rsid w:val="004B3BDE"/>
    <w:rsid w:val="004B3C61"/>
    <w:rsid w:val="004B3E89"/>
    <w:rsid w:val="004B3F56"/>
    <w:rsid w:val="004B3F78"/>
    <w:rsid w:val="004B3F79"/>
    <w:rsid w:val="004B3FF5"/>
    <w:rsid w:val="004B4045"/>
    <w:rsid w:val="004B41DA"/>
    <w:rsid w:val="004B428E"/>
    <w:rsid w:val="004B45F5"/>
    <w:rsid w:val="004B4653"/>
    <w:rsid w:val="004B4696"/>
    <w:rsid w:val="004B470D"/>
    <w:rsid w:val="004B4742"/>
    <w:rsid w:val="004B4753"/>
    <w:rsid w:val="004B4764"/>
    <w:rsid w:val="004B4846"/>
    <w:rsid w:val="004B48AF"/>
    <w:rsid w:val="004B48C5"/>
    <w:rsid w:val="004B48DE"/>
    <w:rsid w:val="004B4A95"/>
    <w:rsid w:val="004B4B54"/>
    <w:rsid w:val="004B4D25"/>
    <w:rsid w:val="004B4D9B"/>
    <w:rsid w:val="004B4DAE"/>
    <w:rsid w:val="004B4E20"/>
    <w:rsid w:val="004B4E21"/>
    <w:rsid w:val="004B4E65"/>
    <w:rsid w:val="004B4FB0"/>
    <w:rsid w:val="004B4FC3"/>
    <w:rsid w:val="004B501F"/>
    <w:rsid w:val="004B5154"/>
    <w:rsid w:val="004B51ED"/>
    <w:rsid w:val="004B52E1"/>
    <w:rsid w:val="004B534D"/>
    <w:rsid w:val="004B5364"/>
    <w:rsid w:val="004B5394"/>
    <w:rsid w:val="004B54A8"/>
    <w:rsid w:val="004B5562"/>
    <w:rsid w:val="004B5623"/>
    <w:rsid w:val="004B562B"/>
    <w:rsid w:val="004B56B6"/>
    <w:rsid w:val="004B5A06"/>
    <w:rsid w:val="004B5B81"/>
    <w:rsid w:val="004B5BDD"/>
    <w:rsid w:val="004B5C7C"/>
    <w:rsid w:val="004B5CC2"/>
    <w:rsid w:val="004B5F10"/>
    <w:rsid w:val="004B5F8F"/>
    <w:rsid w:val="004B5FFE"/>
    <w:rsid w:val="004B60C2"/>
    <w:rsid w:val="004B60C7"/>
    <w:rsid w:val="004B612B"/>
    <w:rsid w:val="004B6173"/>
    <w:rsid w:val="004B646D"/>
    <w:rsid w:val="004B69D3"/>
    <w:rsid w:val="004B6AB3"/>
    <w:rsid w:val="004B6C51"/>
    <w:rsid w:val="004B6C57"/>
    <w:rsid w:val="004B6D09"/>
    <w:rsid w:val="004B6DF9"/>
    <w:rsid w:val="004B6E9E"/>
    <w:rsid w:val="004B6EB6"/>
    <w:rsid w:val="004B6F44"/>
    <w:rsid w:val="004B6F5A"/>
    <w:rsid w:val="004B6F83"/>
    <w:rsid w:val="004B6FA7"/>
    <w:rsid w:val="004B6FCE"/>
    <w:rsid w:val="004B71CD"/>
    <w:rsid w:val="004B723B"/>
    <w:rsid w:val="004B732A"/>
    <w:rsid w:val="004B73B5"/>
    <w:rsid w:val="004B73DD"/>
    <w:rsid w:val="004B7521"/>
    <w:rsid w:val="004B766B"/>
    <w:rsid w:val="004B7778"/>
    <w:rsid w:val="004B7781"/>
    <w:rsid w:val="004B789A"/>
    <w:rsid w:val="004B7A27"/>
    <w:rsid w:val="004B7A79"/>
    <w:rsid w:val="004B7B21"/>
    <w:rsid w:val="004B7C29"/>
    <w:rsid w:val="004B7EFE"/>
    <w:rsid w:val="004C01FD"/>
    <w:rsid w:val="004C02B0"/>
    <w:rsid w:val="004C035F"/>
    <w:rsid w:val="004C043A"/>
    <w:rsid w:val="004C04CF"/>
    <w:rsid w:val="004C06E5"/>
    <w:rsid w:val="004C0756"/>
    <w:rsid w:val="004C07AD"/>
    <w:rsid w:val="004C08BC"/>
    <w:rsid w:val="004C0A9C"/>
    <w:rsid w:val="004C0AA9"/>
    <w:rsid w:val="004C0B26"/>
    <w:rsid w:val="004C0C0E"/>
    <w:rsid w:val="004C0D26"/>
    <w:rsid w:val="004C0D5F"/>
    <w:rsid w:val="004C0EC1"/>
    <w:rsid w:val="004C1019"/>
    <w:rsid w:val="004C115D"/>
    <w:rsid w:val="004C1169"/>
    <w:rsid w:val="004C1300"/>
    <w:rsid w:val="004C1386"/>
    <w:rsid w:val="004C15A6"/>
    <w:rsid w:val="004C17FE"/>
    <w:rsid w:val="004C18EB"/>
    <w:rsid w:val="004C1B7D"/>
    <w:rsid w:val="004C1BC6"/>
    <w:rsid w:val="004C1C2E"/>
    <w:rsid w:val="004C1C62"/>
    <w:rsid w:val="004C1CD2"/>
    <w:rsid w:val="004C1D46"/>
    <w:rsid w:val="004C1D78"/>
    <w:rsid w:val="004C1E3C"/>
    <w:rsid w:val="004C1F0E"/>
    <w:rsid w:val="004C1FE2"/>
    <w:rsid w:val="004C207D"/>
    <w:rsid w:val="004C2195"/>
    <w:rsid w:val="004C223D"/>
    <w:rsid w:val="004C2373"/>
    <w:rsid w:val="004C23D8"/>
    <w:rsid w:val="004C2504"/>
    <w:rsid w:val="004C2542"/>
    <w:rsid w:val="004C25F0"/>
    <w:rsid w:val="004C26DD"/>
    <w:rsid w:val="004C27A9"/>
    <w:rsid w:val="004C2809"/>
    <w:rsid w:val="004C288E"/>
    <w:rsid w:val="004C2897"/>
    <w:rsid w:val="004C2960"/>
    <w:rsid w:val="004C297F"/>
    <w:rsid w:val="004C2A2B"/>
    <w:rsid w:val="004C2A79"/>
    <w:rsid w:val="004C2B5D"/>
    <w:rsid w:val="004C2B96"/>
    <w:rsid w:val="004C2C51"/>
    <w:rsid w:val="004C2C89"/>
    <w:rsid w:val="004C2D68"/>
    <w:rsid w:val="004C2D83"/>
    <w:rsid w:val="004C2E1F"/>
    <w:rsid w:val="004C2F56"/>
    <w:rsid w:val="004C2F93"/>
    <w:rsid w:val="004C30A0"/>
    <w:rsid w:val="004C3372"/>
    <w:rsid w:val="004C339D"/>
    <w:rsid w:val="004C33CD"/>
    <w:rsid w:val="004C33E8"/>
    <w:rsid w:val="004C355E"/>
    <w:rsid w:val="004C355F"/>
    <w:rsid w:val="004C35E5"/>
    <w:rsid w:val="004C361C"/>
    <w:rsid w:val="004C3655"/>
    <w:rsid w:val="004C3709"/>
    <w:rsid w:val="004C3759"/>
    <w:rsid w:val="004C37EF"/>
    <w:rsid w:val="004C3815"/>
    <w:rsid w:val="004C38EE"/>
    <w:rsid w:val="004C3933"/>
    <w:rsid w:val="004C39E4"/>
    <w:rsid w:val="004C3B7C"/>
    <w:rsid w:val="004C3F63"/>
    <w:rsid w:val="004C3FD4"/>
    <w:rsid w:val="004C3FEB"/>
    <w:rsid w:val="004C412C"/>
    <w:rsid w:val="004C41C2"/>
    <w:rsid w:val="004C4307"/>
    <w:rsid w:val="004C4309"/>
    <w:rsid w:val="004C43B3"/>
    <w:rsid w:val="004C4500"/>
    <w:rsid w:val="004C461B"/>
    <w:rsid w:val="004C46D2"/>
    <w:rsid w:val="004C46E6"/>
    <w:rsid w:val="004C47A7"/>
    <w:rsid w:val="004C4844"/>
    <w:rsid w:val="004C48CD"/>
    <w:rsid w:val="004C4929"/>
    <w:rsid w:val="004C49E3"/>
    <w:rsid w:val="004C4A86"/>
    <w:rsid w:val="004C4A9D"/>
    <w:rsid w:val="004C4AE5"/>
    <w:rsid w:val="004C4AF0"/>
    <w:rsid w:val="004C4B23"/>
    <w:rsid w:val="004C4DE9"/>
    <w:rsid w:val="004C4E8A"/>
    <w:rsid w:val="004C4F1B"/>
    <w:rsid w:val="004C4F9A"/>
    <w:rsid w:val="004C4FBC"/>
    <w:rsid w:val="004C5083"/>
    <w:rsid w:val="004C50AD"/>
    <w:rsid w:val="004C514A"/>
    <w:rsid w:val="004C5263"/>
    <w:rsid w:val="004C52BB"/>
    <w:rsid w:val="004C53DA"/>
    <w:rsid w:val="004C56D2"/>
    <w:rsid w:val="004C56F0"/>
    <w:rsid w:val="004C5716"/>
    <w:rsid w:val="004C5859"/>
    <w:rsid w:val="004C58B5"/>
    <w:rsid w:val="004C599B"/>
    <w:rsid w:val="004C59EE"/>
    <w:rsid w:val="004C5ABE"/>
    <w:rsid w:val="004C5AEC"/>
    <w:rsid w:val="004C5C0B"/>
    <w:rsid w:val="004C5C57"/>
    <w:rsid w:val="004C5D93"/>
    <w:rsid w:val="004C5DEC"/>
    <w:rsid w:val="004C5FCD"/>
    <w:rsid w:val="004C5FD4"/>
    <w:rsid w:val="004C6124"/>
    <w:rsid w:val="004C6167"/>
    <w:rsid w:val="004C6272"/>
    <w:rsid w:val="004C63B1"/>
    <w:rsid w:val="004C642C"/>
    <w:rsid w:val="004C645A"/>
    <w:rsid w:val="004C6504"/>
    <w:rsid w:val="004C6572"/>
    <w:rsid w:val="004C65B2"/>
    <w:rsid w:val="004C6619"/>
    <w:rsid w:val="004C670B"/>
    <w:rsid w:val="004C6790"/>
    <w:rsid w:val="004C698C"/>
    <w:rsid w:val="004C6C83"/>
    <w:rsid w:val="004C6D4F"/>
    <w:rsid w:val="004C6E69"/>
    <w:rsid w:val="004C6FEE"/>
    <w:rsid w:val="004C703D"/>
    <w:rsid w:val="004C7105"/>
    <w:rsid w:val="004C7191"/>
    <w:rsid w:val="004C71B8"/>
    <w:rsid w:val="004C71CE"/>
    <w:rsid w:val="004C71DC"/>
    <w:rsid w:val="004C730F"/>
    <w:rsid w:val="004C73E9"/>
    <w:rsid w:val="004C7455"/>
    <w:rsid w:val="004C74B6"/>
    <w:rsid w:val="004C7527"/>
    <w:rsid w:val="004C7541"/>
    <w:rsid w:val="004C767A"/>
    <w:rsid w:val="004C7705"/>
    <w:rsid w:val="004C7AD6"/>
    <w:rsid w:val="004C7ADF"/>
    <w:rsid w:val="004C7CBA"/>
    <w:rsid w:val="004C7D53"/>
    <w:rsid w:val="004D01B6"/>
    <w:rsid w:val="004D021E"/>
    <w:rsid w:val="004D032D"/>
    <w:rsid w:val="004D0364"/>
    <w:rsid w:val="004D03EB"/>
    <w:rsid w:val="004D0598"/>
    <w:rsid w:val="004D05A4"/>
    <w:rsid w:val="004D06CD"/>
    <w:rsid w:val="004D07D4"/>
    <w:rsid w:val="004D0ABF"/>
    <w:rsid w:val="004D0B32"/>
    <w:rsid w:val="004D0D33"/>
    <w:rsid w:val="004D0D58"/>
    <w:rsid w:val="004D0DAC"/>
    <w:rsid w:val="004D0E1E"/>
    <w:rsid w:val="004D0E6A"/>
    <w:rsid w:val="004D0ED8"/>
    <w:rsid w:val="004D0F2C"/>
    <w:rsid w:val="004D0FF6"/>
    <w:rsid w:val="004D102E"/>
    <w:rsid w:val="004D115E"/>
    <w:rsid w:val="004D11A0"/>
    <w:rsid w:val="004D11D5"/>
    <w:rsid w:val="004D1230"/>
    <w:rsid w:val="004D1481"/>
    <w:rsid w:val="004D14EC"/>
    <w:rsid w:val="004D1510"/>
    <w:rsid w:val="004D153B"/>
    <w:rsid w:val="004D1649"/>
    <w:rsid w:val="004D1662"/>
    <w:rsid w:val="004D1911"/>
    <w:rsid w:val="004D197C"/>
    <w:rsid w:val="004D1A69"/>
    <w:rsid w:val="004D1BD7"/>
    <w:rsid w:val="004D1E71"/>
    <w:rsid w:val="004D1EAF"/>
    <w:rsid w:val="004D2074"/>
    <w:rsid w:val="004D226B"/>
    <w:rsid w:val="004D22AA"/>
    <w:rsid w:val="004D22D3"/>
    <w:rsid w:val="004D2317"/>
    <w:rsid w:val="004D233C"/>
    <w:rsid w:val="004D23A5"/>
    <w:rsid w:val="004D2632"/>
    <w:rsid w:val="004D27E9"/>
    <w:rsid w:val="004D281A"/>
    <w:rsid w:val="004D2882"/>
    <w:rsid w:val="004D2933"/>
    <w:rsid w:val="004D295C"/>
    <w:rsid w:val="004D2983"/>
    <w:rsid w:val="004D2997"/>
    <w:rsid w:val="004D29AD"/>
    <w:rsid w:val="004D2A11"/>
    <w:rsid w:val="004D2A43"/>
    <w:rsid w:val="004D2B10"/>
    <w:rsid w:val="004D2B99"/>
    <w:rsid w:val="004D2CB6"/>
    <w:rsid w:val="004D2CDF"/>
    <w:rsid w:val="004D2D91"/>
    <w:rsid w:val="004D2EBB"/>
    <w:rsid w:val="004D2ED6"/>
    <w:rsid w:val="004D2EF6"/>
    <w:rsid w:val="004D2F4E"/>
    <w:rsid w:val="004D2FFB"/>
    <w:rsid w:val="004D3048"/>
    <w:rsid w:val="004D3137"/>
    <w:rsid w:val="004D3243"/>
    <w:rsid w:val="004D3265"/>
    <w:rsid w:val="004D33A4"/>
    <w:rsid w:val="004D33CE"/>
    <w:rsid w:val="004D34B8"/>
    <w:rsid w:val="004D35D9"/>
    <w:rsid w:val="004D3615"/>
    <w:rsid w:val="004D3699"/>
    <w:rsid w:val="004D376D"/>
    <w:rsid w:val="004D37CC"/>
    <w:rsid w:val="004D37ED"/>
    <w:rsid w:val="004D3854"/>
    <w:rsid w:val="004D3872"/>
    <w:rsid w:val="004D38E2"/>
    <w:rsid w:val="004D390C"/>
    <w:rsid w:val="004D3B04"/>
    <w:rsid w:val="004D3B90"/>
    <w:rsid w:val="004D3B9C"/>
    <w:rsid w:val="004D3BA2"/>
    <w:rsid w:val="004D3DB7"/>
    <w:rsid w:val="004D3F3F"/>
    <w:rsid w:val="004D430A"/>
    <w:rsid w:val="004D436D"/>
    <w:rsid w:val="004D4489"/>
    <w:rsid w:val="004D45AC"/>
    <w:rsid w:val="004D45AD"/>
    <w:rsid w:val="004D463A"/>
    <w:rsid w:val="004D467F"/>
    <w:rsid w:val="004D46CB"/>
    <w:rsid w:val="004D478C"/>
    <w:rsid w:val="004D47BA"/>
    <w:rsid w:val="004D4931"/>
    <w:rsid w:val="004D4AAE"/>
    <w:rsid w:val="004D4AFD"/>
    <w:rsid w:val="004D4B78"/>
    <w:rsid w:val="004D4BC2"/>
    <w:rsid w:val="004D5026"/>
    <w:rsid w:val="004D50CA"/>
    <w:rsid w:val="004D517E"/>
    <w:rsid w:val="004D51BA"/>
    <w:rsid w:val="004D5278"/>
    <w:rsid w:val="004D527B"/>
    <w:rsid w:val="004D5344"/>
    <w:rsid w:val="004D53CE"/>
    <w:rsid w:val="004D5466"/>
    <w:rsid w:val="004D5483"/>
    <w:rsid w:val="004D5668"/>
    <w:rsid w:val="004D5AB3"/>
    <w:rsid w:val="004D5F7E"/>
    <w:rsid w:val="004D606E"/>
    <w:rsid w:val="004D6080"/>
    <w:rsid w:val="004D617C"/>
    <w:rsid w:val="004D6246"/>
    <w:rsid w:val="004D62C3"/>
    <w:rsid w:val="004D6433"/>
    <w:rsid w:val="004D6485"/>
    <w:rsid w:val="004D64A3"/>
    <w:rsid w:val="004D66E4"/>
    <w:rsid w:val="004D673A"/>
    <w:rsid w:val="004D676D"/>
    <w:rsid w:val="004D67C5"/>
    <w:rsid w:val="004D6874"/>
    <w:rsid w:val="004D6945"/>
    <w:rsid w:val="004D6A07"/>
    <w:rsid w:val="004D6A10"/>
    <w:rsid w:val="004D6AB9"/>
    <w:rsid w:val="004D6B47"/>
    <w:rsid w:val="004D6C96"/>
    <w:rsid w:val="004D6D5C"/>
    <w:rsid w:val="004D6DB5"/>
    <w:rsid w:val="004D712D"/>
    <w:rsid w:val="004D7222"/>
    <w:rsid w:val="004D72E6"/>
    <w:rsid w:val="004D7424"/>
    <w:rsid w:val="004D751C"/>
    <w:rsid w:val="004D7585"/>
    <w:rsid w:val="004D758E"/>
    <w:rsid w:val="004D762C"/>
    <w:rsid w:val="004D767C"/>
    <w:rsid w:val="004D7740"/>
    <w:rsid w:val="004D77EC"/>
    <w:rsid w:val="004D79E6"/>
    <w:rsid w:val="004D7AA1"/>
    <w:rsid w:val="004D7C86"/>
    <w:rsid w:val="004D7CDD"/>
    <w:rsid w:val="004D7CE3"/>
    <w:rsid w:val="004D7E50"/>
    <w:rsid w:val="004E018A"/>
    <w:rsid w:val="004E0197"/>
    <w:rsid w:val="004E02CA"/>
    <w:rsid w:val="004E0340"/>
    <w:rsid w:val="004E0386"/>
    <w:rsid w:val="004E048A"/>
    <w:rsid w:val="004E05C3"/>
    <w:rsid w:val="004E0638"/>
    <w:rsid w:val="004E06F7"/>
    <w:rsid w:val="004E0858"/>
    <w:rsid w:val="004E097F"/>
    <w:rsid w:val="004E0A14"/>
    <w:rsid w:val="004E0D03"/>
    <w:rsid w:val="004E0DD9"/>
    <w:rsid w:val="004E0E26"/>
    <w:rsid w:val="004E0E5E"/>
    <w:rsid w:val="004E0EE8"/>
    <w:rsid w:val="004E0FBD"/>
    <w:rsid w:val="004E10AF"/>
    <w:rsid w:val="004E1122"/>
    <w:rsid w:val="004E1409"/>
    <w:rsid w:val="004E1492"/>
    <w:rsid w:val="004E1527"/>
    <w:rsid w:val="004E18E0"/>
    <w:rsid w:val="004E1A2C"/>
    <w:rsid w:val="004E1A87"/>
    <w:rsid w:val="004E1AD0"/>
    <w:rsid w:val="004E1B55"/>
    <w:rsid w:val="004E1BB0"/>
    <w:rsid w:val="004E1C7E"/>
    <w:rsid w:val="004E1CA5"/>
    <w:rsid w:val="004E1DB6"/>
    <w:rsid w:val="004E1E9C"/>
    <w:rsid w:val="004E1F05"/>
    <w:rsid w:val="004E1FF2"/>
    <w:rsid w:val="004E201C"/>
    <w:rsid w:val="004E2098"/>
    <w:rsid w:val="004E20D0"/>
    <w:rsid w:val="004E2153"/>
    <w:rsid w:val="004E21F8"/>
    <w:rsid w:val="004E22C8"/>
    <w:rsid w:val="004E22D8"/>
    <w:rsid w:val="004E238A"/>
    <w:rsid w:val="004E2398"/>
    <w:rsid w:val="004E240E"/>
    <w:rsid w:val="004E243B"/>
    <w:rsid w:val="004E246F"/>
    <w:rsid w:val="004E24B7"/>
    <w:rsid w:val="004E26E3"/>
    <w:rsid w:val="004E2783"/>
    <w:rsid w:val="004E2838"/>
    <w:rsid w:val="004E29A2"/>
    <w:rsid w:val="004E2BB4"/>
    <w:rsid w:val="004E2C41"/>
    <w:rsid w:val="004E2C5E"/>
    <w:rsid w:val="004E2CA2"/>
    <w:rsid w:val="004E2CA9"/>
    <w:rsid w:val="004E2DC2"/>
    <w:rsid w:val="004E2E2F"/>
    <w:rsid w:val="004E300F"/>
    <w:rsid w:val="004E3030"/>
    <w:rsid w:val="004E30A7"/>
    <w:rsid w:val="004E31B2"/>
    <w:rsid w:val="004E3311"/>
    <w:rsid w:val="004E3322"/>
    <w:rsid w:val="004E3747"/>
    <w:rsid w:val="004E3748"/>
    <w:rsid w:val="004E38B0"/>
    <w:rsid w:val="004E38EC"/>
    <w:rsid w:val="004E3933"/>
    <w:rsid w:val="004E397F"/>
    <w:rsid w:val="004E39CC"/>
    <w:rsid w:val="004E39E5"/>
    <w:rsid w:val="004E3BBC"/>
    <w:rsid w:val="004E3C41"/>
    <w:rsid w:val="004E3C6D"/>
    <w:rsid w:val="004E3D39"/>
    <w:rsid w:val="004E3D93"/>
    <w:rsid w:val="004E3DC5"/>
    <w:rsid w:val="004E3E3C"/>
    <w:rsid w:val="004E3E6B"/>
    <w:rsid w:val="004E3EE6"/>
    <w:rsid w:val="004E3F4A"/>
    <w:rsid w:val="004E40FE"/>
    <w:rsid w:val="004E4276"/>
    <w:rsid w:val="004E429F"/>
    <w:rsid w:val="004E42F7"/>
    <w:rsid w:val="004E44AC"/>
    <w:rsid w:val="004E44E0"/>
    <w:rsid w:val="004E452E"/>
    <w:rsid w:val="004E4549"/>
    <w:rsid w:val="004E459D"/>
    <w:rsid w:val="004E478C"/>
    <w:rsid w:val="004E47EA"/>
    <w:rsid w:val="004E4858"/>
    <w:rsid w:val="004E4892"/>
    <w:rsid w:val="004E4956"/>
    <w:rsid w:val="004E49DB"/>
    <w:rsid w:val="004E4A44"/>
    <w:rsid w:val="004E4B9D"/>
    <w:rsid w:val="004E4C83"/>
    <w:rsid w:val="004E4D39"/>
    <w:rsid w:val="004E4D53"/>
    <w:rsid w:val="004E4D84"/>
    <w:rsid w:val="004E4E30"/>
    <w:rsid w:val="004E4E31"/>
    <w:rsid w:val="004E4E6C"/>
    <w:rsid w:val="004E4EBC"/>
    <w:rsid w:val="004E504E"/>
    <w:rsid w:val="004E5104"/>
    <w:rsid w:val="004E5205"/>
    <w:rsid w:val="004E5368"/>
    <w:rsid w:val="004E5387"/>
    <w:rsid w:val="004E547C"/>
    <w:rsid w:val="004E54B8"/>
    <w:rsid w:val="004E54DD"/>
    <w:rsid w:val="004E55AC"/>
    <w:rsid w:val="004E55B9"/>
    <w:rsid w:val="004E5639"/>
    <w:rsid w:val="004E56EE"/>
    <w:rsid w:val="004E5747"/>
    <w:rsid w:val="004E57A8"/>
    <w:rsid w:val="004E5823"/>
    <w:rsid w:val="004E58D7"/>
    <w:rsid w:val="004E5988"/>
    <w:rsid w:val="004E5AAB"/>
    <w:rsid w:val="004E5B06"/>
    <w:rsid w:val="004E5F0E"/>
    <w:rsid w:val="004E5FA8"/>
    <w:rsid w:val="004E5FB1"/>
    <w:rsid w:val="004E61AC"/>
    <w:rsid w:val="004E62A7"/>
    <w:rsid w:val="004E62B3"/>
    <w:rsid w:val="004E633E"/>
    <w:rsid w:val="004E6591"/>
    <w:rsid w:val="004E6636"/>
    <w:rsid w:val="004E684C"/>
    <w:rsid w:val="004E68F7"/>
    <w:rsid w:val="004E691A"/>
    <w:rsid w:val="004E6954"/>
    <w:rsid w:val="004E6A71"/>
    <w:rsid w:val="004E6AFE"/>
    <w:rsid w:val="004E6B17"/>
    <w:rsid w:val="004E6B45"/>
    <w:rsid w:val="004E6B93"/>
    <w:rsid w:val="004E6BB2"/>
    <w:rsid w:val="004E6E81"/>
    <w:rsid w:val="004E6F3F"/>
    <w:rsid w:val="004E6FF1"/>
    <w:rsid w:val="004E7044"/>
    <w:rsid w:val="004E7087"/>
    <w:rsid w:val="004E74CD"/>
    <w:rsid w:val="004E75B0"/>
    <w:rsid w:val="004E76AC"/>
    <w:rsid w:val="004E76C5"/>
    <w:rsid w:val="004E76DB"/>
    <w:rsid w:val="004E76FE"/>
    <w:rsid w:val="004E782E"/>
    <w:rsid w:val="004E78BD"/>
    <w:rsid w:val="004E79D2"/>
    <w:rsid w:val="004E7A74"/>
    <w:rsid w:val="004E7B15"/>
    <w:rsid w:val="004E7FAD"/>
    <w:rsid w:val="004F016C"/>
    <w:rsid w:val="004F0309"/>
    <w:rsid w:val="004F033A"/>
    <w:rsid w:val="004F03B7"/>
    <w:rsid w:val="004F0512"/>
    <w:rsid w:val="004F051A"/>
    <w:rsid w:val="004F05A8"/>
    <w:rsid w:val="004F060E"/>
    <w:rsid w:val="004F0654"/>
    <w:rsid w:val="004F0787"/>
    <w:rsid w:val="004F0800"/>
    <w:rsid w:val="004F092D"/>
    <w:rsid w:val="004F0960"/>
    <w:rsid w:val="004F09E0"/>
    <w:rsid w:val="004F0A7D"/>
    <w:rsid w:val="004F0A99"/>
    <w:rsid w:val="004F0ACE"/>
    <w:rsid w:val="004F0AED"/>
    <w:rsid w:val="004F0B10"/>
    <w:rsid w:val="004F0BF6"/>
    <w:rsid w:val="004F0C19"/>
    <w:rsid w:val="004F0CAC"/>
    <w:rsid w:val="004F0D1B"/>
    <w:rsid w:val="004F0D3B"/>
    <w:rsid w:val="004F0E1C"/>
    <w:rsid w:val="004F0ECA"/>
    <w:rsid w:val="004F0F0B"/>
    <w:rsid w:val="004F0F5F"/>
    <w:rsid w:val="004F0F96"/>
    <w:rsid w:val="004F108C"/>
    <w:rsid w:val="004F10E0"/>
    <w:rsid w:val="004F11FD"/>
    <w:rsid w:val="004F128E"/>
    <w:rsid w:val="004F1527"/>
    <w:rsid w:val="004F15F5"/>
    <w:rsid w:val="004F18BA"/>
    <w:rsid w:val="004F1A42"/>
    <w:rsid w:val="004F1D3C"/>
    <w:rsid w:val="004F1DB4"/>
    <w:rsid w:val="004F1F90"/>
    <w:rsid w:val="004F200E"/>
    <w:rsid w:val="004F227A"/>
    <w:rsid w:val="004F2401"/>
    <w:rsid w:val="004F24A6"/>
    <w:rsid w:val="004F24F9"/>
    <w:rsid w:val="004F258E"/>
    <w:rsid w:val="004F25E7"/>
    <w:rsid w:val="004F2726"/>
    <w:rsid w:val="004F2A44"/>
    <w:rsid w:val="004F2A57"/>
    <w:rsid w:val="004F2B2F"/>
    <w:rsid w:val="004F2C50"/>
    <w:rsid w:val="004F2CB5"/>
    <w:rsid w:val="004F2D56"/>
    <w:rsid w:val="004F2DAD"/>
    <w:rsid w:val="004F2E37"/>
    <w:rsid w:val="004F2F9E"/>
    <w:rsid w:val="004F3093"/>
    <w:rsid w:val="004F30F4"/>
    <w:rsid w:val="004F34F7"/>
    <w:rsid w:val="004F3513"/>
    <w:rsid w:val="004F3585"/>
    <w:rsid w:val="004F3597"/>
    <w:rsid w:val="004F35C3"/>
    <w:rsid w:val="004F3619"/>
    <w:rsid w:val="004F3692"/>
    <w:rsid w:val="004F3855"/>
    <w:rsid w:val="004F3891"/>
    <w:rsid w:val="004F39A5"/>
    <w:rsid w:val="004F39E5"/>
    <w:rsid w:val="004F3AE9"/>
    <w:rsid w:val="004F3D7E"/>
    <w:rsid w:val="004F3DE1"/>
    <w:rsid w:val="004F3F09"/>
    <w:rsid w:val="004F3F92"/>
    <w:rsid w:val="004F4022"/>
    <w:rsid w:val="004F4051"/>
    <w:rsid w:val="004F417B"/>
    <w:rsid w:val="004F4260"/>
    <w:rsid w:val="004F44E9"/>
    <w:rsid w:val="004F4715"/>
    <w:rsid w:val="004F4AEF"/>
    <w:rsid w:val="004F4AFF"/>
    <w:rsid w:val="004F4BBE"/>
    <w:rsid w:val="004F4DB3"/>
    <w:rsid w:val="004F4E5A"/>
    <w:rsid w:val="004F5094"/>
    <w:rsid w:val="004F50D0"/>
    <w:rsid w:val="004F55B5"/>
    <w:rsid w:val="004F55D6"/>
    <w:rsid w:val="004F565A"/>
    <w:rsid w:val="004F571B"/>
    <w:rsid w:val="004F57AA"/>
    <w:rsid w:val="004F57DC"/>
    <w:rsid w:val="004F5882"/>
    <w:rsid w:val="004F5A44"/>
    <w:rsid w:val="004F5A6A"/>
    <w:rsid w:val="004F5C3F"/>
    <w:rsid w:val="004F5CAB"/>
    <w:rsid w:val="004F5D65"/>
    <w:rsid w:val="004F5E96"/>
    <w:rsid w:val="004F5F9B"/>
    <w:rsid w:val="004F5FC4"/>
    <w:rsid w:val="004F5FD0"/>
    <w:rsid w:val="004F605A"/>
    <w:rsid w:val="004F610F"/>
    <w:rsid w:val="004F6187"/>
    <w:rsid w:val="004F61AE"/>
    <w:rsid w:val="004F61D7"/>
    <w:rsid w:val="004F6419"/>
    <w:rsid w:val="004F646D"/>
    <w:rsid w:val="004F64EB"/>
    <w:rsid w:val="004F6516"/>
    <w:rsid w:val="004F6741"/>
    <w:rsid w:val="004F6765"/>
    <w:rsid w:val="004F67E1"/>
    <w:rsid w:val="004F67F6"/>
    <w:rsid w:val="004F699A"/>
    <w:rsid w:val="004F69F3"/>
    <w:rsid w:val="004F6AA1"/>
    <w:rsid w:val="004F6B0C"/>
    <w:rsid w:val="004F6B56"/>
    <w:rsid w:val="004F6C7E"/>
    <w:rsid w:val="004F6C97"/>
    <w:rsid w:val="004F6CC1"/>
    <w:rsid w:val="004F6E70"/>
    <w:rsid w:val="004F6F08"/>
    <w:rsid w:val="004F6F19"/>
    <w:rsid w:val="004F7059"/>
    <w:rsid w:val="004F70AA"/>
    <w:rsid w:val="004F71B5"/>
    <w:rsid w:val="004F720B"/>
    <w:rsid w:val="004F7224"/>
    <w:rsid w:val="004F72FF"/>
    <w:rsid w:val="004F7362"/>
    <w:rsid w:val="004F7417"/>
    <w:rsid w:val="004F75C4"/>
    <w:rsid w:val="004F75D5"/>
    <w:rsid w:val="004F766B"/>
    <w:rsid w:val="004F792D"/>
    <w:rsid w:val="004F7A0A"/>
    <w:rsid w:val="004F7A72"/>
    <w:rsid w:val="004F7A74"/>
    <w:rsid w:val="004F7C36"/>
    <w:rsid w:val="004F7DC2"/>
    <w:rsid w:val="00500069"/>
    <w:rsid w:val="005001C1"/>
    <w:rsid w:val="00500250"/>
    <w:rsid w:val="00500264"/>
    <w:rsid w:val="005004C0"/>
    <w:rsid w:val="005004F1"/>
    <w:rsid w:val="00500618"/>
    <w:rsid w:val="005006B6"/>
    <w:rsid w:val="00500711"/>
    <w:rsid w:val="005007B2"/>
    <w:rsid w:val="00500824"/>
    <w:rsid w:val="00500981"/>
    <w:rsid w:val="00500988"/>
    <w:rsid w:val="00500A20"/>
    <w:rsid w:val="00500AA4"/>
    <w:rsid w:val="00500CE4"/>
    <w:rsid w:val="00500D0B"/>
    <w:rsid w:val="00500D3F"/>
    <w:rsid w:val="00500DAB"/>
    <w:rsid w:val="00500E15"/>
    <w:rsid w:val="00500E61"/>
    <w:rsid w:val="00500F45"/>
    <w:rsid w:val="00500FE9"/>
    <w:rsid w:val="0050102B"/>
    <w:rsid w:val="00501046"/>
    <w:rsid w:val="00501144"/>
    <w:rsid w:val="005011EF"/>
    <w:rsid w:val="00501210"/>
    <w:rsid w:val="00501257"/>
    <w:rsid w:val="005013EF"/>
    <w:rsid w:val="00501401"/>
    <w:rsid w:val="0050148F"/>
    <w:rsid w:val="005015F9"/>
    <w:rsid w:val="005016CC"/>
    <w:rsid w:val="005016E1"/>
    <w:rsid w:val="00501753"/>
    <w:rsid w:val="005017A1"/>
    <w:rsid w:val="005017F1"/>
    <w:rsid w:val="0050180B"/>
    <w:rsid w:val="005018E7"/>
    <w:rsid w:val="005019E0"/>
    <w:rsid w:val="00501A85"/>
    <w:rsid w:val="00501D00"/>
    <w:rsid w:val="00501E28"/>
    <w:rsid w:val="00501FB0"/>
    <w:rsid w:val="00502113"/>
    <w:rsid w:val="0050211F"/>
    <w:rsid w:val="00502176"/>
    <w:rsid w:val="005022D4"/>
    <w:rsid w:val="005022E7"/>
    <w:rsid w:val="005027DC"/>
    <w:rsid w:val="00502806"/>
    <w:rsid w:val="00502868"/>
    <w:rsid w:val="005028C5"/>
    <w:rsid w:val="00502951"/>
    <w:rsid w:val="00502A93"/>
    <w:rsid w:val="00502B4F"/>
    <w:rsid w:val="00502C32"/>
    <w:rsid w:val="00502F3C"/>
    <w:rsid w:val="0050310B"/>
    <w:rsid w:val="005031A3"/>
    <w:rsid w:val="005032B5"/>
    <w:rsid w:val="0050331B"/>
    <w:rsid w:val="00503346"/>
    <w:rsid w:val="005036FD"/>
    <w:rsid w:val="005037B1"/>
    <w:rsid w:val="0050383E"/>
    <w:rsid w:val="0050388B"/>
    <w:rsid w:val="005039C9"/>
    <w:rsid w:val="005039E0"/>
    <w:rsid w:val="00503A66"/>
    <w:rsid w:val="00503E09"/>
    <w:rsid w:val="00503F55"/>
    <w:rsid w:val="00503FE2"/>
    <w:rsid w:val="00504023"/>
    <w:rsid w:val="00504177"/>
    <w:rsid w:val="0050422A"/>
    <w:rsid w:val="005042A8"/>
    <w:rsid w:val="005042BB"/>
    <w:rsid w:val="00504397"/>
    <w:rsid w:val="005043D7"/>
    <w:rsid w:val="0050441A"/>
    <w:rsid w:val="00504669"/>
    <w:rsid w:val="00504722"/>
    <w:rsid w:val="0050488B"/>
    <w:rsid w:val="005049A8"/>
    <w:rsid w:val="005049BD"/>
    <w:rsid w:val="00504B75"/>
    <w:rsid w:val="00504BC7"/>
    <w:rsid w:val="00504C74"/>
    <w:rsid w:val="00504D5A"/>
    <w:rsid w:val="00504DD4"/>
    <w:rsid w:val="00504EC9"/>
    <w:rsid w:val="00504ED2"/>
    <w:rsid w:val="00505128"/>
    <w:rsid w:val="005051D4"/>
    <w:rsid w:val="0050523B"/>
    <w:rsid w:val="0050527F"/>
    <w:rsid w:val="00505362"/>
    <w:rsid w:val="00505364"/>
    <w:rsid w:val="00505467"/>
    <w:rsid w:val="0050550B"/>
    <w:rsid w:val="00505602"/>
    <w:rsid w:val="00505979"/>
    <w:rsid w:val="0050599B"/>
    <w:rsid w:val="00505A9A"/>
    <w:rsid w:val="00505B13"/>
    <w:rsid w:val="00505CC4"/>
    <w:rsid w:val="00505CCD"/>
    <w:rsid w:val="00505D4B"/>
    <w:rsid w:val="00506083"/>
    <w:rsid w:val="0050608A"/>
    <w:rsid w:val="005060D2"/>
    <w:rsid w:val="0050615A"/>
    <w:rsid w:val="005061D8"/>
    <w:rsid w:val="005062EA"/>
    <w:rsid w:val="0050636C"/>
    <w:rsid w:val="005066B9"/>
    <w:rsid w:val="005068D6"/>
    <w:rsid w:val="0050695A"/>
    <w:rsid w:val="005069BB"/>
    <w:rsid w:val="005069EE"/>
    <w:rsid w:val="00506B13"/>
    <w:rsid w:val="00506B5A"/>
    <w:rsid w:val="00506B86"/>
    <w:rsid w:val="00506BE5"/>
    <w:rsid w:val="00506CD3"/>
    <w:rsid w:val="00506CE8"/>
    <w:rsid w:val="00506D82"/>
    <w:rsid w:val="00506EEC"/>
    <w:rsid w:val="00506F39"/>
    <w:rsid w:val="00506FBF"/>
    <w:rsid w:val="00506FD4"/>
    <w:rsid w:val="0050707D"/>
    <w:rsid w:val="0050708E"/>
    <w:rsid w:val="00507096"/>
    <w:rsid w:val="005070BE"/>
    <w:rsid w:val="005071B0"/>
    <w:rsid w:val="005071CB"/>
    <w:rsid w:val="005073EF"/>
    <w:rsid w:val="005074A3"/>
    <w:rsid w:val="005074DE"/>
    <w:rsid w:val="00507587"/>
    <w:rsid w:val="005076FB"/>
    <w:rsid w:val="00507757"/>
    <w:rsid w:val="00507803"/>
    <w:rsid w:val="00507973"/>
    <w:rsid w:val="00507C82"/>
    <w:rsid w:val="00507CF6"/>
    <w:rsid w:val="00507D0E"/>
    <w:rsid w:val="00507DFD"/>
    <w:rsid w:val="00507E6D"/>
    <w:rsid w:val="00507E8A"/>
    <w:rsid w:val="00507EE7"/>
    <w:rsid w:val="00507F82"/>
    <w:rsid w:val="0051001E"/>
    <w:rsid w:val="0051009E"/>
    <w:rsid w:val="005100E9"/>
    <w:rsid w:val="00510252"/>
    <w:rsid w:val="0051032E"/>
    <w:rsid w:val="00510335"/>
    <w:rsid w:val="0051040D"/>
    <w:rsid w:val="005104D1"/>
    <w:rsid w:val="00510701"/>
    <w:rsid w:val="00510782"/>
    <w:rsid w:val="005107F4"/>
    <w:rsid w:val="005107FF"/>
    <w:rsid w:val="005108F0"/>
    <w:rsid w:val="005108F6"/>
    <w:rsid w:val="00510964"/>
    <w:rsid w:val="00510AD7"/>
    <w:rsid w:val="00510B2D"/>
    <w:rsid w:val="00510CBC"/>
    <w:rsid w:val="00510E3D"/>
    <w:rsid w:val="00510E45"/>
    <w:rsid w:val="0051102D"/>
    <w:rsid w:val="00511104"/>
    <w:rsid w:val="00511276"/>
    <w:rsid w:val="005112A5"/>
    <w:rsid w:val="0051137D"/>
    <w:rsid w:val="005113C0"/>
    <w:rsid w:val="005113EA"/>
    <w:rsid w:val="0051145B"/>
    <w:rsid w:val="00511487"/>
    <w:rsid w:val="005114BD"/>
    <w:rsid w:val="005114EF"/>
    <w:rsid w:val="005115B7"/>
    <w:rsid w:val="00511699"/>
    <w:rsid w:val="005117EA"/>
    <w:rsid w:val="00511928"/>
    <w:rsid w:val="0051196E"/>
    <w:rsid w:val="0051198A"/>
    <w:rsid w:val="00511AC2"/>
    <w:rsid w:val="00511B1D"/>
    <w:rsid w:val="00511B25"/>
    <w:rsid w:val="00511B79"/>
    <w:rsid w:val="00511CBB"/>
    <w:rsid w:val="00511CEB"/>
    <w:rsid w:val="00511F19"/>
    <w:rsid w:val="00511F48"/>
    <w:rsid w:val="00511FB4"/>
    <w:rsid w:val="005121D2"/>
    <w:rsid w:val="00512323"/>
    <w:rsid w:val="00512448"/>
    <w:rsid w:val="0051253A"/>
    <w:rsid w:val="00512585"/>
    <w:rsid w:val="0051266C"/>
    <w:rsid w:val="005126C5"/>
    <w:rsid w:val="005126EF"/>
    <w:rsid w:val="005128DF"/>
    <w:rsid w:val="00512A2F"/>
    <w:rsid w:val="00512BA6"/>
    <w:rsid w:val="00512C65"/>
    <w:rsid w:val="00512CDC"/>
    <w:rsid w:val="00512D76"/>
    <w:rsid w:val="00512E4F"/>
    <w:rsid w:val="00512F04"/>
    <w:rsid w:val="00512F5F"/>
    <w:rsid w:val="00513172"/>
    <w:rsid w:val="00513443"/>
    <w:rsid w:val="005135F5"/>
    <w:rsid w:val="005135F7"/>
    <w:rsid w:val="0051367F"/>
    <w:rsid w:val="00513683"/>
    <w:rsid w:val="0051375F"/>
    <w:rsid w:val="005138DE"/>
    <w:rsid w:val="005139A6"/>
    <w:rsid w:val="00513A20"/>
    <w:rsid w:val="00513AFC"/>
    <w:rsid w:val="00513B72"/>
    <w:rsid w:val="00513F8E"/>
    <w:rsid w:val="005140F8"/>
    <w:rsid w:val="00514256"/>
    <w:rsid w:val="005142DF"/>
    <w:rsid w:val="005143C3"/>
    <w:rsid w:val="00514443"/>
    <w:rsid w:val="0051444D"/>
    <w:rsid w:val="00514721"/>
    <w:rsid w:val="00514956"/>
    <w:rsid w:val="00514A2D"/>
    <w:rsid w:val="00514A54"/>
    <w:rsid w:val="00514BBF"/>
    <w:rsid w:val="00514C94"/>
    <w:rsid w:val="00514CDD"/>
    <w:rsid w:val="00514CEE"/>
    <w:rsid w:val="00514F8D"/>
    <w:rsid w:val="00514FF9"/>
    <w:rsid w:val="005150FF"/>
    <w:rsid w:val="00515102"/>
    <w:rsid w:val="00515141"/>
    <w:rsid w:val="0051515F"/>
    <w:rsid w:val="00515277"/>
    <w:rsid w:val="00515682"/>
    <w:rsid w:val="005158C2"/>
    <w:rsid w:val="0051592F"/>
    <w:rsid w:val="0051594D"/>
    <w:rsid w:val="00515989"/>
    <w:rsid w:val="0051598D"/>
    <w:rsid w:val="00515A24"/>
    <w:rsid w:val="00515FA1"/>
    <w:rsid w:val="00516090"/>
    <w:rsid w:val="005161CD"/>
    <w:rsid w:val="00516354"/>
    <w:rsid w:val="0051636E"/>
    <w:rsid w:val="00516597"/>
    <w:rsid w:val="0051690D"/>
    <w:rsid w:val="00516922"/>
    <w:rsid w:val="005169DE"/>
    <w:rsid w:val="00516BB3"/>
    <w:rsid w:val="00516BDD"/>
    <w:rsid w:val="00516CD1"/>
    <w:rsid w:val="00516DAB"/>
    <w:rsid w:val="00516E72"/>
    <w:rsid w:val="00516FCE"/>
    <w:rsid w:val="00517125"/>
    <w:rsid w:val="005171AD"/>
    <w:rsid w:val="00517231"/>
    <w:rsid w:val="005173A5"/>
    <w:rsid w:val="00517449"/>
    <w:rsid w:val="0051746E"/>
    <w:rsid w:val="00517478"/>
    <w:rsid w:val="00517502"/>
    <w:rsid w:val="0051754D"/>
    <w:rsid w:val="00517716"/>
    <w:rsid w:val="00517774"/>
    <w:rsid w:val="0051782D"/>
    <w:rsid w:val="0051785A"/>
    <w:rsid w:val="0051785D"/>
    <w:rsid w:val="00517913"/>
    <w:rsid w:val="00517934"/>
    <w:rsid w:val="00517A60"/>
    <w:rsid w:val="00517ACA"/>
    <w:rsid w:val="00517B25"/>
    <w:rsid w:val="00517BAD"/>
    <w:rsid w:val="00517DAE"/>
    <w:rsid w:val="00517DC8"/>
    <w:rsid w:val="00517DF2"/>
    <w:rsid w:val="00517EB7"/>
    <w:rsid w:val="0052005F"/>
    <w:rsid w:val="00520200"/>
    <w:rsid w:val="0052027B"/>
    <w:rsid w:val="005202ED"/>
    <w:rsid w:val="00520363"/>
    <w:rsid w:val="0052040B"/>
    <w:rsid w:val="0052043A"/>
    <w:rsid w:val="00520448"/>
    <w:rsid w:val="005204A5"/>
    <w:rsid w:val="00520719"/>
    <w:rsid w:val="005208E9"/>
    <w:rsid w:val="0052093E"/>
    <w:rsid w:val="00520942"/>
    <w:rsid w:val="00520A59"/>
    <w:rsid w:val="00520A7B"/>
    <w:rsid w:val="00520AB1"/>
    <w:rsid w:val="00520C04"/>
    <w:rsid w:val="00520C26"/>
    <w:rsid w:val="00520C72"/>
    <w:rsid w:val="00520DD5"/>
    <w:rsid w:val="00520E2D"/>
    <w:rsid w:val="00520F04"/>
    <w:rsid w:val="00520F5E"/>
    <w:rsid w:val="0052115E"/>
    <w:rsid w:val="005211F9"/>
    <w:rsid w:val="00521717"/>
    <w:rsid w:val="005217AE"/>
    <w:rsid w:val="00521812"/>
    <w:rsid w:val="0052181E"/>
    <w:rsid w:val="00521C4D"/>
    <w:rsid w:val="00521C6B"/>
    <w:rsid w:val="00521D9F"/>
    <w:rsid w:val="00521FB0"/>
    <w:rsid w:val="0052200F"/>
    <w:rsid w:val="00522191"/>
    <w:rsid w:val="005221B1"/>
    <w:rsid w:val="005221C7"/>
    <w:rsid w:val="00522271"/>
    <w:rsid w:val="00522307"/>
    <w:rsid w:val="00522392"/>
    <w:rsid w:val="0052246E"/>
    <w:rsid w:val="005224B2"/>
    <w:rsid w:val="00522541"/>
    <w:rsid w:val="005229CD"/>
    <w:rsid w:val="00522A1F"/>
    <w:rsid w:val="00522A89"/>
    <w:rsid w:val="00522AE0"/>
    <w:rsid w:val="00522B1A"/>
    <w:rsid w:val="00522C2C"/>
    <w:rsid w:val="00522C2F"/>
    <w:rsid w:val="00522C7A"/>
    <w:rsid w:val="00522CDF"/>
    <w:rsid w:val="00522FA6"/>
    <w:rsid w:val="00522FAB"/>
    <w:rsid w:val="00523017"/>
    <w:rsid w:val="0052303F"/>
    <w:rsid w:val="005230E5"/>
    <w:rsid w:val="005231D2"/>
    <w:rsid w:val="005231ED"/>
    <w:rsid w:val="0052331B"/>
    <w:rsid w:val="005233F2"/>
    <w:rsid w:val="00523423"/>
    <w:rsid w:val="00523591"/>
    <w:rsid w:val="0052365D"/>
    <w:rsid w:val="005237E0"/>
    <w:rsid w:val="005239E2"/>
    <w:rsid w:val="005239FB"/>
    <w:rsid w:val="00523AF8"/>
    <w:rsid w:val="00523AFE"/>
    <w:rsid w:val="00523B23"/>
    <w:rsid w:val="00523B5D"/>
    <w:rsid w:val="00523BBC"/>
    <w:rsid w:val="00523DAF"/>
    <w:rsid w:val="00523DFA"/>
    <w:rsid w:val="0052403A"/>
    <w:rsid w:val="005241C1"/>
    <w:rsid w:val="005242EC"/>
    <w:rsid w:val="0052436D"/>
    <w:rsid w:val="005243D6"/>
    <w:rsid w:val="0052448E"/>
    <w:rsid w:val="005246A5"/>
    <w:rsid w:val="005247A8"/>
    <w:rsid w:val="00524805"/>
    <w:rsid w:val="00524856"/>
    <w:rsid w:val="00524AC0"/>
    <w:rsid w:val="00524B23"/>
    <w:rsid w:val="00524BB6"/>
    <w:rsid w:val="00524C5E"/>
    <w:rsid w:val="00524C68"/>
    <w:rsid w:val="00524D36"/>
    <w:rsid w:val="00524DE1"/>
    <w:rsid w:val="00524F17"/>
    <w:rsid w:val="0052500E"/>
    <w:rsid w:val="0052504F"/>
    <w:rsid w:val="00525161"/>
    <w:rsid w:val="00525168"/>
    <w:rsid w:val="005251C0"/>
    <w:rsid w:val="0052524D"/>
    <w:rsid w:val="005252E8"/>
    <w:rsid w:val="0052533A"/>
    <w:rsid w:val="005253D1"/>
    <w:rsid w:val="0052540F"/>
    <w:rsid w:val="005254BC"/>
    <w:rsid w:val="0052559F"/>
    <w:rsid w:val="00525602"/>
    <w:rsid w:val="005256FC"/>
    <w:rsid w:val="005257E9"/>
    <w:rsid w:val="005258FD"/>
    <w:rsid w:val="00525926"/>
    <w:rsid w:val="00525A32"/>
    <w:rsid w:val="00525A8E"/>
    <w:rsid w:val="00525AF9"/>
    <w:rsid w:val="00525CCC"/>
    <w:rsid w:val="00525E84"/>
    <w:rsid w:val="00525FD2"/>
    <w:rsid w:val="00526188"/>
    <w:rsid w:val="00526204"/>
    <w:rsid w:val="00526218"/>
    <w:rsid w:val="0052626C"/>
    <w:rsid w:val="00526275"/>
    <w:rsid w:val="00526379"/>
    <w:rsid w:val="005263B6"/>
    <w:rsid w:val="00526614"/>
    <w:rsid w:val="0052677F"/>
    <w:rsid w:val="005269C2"/>
    <w:rsid w:val="00526A96"/>
    <w:rsid w:val="00526B6B"/>
    <w:rsid w:val="00526C27"/>
    <w:rsid w:val="00526C8C"/>
    <w:rsid w:val="00526CB9"/>
    <w:rsid w:val="00526CD2"/>
    <w:rsid w:val="00526DFF"/>
    <w:rsid w:val="00526E5F"/>
    <w:rsid w:val="00526F10"/>
    <w:rsid w:val="00526F89"/>
    <w:rsid w:val="00526FD6"/>
    <w:rsid w:val="005270BC"/>
    <w:rsid w:val="005272AF"/>
    <w:rsid w:val="005272DA"/>
    <w:rsid w:val="00527473"/>
    <w:rsid w:val="00527614"/>
    <w:rsid w:val="0052770B"/>
    <w:rsid w:val="0052775C"/>
    <w:rsid w:val="00527796"/>
    <w:rsid w:val="005278CE"/>
    <w:rsid w:val="00527A2B"/>
    <w:rsid w:val="00527AD7"/>
    <w:rsid w:val="00527B74"/>
    <w:rsid w:val="00527B92"/>
    <w:rsid w:val="00527CBF"/>
    <w:rsid w:val="00527CF0"/>
    <w:rsid w:val="00527E30"/>
    <w:rsid w:val="00527EF9"/>
    <w:rsid w:val="00527FEF"/>
    <w:rsid w:val="00530068"/>
    <w:rsid w:val="00530248"/>
    <w:rsid w:val="00530342"/>
    <w:rsid w:val="00530344"/>
    <w:rsid w:val="00530350"/>
    <w:rsid w:val="005304FA"/>
    <w:rsid w:val="005305FF"/>
    <w:rsid w:val="005306E1"/>
    <w:rsid w:val="005307ED"/>
    <w:rsid w:val="00530913"/>
    <w:rsid w:val="0053098C"/>
    <w:rsid w:val="00530B95"/>
    <w:rsid w:val="00530C57"/>
    <w:rsid w:val="00530C9B"/>
    <w:rsid w:val="00530CBC"/>
    <w:rsid w:val="00530D73"/>
    <w:rsid w:val="00530E6A"/>
    <w:rsid w:val="00530EC9"/>
    <w:rsid w:val="0053101A"/>
    <w:rsid w:val="005310D1"/>
    <w:rsid w:val="0053113E"/>
    <w:rsid w:val="005311AA"/>
    <w:rsid w:val="00531395"/>
    <w:rsid w:val="00531417"/>
    <w:rsid w:val="0053155D"/>
    <w:rsid w:val="00531635"/>
    <w:rsid w:val="0053164D"/>
    <w:rsid w:val="005317AE"/>
    <w:rsid w:val="00531A76"/>
    <w:rsid w:val="00531AF3"/>
    <w:rsid w:val="00531B43"/>
    <w:rsid w:val="00531BB4"/>
    <w:rsid w:val="00531CF1"/>
    <w:rsid w:val="00531F37"/>
    <w:rsid w:val="0053220B"/>
    <w:rsid w:val="00532334"/>
    <w:rsid w:val="00532374"/>
    <w:rsid w:val="005324AF"/>
    <w:rsid w:val="00532550"/>
    <w:rsid w:val="005325C2"/>
    <w:rsid w:val="00532628"/>
    <w:rsid w:val="005326A0"/>
    <w:rsid w:val="005326C8"/>
    <w:rsid w:val="005327A4"/>
    <w:rsid w:val="00532A3B"/>
    <w:rsid w:val="00532A78"/>
    <w:rsid w:val="00533153"/>
    <w:rsid w:val="0053319F"/>
    <w:rsid w:val="00533325"/>
    <w:rsid w:val="0053343D"/>
    <w:rsid w:val="005334A1"/>
    <w:rsid w:val="00533560"/>
    <w:rsid w:val="0053358A"/>
    <w:rsid w:val="005336DA"/>
    <w:rsid w:val="005336E5"/>
    <w:rsid w:val="00533ACF"/>
    <w:rsid w:val="00533BF8"/>
    <w:rsid w:val="00533C23"/>
    <w:rsid w:val="00533CC4"/>
    <w:rsid w:val="00533D3E"/>
    <w:rsid w:val="00533FD4"/>
    <w:rsid w:val="0053402C"/>
    <w:rsid w:val="00534090"/>
    <w:rsid w:val="00534097"/>
    <w:rsid w:val="00534158"/>
    <w:rsid w:val="00534195"/>
    <w:rsid w:val="005342C2"/>
    <w:rsid w:val="00534486"/>
    <w:rsid w:val="00534591"/>
    <w:rsid w:val="0053474A"/>
    <w:rsid w:val="00534800"/>
    <w:rsid w:val="0053484A"/>
    <w:rsid w:val="00534945"/>
    <w:rsid w:val="00534AB6"/>
    <w:rsid w:val="00534ABA"/>
    <w:rsid w:val="00534AF4"/>
    <w:rsid w:val="00534B2B"/>
    <w:rsid w:val="00534BE9"/>
    <w:rsid w:val="00534C33"/>
    <w:rsid w:val="00534C80"/>
    <w:rsid w:val="00534CFD"/>
    <w:rsid w:val="00534DC0"/>
    <w:rsid w:val="00534E1C"/>
    <w:rsid w:val="00534EC8"/>
    <w:rsid w:val="005350B9"/>
    <w:rsid w:val="00535337"/>
    <w:rsid w:val="00535539"/>
    <w:rsid w:val="0053558A"/>
    <w:rsid w:val="0053564F"/>
    <w:rsid w:val="00535677"/>
    <w:rsid w:val="00535678"/>
    <w:rsid w:val="005358AA"/>
    <w:rsid w:val="00535A25"/>
    <w:rsid w:val="00535B8B"/>
    <w:rsid w:val="00535D37"/>
    <w:rsid w:val="00535E6F"/>
    <w:rsid w:val="00535EAE"/>
    <w:rsid w:val="00535F6C"/>
    <w:rsid w:val="00535FFF"/>
    <w:rsid w:val="0053604B"/>
    <w:rsid w:val="0053614A"/>
    <w:rsid w:val="00536162"/>
    <w:rsid w:val="0053616F"/>
    <w:rsid w:val="0053636A"/>
    <w:rsid w:val="005363FF"/>
    <w:rsid w:val="005368AD"/>
    <w:rsid w:val="005368EE"/>
    <w:rsid w:val="005368EF"/>
    <w:rsid w:val="0053696F"/>
    <w:rsid w:val="00536986"/>
    <w:rsid w:val="00536A42"/>
    <w:rsid w:val="00536BFC"/>
    <w:rsid w:val="00536CC0"/>
    <w:rsid w:val="00536D5E"/>
    <w:rsid w:val="00536E27"/>
    <w:rsid w:val="00536E89"/>
    <w:rsid w:val="00536EE7"/>
    <w:rsid w:val="00536F50"/>
    <w:rsid w:val="00536FC8"/>
    <w:rsid w:val="005370BC"/>
    <w:rsid w:val="005370D2"/>
    <w:rsid w:val="005370E8"/>
    <w:rsid w:val="005372B8"/>
    <w:rsid w:val="005373D7"/>
    <w:rsid w:val="00537483"/>
    <w:rsid w:val="00537507"/>
    <w:rsid w:val="005376A8"/>
    <w:rsid w:val="00537819"/>
    <w:rsid w:val="00537AAF"/>
    <w:rsid w:val="00537AB7"/>
    <w:rsid w:val="00537B35"/>
    <w:rsid w:val="00537BE5"/>
    <w:rsid w:val="00537CAA"/>
    <w:rsid w:val="00537DE3"/>
    <w:rsid w:val="00537DE7"/>
    <w:rsid w:val="00537EC4"/>
    <w:rsid w:val="00537FE4"/>
    <w:rsid w:val="0054006D"/>
    <w:rsid w:val="005401A4"/>
    <w:rsid w:val="0054027D"/>
    <w:rsid w:val="005403C3"/>
    <w:rsid w:val="0054069E"/>
    <w:rsid w:val="0054084C"/>
    <w:rsid w:val="00540A63"/>
    <w:rsid w:val="00540BBD"/>
    <w:rsid w:val="00540D9C"/>
    <w:rsid w:val="00540DF8"/>
    <w:rsid w:val="00540FD6"/>
    <w:rsid w:val="00541032"/>
    <w:rsid w:val="005410BC"/>
    <w:rsid w:val="00541105"/>
    <w:rsid w:val="00541143"/>
    <w:rsid w:val="005411C6"/>
    <w:rsid w:val="00541222"/>
    <w:rsid w:val="005413BC"/>
    <w:rsid w:val="0054176A"/>
    <w:rsid w:val="005418DE"/>
    <w:rsid w:val="00541A6F"/>
    <w:rsid w:val="00541A8D"/>
    <w:rsid w:val="00541A90"/>
    <w:rsid w:val="00541BE9"/>
    <w:rsid w:val="00541C13"/>
    <w:rsid w:val="00541CAA"/>
    <w:rsid w:val="00541CD4"/>
    <w:rsid w:val="00541D82"/>
    <w:rsid w:val="00541F58"/>
    <w:rsid w:val="00542086"/>
    <w:rsid w:val="00542094"/>
    <w:rsid w:val="00542137"/>
    <w:rsid w:val="005422B7"/>
    <w:rsid w:val="005423DD"/>
    <w:rsid w:val="005423F6"/>
    <w:rsid w:val="005424B1"/>
    <w:rsid w:val="005424B5"/>
    <w:rsid w:val="005424E7"/>
    <w:rsid w:val="005425DA"/>
    <w:rsid w:val="005425DC"/>
    <w:rsid w:val="0054267A"/>
    <w:rsid w:val="005429C5"/>
    <w:rsid w:val="00542A5F"/>
    <w:rsid w:val="00542AC1"/>
    <w:rsid w:val="00542AE7"/>
    <w:rsid w:val="00542B29"/>
    <w:rsid w:val="00542B5A"/>
    <w:rsid w:val="00542C02"/>
    <w:rsid w:val="00542C43"/>
    <w:rsid w:val="00542E17"/>
    <w:rsid w:val="00542E6D"/>
    <w:rsid w:val="00542FCC"/>
    <w:rsid w:val="00543049"/>
    <w:rsid w:val="00543204"/>
    <w:rsid w:val="00543355"/>
    <w:rsid w:val="005434BC"/>
    <w:rsid w:val="0054382B"/>
    <w:rsid w:val="0054394E"/>
    <w:rsid w:val="00543A65"/>
    <w:rsid w:val="00543AD2"/>
    <w:rsid w:val="00543BFE"/>
    <w:rsid w:val="00543C8C"/>
    <w:rsid w:val="00543CA4"/>
    <w:rsid w:val="00543DCA"/>
    <w:rsid w:val="00543E7D"/>
    <w:rsid w:val="00543E93"/>
    <w:rsid w:val="00543F88"/>
    <w:rsid w:val="0054402D"/>
    <w:rsid w:val="005440B1"/>
    <w:rsid w:val="005440DF"/>
    <w:rsid w:val="00544112"/>
    <w:rsid w:val="005441ED"/>
    <w:rsid w:val="00544236"/>
    <w:rsid w:val="005442B5"/>
    <w:rsid w:val="005445BC"/>
    <w:rsid w:val="005445CF"/>
    <w:rsid w:val="00544792"/>
    <w:rsid w:val="005449D1"/>
    <w:rsid w:val="00544A46"/>
    <w:rsid w:val="00544AB2"/>
    <w:rsid w:val="00544AED"/>
    <w:rsid w:val="00544BD2"/>
    <w:rsid w:val="00544C68"/>
    <w:rsid w:val="00544D02"/>
    <w:rsid w:val="00544D78"/>
    <w:rsid w:val="00544DA0"/>
    <w:rsid w:val="00544E83"/>
    <w:rsid w:val="005452B3"/>
    <w:rsid w:val="0054547F"/>
    <w:rsid w:val="005454BD"/>
    <w:rsid w:val="00545516"/>
    <w:rsid w:val="00545653"/>
    <w:rsid w:val="005457E4"/>
    <w:rsid w:val="00545807"/>
    <w:rsid w:val="0054584A"/>
    <w:rsid w:val="005458B4"/>
    <w:rsid w:val="005459A7"/>
    <w:rsid w:val="00545A45"/>
    <w:rsid w:val="00545AFA"/>
    <w:rsid w:val="00545B9D"/>
    <w:rsid w:val="00545C45"/>
    <w:rsid w:val="00545F57"/>
    <w:rsid w:val="00545F89"/>
    <w:rsid w:val="00545FAE"/>
    <w:rsid w:val="00545FAF"/>
    <w:rsid w:val="005460A8"/>
    <w:rsid w:val="005462F5"/>
    <w:rsid w:val="00546360"/>
    <w:rsid w:val="005463CF"/>
    <w:rsid w:val="00546434"/>
    <w:rsid w:val="0054645F"/>
    <w:rsid w:val="00546742"/>
    <w:rsid w:val="005468E8"/>
    <w:rsid w:val="00546BC2"/>
    <w:rsid w:val="00546C49"/>
    <w:rsid w:val="00546E42"/>
    <w:rsid w:val="0054700D"/>
    <w:rsid w:val="00547149"/>
    <w:rsid w:val="00547254"/>
    <w:rsid w:val="00547299"/>
    <w:rsid w:val="0054761A"/>
    <w:rsid w:val="00547728"/>
    <w:rsid w:val="0054775D"/>
    <w:rsid w:val="00547761"/>
    <w:rsid w:val="0054787C"/>
    <w:rsid w:val="00547ACE"/>
    <w:rsid w:val="00547B15"/>
    <w:rsid w:val="00547CB4"/>
    <w:rsid w:val="00547E4D"/>
    <w:rsid w:val="00547EC5"/>
    <w:rsid w:val="00547F0B"/>
    <w:rsid w:val="00547F0C"/>
    <w:rsid w:val="005500EF"/>
    <w:rsid w:val="0055010B"/>
    <w:rsid w:val="005502A0"/>
    <w:rsid w:val="0055039F"/>
    <w:rsid w:val="005504E3"/>
    <w:rsid w:val="0055058B"/>
    <w:rsid w:val="00550699"/>
    <w:rsid w:val="005506C5"/>
    <w:rsid w:val="0055071B"/>
    <w:rsid w:val="00550D07"/>
    <w:rsid w:val="00550D3C"/>
    <w:rsid w:val="00550D59"/>
    <w:rsid w:val="00550D91"/>
    <w:rsid w:val="00550FC4"/>
    <w:rsid w:val="00550FFD"/>
    <w:rsid w:val="00551021"/>
    <w:rsid w:val="0055110D"/>
    <w:rsid w:val="0055115F"/>
    <w:rsid w:val="00551271"/>
    <w:rsid w:val="005513D1"/>
    <w:rsid w:val="005514A9"/>
    <w:rsid w:val="00551567"/>
    <w:rsid w:val="005516C9"/>
    <w:rsid w:val="005516E4"/>
    <w:rsid w:val="005518F3"/>
    <w:rsid w:val="00551AA9"/>
    <w:rsid w:val="00551B5C"/>
    <w:rsid w:val="00551C16"/>
    <w:rsid w:val="00551C35"/>
    <w:rsid w:val="00551CFA"/>
    <w:rsid w:val="00551F81"/>
    <w:rsid w:val="0055210F"/>
    <w:rsid w:val="00552118"/>
    <w:rsid w:val="0055238A"/>
    <w:rsid w:val="005523A5"/>
    <w:rsid w:val="00552448"/>
    <w:rsid w:val="00552557"/>
    <w:rsid w:val="005525BF"/>
    <w:rsid w:val="00552683"/>
    <w:rsid w:val="005527D2"/>
    <w:rsid w:val="005528A5"/>
    <w:rsid w:val="005528A7"/>
    <w:rsid w:val="005529E1"/>
    <w:rsid w:val="00552B05"/>
    <w:rsid w:val="00552BE2"/>
    <w:rsid w:val="00552CAB"/>
    <w:rsid w:val="00552CD7"/>
    <w:rsid w:val="00552D1C"/>
    <w:rsid w:val="00552E21"/>
    <w:rsid w:val="0055320B"/>
    <w:rsid w:val="005533BE"/>
    <w:rsid w:val="00553585"/>
    <w:rsid w:val="0055359E"/>
    <w:rsid w:val="005535F9"/>
    <w:rsid w:val="00553693"/>
    <w:rsid w:val="0055380E"/>
    <w:rsid w:val="00553897"/>
    <w:rsid w:val="005539A6"/>
    <w:rsid w:val="00553A1D"/>
    <w:rsid w:val="00553B8C"/>
    <w:rsid w:val="00553CB9"/>
    <w:rsid w:val="00553D48"/>
    <w:rsid w:val="00553D76"/>
    <w:rsid w:val="00553DC8"/>
    <w:rsid w:val="00553DF4"/>
    <w:rsid w:val="00553E0E"/>
    <w:rsid w:val="0055411F"/>
    <w:rsid w:val="00554195"/>
    <w:rsid w:val="005541B1"/>
    <w:rsid w:val="005541E8"/>
    <w:rsid w:val="005541EC"/>
    <w:rsid w:val="005541F5"/>
    <w:rsid w:val="005543CF"/>
    <w:rsid w:val="005543E0"/>
    <w:rsid w:val="00554455"/>
    <w:rsid w:val="00554540"/>
    <w:rsid w:val="0055455E"/>
    <w:rsid w:val="00554636"/>
    <w:rsid w:val="00554651"/>
    <w:rsid w:val="005546B1"/>
    <w:rsid w:val="00554739"/>
    <w:rsid w:val="0055473B"/>
    <w:rsid w:val="0055475E"/>
    <w:rsid w:val="005547D3"/>
    <w:rsid w:val="005548AA"/>
    <w:rsid w:val="005549C9"/>
    <w:rsid w:val="00554B30"/>
    <w:rsid w:val="00554BB6"/>
    <w:rsid w:val="00554D03"/>
    <w:rsid w:val="00554D90"/>
    <w:rsid w:val="00554DDE"/>
    <w:rsid w:val="00554ED5"/>
    <w:rsid w:val="00554EF2"/>
    <w:rsid w:val="00554F39"/>
    <w:rsid w:val="00554FA9"/>
    <w:rsid w:val="00554FFB"/>
    <w:rsid w:val="00555088"/>
    <w:rsid w:val="005550EA"/>
    <w:rsid w:val="00555158"/>
    <w:rsid w:val="005552E7"/>
    <w:rsid w:val="005552F4"/>
    <w:rsid w:val="00555311"/>
    <w:rsid w:val="005553D3"/>
    <w:rsid w:val="00555456"/>
    <w:rsid w:val="00555506"/>
    <w:rsid w:val="00555564"/>
    <w:rsid w:val="005555EC"/>
    <w:rsid w:val="00555822"/>
    <w:rsid w:val="00555854"/>
    <w:rsid w:val="00555A9E"/>
    <w:rsid w:val="00555BB9"/>
    <w:rsid w:val="00555C9B"/>
    <w:rsid w:val="005561E1"/>
    <w:rsid w:val="00556430"/>
    <w:rsid w:val="00556433"/>
    <w:rsid w:val="005566AF"/>
    <w:rsid w:val="00556705"/>
    <w:rsid w:val="00556723"/>
    <w:rsid w:val="005567C0"/>
    <w:rsid w:val="00556821"/>
    <w:rsid w:val="0055685D"/>
    <w:rsid w:val="005568DE"/>
    <w:rsid w:val="005568F8"/>
    <w:rsid w:val="00556B22"/>
    <w:rsid w:val="00556D5D"/>
    <w:rsid w:val="00556EA1"/>
    <w:rsid w:val="005570CD"/>
    <w:rsid w:val="00557136"/>
    <w:rsid w:val="0055725E"/>
    <w:rsid w:val="00557552"/>
    <w:rsid w:val="005576EE"/>
    <w:rsid w:val="005577E0"/>
    <w:rsid w:val="005577F8"/>
    <w:rsid w:val="00557A0C"/>
    <w:rsid w:val="00557B3D"/>
    <w:rsid w:val="00557C50"/>
    <w:rsid w:val="00557D36"/>
    <w:rsid w:val="00557EFA"/>
    <w:rsid w:val="00557F9F"/>
    <w:rsid w:val="00560032"/>
    <w:rsid w:val="0056003B"/>
    <w:rsid w:val="0056017A"/>
    <w:rsid w:val="005601C5"/>
    <w:rsid w:val="005601D1"/>
    <w:rsid w:val="0056026A"/>
    <w:rsid w:val="00560323"/>
    <w:rsid w:val="005603B0"/>
    <w:rsid w:val="005603DC"/>
    <w:rsid w:val="00560493"/>
    <w:rsid w:val="005604CC"/>
    <w:rsid w:val="005604FC"/>
    <w:rsid w:val="005606B6"/>
    <w:rsid w:val="0056072C"/>
    <w:rsid w:val="005608D6"/>
    <w:rsid w:val="00560A56"/>
    <w:rsid w:val="00560B27"/>
    <w:rsid w:val="00560C64"/>
    <w:rsid w:val="00560C6D"/>
    <w:rsid w:val="00560C84"/>
    <w:rsid w:val="00560D73"/>
    <w:rsid w:val="00560F19"/>
    <w:rsid w:val="0056101F"/>
    <w:rsid w:val="005610A8"/>
    <w:rsid w:val="0056116B"/>
    <w:rsid w:val="005611AF"/>
    <w:rsid w:val="005611E3"/>
    <w:rsid w:val="0056124E"/>
    <w:rsid w:val="00561320"/>
    <w:rsid w:val="0056135F"/>
    <w:rsid w:val="005613C5"/>
    <w:rsid w:val="005614D3"/>
    <w:rsid w:val="005615CE"/>
    <w:rsid w:val="00561646"/>
    <w:rsid w:val="005616C5"/>
    <w:rsid w:val="005617AF"/>
    <w:rsid w:val="005617B3"/>
    <w:rsid w:val="00561809"/>
    <w:rsid w:val="00561AA6"/>
    <w:rsid w:val="00561E6B"/>
    <w:rsid w:val="00561F47"/>
    <w:rsid w:val="00561F91"/>
    <w:rsid w:val="00562116"/>
    <w:rsid w:val="005621D2"/>
    <w:rsid w:val="005621E0"/>
    <w:rsid w:val="005624ED"/>
    <w:rsid w:val="0056252C"/>
    <w:rsid w:val="0056275D"/>
    <w:rsid w:val="0056287B"/>
    <w:rsid w:val="0056295C"/>
    <w:rsid w:val="00562AA9"/>
    <w:rsid w:val="00562B00"/>
    <w:rsid w:val="00562D2B"/>
    <w:rsid w:val="00562D90"/>
    <w:rsid w:val="00562E4A"/>
    <w:rsid w:val="00562FE7"/>
    <w:rsid w:val="00563014"/>
    <w:rsid w:val="00563095"/>
    <w:rsid w:val="005630E6"/>
    <w:rsid w:val="005631A2"/>
    <w:rsid w:val="005631A3"/>
    <w:rsid w:val="00563312"/>
    <w:rsid w:val="00563317"/>
    <w:rsid w:val="00563388"/>
    <w:rsid w:val="00563902"/>
    <w:rsid w:val="00563907"/>
    <w:rsid w:val="005639A1"/>
    <w:rsid w:val="00563A23"/>
    <w:rsid w:val="00563A5A"/>
    <w:rsid w:val="00563BA9"/>
    <w:rsid w:val="00563C2D"/>
    <w:rsid w:val="00563C61"/>
    <w:rsid w:val="00563C68"/>
    <w:rsid w:val="00563E67"/>
    <w:rsid w:val="00563ECB"/>
    <w:rsid w:val="00563F47"/>
    <w:rsid w:val="00563F53"/>
    <w:rsid w:val="0056400C"/>
    <w:rsid w:val="005640BB"/>
    <w:rsid w:val="0056411A"/>
    <w:rsid w:val="005641CA"/>
    <w:rsid w:val="005641F8"/>
    <w:rsid w:val="0056422F"/>
    <w:rsid w:val="00564305"/>
    <w:rsid w:val="00564441"/>
    <w:rsid w:val="005645BB"/>
    <w:rsid w:val="005646D0"/>
    <w:rsid w:val="005646ED"/>
    <w:rsid w:val="00564706"/>
    <w:rsid w:val="00564806"/>
    <w:rsid w:val="00564878"/>
    <w:rsid w:val="0056494E"/>
    <w:rsid w:val="00564A54"/>
    <w:rsid w:val="00564AC8"/>
    <w:rsid w:val="00564AEE"/>
    <w:rsid w:val="00564C23"/>
    <w:rsid w:val="00564D31"/>
    <w:rsid w:val="00564EBD"/>
    <w:rsid w:val="00564FAE"/>
    <w:rsid w:val="00565046"/>
    <w:rsid w:val="005650A4"/>
    <w:rsid w:val="005650D8"/>
    <w:rsid w:val="0056517E"/>
    <w:rsid w:val="0056525D"/>
    <w:rsid w:val="0056536C"/>
    <w:rsid w:val="00565406"/>
    <w:rsid w:val="00565570"/>
    <w:rsid w:val="0056574E"/>
    <w:rsid w:val="005657DD"/>
    <w:rsid w:val="00565893"/>
    <w:rsid w:val="00565999"/>
    <w:rsid w:val="005659A2"/>
    <w:rsid w:val="00565A31"/>
    <w:rsid w:val="00565AA8"/>
    <w:rsid w:val="00565B29"/>
    <w:rsid w:val="00565CC3"/>
    <w:rsid w:val="00565CD7"/>
    <w:rsid w:val="00565CF4"/>
    <w:rsid w:val="00565D68"/>
    <w:rsid w:val="00565F03"/>
    <w:rsid w:val="00565FE6"/>
    <w:rsid w:val="005660BC"/>
    <w:rsid w:val="0056612D"/>
    <w:rsid w:val="0056628D"/>
    <w:rsid w:val="0056641E"/>
    <w:rsid w:val="005664CC"/>
    <w:rsid w:val="005664ED"/>
    <w:rsid w:val="00566646"/>
    <w:rsid w:val="0056664B"/>
    <w:rsid w:val="005666B0"/>
    <w:rsid w:val="005666CD"/>
    <w:rsid w:val="005666D9"/>
    <w:rsid w:val="00566709"/>
    <w:rsid w:val="005669A4"/>
    <w:rsid w:val="00566A5D"/>
    <w:rsid w:val="00566A5E"/>
    <w:rsid w:val="00566B69"/>
    <w:rsid w:val="00566D3E"/>
    <w:rsid w:val="00566E00"/>
    <w:rsid w:val="00566E55"/>
    <w:rsid w:val="00566F29"/>
    <w:rsid w:val="00566F4A"/>
    <w:rsid w:val="0056705A"/>
    <w:rsid w:val="0056705C"/>
    <w:rsid w:val="005670F6"/>
    <w:rsid w:val="00567262"/>
    <w:rsid w:val="005673AB"/>
    <w:rsid w:val="005673BD"/>
    <w:rsid w:val="00567411"/>
    <w:rsid w:val="00567588"/>
    <w:rsid w:val="0056788D"/>
    <w:rsid w:val="005678D6"/>
    <w:rsid w:val="00567992"/>
    <w:rsid w:val="00567AA5"/>
    <w:rsid w:val="00567B8E"/>
    <w:rsid w:val="00567C0D"/>
    <w:rsid w:val="00567C3C"/>
    <w:rsid w:val="00567E9F"/>
    <w:rsid w:val="0057005A"/>
    <w:rsid w:val="0057015B"/>
    <w:rsid w:val="0057027B"/>
    <w:rsid w:val="005702C2"/>
    <w:rsid w:val="005702C3"/>
    <w:rsid w:val="005702F8"/>
    <w:rsid w:val="00570337"/>
    <w:rsid w:val="00570340"/>
    <w:rsid w:val="0057037D"/>
    <w:rsid w:val="005704E0"/>
    <w:rsid w:val="0057072F"/>
    <w:rsid w:val="0057087C"/>
    <w:rsid w:val="005708EA"/>
    <w:rsid w:val="00570B3F"/>
    <w:rsid w:val="00570B69"/>
    <w:rsid w:val="00570BC4"/>
    <w:rsid w:val="00570D75"/>
    <w:rsid w:val="00570DA8"/>
    <w:rsid w:val="00570DC6"/>
    <w:rsid w:val="00570EAB"/>
    <w:rsid w:val="00571231"/>
    <w:rsid w:val="00571295"/>
    <w:rsid w:val="0057132D"/>
    <w:rsid w:val="0057143D"/>
    <w:rsid w:val="00571569"/>
    <w:rsid w:val="005715A5"/>
    <w:rsid w:val="00571619"/>
    <w:rsid w:val="00571640"/>
    <w:rsid w:val="00571706"/>
    <w:rsid w:val="00571767"/>
    <w:rsid w:val="005717F4"/>
    <w:rsid w:val="00571A08"/>
    <w:rsid w:val="00571AD4"/>
    <w:rsid w:val="00571B59"/>
    <w:rsid w:val="00571BAC"/>
    <w:rsid w:val="00571CA6"/>
    <w:rsid w:val="00571D4F"/>
    <w:rsid w:val="00571E44"/>
    <w:rsid w:val="00571E6C"/>
    <w:rsid w:val="00571EDC"/>
    <w:rsid w:val="00571FD2"/>
    <w:rsid w:val="0057201F"/>
    <w:rsid w:val="00572217"/>
    <w:rsid w:val="005725EF"/>
    <w:rsid w:val="005726A0"/>
    <w:rsid w:val="005726C9"/>
    <w:rsid w:val="00572953"/>
    <w:rsid w:val="00572954"/>
    <w:rsid w:val="005729E6"/>
    <w:rsid w:val="00572A31"/>
    <w:rsid w:val="00572AF0"/>
    <w:rsid w:val="00572B09"/>
    <w:rsid w:val="00572B2B"/>
    <w:rsid w:val="00572C4D"/>
    <w:rsid w:val="00572E6F"/>
    <w:rsid w:val="00572F76"/>
    <w:rsid w:val="00572F8E"/>
    <w:rsid w:val="005730C5"/>
    <w:rsid w:val="00573164"/>
    <w:rsid w:val="005731CE"/>
    <w:rsid w:val="005731FF"/>
    <w:rsid w:val="00573214"/>
    <w:rsid w:val="00573317"/>
    <w:rsid w:val="00573342"/>
    <w:rsid w:val="0057345B"/>
    <w:rsid w:val="005734DC"/>
    <w:rsid w:val="00573545"/>
    <w:rsid w:val="005736B1"/>
    <w:rsid w:val="0057398E"/>
    <w:rsid w:val="00573BB7"/>
    <w:rsid w:val="00573C54"/>
    <w:rsid w:val="00573E61"/>
    <w:rsid w:val="00573E80"/>
    <w:rsid w:val="00573F90"/>
    <w:rsid w:val="00573FB4"/>
    <w:rsid w:val="005740E0"/>
    <w:rsid w:val="0057411B"/>
    <w:rsid w:val="0057413F"/>
    <w:rsid w:val="00574182"/>
    <w:rsid w:val="005744C0"/>
    <w:rsid w:val="00574525"/>
    <w:rsid w:val="005745F8"/>
    <w:rsid w:val="00574770"/>
    <w:rsid w:val="00574778"/>
    <w:rsid w:val="005747A9"/>
    <w:rsid w:val="00574890"/>
    <w:rsid w:val="0057489F"/>
    <w:rsid w:val="0057498F"/>
    <w:rsid w:val="005749B2"/>
    <w:rsid w:val="00574AD7"/>
    <w:rsid w:val="00574BFA"/>
    <w:rsid w:val="00574D27"/>
    <w:rsid w:val="00574D34"/>
    <w:rsid w:val="00574DE9"/>
    <w:rsid w:val="00574E1D"/>
    <w:rsid w:val="00574FE0"/>
    <w:rsid w:val="00575022"/>
    <w:rsid w:val="00575041"/>
    <w:rsid w:val="005751AC"/>
    <w:rsid w:val="005754C6"/>
    <w:rsid w:val="00575642"/>
    <w:rsid w:val="0057567F"/>
    <w:rsid w:val="00575825"/>
    <w:rsid w:val="005759D6"/>
    <w:rsid w:val="00575AB4"/>
    <w:rsid w:val="00575B53"/>
    <w:rsid w:val="00575B8D"/>
    <w:rsid w:val="00575D4F"/>
    <w:rsid w:val="00575DF4"/>
    <w:rsid w:val="00575F2D"/>
    <w:rsid w:val="005760E4"/>
    <w:rsid w:val="005761D7"/>
    <w:rsid w:val="005762D9"/>
    <w:rsid w:val="0057644D"/>
    <w:rsid w:val="0057648C"/>
    <w:rsid w:val="00576565"/>
    <w:rsid w:val="005766C4"/>
    <w:rsid w:val="00576706"/>
    <w:rsid w:val="00576751"/>
    <w:rsid w:val="0057682A"/>
    <w:rsid w:val="00576D2F"/>
    <w:rsid w:val="00576D8E"/>
    <w:rsid w:val="00576F38"/>
    <w:rsid w:val="00576F45"/>
    <w:rsid w:val="00576FCD"/>
    <w:rsid w:val="00577035"/>
    <w:rsid w:val="00577093"/>
    <w:rsid w:val="005770A7"/>
    <w:rsid w:val="00577227"/>
    <w:rsid w:val="00577265"/>
    <w:rsid w:val="005773A2"/>
    <w:rsid w:val="005774B0"/>
    <w:rsid w:val="0057754E"/>
    <w:rsid w:val="0057759F"/>
    <w:rsid w:val="0057765D"/>
    <w:rsid w:val="005777FC"/>
    <w:rsid w:val="00577862"/>
    <w:rsid w:val="005779C2"/>
    <w:rsid w:val="005779CA"/>
    <w:rsid w:val="00577A17"/>
    <w:rsid w:val="00577A24"/>
    <w:rsid w:val="00577B73"/>
    <w:rsid w:val="00577B96"/>
    <w:rsid w:val="00577C95"/>
    <w:rsid w:val="00577E1E"/>
    <w:rsid w:val="00577E5D"/>
    <w:rsid w:val="0058005F"/>
    <w:rsid w:val="005800B6"/>
    <w:rsid w:val="005800CF"/>
    <w:rsid w:val="00580141"/>
    <w:rsid w:val="0058022F"/>
    <w:rsid w:val="005802D4"/>
    <w:rsid w:val="00580348"/>
    <w:rsid w:val="005805F8"/>
    <w:rsid w:val="0058070C"/>
    <w:rsid w:val="005807AF"/>
    <w:rsid w:val="00580810"/>
    <w:rsid w:val="0058087D"/>
    <w:rsid w:val="005808B3"/>
    <w:rsid w:val="005808EB"/>
    <w:rsid w:val="00580955"/>
    <w:rsid w:val="00580996"/>
    <w:rsid w:val="00580B8F"/>
    <w:rsid w:val="00580C08"/>
    <w:rsid w:val="00580D37"/>
    <w:rsid w:val="00580F14"/>
    <w:rsid w:val="00580F44"/>
    <w:rsid w:val="0058116F"/>
    <w:rsid w:val="00581174"/>
    <w:rsid w:val="0058143E"/>
    <w:rsid w:val="00581449"/>
    <w:rsid w:val="00581538"/>
    <w:rsid w:val="00581639"/>
    <w:rsid w:val="0058170A"/>
    <w:rsid w:val="005817D6"/>
    <w:rsid w:val="00581840"/>
    <w:rsid w:val="00581AF2"/>
    <w:rsid w:val="00581B9D"/>
    <w:rsid w:val="00581E51"/>
    <w:rsid w:val="00581E6E"/>
    <w:rsid w:val="00581EFC"/>
    <w:rsid w:val="00581FA0"/>
    <w:rsid w:val="00582127"/>
    <w:rsid w:val="005821B8"/>
    <w:rsid w:val="00582224"/>
    <w:rsid w:val="00582462"/>
    <w:rsid w:val="005825A4"/>
    <w:rsid w:val="005825A6"/>
    <w:rsid w:val="005825D6"/>
    <w:rsid w:val="0058264A"/>
    <w:rsid w:val="005828B8"/>
    <w:rsid w:val="00582AB2"/>
    <w:rsid w:val="00582B2A"/>
    <w:rsid w:val="00582B90"/>
    <w:rsid w:val="00582C1D"/>
    <w:rsid w:val="00582C47"/>
    <w:rsid w:val="00582F36"/>
    <w:rsid w:val="00582F8F"/>
    <w:rsid w:val="0058309D"/>
    <w:rsid w:val="00583105"/>
    <w:rsid w:val="00583134"/>
    <w:rsid w:val="005831A7"/>
    <w:rsid w:val="00583247"/>
    <w:rsid w:val="005832C1"/>
    <w:rsid w:val="00583321"/>
    <w:rsid w:val="00583331"/>
    <w:rsid w:val="0058341E"/>
    <w:rsid w:val="005835C2"/>
    <w:rsid w:val="00583695"/>
    <w:rsid w:val="0058376F"/>
    <w:rsid w:val="00583AA2"/>
    <w:rsid w:val="00583AF8"/>
    <w:rsid w:val="00583B3F"/>
    <w:rsid w:val="00583BF6"/>
    <w:rsid w:val="00583CF2"/>
    <w:rsid w:val="00583D71"/>
    <w:rsid w:val="00583E8C"/>
    <w:rsid w:val="00583F6D"/>
    <w:rsid w:val="00583FE4"/>
    <w:rsid w:val="005840F7"/>
    <w:rsid w:val="005840F9"/>
    <w:rsid w:val="005841C1"/>
    <w:rsid w:val="005842BE"/>
    <w:rsid w:val="0058449E"/>
    <w:rsid w:val="00584584"/>
    <w:rsid w:val="005845C9"/>
    <w:rsid w:val="0058462B"/>
    <w:rsid w:val="00584782"/>
    <w:rsid w:val="005847FB"/>
    <w:rsid w:val="005848A2"/>
    <w:rsid w:val="00584ABD"/>
    <w:rsid w:val="00584AF2"/>
    <w:rsid w:val="00584B31"/>
    <w:rsid w:val="00584B36"/>
    <w:rsid w:val="00584BE4"/>
    <w:rsid w:val="00584C0A"/>
    <w:rsid w:val="00584CED"/>
    <w:rsid w:val="00584CF3"/>
    <w:rsid w:val="00584D0C"/>
    <w:rsid w:val="00584D18"/>
    <w:rsid w:val="00584E00"/>
    <w:rsid w:val="00584E89"/>
    <w:rsid w:val="00584F3A"/>
    <w:rsid w:val="00585002"/>
    <w:rsid w:val="0058524B"/>
    <w:rsid w:val="005853AB"/>
    <w:rsid w:val="00585420"/>
    <w:rsid w:val="0058568F"/>
    <w:rsid w:val="00585748"/>
    <w:rsid w:val="0058591A"/>
    <w:rsid w:val="00585925"/>
    <w:rsid w:val="00585962"/>
    <w:rsid w:val="005859C5"/>
    <w:rsid w:val="00585A66"/>
    <w:rsid w:val="00585ABC"/>
    <w:rsid w:val="00585AC7"/>
    <w:rsid w:val="00585B53"/>
    <w:rsid w:val="00585C79"/>
    <w:rsid w:val="00585D03"/>
    <w:rsid w:val="00585D63"/>
    <w:rsid w:val="00585E12"/>
    <w:rsid w:val="00585F3A"/>
    <w:rsid w:val="00585F85"/>
    <w:rsid w:val="00585F89"/>
    <w:rsid w:val="00585FAC"/>
    <w:rsid w:val="00585FD0"/>
    <w:rsid w:val="00586011"/>
    <w:rsid w:val="00586144"/>
    <w:rsid w:val="00586184"/>
    <w:rsid w:val="0058639C"/>
    <w:rsid w:val="0058655C"/>
    <w:rsid w:val="00586564"/>
    <w:rsid w:val="00586614"/>
    <w:rsid w:val="005867A2"/>
    <w:rsid w:val="0058689D"/>
    <w:rsid w:val="00586948"/>
    <w:rsid w:val="00586A2A"/>
    <w:rsid w:val="00586A85"/>
    <w:rsid w:val="00586C83"/>
    <w:rsid w:val="00586D36"/>
    <w:rsid w:val="00586DAF"/>
    <w:rsid w:val="00586DC4"/>
    <w:rsid w:val="0058700F"/>
    <w:rsid w:val="00587120"/>
    <w:rsid w:val="00587123"/>
    <w:rsid w:val="005871A4"/>
    <w:rsid w:val="00587227"/>
    <w:rsid w:val="005873C4"/>
    <w:rsid w:val="005873F0"/>
    <w:rsid w:val="0058764A"/>
    <w:rsid w:val="0058766E"/>
    <w:rsid w:val="005876EA"/>
    <w:rsid w:val="00587785"/>
    <w:rsid w:val="0058788D"/>
    <w:rsid w:val="005878D3"/>
    <w:rsid w:val="005879F9"/>
    <w:rsid w:val="00587C2D"/>
    <w:rsid w:val="00587E29"/>
    <w:rsid w:val="00587E84"/>
    <w:rsid w:val="00587FE6"/>
    <w:rsid w:val="00590044"/>
    <w:rsid w:val="0059013F"/>
    <w:rsid w:val="00590172"/>
    <w:rsid w:val="005903F2"/>
    <w:rsid w:val="0059040D"/>
    <w:rsid w:val="00590596"/>
    <w:rsid w:val="00590626"/>
    <w:rsid w:val="005906A9"/>
    <w:rsid w:val="005907E5"/>
    <w:rsid w:val="00590830"/>
    <w:rsid w:val="00590A62"/>
    <w:rsid w:val="00590A6B"/>
    <w:rsid w:val="00590D4B"/>
    <w:rsid w:val="00590ECE"/>
    <w:rsid w:val="00590F6D"/>
    <w:rsid w:val="005910F9"/>
    <w:rsid w:val="00591197"/>
    <w:rsid w:val="005912EF"/>
    <w:rsid w:val="005912F1"/>
    <w:rsid w:val="005914FD"/>
    <w:rsid w:val="005915B4"/>
    <w:rsid w:val="00591698"/>
    <w:rsid w:val="00591788"/>
    <w:rsid w:val="005918AB"/>
    <w:rsid w:val="005918D0"/>
    <w:rsid w:val="00591966"/>
    <w:rsid w:val="005919DC"/>
    <w:rsid w:val="00591A2F"/>
    <w:rsid w:val="00591A66"/>
    <w:rsid w:val="00591EC4"/>
    <w:rsid w:val="00592096"/>
    <w:rsid w:val="00592104"/>
    <w:rsid w:val="0059210A"/>
    <w:rsid w:val="00592137"/>
    <w:rsid w:val="0059215E"/>
    <w:rsid w:val="0059216C"/>
    <w:rsid w:val="0059234B"/>
    <w:rsid w:val="00592483"/>
    <w:rsid w:val="0059248A"/>
    <w:rsid w:val="00592736"/>
    <w:rsid w:val="0059279A"/>
    <w:rsid w:val="00592B11"/>
    <w:rsid w:val="00592B80"/>
    <w:rsid w:val="00592D2F"/>
    <w:rsid w:val="00592D47"/>
    <w:rsid w:val="00592E79"/>
    <w:rsid w:val="0059301C"/>
    <w:rsid w:val="0059308E"/>
    <w:rsid w:val="0059312D"/>
    <w:rsid w:val="005932D5"/>
    <w:rsid w:val="005932DB"/>
    <w:rsid w:val="005933B8"/>
    <w:rsid w:val="005935FA"/>
    <w:rsid w:val="005936B3"/>
    <w:rsid w:val="00593750"/>
    <w:rsid w:val="005937A0"/>
    <w:rsid w:val="00593920"/>
    <w:rsid w:val="00593B87"/>
    <w:rsid w:val="00593C1C"/>
    <w:rsid w:val="00593C44"/>
    <w:rsid w:val="00593CEC"/>
    <w:rsid w:val="00593E94"/>
    <w:rsid w:val="00593F98"/>
    <w:rsid w:val="00594143"/>
    <w:rsid w:val="0059439A"/>
    <w:rsid w:val="00594427"/>
    <w:rsid w:val="005944D4"/>
    <w:rsid w:val="00594543"/>
    <w:rsid w:val="00594612"/>
    <w:rsid w:val="00594808"/>
    <w:rsid w:val="00594821"/>
    <w:rsid w:val="00594872"/>
    <w:rsid w:val="00594943"/>
    <w:rsid w:val="005949F8"/>
    <w:rsid w:val="00594A68"/>
    <w:rsid w:val="00594B93"/>
    <w:rsid w:val="00594C3D"/>
    <w:rsid w:val="00594C95"/>
    <w:rsid w:val="00594CF3"/>
    <w:rsid w:val="00594DD9"/>
    <w:rsid w:val="00594E05"/>
    <w:rsid w:val="00594E85"/>
    <w:rsid w:val="00594F30"/>
    <w:rsid w:val="00594FCF"/>
    <w:rsid w:val="00594FF8"/>
    <w:rsid w:val="00595021"/>
    <w:rsid w:val="00595035"/>
    <w:rsid w:val="005951CF"/>
    <w:rsid w:val="005953B6"/>
    <w:rsid w:val="00595439"/>
    <w:rsid w:val="00595464"/>
    <w:rsid w:val="005955EE"/>
    <w:rsid w:val="00595660"/>
    <w:rsid w:val="00595872"/>
    <w:rsid w:val="00595873"/>
    <w:rsid w:val="0059590A"/>
    <w:rsid w:val="00595955"/>
    <w:rsid w:val="005959C4"/>
    <w:rsid w:val="00595ACB"/>
    <w:rsid w:val="00595CDD"/>
    <w:rsid w:val="00595D61"/>
    <w:rsid w:val="00595D9A"/>
    <w:rsid w:val="00596157"/>
    <w:rsid w:val="005961B2"/>
    <w:rsid w:val="005961FE"/>
    <w:rsid w:val="00596265"/>
    <w:rsid w:val="005962C0"/>
    <w:rsid w:val="00596328"/>
    <w:rsid w:val="00596477"/>
    <w:rsid w:val="00596481"/>
    <w:rsid w:val="005964BB"/>
    <w:rsid w:val="00596541"/>
    <w:rsid w:val="005965F7"/>
    <w:rsid w:val="0059661C"/>
    <w:rsid w:val="00596701"/>
    <w:rsid w:val="0059676F"/>
    <w:rsid w:val="005967EB"/>
    <w:rsid w:val="005968F0"/>
    <w:rsid w:val="00596916"/>
    <w:rsid w:val="00596A57"/>
    <w:rsid w:val="00596A70"/>
    <w:rsid w:val="00596BD3"/>
    <w:rsid w:val="00596BE7"/>
    <w:rsid w:val="00596C3E"/>
    <w:rsid w:val="00596DE8"/>
    <w:rsid w:val="00596DF5"/>
    <w:rsid w:val="00596F3D"/>
    <w:rsid w:val="00596FF2"/>
    <w:rsid w:val="00596FF4"/>
    <w:rsid w:val="00597176"/>
    <w:rsid w:val="005971DA"/>
    <w:rsid w:val="0059729F"/>
    <w:rsid w:val="0059737E"/>
    <w:rsid w:val="0059737F"/>
    <w:rsid w:val="005973AB"/>
    <w:rsid w:val="005973C0"/>
    <w:rsid w:val="00597417"/>
    <w:rsid w:val="0059746A"/>
    <w:rsid w:val="005974AC"/>
    <w:rsid w:val="005974C0"/>
    <w:rsid w:val="005976B8"/>
    <w:rsid w:val="005977DD"/>
    <w:rsid w:val="005979B6"/>
    <w:rsid w:val="00597D60"/>
    <w:rsid w:val="00597D79"/>
    <w:rsid w:val="00597EBE"/>
    <w:rsid w:val="00597F17"/>
    <w:rsid w:val="005A0103"/>
    <w:rsid w:val="005A0385"/>
    <w:rsid w:val="005A04BD"/>
    <w:rsid w:val="005A0650"/>
    <w:rsid w:val="005A06C2"/>
    <w:rsid w:val="005A07A0"/>
    <w:rsid w:val="005A09DA"/>
    <w:rsid w:val="005A0A2D"/>
    <w:rsid w:val="005A0A3F"/>
    <w:rsid w:val="005A0A8C"/>
    <w:rsid w:val="005A0C73"/>
    <w:rsid w:val="005A0D0C"/>
    <w:rsid w:val="005A0DFA"/>
    <w:rsid w:val="005A0E29"/>
    <w:rsid w:val="005A1138"/>
    <w:rsid w:val="005A114F"/>
    <w:rsid w:val="005A1321"/>
    <w:rsid w:val="005A1334"/>
    <w:rsid w:val="005A14EE"/>
    <w:rsid w:val="005A162D"/>
    <w:rsid w:val="005A17EE"/>
    <w:rsid w:val="005A1A60"/>
    <w:rsid w:val="005A1AA7"/>
    <w:rsid w:val="005A1AD4"/>
    <w:rsid w:val="005A1B34"/>
    <w:rsid w:val="005A1C1B"/>
    <w:rsid w:val="005A1CA4"/>
    <w:rsid w:val="005A1F49"/>
    <w:rsid w:val="005A202D"/>
    <w:rsid w:val="005A20FC"/>
    <w:rsid w:val="005A2164"/>
    <w:rsid w:val="005A21A3"/>
    <w:rsid w:val="005A21C5"/>
    <w:rsid w:val="005A2364"/>
    <w:rsid w:val="005A23B1"/>
    <w:rsid w:val="005A23CB"/>
    <w:rsid w:val="005A247A"/>
    <w:rsid w:val="005A2480"/>
    <w:rsid w:val="005A2495"/>
    <w:rsid w:val="005A254A"/>
    <w:rsid w:val="005A25B7"/>
    <w:rsid w:val="005A2657"/>
    <w:rsid w:val="005A2689"/>
    <w:rsid w:val="005A2694"/>
    <w:rsid w:val="005A2756"/>
    <w:rsid w:val="005A2758"/>
    <w:rsid w:val="005A27AC"/>
    <w:rsid w:val="005A2B2C"/>
    <w:rsid w:val="005A2B8E"/>
    <w:rsid w:val="005A2B9F"/>
    <w:rsid w:val="005A2BDB"/>
    <w:rsid w:val="005A2C2D"/>
    <w:rsid w:val="005A2C99"/>
    <w:rsid w:val="005A2CA3"/>
    <w:rsid w:val="005A2D6B"/>
    <w:rsid w:val="005A2ED0"/>
    <w:rsid w:val="005A2F0C"/>
    <w:rsid w:val="005A2F9A"/>
    <w:rsid w:val="005A2FB2"/>
    <w:rsid w:val="005A3007"/>
    <w:rsid w:val="005A30DB"/>
    <w:rsid w:val="005A3132"/>
    <w:rsid w:val="005A31ED"/>
    <w:rsid w:val="005A320E"/>
    <w:rsid w:val="005A3252"/>
    <w:rsid w:val="005A33F7"/>
    <w:rsid w:val="005A3412"/>
    <w:rsid w:val="005A349C"/>
    <w:rsid w:val="005A37E6"/>
    <w:rsid w:val="005A3800"/>
    <w:rsid w:val="005A38DF"/>
    <w:rsid w:val="005A38F7"/>
    <w:rsid w:val="005A3B71"/>
    <w:rsid w:val="005A3D38"/>
    <w:rsid w:val="005A3DF8"/>
    <w:rsid w:val="005A4092"/>
    <w:rsid w:val="005A40CF"/>
    <w:rsid w:val="005A411A"/>
    <w:rsid w:val="005A4352"/>
    <w:rsid w:val="005A442E"/>
    <w:rsid w:val="005A446B"/>
    <w:rsid w:val="005A4553"/>
    <w:rsid w:val="005A4628"/>
    <w:rsid w:val="005A46D1"/>
    <w:rsid w:val="005A4749"/>
    <w:rsid w:val="005A4A05"/>
    <w:rsid w:val="005A4A9C"/>
    <w:rsid w:val="005A4B14"/>
    <w:rsid w:val="005A4BAE"/>
    <w:rsid w:val="005A4BD5"/>
    <w:rsid w:val="005A4F29"/>
    <w:rsid w:val="005A4F39"/>
    <w:rsid w:val="005A501C"/>
    <w:rsid w:val="005A51F3"/>
    <w:rsid w:val="005A5258"/>
    <w:rsid w:val="005A52DB"/>
    <w:rsid w:val="005A52F2"/>
    <w:rsid w:val="005A5358"/>
    <w:rsid w:val="005A5418"/>
    <w:rsid w:val="005A5667"/>
    <w:rsid w:val="005A574D"/>
    <w:rsid w:val="005A586F"/>
    <w:rsid w:val="005A5882"/>
    <w:rsid w:val="005A588B"/>
    <w:rsid w:val="005A5897"/>
    <w:rsid w:val="005A59D4"/>
    <w:rsid w:val="005A5A85"/>
    <w:rsid w:val="005A5B39"/>
    <w:rsid w:val="005A5B5C"/>
    <w:rsid w:val="005A5BBD"/>
    <w:rsid w:val="005A5C90"/>
    <w:rsid w:val="005A5D45"/>
    <w:rsid w:val="005A5D98"/>
    <w:rsid w:val="005A60CD"/>
    <w:rsid w:val="005A60D3"/>
    <w:rsid w:val="005A6109"/>
    <w:rsid w:val="005A6120"/>
    <w:rsid w:val="005A6202"/>
    <w:rsid w:val="005A6231"/>
    <w:rsid w:val="005A6379"/>
    <w:rsid w:val="005A645E"/>
    <w:rsid w:val="005A6468"/>
    <w:rsid w:val="005A649E"/>
    <w:rsid w:val="005A650A"/>
    <w:rsid w:val="005A659C"/>
    <w:rsid w:val="005A6631"/>
    <w:rsid w:val="005A680D"/>
    <w:rsid w:val="005A68D4"/>
    <w:rsid w:val="005A6A04"/>
    <w:rsid w:val="005A6AC5"/>
    <w:rsid w:val="005A6C5F"/>
    <w:rsid w:val="005A6E93"/>
    <w:rsid w:val="005A6F3F"/>
    <w:rsid w:val="005A6F86"/>
    <w:rsid w:val="005A707A"/>
    <w:rsid w:val="005A71AF"/>
    <w:rsid w:val="005A71D2"/>
    <w:rsid w:val="005A7296"/>
    <w:rsid w:val="005A72F9"/>
    <w:rsid w:val="005A731B"/>
    <w:rsid w:val="005A7340"/>
    <w:rsid w:val="005A7365"/>
    <w:rsid w:val="005A7389"/>
    <w:rsid w:val="005A7401"/>
    <w:rsid w:val="005A7962"/>
    <w:rsid w:val="005A7987"/>
    <w:rsid w:val="005A79F5"/>
    <w:rsid w:val="005A7A47"/>
    <w:rsid w:val="005A7BC7"/>
    <w:rsid w:val="005A7D66"/>
    <w:rsid w:val="005A7E7D"/>
    <w:rsid w:val="005A7ED5"/>
    <w:rsid w:val="005A7F93"/>
    <w:rsid w:val="005A7FD2"/>
    <w:rsid w:val="005A7FED"/>
    <w:rsid w:val="005B0031"/>
    <w:rsid w:val="005B0033"/>
    <w:rsid w:val="005B0285"/>
    <w:rsid w:val="005B02C9"/>
    <w:rsid w:val="005B0305"/>
    <w:rsid w:val="005B0379"/>
    <w:rsid w:val="005B03B0"/>
    <w:rsid w:val="005B04EC"/>
    <w:rsid w:val="005B05C8"/>
    <w:rsid w:val="005B07EA"/>
    <w:rsid w:val="005B0A22"/>
    <w:rsid w:val="005B0B20"/>
    <w:rsid w:val="005B0B50"/>
    <w:rsid w:val="005B0BD6"/>
    <w:rsid w:val="005B0CFD"/>
    <w:rsid w:val="005B0E60"/>
    <w:rsid w:val="005B0EFB"/>
    <w:rsid w:val="005B0F5C"/>
    <w:rsid w:val="005B1029"/>
    <w:rsid w:val="005B1060"/>
    <w:rsid w:val="005B10C6"/>
    <w:rsid w:val="005B1262"/>
    <w:rsid w:val="005B127A"/>
    <w:rsid w:val="005B12B9"/>
    <w:rsid w:val="005B1495"/>
    <w:rsid w:val="005B1736"/>
    <w:rsid w:val="005B1780"/>
    <w:rsid w:val="005B17C1"/>
    <w:rsid w:val="005B17E0"/>
    <w:rsid w:val="005B1910"/>
    <w:rsid w:val="005B1A17"/>
    <w:rsid w:val="005B1A75"/>
    <w:rsid w:val="005B1CB9"/>
    <w:rsid w:val="005B1CE2"/>
    <w:rsid w:val="005B1DB8"/>
    <w:rsid w:val="005B1E32"/>
    <w:rsid w:val="005B1E46"/>
    <w:rsid w:val="005B1FED"/>
    <w:rsid w:val="005B2076"/>
    <w:rsid w:val="005B2110"/>
    <w:rsid w:val="005B226D"/>
    <w:rsid w:val="005B22A3"/>
    <w:rsid w:val="005B23CD"/>
    <w:rsid w:val="005B23D4"/>
    <w:rsid w:val="005B245D"/>
    <w:rsid w:val="005B2556"/>
    <w:rsid w:val="005B2783"/>
    <w:rsid w:val="005B27E5"/>
    <w:rsid w:val="005B28E2"/>
    <w:rsid w:val="005B2A8B"/>
    <w:rsid w:val="005B2B5E"/>
    <w:rsid w:val="005B2B8C"/>
    <w:rsid w:val="005B2BE9"/>
    <w:rsid w:val="005B2D7E"/>
    <w:rsid w:val="005B2E0E"/>
    <w:rsid w:val="005B2E1A"/>
    <w:rsid w:val="005B30A7"/>
    <w:rsid w:val="005B315D"/>
    <w:rsid w:val="005B322C"/>
    <w:rsid w:val="005B340B"/>
    <w:rsid w:val="005B344F"/>
    <w:rsid w:val="005B349A"/>
    <w:rsid w:val="005B34F6"/>
    <w:rsid w:val="005B3542"/>
    <w:rsid w:val="005B35D7"/>
    <w:rsid w:val="005B36F8"/>
    <w:rsid w:val="005B3724"/>
    <w:rsid w:val="005B3737"/>
    <w:rsid w:val="005B374C"/>
    <w:rsid w:val="005B37C2"/>
    <w:rsid w:val="005B37E4"/>
    <w:rsid w:val="005B3851"/>
    <w:rsid w:val="005B3868"/>
    <w:rsid w:val="005B395F"/>
    <w:rsid w:val="005B3A42"/>
    <w:rsid w:val="005B3B3B"/>
    <w:rsid w:val="005B3B74"/>
    <w:rsid w:val="005B3C27"/>
    <w:rsid w:val="005B3E89"/>
    <w:rsid w:val="005B3EE5"/>
    <w:rsid w:val="005B3F02"/>
    <w:rsid w:val="005B3FCC"/>
    <w:rsid w:val="005B415E"/>
    <w:rsid w:val="005B427F"/>
    <w:rsid w:val="005B42FD"/>
    <w:rsid w:val="005B42FF"/>
    <w:rsid w:val="005B4365"/>
    <w:rsid w:val="005B4560"/>
    <w:rsid w:val="005B4574"/>
    <w:rsid w:val="005B4781"/>
    <w:rsid w:val="005B47B7"/>
    <w:rsid w:val="005B47DA"/>
    <w:rsid w:val="005B47FB"/>
    <w:rsid w:val="005B4A3F"/>
    <w:rsid w:val="005B4B20"/>
    <w:rsid w:val="005B4B8F"/>
    <w:rsid w:val="005B4CC3"/>
    <w:rsid w:val="005B4CD6"/>
    <w:rsid w:val="005B4D1D"/>
    <w:rsid w:val="005B4D65"/>
    <w:rsid w:val="005B4DC7"/>
    <w:rsid w:val="005B4F24"/>
    <w:rsid w:val="005B4F6E"/>
    <w:rsid w:val="005B4FF9"/>
    <w:rsid w:val="005B5201"/>
    <w:rsid w:val="005B5227"/>
    <w:rsid w:val="005B524A"/>
    <w:rsid w:val="005B5368"/>
    <w:rsid w:val="005B548A"/>
    <w:rsid w:val="005B5743"/>
    <w:rsid w:val="005B58BE"/>
    <w:rsid w:val="005B597A"/>
    <w:rsid w:val="005B5B7F"/>
    <w:rsid w:val="005B5C29"/>
    <w:rsid w:val="005B5D19"/>
    <w:rsid w:val="005B5D40"/>
    <w:rsid w:val="005B5E03"/>
    <w:rsid w:val="005B5EBE"/>
    <w:rsid w:val="005B5EFC"/>
    <w:rsid w:val="005B5F08"/>
    <w:rsid w:val="005B5F7B"/>
    <w:rsid w:val="005B626D"/>
    <w:rsid w:val="005B6359"/>
    <w:rsid w:val="005B63A8"/>
    <w:rsid w:val="005B6412"/>
    <w:rsid w:val="005B6587"/>
    <w:rsid w:val="005B663E"/>
    <w:rsid w:val="005B6698"/>
    <w:rsid w:val="005B68A7"/>
    <w:rsid w:val="005B6AC3"/>
    <w:rsid w:val="005B6AE0"/>
    <w:rsid w:val="005B6C56"/>
    <w:rsid w:val="005B6DF7"/>
    <w:rsid w:val="005B6E59"/>
    <w:rsid w:val="005B6EB1"/>
    <w:rsid w:val="005B6F9C"/>
    <w:rsid w:val="005B71A5"/>
    <w:rsid w:val="005B74AF"/>
    <w:rsid w:val="005B768C"/>
    <w:rsid w:val="005B78BA"/>
    <w:rsid w:val="005B7A03"/>
    <w:rsid w:val="005B7B04"/>
    <w:rsid w:val="005B7B6E"/>
    <w:rsid w:val="005B7B9F"/>
    <w:rsid w:val="005B7BEB"/>
    <w:rsid w:val="005B7E42"/>
    <w:rsid w:val="005B7E8E"/>
    <w:rsid w:val="005B7FD0"/>
    <w:rsid w:val="005C0167"/>
    <w:rsid w:val="005C017F"/>
    <w:rsid w:val="005C01E6"/>
    <w:rsid w:val="005C02D0"/>
    <w:rsid w:val="005C04B1"/>
    <w:rsid w:val="005C055E"/>
    <w:rsid w:val="005C0687"/>
    <w:rsid w:val="005C076A"/>
    <w:rsid w:val="005C0885"/>
    <w:rsid w:val="005C0947"/>
    <w:rsid w:val="005C099D"/>
    <w:rsid w:val="005C0C51"/>
    <w:rsid w:val="005C0D07"/>
    <w:rsid w:val="005C0E45"/>
    <w:rsid w:val="005C0F39"/>
    <w:rsid w:val="005C0FA1"/>
    <w:rsid w:val="005C1096"/>
    <w:rsid w:val="005C11FF"/>
    <w:rsid w:val="005C12E1"/>
    <w:rsid w:val="005C12F5"/>
    <w:rsid w:val="005C1328"/>
    <w:rsid w:val="005C139D"/>
    <w:rsid w:val="005C14C9"/>
    <w:rsid w:val="005C15F7"/>
    <w:rsid w:val="005C1615"/>
    <w:rsid w:val="005C1635"/>
    <w:rsid w:val="005C16F3"/>
    <w:rsid w:val="005C170D"/>
    <w:rsid w:val="005C1772"/>
    <w:rsid w:val="005C1832"/>
    <w:rsid w:val="005C18C2"/>
    <w:rsid w:val="005C1928"/>
    <w:rsid w:val="005C1B44"/>
    <w:rsid w:val="005C1B5D"/>
    <w:rsid w:val="005C1CD7"/>
    <w:rsid w:val="005C1D98"/>
    <w:rsid w:val="005C1DA5"/>
    <w:rsid w:val="005C20DB"/>
    <w:rsid w:val="005C2188"/>
    <w:rsid w:val="005C21E9"/>
    <w:rsid w:val="005C22F2"/>
    <w:rsid w:val="005C239C"/>
    <w:rsid w:val="005C23B9"/>
    <w:rsid w:val="005C2468"/>
    <w:rsid w:val="005C253F"/>
    <w:rsid w:val="005C2559"/>
    <w:rsid w:val="005C2602"/>
    <w:rsid w:val="005C27BC"/>
    <w:rsid w:val="005C27FE"/>
    <w:rsid w:val="005C2873"/>
    <w:rsid w:val="005C2907"/>
    <w:rsid w:val="005C297B"/>
    <w:rsid w:val="005C2AA8"/>
    <w:rsid w:val="005C2EE0"/>
    <w:rsid w:val="005C2F8C"/>
    <w:rsid w:val="005C3036"/>
    <w:rsid w:val="005C3346"/>
    <w:rsid w:val="005C34FC"/>
    <w:rsid w:val="005C3839"/>
    <w:rsid w:val="005C3845"/>
    <w:rsid w:val="005C3929"/>
    <w:rsid w:val="005C3A76"/>
    <w:rsid w:val="005C3AD6"/>
    <w:rsid w:val="005C3B51"/>
    <w:rsid w:val="005C3B5C"/>
    <w:rsid w:val="005C3C7D"/>
    <w:rsid w:val="005C3C7F"/>
    <w:rsid w:val="005C3CFC"/>
    <w:rsid w:val="005C3DCD"/>
    <w:rsid w:val="005C4066"/>
    <w:rsid w:val="005C407E"/>
    <w:rsid w:val="005C4268"/>
    <w:rsid w:val="005C42B1"/>
    <w:rsid w:val="005C432B"/>
    <w:rsid w:val="005C43FA"/>
    <w:rsid w:val="005C44BB"/>
    <w:rsid w:val="005C453A"/>
    <w:rsid w:val="005C4620"/>
    <w:rsid w:val="005C469B"/>
    <w:rsid w:val="005C476F"/>
    <w:rsid w:val="005C4862"/>
    <w:rsid w:val="005C4991"/>
    <w:rsid w:val="005C4B68"/>
    <w:rsid w:val="005C4E71"/>
    <w:rsid w:val="005C5143"/>
    <w:rsid w:val="005C51C9"/>
    <w:rsid w:val="005C5228"/>
    <w:rsid w:val="005C52BB"/>
    <w:rsid w:val="005C530D"/>
    <w:rsid w:val="005C55E4"/>
    <w:rsid w:val="005C55F5"/>
    <w:rsid w:val="005C5639"/>
    <w:rsid w:val="005C5742"/>
    <w:rsid w:val="005C5772"/>
    <w:rsid w:val="005C577D"/>
    <w:rsid w:val="005C58FE"/>
    <w:rsid w:val="005C5948"/>
    <w:rsid w:val="005C5AEF"/>
    <w:rsid w:val="005C5CA3"/>
    <w:rsid w:val="005C5D55"/>
    <w:rsid w:val="005C5D87"/>
    <w:rsid w:val="005C5D92"/>
    <w:rsid w:val="005C5E1E"/>
    <w:rsid w:val="005C5E32"/>
    <w:rsid w:val="005C5FE7"/>
    <w:rsid w:val="005C6034"/>
    <w:rsid w:val="005C60C3"/>
    <w:rsid w:val="005C61AB"/>
    <w:rsid w:val="005C61B8"/>
    <w:rsid w:val="005C6219"/>
    <w:rsid w:val="005C62FB"/>
    <w:rsid w:val="005C64DC"/>
    <w:rsid w:val="005C64EB"/>
    <w:rsid w:val="005C6577"/>
    <w:rsid w:val="005C6696"/>
    <w:rsid w:val="005C6787"/>
    <w:rsid w:val="005C6864"/>
    <w:rsid w:val="005C6A5B"/>
    <w:rsid w:val="005C6A9B"/>
    <w:rsid w:val="005C6AA8"/>
    <w:rsid w:val="005C6CA5"/>
    <w:rsid w:val="005C6CED"/>
    <w:rsid w:val="005C6D38"/>
    <w:rsid w:val="005C6E0C"/>
    <w:rsid w:val="005C6E0F"/>
    <w:rsid w:val="005C6E72"/>
    <w:rsid w:val="005C6EBB"/>
    <w:rsid w:val="005C6FC1"/>
    <w:rsid w:val="005C7088"/>
    <w:rsid w:val="005C7120"/>
    <w:rsid w:val="005C718D"/>
    <w:rsid w:val="005C725F"/>
    <w:rsid w:val="005C7318"/>
    <w:rsid w:val="005C73F3"/>
    <w:rsid w:val="005C7523"/>
    <w:rsid w:val="005C760E"/>
    <w:rsid w:val="005C766C"/>
    <w:rsid w:val="005C7755"/>
    <w:rsid w:val="005C7845"/>
    <w:rsid w:val="005C7B7E"/>
    <w:rsid w:val="005C7BF4"/>
    <w:rsid w:val="005C7CBA"/>
    <w:rsid w:val="005C7CD3"/>
    <w:rsid w:val="005C7E9E"/>
    <w:rsid w:val="005D002D"/>
    <w:rsid w:val="005D00C8"/>
    <w:rsid w:val="005D0133"/>
    <w:rsid w:val="005D01B0"/>
    <w:rsid w:val="005D04F2"/>
    <w:rsid w:val="005D060A"/>
    <w:rsid w:val="005D0723"/>
    <w:rsid w:val="005D072B"/>
    <w:rsid w:val="005D07F6"/>
    <w:rsid w:val="005D08EF"/>
    <w:rsid w:val="005D0A2F"/>
    <w:rsid w:val="005D0BE3"/>
    <w:rsid w:val="005D0C0B"/>
    <w:rsid w:val="005D0C33"/>
    <w:rsid w:val="005D0C40"/>
    <w:rsid w:val="005D0DF8"/>
    <w:rsid w:val="005D0EDE"/>
    <w:rsid w:val="005D120E"/>
    <w:rsid w:val="005D130E"/>
    <w:rsid w:val="005D1318"/>
    <w:rsid w:val="005D1374"/>
    <w:rsid w:val="005D146F"/>
    <w:rsid w:val="005D1484"/>
    <w:rsid w:val="005D150A"/>
    <w:rsid w:val="005D168E"/>
    <w:rsid w:val="005D1705"/>
    <w:rsid w:val="005D1751"/>
    <w:rsid w:val="005D17E8"/>
    <w:rsid w:val="005D18C9"/>
    <w:rsid w:val="005D1AA6"/>
    <w:rsid w:val="005D1B72"/>
    <w:rsid w:val="005D1C75"/>
    <w:rsid w:val="005D1D28"/>
    <w:rsid w:val="005D2048"/>
    <w:rsid w:val="005D2233"/>
    <w:rsid w:val="005D2432"/>
    <w:rsid w:val="005D2471"/>
    <w:rsid w:val="005D2484"/>
    <w:rsid w:val="005D24A4"/>
    <w:rsid w:val="005D25A3"/>
    <w:rsid w:val="005D265F"/>
    <w:rsid w:val="005D2708"/>
    <w:rsid w:val="005D2779"/>
    <w:rsid w:val="005D27AE"/>
    <w:rsid w:val="005D2BAD"/>
    <w:rsid w:val="005D2CBF"/>
    <w:rsid w:val="005D2D25"/>
    <w:rsid w:val="005D2F14"/>
    <w:rsid w:val="005D2FAE"/>
    <w:rsid w:val="005D31E8"/>
    <w:rsid w:val="005D3242"/>
    <w:rsid w:val="005D32FB"/>
    <w:rsid w:val="005D345E"/>
    <w:rsid w:val="005D3692"/>
    <w:rsid w:val="005D36F3"/>
    <w:rsid w:val="005D378A"/>
    <w:rsid w:val="005D3982"/>
    <w:rsid w:val="005D3A00"/>
    <w:rsid w:val="005D3A0B"/>
    <w:rsid w:val="005D3ADC"/>
    <w:rsid w:val="005D3B31"/>
    <w:rsid w:val="005D3B4A"/>
    <w:rsid w:val="005D3D36"/>
    <w:rsid w:val="005D3D8A"/>
    <w:rsid w:val="005D4216"/>
    <w:rsid w:val="005D42EE"/>
    <w:rsid w:val="005D431D"/>
    <w:rsid w:val="005D439F"/>
    <w:rsid w:val="005D43A5"/>
    <w:rsid w:val="005D44B6"/>
    <w:rsid w:val="005D475F"/>
    <w:rsid w:val="005D489D"/>
    <w:rsid w:val="005D4B4E"/>
    <w:rsid w:val="005D4B78"/>
    <w:rsid w:val="005D4BEE"/>
    <w:rsid w:val="005D4C3A"/>
    <w:rsid w:val="005D4D35"/>
    <w:rsid w:val="005D4DDF"/>
    <w:rsid w:val="005D4EB0"/>
    <w:rsid w:val="005D50FF"/>
    <w:rsid w:val="005D5262"/>
    <w:rsid w:val="005D54B1"/>
    <w:rsid w:val="005D56C1"/>
    <w:rsid w:val="005D5718"/>
    <w:rsid w:val="005D57DB"/>
    <w:rsid w:val="005D590F"/>
    <w:rsid w:val="005D5986"/>
    <w:rsid w:val="005D5A08"/>
    <w:rsid w:val="005D5A3E"/>
    <w:rsid w:val="005D5A4C"/>
    <w:rsid w:val="005D5A50"/>
    <w:rsid w:val="005D5BDB"/>
    <w:rsid w:val="005D610C"/>
    <w:rsid w:val="005D6235"/>
    <w:rsid w:val="005D6244"/>
    <w:rsid w:val="005D625E"/>
    <w:rsid w:val="005D63F2"/>
    <w:rsid w:val="005D64D8"/>
    <w:rsid w:val="005D64E2"/>
    <w:rsid w:val="005D6526"/>
    <w:rsid w:val="005D6659"/>
    <w:rsid w:val="005D66B1"/>
    <w:rsid w:val="005D6822"/>
    <w:rsid w:val="005D6A37"/>
    <w:rsid w:val="005D6A60"/>
    <w:rsid w:val="005D6CFD"/>
    <w:rsid w:val="005D6D1D"/>
    <w:rsid w:val="005D6D5B"/>
    <w:rsid w:val="005D6D64"/>
    <w:rsid w:val="005D7010"/>
    <w:rsid w:val="005D70D4"/>
    <w:rsid w:val="005D70F6"/>
    <w:rsid w:val="005D719A"/>
    <w:rsid w:val="005D71CA"/>
    <w:rsid w:val="005D7293"/>
    <w:rsid w:val="005D72AF"/>
    <w:rsid w:val="005D7321"/>
    <w:rsid w:val="005D7408"/>
    <w:rsid w:val="005D741F"/>
    <w:rsid w:val="005D74E7"/>
    <w:rsid w:val="005D7600"/>
    <w:rsid w:val="005D7608"/>
    <w:rsid w:val="005D7615"/>
    <w:rsid w:val="005D769F"/>
    <w:rsid w:val="005D76A2"/>
    <w:rsid w:val="005D77DA"/>
    <w:rsid w:val="005D796E"/>
    <w:rsid w:val="005D79AF"/>
    <w:rsid w:val="005D7A15"/>
    <w:rsid w:val="005D7B48"/>
    <w:rsid w:val="005D7B7F"/>
    <w:rsid w:val="005D7BA4"/>
    <w:rsid w:val="005D7C64"/>
    <w:rsid w:val="005D7D00"/>
    <w:rsid w:val="005D7DBA"/>
    <w:rsid w:val="005D7E75"/>
    <w:rsid w:val="005D7E8A"/>
    <w:rsid w:val="005D7F7B"/>
    <w:rsid w:val="005E011F"/>
    <w:rsid w:val="005E016D"/>
    <w:rsid w:val="005E04B4"/>
    <w:rsid w:val="005E0510"/>
    <w:rsid w:val="005E0535"/>
    <w:rsid w:val="005E085B"/>
    <w:rsid w:val="005E0A11"/>
    <w:rsid w:val="005E0B27"/>
    <w:rsid w:val="005E0BAB"/>
    <w:rsid w:val="005E0C59"/>
    <w:rsid w:val="005E0DD9"/>
    <w:rsid w:val="005E0FEB"/>
    <w:rsid w:val="005E0FED"/>
    <w:rsid w:val="005E10B0"/>
    <w:rsid w:val="005E11FB"/>
    <w:rsid w:val="005E1234"/>
    <w:rsid w:val="005E1331"/>
    <w:rsid w:val="005E140A"/>
    <w:rsid w:val="005E147E"/>
    <w:rsid w:val="005E1511"/>
    <w:rsid w:val="005E1602"/>
    <w:rsid w:val="005E184E"/>
    <w:rsid w:val="005E1888"/>
    <w:rsid w:val="005E18CC"/>
    <w:rsid w:val="005E1A0E"/>
    <w:rsid w:val="005E1BA7"/>
    <w:rsid w:val="005E1C17"/>
    <w:rsid w:val="005E1C60"/>
    <w:rsid w:val="005E1DAB"/>
    <w:rsid w:val="005E1E06"/>
    <w:rsid w:val="005E1E15"/>
    <w:rsid w:val="005E1EF3"/>
    <w:rsid w:val="005E1F6C"/>
    <w:rsid w:val="005E202B"/>
    <w:rsid w:val="005E2050"/>
    <w:rsid w:val="005E20A3"/>
    <w:rsid w:val="005E20C1"/>
    <w:rsid w:val="005E2156"/>
    <w:rsid w:val="005E21E0"/>
    <w:rsid w:val="005E21F7"/>
    <w:rsid w:val="005E23DD"/>
    <w:rsid w:val="005E2481"/>
    <w:rsid w:val="005E24B9"/>
    <w:rsid w:val="005E26B0"/>
    <w:rsid w:val="005E27C4"/>
    <w:rsid w:val="005E27E3"/>
    <w:rsid w:val="005E2813"/>
    <w:rsid w:val="005E2919"/>
    <w:rsid w:val="005E2A50"/>
    <w:rsid w:val="005E2BA4"/>
    <w:rsid w:val="005E2C3E"/>
    <w:rsid w:val="005E2C86"/>
    <w:rsid w:val="005E2CFD"/>
    <w:rsid w:val="005E2EC9"/>
    <w:rsid w:val="005E33D5"/>
    <w:rsid w:val="005E3431"/>
    <w:rsid w:val="005E345C"/>
    <w:rsid w:val="005E36C3"/>
    <w:rsid w:val="005E36F5"/>
    <w:rsid w:val="005E38F3"/>
    <w:rsid w:val="005E38F8"/>
    <w:rsid w:val="005E39AB"/>
    <w:rsid w:val="005E39D2"/>
    <w:rsid w:val="005E3A06"/>
    <w:rsid w:val="005E3B94"/>
    <w:rsid w:val="005E3BCD"/>
    <w:rsid w:val="005E3CD8"/>
    <w:rsid w:val="005E3D66"/>
    <w:rsid w:val="005E3D88"/>
    <w:rsid w:val="005E3E1D"/>
    <w:rsid w:val="005E3F27"/>
    <w:rsid w:val="005E3F2A"/>
    <w:rsid w:val="005E3F80"/>
    <w:rsid w:val="005E3FEF"/>
    <w:rsid w:val="005E438F"/>
    <w:rsid w:val="005E4913"/>
    <w:rsid w:val="005E496A"/>
    <w:rsid w:val="005E49DD"/>
    <w:rsid w:val="005E49E0"/>
    <w:rsid w:val="005E4A87"/>
    <w:rsid w:val="005E4B08"/>
    <w:rsid w:val="005E4BAF"/>
    <w:rsid w:val="005E4CD0"/>
    <w:rsid w:val="005E4CD5"/>
    <w:rsid w:val="005E4D06"/>
    <w:rsid w:val="005E4D9D"/>
    <w:rsid w:val="005E4DA5"/>
    <w:rsid w:val="005E4DB4"/>
    <w:rsid w:val="005E4DED"/>
    <w:rsid w:val="005E5036"/>
    <w:rsid w:val="005E503E"/>
    <w:rsid w:val="005E5095"/>
    <w:rsid w:val="005E50A4"/>
    <w:rsid w:val="005E51A0"/>
    <w:rsid w:val="005E5318"/>
    <w:rsid w:val="005E59C7"/>
    <w:rsid w:val="005E5A08"/>
    <w:rsid w:val="005E5A32"/>
    <w:rsid w:val="005E5B28"/>
    <w:rsid w:val="005E5B33"/>
    <w:rsid w:val="005E5B60"/>
    <w:rsid w:val="005E5BA0"/>
    <w:rsid w:val="005E5BDE"/>
    <w:rsid w:val="005E5DC7"/>
    <w:rsid w:val="005E5DE4"/>
    <w:rsid w:val="005E5E7B"/>
    <w:rsid w:val="005E5F2E"/>
    <w:rsid w:val="005E6095"/>
    <w:rsid w:val="005E61C2"/>
    <w:rsid w:val="005E6274"/>
    <w:rsid w:val="005E62C6"/>
    <w:rsid w:val="005E6311"/>
    <w:rsid w:val="005E635C"/>
    <w:rsid w:val="005E654F"/>
    <w:rsid w:val="005E6699"/>
    <w:rsid w:val="005E66A5"/>
    <w:rsid w:val="005E66E9"/>
    <w:rsid w:val="005E67BD"/>
    <w:rsid w:val="005E67DD"/>
    <w:rsid w:val="005E68BA"/>
    <w:rsid w:val="005E6A3F"/>
    <w:rsid w:val="005E6D33"/>
    <w:rsid w:val="005E6DB8"/>
    <w:rsid w:val="005E6DC7"/>
    <w:rsid w:val="005E6E95"/>
    <w:rsid w:val="005E704A"/>
    <w:rsid w:val="005E7228"/>
    <w:rsid w:val="005E7284"/>
    <w:rsid w:val="005E7429"/>
    <w:rsid w:val="005E7555"/>
    <w:rsid w:val="005E75B0"/>
    <w:rsid w:val="005E7637"/>
    <w:rsid w:val="005E764A"/>
    <w:rsid w:val="005E77B3"/>
    <w:rsid w:val="005E77B6"/>
    <w:rsid w:val="005E78BA"/>
    <w:rsid w:val="005E79B6"/>
    <w:rsid w:val="005E79D9"/>
    <w:rsid w:val="005E7A2D"/>
    <w:rsid w:val="005E7A35"/>
    <w:rsid w:val="005E7A69"/>
    <w:rsid w:val="005E7BAC"/>
    <w:rsid w:val="005E7D9D"/>
    <w:rsid w:val="005E7E38"/>
    <w:rsid w:val="005E7E8E"/>
    <w:rsid w:val="005F0067"/>
    <w:rsid w:val="005F0077"/>
    <w:rsid w:val="005F0104"/>
    <w:rsid w:val="005F01A5"/>
    <w:rsid w:val="005F01AB"/>
    <w:rsid w:val="005F01E4"/>
    <w:rsid w:val="005F0318"/>
    <w:rsid w:val="005F03AF"/>
    <w:rsid w:val="005F058E"/>
    <w:rsid w:val="005F05C3"/>
    <w:rsid w:val="005F066F"/>
    <w:rsid w:val="005F06CE"/>
    <w:rsid w:val="005F076B"/>
    <w:rsid w:val="005F0B29"/>
    <w:rsid w:val="005F0C9C"/>
    <w:rsid w:val="005F0DE6"/>
    <w:rsid w:val="005F0E3E"/>
    <w:rsid w:val="005F0E5C"/>
    <w:rsid w:val="005F0E68"/>
    <w:rsid w:val="005F0EE1"/>
    <w:rsid w:val="005F0EEA"/>
    <w:rsid w:val="005F0F92"/>
    <w:rsid w:val="005F10CE"/>
    <w:rsid w:val="005F10DE"/>
    <w:rsid w:val="005F10E6"/>
    <w:rsid w:val="005F12A7"/>
    <w:rsid w:val="005F12E6"/>
    <w:rsid w:val="005F134E"/>
    <w:rsid w:val="005F1365"/>
    <w:rsid w:val="005F1470"/>
    <w:rsid w:val="005F14EB"/>
    <w:rsid w:val="005F1506"/>
    <w:rsid w:val="005F15E2"/>
    <w:rsid w:val="005F16B6"/>
    <w:rsid w:val="005F176F"/>
    <w:rsid w:val="005F193A"/>
    <w:rsid w:val="005F196B"/>
    <w:rsid w:val="005F19B6"/>
    <w:rsid w:val="005F1AAB"/>
    <w:rsid w:val="005F1AFA"/>
    <w:rsid w:val="005F1B0B"/>
    <w:rsid w:val="005F1D99"/>
    <w:rsid w:val="005F1DFA"/>
    <w:rsid w:val="005F1E1D"/>
    <w:rsid w:val="005F1E5D"/>
    <w:rsid w:val="005F2128"/>
    <w:rsid w:val="005F2171"/>
    <w:rsid w:val="005F21E2"/>
    <w:rsid w:val="005F2212"/>
    <w:rsid w:val="005F2299"/>
    <w:rsid w:val="005F22B1"/>
    <w:rsid w:val="005F243C"/>
    <w:rsid w:val="005F2675"/>
    <w:rsid w:val="005F2733"/>
    <w:rsid w:val="005F2860"/>
    <w:rsid w:val="005F28FC"/>
    <w:rsid w:val="005F29EF"/>
    <w:rsid w:val="005F2AD1"/>
    <w:rsid w:val="005F2C1F"/>
    <w:rsid w:val="005F2C2A"/>
    <w:rsid w:val="005F2D6A"/>
    <w:rsid w:val="005F2DEC"/>
    <w:rsid w:val="005F2E44"/>
    <w:rsid w:val="005F3176"/>
    <w:rsid w:val="005F31CF"/>
    <w:rsid w:val="005F32B7"/>
    <w:rsid w:val="005F3413"/>
    <w:rsid w:val="005F3477"/>
    <w:rsid w:val="005F34BF"/>
    <w:rsid w:val="005F3690"/>
    <w:rsid w:val="005F36F7"/>
    <w:rsid w:val="005F3986"/>
    <w:rsid w:val="005F398C"/>
    <w:rsid w:val="005F3AED"/>
    <w:rsid w:val="005F3B11"/>
    <w:rsid w:val="005F3C03"/>
    <w:rsid w:val="005F3CC0"/>
    <w:rsid w:val="005F3D71"/>
    <w:rsid w:val="005F3E03"/>
    <w:rsid w:val="005F3F9A"/>
    <w:rsid w:val="005F4021"/>
    <w:rsid w:val="005F409B"/>
    <w:rsid w:val="005F41B1"/>
    <w:rsid w:val="005F41E6"/>
    <w:rsid w:val="005F4210"/>
    <w:rsid w:val="005F4326"/>
    <w:rsid w:val="005F443A"/>
    <w:rsid w:val="005F4522"/>
    <w:rsid w:val="005F46B5"/>
    <w:rsid w:val="005F46FE"/>
    <w:rsid w:val="005F4741"/>
    <w:rsid w:val="005F47D4"/>
    <w:rsid w:val="005F47DD"/>
    <w:rsid w:val="005F49E6"/>
    <w:rsid w:val="005F4AB0"/>
    <w:rsid w:val="005F4BFE"/>
    <w:rsid w:val="005F4C57"/>
    <w:rsid w:val="005F4CF1"/>
    <w:rsid w:val="005F4D87"/>
    <w:rsid w:val="005F4E11"/>
    <w:rsid w:val="005F4E6B"/>
    <w:rsid w:val="005F4F0F"/>
    <w:rsid w:val="005F4F45"/>
    <w:rsid w:val="005F5060"/>
    <w:rsid w:val="005F511A"/>
    <w:rsid w:val="005F519E"/>
    <w:rsid w:val="005F51CA"/>
    <w:rsid w:val="005F5213"/>
    <w:rsid w:val="005F53BC"/>
    <w:rsid w:val="005F5410"/>
    <w:rsid w:val="005F558B"/>
    <w:rsid w:val="005F5699"/>
    <w:rsid w:val="005F5733"/>
    <w:rsid w:val="005F5A62"/>
    <w:rsid w:val="005F5CE6"/>
    <w:rsid w:val="005F5D47"/>
    <w:rsid w:val="005F5EE1"/>
    <w:rsid w:val="005F6334"/>
    <w:rsid w:val="005F63E1"/>
    <w:rsid w:val="005F6415"/>
    <w:rsid w:val="005F6662"/>
    <w:rsid w:val="005F6774"/>
    <w:rsid w:val="005F67DE"/>
    <w:rsid w:val="005F6960"/>
    <w:rsid w:val="005F6C27"/>
    <w:rsid w:val="005F6C2B"/>
    <w:rsid w:val="005F6CC0"/>
    <w:rsid w:val="005F6D7A"/>
    <w:rsid w:val="005F6DBE"/>
    <w:rsid w:val="005F6FDC"/>
    <w:rsid w:val="005F7028"/>
    <w:rsid w:val="005F702D"/>
    <w:rsid w:val="005F7075"/>
    <w:rsid w:val="005F7168"/>
    <w:rsid w:val="005F7188"/>
    <w:rsid w:val="005F723D"/>
    <w:rsid w:val="005F723E"/>
    <w:rsid w:val="005F7242"/>
    <w:rsid w:val="005F7360"/>
    <w:rsid w:val="005F736A"/>
    <w:rsid w:val="005F7376"/>
    <w:rsid w:val="005F7425"/>
    <w:rsid w:val="005F74EA"/>
    <w:rsid w:val="005F7761"/>
    <w:rsid w:val="005F78BC"/>
    <w:rsid w:val="005F79AA"/>
    <w:rsid w:val="005F79E5"/>
    <w:rsid w:val="005F7A69"/>
    <w:rsid w:val="005F7C5A"/>
    <w:rsid w:val="005F7DE2"/>
    <w:rsid w:val="005F7E37"/>
    <w:rsid w:val="005F7E59"/>
    <w:rsid w:val="005F7E7C"/>
    <w:rsid w:val="005F7EA4"/>
    <w:rsid w:val="006000C1"/>
    <w:rsid w:val="00600330"/>
    <w:rsid w:val="00600405"/>
    <w:rsid w:val="0060044B"/>
    <w:rsid w:val="006004AD"/>
    <w:rsid w:val="006005A5"/>
    <w:rsid w:val="0060062E"/>
    <w:rsid w:val="0060063E"/>
    <w:rsid w:val="006007A4"/>
    <w:rsid w:val="0060080C"/>
    <w:rsid w:val="00600812"/>
    <w:rsid w:val="0060081C"/>
    <w:rsid w:val="00600909"/>
    <w:rsid w:val="00600A1B"/>
    <w:rsid w:val="00600A2C"/>
    <w:rsid w:val="00600A50"/>
    <w:rsid w:val="00600AB2"/>
    <w:rsid w:val="00600B04"/>
    <w:rsid w:val="00600E39"/>
    <w:rsid w:val="00600E82"/>
    <w:rsid w:val="00600ED7"/>
    <w:rsid w:val="006010FE"/>
    <w:rsid w:val="00601151"/>
    <w:rsid w:val="00601384"/>
    <w:rsid w:val="006013A6"/>
    <w:rsid w:val="006013D7"/>
    <w:rsid w:val="006014DB"/>
    <w:rsid w:val="006014E8"/>
    <w:rsid w:val="00601512"/>
    <w:rsid w:val="00601587"/>
    <w:rsid w:val="0060169F"/>
    <w:rsid w:val="006016A7"/>
    <w:rsid w:val="0060181B"/>
    <w:rsid w:val="00601882"/>
    <w:rsid w:val="006019C4"/>
    <w:rsid w:val="00601AC9"/>
    <w:rsid w:val="00601B0A"/>
    <w:rsid w:val="00601B2C"/>
    <w:rsid w:val="00601D19"/>
    <w:rsid w:val="00601D8E"/>
    <w:rsid w:val="00601DEF"/>
    <w:rsid w:val="00601E57"/>
    <w:rsid w:val="00601F0B"/>
    <w:rsid w:val="00602005"/>
    <w:rsid w:val="00602079"/>
    <w:rsid w:val="006022DC"/>
    <w:rsid w:val="006022F3"/>
    <w:rsid w:val="00602398"/>
    <w:rsid w:val="006023BF"/>
    <w:rsid w:val="00602425"/>
    <w:rsid w:val="00602579"/>
    <w:rsid w:val="00602779"/>
    <w:rsid w:val="00602815"/>
    <w:rsid w:val="0060289D"/>
    <w:rsid w:val="00602A43"/>
    <w:rsid w:val="00602BA4"/>
    <w:rsid w:val="00602C43"/>
    <w:rsid w:val="00602CE5"/>
    <w:rsid w:val="00602D5B"/>
    <w:rsid w:val="00602DA2"/>
    <w:rsid w:val="00602E49"/>
    <w:rsid w:val="00602E82"/>
    <w:rsid w:val="00602FEA"/>
    <w:rsid w:val="00602FF4"/>
    <w:rsid w:val="00603119"/>
    <w:rsid w:val="00603228"/>
    <w:rsid w:val="0060335E"/>
    <w:rsid w:val="006034C7"/>
    <w:rsid w:val="00603699"/>
    <w:rsid w:val="00603843"/>
    <w:rsid w:val="0060384D"/>
    <w:rsid w:val="006038B9"/>
    <w:rsid w:val="00603A3D"/>
    <w:rsid w:val="00603A59"/>
    <w:rsid w:val="00603AB4"/>
    <w:rsid w:val="00603BAC"/>
    <w:rsid w:val="00603F29"/>
    <w:rsid w:val="00603F3A"/>
    <w:rsid w:val="00603FFE"/>
    <w:rsid w:val="0060410D"/>
    <w:rsid w:val="006042C6"/>
    <w:rsid w:val="006042CC"/>
    <w:rsid w:val="0060433B"/>
    <w:rsid w:val="00604437"/>
    <w:rsid w:val="0060455D"/>
    <w:rsid w:val="00604739"/>
    <w:rsid w:val="00604775"/>
    <w:rsid w:val="0060495E"/>
    <w:rsid w:val="00604A18"/>
    <w:rsid w:val="00604ACD"/>
    <w:rsid w:val="00604B83"/>
    <w:rsid w:val="00604BCB"/>
    <w:rsid w:val="00604C15"/>
    <w:rsid w:val="00604C30"/>
    <w:rsid w:val="00604C38"/>
    <w:rsid w:val="00604C99"/>
    <w:rsid w:val="00604DC2"/>
    <w:rsid w:val="00604ED7"/>
    <w:rsid w:val="00604F4C"/>
    <w:rsid w:val="0060520D"/>
    <w:rsid w:val="006054C2"/>
    <w:rsid w:val="00605506"/>
    <w:rsid w:val="00605515"/>
    <w:rsid w:val="00605590"/>
    <w:rsid w:val="006055CF"/>
    <w:rsid w:val="00605766"/>
    <w:rsid w:val="00605771"/>
    <w:rsid w:val="00605775"/>
    <w:rsid w:val="00605B5F"/>
    <w:rsid w:val="00605C6D"/>
    <w:rsid w:val="00605D59"/>
    <w:rsid w:val="00605E9E"/>
    <w:rsid w:val="00605F37"/>
    <w:rsid w:val="0060600B"/>
    <w:rsid w:val="006060C2"/>
    <w:rsid w:val="006060C4"/>
    <w:rsid w:val="00606172"/>
    <w:rsid w:val="00606215"/>
    <w:rsid w:val="00606345"/>
    <w:rsid w:val="0060635B"/>
    <w:rsid w:val="0060645B"/>
    <w:rsid w:val="0060656E"/>
    <w:rsid w:val="006065F2"/>
    <w:rsid w:val="00606664"/>
    <w:rsid w:val="006066E5"/>
    <w:rsid w:val="00606884"/>
    <w:rsid w:val="006068F1"/>
    <w:rsid w:val="00606A31"/>
    <w:rsid w:val="00606AC3"/>
    <w:rsid w:val="00606B55"/>
    <w:rsid w:val="00606C02"/>
    <w:rsid w:val="00606CC9"/>
    <w:rsid w:val="00606DF4"/>
    <w:rsid w:val="00606EEB"/>
    <w:rsid w:val="00606F12"/>
    <w:rsid w:val="00606FB6"/>
    <w:rsid w:val="00607057"/>
    <w:rsid w:val="006070A3"/>
    <w:rsid w:val="0060722B"/>
    <w:rsid w:val="006072C9"/>
    <w:rsid w:val="006072DE"/>
    <w:rsid w:val="006073CF"/>
    <w:rsid w:val="00607417"/>
    <w:rsid w:val="0060776E"/>
    <w:rsid w:val="00607A34"/>
    <w:rsid w:val="00607AFC"/>
    <w:rsid w:val="00607B12"/>
    <w:rsid w:val="00607B81"/>
    <w:rsid w:val="00607B85"/>
    <w:rsid w:val="00607C35"/>
    <w:rsid w:val="00607CFD"/>
    <w:rsid w:val="00607DA4"/>
    <w:rsid w:val="00607E7B"/>
    <w:rsid w:val="00607F3B"/>
    <w:rsid w:val="00607FB0"/>
    <w:rsid w:val="00610079"/>
    <w:rsid w:val="0061008D"/>
    <w:rsid w:val="00610172"/>
    <w:rsid w:val="006101A7"/>
    <w:rsid w:val="0061024F"/>
    <w:rsid w:val="00610335"/>
    <w:rsid w:val="00610438"/>
    <w:rsid w:val="0061053D"/>
    <w:rsid w:val="006105CA"/>
    <w:rsid w:val="0061069F"/>
    <w:rsid w:val="00610767"/>
    <w:rsid w:val="00610771"/>
    <w:rsid w:val="006108BE"/>
    <w:rsid w:val="006108E6"/>
    <w:rsid w:val="00610B5D"/>
    <w:rsid w:val="00610D51"/>
    <w:rsid w:val="00610DBD"/>
    <w:rsid w:val="00610E62"/>
    <w:rsid w:val="006116DC"/>
    <w:rsid w:val="00611716"/>
    <w:rsid w:val="00611777"/>
    <w:rsid w:val="00611841"/>
    <w:rsid w:val="0061189F"/>
    <w:rsid w:val="006119A3"/>
    <w:rsid w:val="00611A16"/>
    <w:rsid w:val="00611A81"/>
    <w:rsid w:val="00611A85"/>
    <w:rsid w:val="00611B31"/>
    <w:rsid w:val="00611BEC"/>
    <w:rsid w:val="00611CE4"/>
    <w:rsid w:val="00611D6A"/>
    <w:rsid w:val="00611F3B"/>
    <w:rsid w:val="00611FD6"/>
    <w:rsid w:val="00612159"/>
    <w:rsid w:val="00612162"/>
    <w:rsid w:val="0061218E"/>
    <w:rsid w:val="0061219B"/>
    <w:rsid w:val="006121E3"/>
    <w:rsid w:val="00612285"/>
    <w:rsid w:val="006123B6"/>
    <w:rsid w:val="006123BF"/>
    <w:rsid w:val="006123CE"/>
    <w:rsid w:val="00612446"/>
    <w:rsid w:val="0061254B"/>
    <w:rsid w:val="0061268F"/>
    <w:rsid w:val="00612696"/>
    <w:rsid w:val="00612765"/>
    <w:rsid w:val="00612772"/>
    <w:rsid w:val="006127F4"/>
    <w:rsid w:val="006128D9"/>
    <w:rsid w:val="00612A05"/>
    <w:rsid w:val="00612A52"/>
    <w:rsid w:val="00612AB8"/>
    <w:rsid w:val="00612AE0"/>
    <w:rsid w:val="00612B7A"/>
    <w:rsid w:val="00612C30"/>
    <w:rsid w:val="00612CBD"/>
    <w:rsid w:val="00612D05"/>
    <w:rsid w:val="00612D70"/>
    <w:rsid w:val="00612EDD"/>
    <w:rsid w:val="00612F35"/>
    <w:rsid w:val="00612F68"/>
    <w:rsid w:val="0061304C"/>
    <w:rsid w:val="0061310F"/>
    <w:rsid w:val="006136E0"/>
    <w:rsid w:val="00613769"/>
    <w:rsid w:val="006137A9"/>
    <w:rsid w:val="00613947"/>
    <w:rsid w:val="00613B09"/>
    <w:rsid w:val="00613B9A"/>
    <w:rsid w:val="00613CE8"/>
    <w:rsid w:val="00613D20"/>
    <w:rsid w:val="00613E90"/>
    <w:rsid w:val="00613FB6"/>
    <w:rsid w:val="006140C6"/>
    <w:rsid w:val="00614134"/>
    <w:rsid w:val="00614141"/>
    <w:rsid w:val="0061418F"/>
    <w:rsid w:val="006141FA"/>
    <w:rsid w:val="00614241"/>
    <w:rsid w:val="0061428D"/>
    <w:rsid w:val="00614453"/>
    <w:rsid w:val="006144A6"/>
    <w:rsid w:val="00614755"/>
    <w:rsid w:val="006148E7"/>
    <w:rsid w:val="00614936"/>
    <w:rsid w:val="00614AF5"/>
    <w:rsid w:val="00614C25"/>
    <w:rsid w:val="00614CAA"/>
    <w:rsid w:val="00614DEC"/>
    <w:rsid w:val="00614F68"/>
    <w:rsid w:val="00614F70"/>
    <w:rsid w:val="006150A2"/>
    <w:rsid w:val="006150E3"/>
    <w:rsid w:val="006151F4"/>
    <w:rsid w:val="0061522B"/>
    <w:rsid w:val="006152BC"/>
    <w:rsid w:val="00615411"/>
    <w:rsid w:val="00615446"/>
    <w:rsid w:val="00615563"/>
    <w:rsid w:val="006155FC"/>
    <w:rsid w:val="00615622"/>
    <w:rsid w:val="006156BE"/>
    <w:rsid w:val="006156C8"/>
    <w:rsid w:val="00615710"/>
    <w:rsid w:val="00615934"/>
    <w:rsid w:val="0061599E"/>
    <w:rsid w:val="00615AC7"/>
    <w:rsid w:val="00615B23"/>
    <w:rsid w:val="00615B3F"/>
    <w:rsid w:val="00615CAF"/>
    <w:rsid w:val="00615F3E"/>
    <w:rsid w:val="00616007"/>
    <w:rsid w:val="00616155"/>
    <w:rsid w:val="006162E6"/>
    <w:rsid w:val="00616369"/>
    <w:rsid w:val="00616426"/>
    <w:rsid w:val="006164EB"/>
    <w:rsid w:val="00616780"/>
    <w:rsid w:val="0061687C"/>
    <w:rsid w:val="0061690D"/>
    <w:rsid w:val="006169C2"/>
    <w:rsid w:val="00616C69"/>
    <w:rsid w:val="00616C79"/>
    <w:rsid w:val="006170B4"/>
    <w:rsid w:val="006171A4"/>
    <w:rsid w:val="006171A5"/>
    <w:rsid w:val="006171EC"/>
    <w:rsid w:val="00617398"/>
    <w:rsid w:val="00617593"/>
    <w:rsid w:val="006175DD"/>
    <w:rsid w:val="006176CE"/>
    <w:rsid w:val="0061776E"/>
    <w:rsid w:val="00617B46"/>
    <w:rsid w:val="00617C13"/>
    <w:rsid w:val="00617C56"/>
    <w:rsid w:val="00617CAC"/>
    <w:rsid w:val="00617CC6"/>
    <w:rsid w:val="00617E35"/>
    <w:rsid w:val="00617E4F"/>
    <w:rsid w:val="00617ED1"/>
    <w:rsid w:val="00617F4D"/>
    <w:rsid w:val="00617F74"/>
    <w:rsid w:val="00617FD4"/>
    <w:rsid w:val="006200D9"/>
    <w:rsid w:val="00620117"/>
    <w:rsid w:val="0062025E"/>
    <w:rsid w:val="00620309"/>
    <w:rsid w:val="0062040D"/>
    <w:rsid w:val="0062059B"/>
    <w:rsid w:val="00620709"/>
    <w:rsid w:val="006207F4"/>
    <w:rsid w:val="0062081E"/>
    <w:rsid w:val="00620884"/>
    <w:rsid w:val="00620A22"/>
    <w:rsid w:val="00620A96"/>
    <w:rsid w:val="00620AFF"/>
    <w:rsid w:val="00620C54"/>
    <w:rsid w:val="00620D69"/>
    <w:rsid w:val="00620DF1"/>
    <w:rsid w:val="00620ED4"/>
    <w:rsid w:val="00620FF0"/>
    <w:rsid w:val="006212C0"/>
    <w:rsid w:val="00621311"/>
    <w:rsid w:val="00621356"/>
    <w:rsid w:val="006214FD"/>
    <w:rsid w:val="00621584"/>
    <w:rsid w:val="0062159D"/>
    <w:rsid w:val="00621680"/>
    <w:rsid w:val="00621698"/>
    <w:rsid w:val="006217C8"/>
    <w:rsid w:val="006217F2"/>
    <w:rsid w:val="00621801"/>
    <w:rsid w:val="00621867"/>
    <w:rsid w:val="006218C5"/>
    <w:rsid w:val="006218F8"/>
    <w:rsid w:val="006219BB"/>
    <w:rsid w:val="00621AC5"/>
    <w:rsid w:val="00621B14"/>
    <w:rsid w:val="00621BE5"/>
    <w:rsid w:val="00621C62"/>
    <w:rsid w:val="00621D47"/>
    <w:rsid w:val="00621D51"/>
    <w:rsid w:val="00621D99"/>
    <w:rsid w:val="00621DA2"/>
    <w:rsid w:val="00621DCC"/>
    <w:rsid w:val="00621E86"/>
    <w:rsid w:val="00621E9B"/>
    <w:rsid w:val="00621EC5"/>
    <w:rsid w:val="006220C9"/>
    <w:rsid w:val="0062211A"/>
    <w:rsid w:val="006221C8"/>
    <w:rsid w:val="006222A3"/>
    <w:rsid w:val="006223E0"/>
    <w:rsid w:val="00622444"/>
    <w:rsid w:val="00622496"/>
    <w:rsid w:val="006224D0"/>
    <w:rsid w:val="006224F8"/>
    <w:rsid w:val="00622606"/>
    <w:rsid w:val="00622693"/>
    <w:rsid w:val="006226A3"/>
    <w:rsid w:val="0062279A"/>
    <w:rsid w:val="006229EF"/>
    <w:rsid w:val="00622A1D"/>
    <w:rsid w:val="00622A72"/>
    <w:rsid w:val="00622BCE"/>
    <w:rsid w:val="00622C9F"/>
    <w:rsid w:val="00622D33"/>
    <w:rsid w:val="00622DDE"/>
    <w:rsid w:val="00622E29"/>
    <w:rsid w:val="00622E41"/>
    <w:rsid w:val="0062307F"/>
    <w:rsid w:val="006231B0"/>
    <w:rsid w:val="006232A5"/>
    <w:rsid w:val="00623307"/>
    <w:rsid w:val="006235ED"/>
    <w:rsid w:val="00623643"/>
    <w:rsid w:val="00623661"/>
    <w:rsid w:val="00623700"/>
    <w:rsid w:val="00623720"/>
    <w:rsid w:val="006237C9"/>
    <w:rsid w:val="006239B0"/>
    <w:rsid w:val="00623A0C"/>
    <w:rsid w:val="00623A63"/>
    <w:rsid w:val="00623C96"/>
    <w:rsid w:val="00623E14"/>
    <w:rsid w:val="00623E39"/>
    <w:rsid w:val="00623E7C"/>
    <w:rsid w:val="00623F48"/>
    <w:rsid w:val="00623F75"/>
    <w:rsid w:val="00623F81"/>
    <w:rsid w:val="00624018"/>
    <w:rsid w:val="00624096"/>
    <w:rsid w:val="006240C4"/>
    <w:rsid w:val="006241A4"/>
    <w:rsid w:val="0062424E"/>
    <w:rsid w:val="00624359"/>
    <w:rsid w:val="0062437E"/>
    <w:rsid w:val="006245C2"/>
    <w:rsid w:val="006245F7"/>
    <w:rsid w:val="00624651"/>
    <w:rsid w:val="006247D2"/>
    <w:rsid w:val="00624803"/>
    <w:rsid w:val="00624824"/>
    <w:rsid w:val="0062483A"/>
    <w:rsid w:val="00624854"/>
    <w:rsid w:val="00624867"/>
    <w:rsid w:val="00624975"/>
    <w:rsid w:val="006249B2"/>
    <w:rsid w:val="006249C0"/>
    <w:rsid w:val="00624A3E"/>
    <w:rsid w:val="00624AB4"/>
    <w:rsid w:val="00624B3C"/>
    <w:rsid w:val="00624B49"/>
    <w:rsid w:val="00624D32"/>
    <w:rsid w:val="00624DC7"/>
    <w:rsid w:val="00624EB6"/>
    <w:rsid w:val="00625092"/>
    <w:rsid w:val="006250A8"/>
    <w:rsid w:val="006252C2"/>
    <w:rsid w:val="00625304"/>
    <w:rsid w:val="00625328"/>
    <w:rsid w:val="00625473"/>
    <w:rsid w:val="006254BA"/>
    <w:rsid w:val="00625515"/>
    <w:rsid w:val="00625673"/>
    <w:rsid w:val="00625677"/>
    <w:rsid w:val="006256FD"/>
    <w:rsid w:val="00625707"/>
    <w:rsid w:val="0062581B"/>
    <w:rsid w:val="006259F7"/>
    <w:rsid w:val="00625B03"/>
    <w:rsid w:val="00625CA6"/>
    <w:rsid w:val="00625ED2"/>
    <w:rsid w:val="006260DC"/>
    <w:rsid w:val="0062610E"/>
    <w:rsid w:val="006261F4"/>
    <w:rsid w:val="006263FD"/>
    <w:rsid w:val="00626427"/>
    <w:rsid w:val="006266A8"/>
    <w:rsid w:val="0062675B"/>
    <w:rsid w:val="00626768"/>
    <w:rsid w:val="006269DD"/>
    <w:rsid w:val="006269FB"/>
    <w:rsid w:val="00626D11"/>
    <w:rsid w:val="00626DCC"/>
    <w:rsid w:val="00626E12"/>
    <w:rsid w:val="0062708A"/>
    <w:rsid w:val="00627119"/>
    <w:rsid w:val="00627179"/>
    <w:rsid w:val="00627191"/>
    <w:rsid w:val="00627280"/>
    <w:rsid w:val="006272AD"/>
    <w:rsid w:val="00627379"/>
    <w:rsid w:val="00627407"/>
    <w:rsid w:val="00627646"/>
    <w:rsid w:val="006276FC"/>
    <w:rsid w:val="006277B3"/>
    <w:rsid w:val="00627810"/>
    <w:rsid w:val="00627DF3"/>
    <w:rsid w:val="00627E0C"/>
    <w:rsid w:val="00630004"/>
    <w:rsid w:val="006300A4"/>
    <w:rsid w:val="00630107"/>
    <w:rsid w:val="006302AC"/>
    <w:rsid w:val="00630301"/>
    <w:rsid w:val="0063032F"/>
    <w:rsid w:val="00630357"/>
    <w:rsid w:val="0063037C"/>
    <w:rsid w:val="00630385"/>
    <w:rsid w:val="00630402"/>
    <w:rsid w:val="0063045D"/>
    <w:rsid w:val="00630514"/>
    <w:rsid w:val="00630552"/>
    <w:rsid w:val="0063061F"/>
    <w:rsid w:val="006307B0"/>
    <w:rsid w:val="006309C0"/>
    <w:rsid w:val="00630BBB"/>
    <w:rsid w:val="00630C80"/>
    <w:rsid w:val="00630E11"/>
    <w:rsid w:val="006312E3"/>
    <w:rsid w:val="00631357"/>
    <w:rsid w:val="00631489"/>
    <w:rsid w:val="0063155F"/>
    <w:rsid w:val="00631571"/>
    <w:rsid w:val="006315E2"/>
    <w:rsid w:val="0063164E"/>
    <w:rsid w:val="006316A6"/>
    <w:rsid w:val="006317B6"/>
    <w:rsid w:val="006317FB"/>
    <w:rsid w:val="0063183C"/>
    <w:rsid w:val="0063191D"/>
    <w:rsid w:val="006319BD"/>
    <w:rsid w:val="006319D4"/>
    <w:rsid w:val="00631AC5"/>
    <w:rsid w:val="00631D98"/>
    <w:rsid w:val="00631DB2"/>
    <w:rsid w:val="00631E7A"/>
    <w:rsid w:val="00632157"/>
    <w:rsid w:val="00632239"/>
    <w:rsid w:val="006325D6"/>
    <w:rsid w:val="00632774"/>
    <w:rsid w:val="0063285C"/>
    <w:rsid w:val="006328F9"/>
    <w:rsid w:val="00632989"/>
    <w:rsid w:val="006329AA"/>
    <w:rsid w:val="00632BCA"/>
    <w:rsid w:val="00632BDF"/>
    <w:rsid w:val="00632C11"/>
    <w:rsid w:val="00632C85"/>
    <w:rsid w:val="00632D0F"/>
    <w:rsid w:val="00632DCC"/>
    <w:rsid w:val="00632FB5"/>
    <w:rsid w:val="00632FC4"/>
    <w:rsid w:val="0063304B"/>
    <w:rsid w:val="00633354"/>
    <w:rsid w:val="006333C1"/>
    <w:rsid w:val="00633488"/>
    <w:rsid w:val="00633581"/>
    <w:rsid w:val="0063360B"/>
    <w:rsid w:val="006336B7"/>
    <w:rsid w:val="00633754"/>
    <w:rsid w:val="00633831"/>
    <w:rsid w:val="00633881"/>
    <w:rsid w:val="006338BE"/>
    <w:rsid w:val="0063396D"/>
    <w:rsid w:val="00633971"/>
    <w:rsid w:val="006339AF"/>
    <w:rsid w:val="006339EE"/>
    <w:rsid w:val="00633C47"/>
    <w:rsid w:val="00633D14"/>
    <w:rsid w:val="00633DF0"/>
    <w:rsid w:val="0063404A"/>
    <w:rsid w:val="00634117"/>
    <w:rsid w:val="00634152"/>
    <w:rsid w:val="00634199"/>
    <w:rsid w:val="006341D8"/>
    <w:rsid w:val="006341E3"/>
    <w:rsid w:val="006341F4"/>
    <w:rsid w:val="00634380"/>
    <w:rsid w:val="006343B2"/>
    <w:rsid w:val="00634410"/>
    <w:rsid w:val="00634573"/>
    <w:rsid w:val="006346F8"/>
    <w:rsid w:val="006347E5"/>
    <w:rsid w:val="00634812"/>
    <w:rsid w:val="006348F7"/>
    <w:rsid w:val="00634926"/>
    <w:rsid w:val="00634A83"/>
    <w:rsid w:val="00634B04"/>
    <w:rsid w:val="00634BAA"/>
    <w:rsid w:val="00634C55"/>
    <w:rsid w:val="00634E4A"/>
    <w:rsid w:val="00634EA3"/>
    <w:rsid w:val="00635042"/>
    <w:rsid w:val="00635079"/>
    <w:rsid w:val="0063512D"/>
    <w:rsid w:val="0063521D"/>
    <w:rsid w:val="006352A6"/>
    <w:rsid w:val="006353ED"/>
    <w:rsid w:val="00635544"/>
    <w:rsid w:val="0063561E"/>
    <w:rsid w:val="006358FB"/>
    <w:rsid w:val="00635A07"/>
    <w:rsid w:val="00635A8C"/>
    <w:rsid w:val="00635AB0"/>
    <w:rsid w:val="00635ABF"/>
    <w:rsid w:val="00635AE2"/>
    <w:rsid w:val="00635E1E"/>
    <w:rsid w:val="00635F53"/>
    <w:rsid w:val="00635F6F"/>
    <w:rsid w:val="00636007"/>
    <w:rsid w:val="00636083"/>
    <w:rsid w:val="006360B8"/>
    <w:rsid w:val="006363B0"/>
    <w:rsid w:val="00636593"/>
    <w:rsid w:val="006366E1"/>
    <w:rsid w:val="0063677C"/>
    <w:rsid w:val="0063686D"/>
    <w:rsid w:val="00636972"/>
    <w:rsid w:val="00636B1B"/>
    <w:rsid w:val="00636B69"/>
    <w:rsid w:val="00636BA8"/>
    <w:rsid w:val="00636BC2"/>
    <w:rsid w:val="00636C4F"/>
    <w:rsid w:val="00636CE2"/>
    <w:rsid w:val="00636D2D"/>
    <w:rsid w:val="00636DD5"/>
    <w:rsid w:val="00636E36"/>
    <w:rsid w:val="00637094"/>
    <w:rsid w:val="006370A7"/>
    <w:rsid w:val="0063725C"/>
    <w:rsid w:val="00637440"/>
    <w:rsid w:val="0063794C"/>
    <w:rsid w:val="00637AA7"/>
    <w:rsid w:val="00637B92"/>
    <w:rsid w:val="00637C73"/>
    <w:rsid w:val="00637D56"/>
    <w:rsid w:val="00637F8E"/>
    <w:rsid w:val="00637FE0"/>
    <w:rsid w:val="006400D8"/>
    <w:rsid w:val="00640497"/>
    <w:rsid w:val="006404B1"/>
    <w:rsid w:val="006404D1"/>
    <w:rsid w:val="00640570"/>
    <w:rsid w:val="00640795"/>
    <w:rsid w:val="006407EB"/>
    <w:rsid w:val="0064087A"/>
    <w:rsid w:val="00640949"/>
    <w:rsid w:val="00640D55"/>
    <w:rsid w:val="00640D76"/>
    <w:rsid w:val="00640EEB"/>
    <w:rsid w:val="00640F25"/>
    <w:rsid w:val="00640F43"/>
    <w:rsid w:val="00640F4C"/>
    <w:rsid w:val="0064108B"/>
    <w:rsid w:val="00641163"/>
    <w:rsid w:val="006411A3"/>
    <w:rsid w:val="006411E8"/>
    <w:rsid w:val="00641216"/>
    <w:rsid w:val="0064127E"/>
    <w:rsid w:val="006412CA"/>
    <w:rsid w:val="006413F5"/>
    <w:rsid w:val="0064155A"/>
    <w:rsid w:val="006415AF"/>
    <w:rsid w:val="006416AA"/>
    <w:rsid w:val="00641702"/>
    <w:rsid w:val="006417BA"/>
    <w:rsid w:val="006417F5"/>
    <w:rsid w:val="0064195E"/>
    <w:rsid w:val="006419DF"/>
    <w:rsid w:val="00641A6C"/>
    <w:rsid w:val="00641B53"/>
    <w:rsid w:val="00641CF7"/>
    <w:rsid w:val="00641ED2"/>
    <w:rsid w:val="00642005"/>
    <w:rsid w:val="00642006"/>
    <w:rsid w:val="00642073"/>
    <w:rsid w:val="006420DA"/>
    <w:rsid w:val="006420DB"/>
    <w:rsid w:val="00642169"/>
    <w:rsid w:val="00642188"/>
    <w:rsid w:val="00642241"/>
    <w:rsid w:val="006423E8"/>
    <w:rsid w:val="0064243D"/>
    <w:rsid w:val="0064249D"/>
    <w:rsid w:val="006426C9"/>
    <w:rsid w:val="006426E6"/>
    <w:rsid w:val="00642729"/>
    <w:rsid w:val="006429DD"/>
    <w:rsid w:val="00642A0A"/>
    <w:rsid w:val="00642ABB"/>
    <w:rsid w:val="00642C88"/>
    <w:rsid w:val="00642D8D"/>
    <w:rsid w:val="00642D95"/>
    <w:rsid w:val="00642E2B"/>
    <w:rsid w:val="00642F62"/>
    <w:rsid w:val="00642F8B"/>
    <w:rsid w:val="0064314B"/>
    <w:rsid w:val="00643155"/>
    <w:rsid w:val="006432DF"/>
    <w:rsid w:val="0064346D"/>
    <w:rsid w:val="00643521"/>
    <w:rsid w:val="00643619"/>
    <w:rsid w:val="0064374D"/>
    <w:rsid w:val="0064376B"/>
    <w:rsid w:val="006437E8"/>
    <w:rsid w:val="0064386A"/>
    <w:rsid w:val="00643947"/>
    <w:rsid w:val="00643AC1"/>
    <w:rsid w:val="00643C06"/>
    <w:rsid w:val="00643C69"/>
    <w:rsid w:val="00643CD4"/>
    <w:rsid w:val="00643CDC"/>
    <w:rsid w:val="00643D62"/>
    <w:rsid w:val="00643F50"/>
    <w:rsid w:val="00643FD6"/>
    <w:rsid w:val="00644118"/>
    <w:rsid w:val="006443C9"/>
    <w:rsid w:val="00644526"/>
    <w:rsid w:val="00644565"/>
    <w:rsid w:val="00644685"/>
    <w:rsid w:val="00644764"/>
    <w:rsid w:val="0064476B"/>
    <w:rsid w:val="006449C0"/>
    <w:rsid w:val="00644A5E"/>
    <w:rsid w:val="00644A65"/>
    <w:rsid w:val="00644A6C"/>
    <w:rsid w:val="00644A8C"/>
    <w:rsid w:val="00644B5D"/>
    <w:rsid w:val="00644D69"/>
    <w:rsid w:val="00644DAC"/>
    <w:rsid w:val="00644E26"/>
    <w:rsid w:val="00644EA9"/>
    <w:rsid w:val="00644F17"/>
    <w:rsid w:val="00644FF5"/>
    <w:rsid w:val="00645158"/>
    <w:rsid w:val="00645175"/>
    <w:rsid w:val="006451C3"/>
    <w:rsid w:val="00645481"/>
    <w:rsid w:val="006457A8"/>
    <w:rsid w:val="006458F3"/>
    <w:rsid w:val="00645A49"/>
    <w:rsid w:val="00645B53"/>
    <w:rsid w:val="00645D07"/>
    <w:rsid w:val="00645E63"/>
    <w:rsid w:val="00645EA0"/>
    <w:rsid w:val="00645F76"/>
    <w:rsid w:val="00645F87"/>
    <w:rsid w:val="00646023"/>
    <w:rsid w:val="00646064"/>
    <w:rsid w:val="006460DC"/>
    <w:rsid w:val="006461FB"/>
    <w:rsid w:val="006463F8"/>
    <w:rsid w:val="00646579"/>
    <w:rsid w:val="00646669"/>
    <w:rsid w:val="0064669D"/>
    <w:rsid w:val="006467DE"/>
    <w:rsid w:val="00646883"/>
    <w:rsid w:val="006468A5"/>
    <w:rsid w:val="00646C1D"/>
    <w:rsid w:val="00646CC3"/>
    <w:rsid w:val="00646EB0"/>
    <w:rsid w:val="00646F0B"/>
    <w:rsid w:val="00647033"/>
    <w:rsid w:val="0064714D"/>
    <w:rsid w:val="0064727D"/>
    <w:rsid w:val="006472FC"/>
    <w:rsid w:val="0064733C"/>
    <w:rsid w:val="00647389"/>
    <w:rsid w:val="006473CE"/>
    <w:rsid w:val="006473DA"/>
    <w:rsid w:val="006475A7"/>
    <w:rsid w:val="006475C1"/>
    <w:rsid w:val="0064771D"/>
    <w:rsid w:val="00647724"/>
    <w:rsid w:val="00647856"/>
    <w:rsid w:val="0064789A"/>
    <w:rsid w:val="006479B6"/>
    <w:rsid w:val="006479BD"/>
    <w:rsid w:val="006479EA"/>
    <w:rsid w:val="00647B32"/>
    <w:rsid w:val="00647BA9"/>
    <w:rsid w:val="00647C27"/>
    <w:rsid w:val="00647C2F"/>
    <w:rsid w:val="00647D45"/>
    <w:rsid w:val="00647D93"/>
    <w:rsid w:val="00647E5F"/>
    <w:rsid w:val="006500D1"/>
    <w:rsid w:val="006501EE"/>
    <w:rsid w:val="0065025B"/>
    <w:rsid w:val="00650589"/>
    <w:rsid w:val="0065060B"/>
    <w:rsid w:val="006508B2"/>
    <w:rsid w:val="006508EB"/>
    <w:rsid w:val="00650930"/>
    <w:rsid w:val="006509E8"/>
    <w:rsid w:val="00650A1E"/>
    <w:rsid w:val="00650A39"/>
    <w:rsid w:val="00650AAE"/>
    <w:rsid w:val="00650C3A"/>
    <w:rsid w:val="00650C99"/>
    <w:rsid w:val="00650D27"/>
    <w:rsid w:val="00650D71"/>
    <w:rsid w:val="00650E24"/>
    <w:rsid w:val="00650FAF"/>
    <w:rsid w:val="00651287"/>
    <w:rsid w:val="006512B9"/>
    <w:rsid w:val="00651543"/>
    <w:rsid w:val="00651610"/>
    <w:rsid w:val="00651622"/>
    <w:rsid w:val="00651743"/>
    <w:rsid w:val="00651817"/>
    <w:rsid w:val="0065182B"/>
    <w:rsid w:val="0065185D"/>
    <w:rsid w:val="00651871"/>
    <w:rsid w:val="006519E6"/>
    <w:rsid w:val="006519F3"/>
    <w:rsid w:val="00651AFD"/>
    <w:rsid w:val="00651B88"/>
    <w:rsid w:val="00651BDD"/>
    <w:rsid w:val="00651BF2"/>
    <w:rsid w:val="00651C13"/>
    <w:rsid w:val="00651CDE"/>
    <w:rsid w:val="00651D6C"/>
    <w:rsid w:val="0065208E"/>
    <w:rsid w:val="006520AB"/>
    <w:rsid w:val="00652118"/>
    <w:rsid w:val="006522E7"/>
    <w:rsid w:val="00652326"/>
    <w:rsid w:val="006524F6"/>
    <w:rsid w:val="006525BD"/>
    <w:rsid w:val="0065262E"/>
    <w:rsid w:val="006527C4"/>
    <w:rsid w:val="00652907"/>
    <w:rsid w:val="00652A6B"/>
    <w:rsid w:val="00652AD8"/>
    <w:rsid w:val="00652BFE"/>
    <w:rsid w:val="00652C07"/>
    <w:rsid w:val="00652C2C"/>
    <w:rsid w:val="00652DCE"/>
    <w:rsid w:val="00652E06"/>
    <w:rsid w:val="00652E60"/>
    <w:rsid w:val="00652E8B"/>
    <w:rsid w:val="00652EB3"/>
    <w:rsid w:val="00652F5A"/>
    <w:rsid w:val="00652F8D"/>
    <w:rsid w:val="00652FA0"/>
    <w:rsid w:val="00652FB2"/>
    <w:rsid w:val="00652FDA"/>
    <w:rsid w:val="00652FFC"/>
    <w:rsid w:val="00653023"/>
    <w:rsid w:val="0065307F"/>
    <w:rsid w:val="006530D1"/>
    <w:rsid w:val="00653119"/>
    <w:rsid w:val="0065315D"/>
    <w:rsid w:val="006531E8"/>
    <w:rsid w:val="0065322B"/>
    <w:rsid w:val="00653231"/>
    <w:rsid w:val="006533C5"/>
    <w:rsid w:val="006533CE"/>
    <w:rsid w:val="00653563"/>
    <w:rsid w:val="0065356D"/>
    <w:rsid w:val="0065360B"/>
    <w:rsid w:val="00653667"/>
    <w:rsid w:val="00653722"/>
    <w:rsid w:val="00653864"/>
    <w:rsid w:val="00653915"/>
    <w:rsid w:val="006539FB"/>
    <w:rsid w:val="00653AF7"/>
    <w:rsid w:val="00653C63"/>
    <w:rsid w:val="00653CE0"/>
    <w:rsid w:val="00653D21"/>
    <w:rsid w:val="00653E42"/>
    <w:rsid w:val="00653E76"/>
    <w:rsid w:val="00653ED3"/>
    <w:rsid w:val="00653F8A"/>
    <w:rsid w:val="00653FC4"/>
    <w:rsid w:val="0065400B"/>
    <w:rsid w:val="006540EE"/>
    <w:rsid w:val="00654139"/>
    <w:rsid w:val="00654330"/>
    <w:rsid w:val="00654391"/>
    <w:rsid w:val="006543E6"/>
    <w:rsid w:val="00654450"/>
    <w:rsid w:val="006544B3"/>
    <w:rsid w:val="00654544"/>
    <w:rsid w:val="006545EC"/>
    <w:rsid w:val="0065476B"/>
    <w:rsid w:val="006547AB"/>
    <w:rsid w:val="0065481C"/>
    <w:rsid w:val="006548BC"/>
    <w:rsid w:val="006549AF"/>
    <w:rsid w:val="006549D6"/>
    <w:rsid w:val="00654BB2"/>
    <w:rsid w:val="00654C45"/>
    <w:rsid w:val="00654CF0"/>
    <w:rsid w:val="00654D2E"/>
    <w:rsid w:val="00654F4D"/>
    <w:rsid w:val="00654F91"/>
    <w:rsid w:val="0065500A"/>
    <w:rsid w:val="00655035"/>
    <w:rsid w:val="006550D3"/>
    <w:rsid w:val="0065517D"/>
    <w:rsid w:val="00655306"/>
    <w:rsid w:val="00655361"/>
    <w:rsid w:val="00655418"/>
    <w:rsid w:val="0065551C"/>
    <w:rsid w:val="0065562F"/>
    <w:rsid w:val="00655706"/>
    <w:rsid w:val="00655723"/>
    <w:rsid w:val="00655859"/>
    <w:rsid w:val="0065586E"/>
    <w:rsid w:val="00655915"/>
    <w:rsid w:val="00655936"/>
    <w:rsid w:val="006559E8"/>
    <w:rsid w:val="00655B09"/>
    <w:rsid w:val="00655C13"/>
    <w:rsid w:val="00655DDB"/>
    <w:rsid w:val="00655F09"/>
    <w:rsid w:val="006561AD"/>
    <w:rsid w:val="00656242"/>
    <w:rsid w:val="00656253"/>
    <w:rsid w:val="006562A7"/>
    <w:rsid w:val="006564D8"/>
    <w:rsid w:val="006566C0"/>
    <w:rsid w:val="00656799"/>
    <w:rsid w:val="006568ED"/>
    <w:rsid w:val="00656927"/>
    <w:rsid w:val="006569D0"/>
    <w:rsid w:val="006569ED"/>
    <w:rsid w:val="00656A6C"/>
    <w:rsid w:val="00656B77"/>
    <w:rsid w:val="00656E72"/>
    <w:rsid w:val="00657017"/>
    <w:rsid w:val="006571C0"/>
    <w:rsid w:val="00657258"/>
    <w:rsid w:val="006572D0"/>
    <w:rsid w:val="00657423"/>
    <w:rsid w:val="0065789B"/>
    <w:rsid w:val="006578A1"/>
    <w:rsid w:val="006579C1"/>
    <w:rsid w:val="00657CDF"/>
    <w:rsid w:val="00657E66"/>
    <w:rsid w:val="00660056"/>
    <w:rsid w:val="0066014F"/>
    <w:rsid w:val="00660183"/>
    <w:rsid w:val="006601EA"/>
    <w:rsid w:val="006602F4"/>
    <w:rsid w:val="00660371"/>
    <w:rsid w:val="006603A6"/>
    <w:rsid w:val="00660478"/>
    <w:rsid w:val="0066050D"/>
    <w:rsid w:val="0066053B"/>
    <w:rsid w:val="0066054B"/>
    <w:rsid w:val="0066054F"/>
    <w:rsid w:val="00660578"/>
    <w:rsid w:val="006606E3"/>
    <w:rsid w:val="00660782"/>
    <w:rsid w:val="006608DF"/>
    <w:rsid w:val="00660965"/>
    <w:rsid w:val="00660976"/>
    <w:rsid w:val="00660A67"/>
    <w:rsid w:val="00660EAD"/>
    <w:rsid w:val="00660F8D"/>
    <w:rsid w:val="00660FB2"/>
    <w:rsid w:val="00661041"/>
    <w:rsid w:val="006610F0"/>
    <w:rsid w:val="0066119E"/>
    <w:rsid w:val="006611DB"/>
    <w:rsid w:val="0066137B"/>
    <w:rsid w:val="0066142B"/>
    <w:rsid w:val="00661434"/>
    <w:rsid w:val="00661516"/>
    <w:rsid w:val="0066174E"/>
    <w:rsid w:val="006617AA"/>
    <w:rsid w:val="00661A82"/>
    <w:rsid w:val="00661AA4"/>
    <w:rsid w:val="00661AEC"/>
    <w:rsid w:val="00661BBB"/>
    <w:rsid w:val="00661CE1"/>
    <w:rsid w:val="00661D44"/>
    <w:rsid w:val="00661E57"/>
    <w:rsid w:val="00661ED0"/>
    <w:rsid w:val="00661EFD"/>
    <w:rsid w:val="00661F0F"/>
    <w:rsid w:val="00661F76"/>
    <w:rsid w:val="00661FFB"/>
    <w:rsid w:val="0066202F"/>
    <w:rsid w:val="00662141"/>
    <w:rsid w:val="00662293"/>
    <w:rsid w:val="0066233B"/>
    <w:rsid w:val="00662566"/>
    <w:rsid w:val="006625A7"/>
    <w:rsid w:val="00662701"/>
    <w:rsid w:val="00662775"/>
    <w:rsid w:val="006629E4"/>
    <w:rsid w:val="00662B89"/>
    <w:rsid w:val="00662BC2"/>
    <w:rsid w:val="00662BD9"/>
    <w:rsid w:val="00662D93"/>
    <w:rsid w:val="00662DE4"/>
    <w:rsid w:val="00662E1F"/>
    <w:rsid w:val="006630F1"/>
    <w:rsid w:val="006632AB"/>
    <w:rsid w:val="006632DC"/>
    <w:rsid w:val="00663359"/>
    <w:rsid w:val="0066337F"/>
    <w:rsid w:val="0066352E"/>
    <w:rsid w:val="00663589"/>
    <w:rsid w:val="0066365A"/>
    <w:rsid w:val="00663783"/>
    <w:rsid w:val="00663912"/>
    <w:rsid w:val="00663A46"/>
    <w:rsid w:val="00663BBC"/>
    <w:rsid w:val="00663D11"/>
    <w:rsid w:val="00663E27"/>
    <w:rsid w:val="00663E47"/>
    <w:rsid w:val="00663EAD"/>
    <w:rsid w:val="00663F67"/>
    <w:rsid w:val="00664148"/>
    <w:rsid w:val="00664179"/>
    <w:rsid w:val="0066421F"/>
    <w:rsid w:val="00664254"/>
    <w:rsid w:val="0066431B"/>
    <w:rsid w:val="00664368"/>
    <w:rsid w:val="006644A7"/>
    <w:rsid w:val="006644D8"/>
    <w:rsid w:val="0066458D"/>
    <w:rsid w:val="0066470C"/>
    <w:rsid w:val="00664726"/>
    <w:rsid w:val="00664782"/>
    <w:rsid w:val="0066489B"/>
    <w:rsid w:val="006648BF"/>
    <w:rsid w:val="00664919"/>
    <w:rsid w:val="00664AAB"/>
    <w:rsid w:val="00664ADC"/>
    <w:rsid w:val="00664BDE"/>
    <w:rsid w:val="00664CD9"/>
    <w:rsid w:val="00664D3D"/>
    <w:rsid w:val="00664F36"/>
    <w:rsid w:val="006650CC"/>
    <w:rsid w:val="00665155"/>
    <w:rsid w:val="00665390"/>
    <w:rsid w:val="006654D5"/>
    <w:rsid w:val="006654ED"/>
    <w:rsid w:val="00665640"/>
    <w:rsid w:val="0066564F"/>
    <w:rsid w:val="0066565B"/>
    <w:rsid w:val="006658E5"/>
    <w:rsid w:val="006658F1"/>
    <w:rsid w:val="006659C8"/>
    <w:rsid w:val="006659CA"/>
    <w:rsid w:val="00665AFB"/>
    <w:rsid w:val="00665B8E"/>
    <w:rsid w:val="00665C44"/>
    <w:rsid w:val="00665CB5"/>
    <w:rsid w:val="00665CCA"/>
    <w:rsid w:val="00665CD3"/>
    <w:rsid w:val="00665CF4"/>
    <w:rsid w:val="00666284"/>
    <w:rsid w:val="006662F5"/>
    <w:rsid w:val="00666550"/>
    <w:rsid w:val="0066655D"/>
    <w:rsid w:val="0066672D"/>
    <w:rsid w:val="00666791"/>
    <w:rsid w:val="006667F3"/>
    <w:rsid w:val="006668FA"/>
    <w:rsid w:val="00666BF8"/>
    <w:rsid w:val="00666DAD"/>
    <w:rsid w:val="00666EF7"/>
    <w:rsid w:val="00666F72"/>
    <w:rsid w:val="0066701E"/>
    <w:rsid w:val="00667176"/>
    <w:rsid w:val="006671D6"/>
    <w:rsid w:val="00667233"/>
    <w:rsid w:val="00667345"/>
    <w:rsid w:val="0066746A"/>
    <w:rsid w:val="00667480"/>
    <w:rsid w:val="0066757A"/>
    <w:rsid w:val="0066761C"/>
    <w:rsid w:val="00667780"/>
    <w:rsid w:val="006678CA"/>
    <w:rsid w:val="00667A9A"/>
    <w:rsid w:val="00667AEA"/>
    <w:rsid w:val="00667B11"/>
    <w:rsid w:val="00667B99"/>
    <w:rsid w:val="00667C60"/>
    <w:rsid w:val="00667D4F"/>
    <w:rsid w:val="00667FDD"/>
    <w:rsid w:val="006700CA"/>
    <w:rsid w:val="00670137"/>
    <w:rsid w:val="0067029C"/>
    <w:rsid w:val="00670415"/>
    <w:rsid w:val="00670452"/>
    <w:rsid w:val="006704FA"/>
    <w:rsid w:val="00670536"/>
    <w:rsid w:val="00670589"/>
    <w:rsid w:val="00670687"/>
    <w:rsid w:val="006707C1"/>
    <w:rsid w:val="0067084F"/>
    <w:rsid w:val="00670AF3"/>
    <w:rsid w:val="00670DC5"/>
    <w:rsid w:val="00670E2F"/>
    <w:rsid w:val="00670F17"/>
    <w:rsid w:val="00670F66"/>
    <w:rsid w:val="00670FBE"/>
    <w:rsid w:val="00670FD9"/>
    <w:rsid w:val="00670FE2"/>
    <w:rsid w:val="00671065"/>
    <w:rsid w:val="006710AB"/>
    <w:rsid w:val="00671163"/>
    <w:rsid w:val="00671237"/>
    <w:rsid w:val="00671256"/>
    <w:rsid w:val="00671262"/>
    <w:rsid w:val="00671287"/>
    <w:rsid w:val="006712B1"/>
    <w:rsid w:val="0067133D"/>
    <w:rsid w:val="00671442"/>
    <w:rsid w:val="0067145A"/>
    <w:rsid w:val="00671542"/>
    <w:rsid w:val="006715BF"/>
    <w:rsid w:val="006715F2"/>
    <w:rsid w:val="00671652"/>
    <w:rsid w:val="0067169F"/>
    <w:rsid w:val="00671B44"/>
    <w:rsid w:val="00671D1C"/>
    <w:rsid w:val="00671D8C"/>
    <w:rsid w:val="00671E5F"/>
    <w:rsid w:val="00671EB0"/>
    <w:rsid w:val="00671F1E"/>
    <w:rsid w:val="00671FAA"/>
    <w:rsid w:val="00671FBE"/>
    <w:rsid w:val="006720B4"/>
    <w:rsid w:val="006720CD"/>
    <w:rsid w:val="006721FD"/>
    <w:rsid w:val="0067229A"/>
    <w:rsid w:val="006722EE"/>
    <w:rsid w:val="00672376"/>
    <w:rsid w:val="00672504"/>
    <w:rsid w:val="00672534"/>
    <w:rsid w:val="00672755"/>
    <w:rsid w:val="006728FC"/>
    <w:rsid w:val="006729D0"/>
    <w:rsid w:val="00672C42"/>
    <w:rsid w:val="00672C93"/>
    <w:rsid w:val="00672D64"/>
    <w:rsid w:val="00672E7F"/>
    <w:rsid w:val="00672EC4"/>
    <w:rsid w:val="00672EFF"/>
    <w:rsid w:val="00672F3A"/>
    <w:rsid w:val="00672FDA"/>
    <w:rsid w:val="0067304F"/>
    <w:rsid w:val="00673348"/>
    <w:rsid w:val="00673570"/>
    <w:rsid w:val="0067365E"/>
    <w:rsid w:val="006736CE"/>
    <w:rsid w:val="00673891"/>
    <w:rsid w:val="00673B73"/>
    <w:rsid w:val="00673EAF"/>
    <w:rsid w:val="00673EFB"/>
    <w:rsid w:val="00674026"/>
    <w:rsid w:val="0067409F"/>
    <w:rsid w:val="006743AF"/>
    <w:rsid w:val="00674411"/>
    <w:rsid w:val="00674446"/>
    <w:rsid w:val="006744DB"/>
    <w:rsid w:val="006746C2"/>
    <w:rsid w:val="00674772"/>
    <w:rsid w:val="00674811"/>
    <w:rsid w:val="0067483E"/>
    <w:rsid w:val="0067487C"/>
    <w:rsid w:val="0067491F"/>
    <w:rsid w:val="00674985"/>
    <w:rsid w:val="006749FD"/>
    <w:rsid w:val="00674AF3"/>
    <w:rsid w:val="00674D9D"/>
    <w:rsid w:val="00674DA7"/>
    <w:rsid w:val="00674E7B"/>
    <w:rsid w:val="00674EB1"/>
    <w:rsid w:val="00674F07"/>
    <w:rsid w:val="00674F2D"/>
    <w:rsid w:val="00674F56"/>
    <w:rsid w:val="00674FF6"/>
    <w:rsid w:val="0067511F"/>
    <w:rsid w:val="0067521B"/>
    <w:rsid w:val="00675288"/>
    <w:rsid w:val="00675397"/>
    <w:rsid w:val="006753BB"/>
    <w:rsid w:val="00675419"/>
    <w:rsid w:val="006754A6"/>
    <w:rsid w:val="006755A0"/>
    <w:rsid w:val="006755BA"/>
    <w:rsid w:val="00675623"/>
    <w:rsid w:val="0067565A"/>
    <w:rsid w:val="00675682"/>
    <w:rsid w:val="00675B0E"/>
    <w:rsid w:val="00675C6B"/>
    <w:rsid w:val="00675C89"/>
    <w:rsid w:val="00675DA5"/>
    <w:rsid w:val="00675E6C"/>
    <w:rsid w:val="00675F48"/>
    <w:rsid w:val="00675FD9"/>
    <w:rsid w:val="006760EF"/>
    <w:rsid w:val="0067628C"/>
    <w:rsid w:val="00676326"/>
    <w:rsid w:val="006763E1"/>
    <w:rsid w:val="0067643D"/>
    <w:rsid w:val="006765F8"/>
    <w:rsid w:val="00676723"/>
    <w:rsid w:val="0067683B"/>
    <w:rsid w:val="006768A6"/>
    <w:rsid w:val="006768EC"/>
    <w:rsid w:val="0067690F"/>
    <w:rsid w:val="00676E98"/>
    <w:rsid w:val="00676F7B"/>
    <w:rsid w:val="00677018"/>
    <w:rsid w:val="006770EE"/>
    <w:rsid w:val="00677144"/>
    <w:rsid w:val="006771BA"/>
    <w:rsid w:val="0067739B"/>
    <w:rsid w:val="00677547"/>
    <w:rsid w:val="006775F6"/>
    <w:rsid w:val="00677699"/>
    <w:rsid w:val="006777F4"/>
    <w:rsid w:val="0067787F"/>
    <w:rsid w:val="00677951"/>
    <w:rsid w:val="00677960"/>
    <w:rsid w:val="00677B1F"/>
    <w:rsid w:val="00677D28"/>
    <w:rsid w:val="006800C9"/>
    <w:rsid w:val="006801CB"/>
    <w:rsid w:val="0068031E"/>
    <w:rsid w:val="00680482"/>
    <w:rsid w:val="00680489"/>
    <w:rsid w:val="006804F2"/>
    <w:rsid w:val="006805E0"/>
    <w:rsid w:val="00680602"/>
    <w:rsid w:val="006806E3"/>
    <w:rsid w:val="006807CE"/>
    <w:rsid w:val="0068088F"/>
    <w:rsid w:val="006808DC"/>
    <w:rsid w:val="0068092F"/>
    <w:rsid w:val="0068093D"/>
    <w:rsid w:val="00680A6F"/>
    <w:rsid w:val="00680B38"/>
    <w:rsid w:val="00680D4F"/>
    <w:rsid w:val="006810BD"/>
    <w:rsid w:val="0068117F"/>
    <w:rsid w:val="0068135C"/>
    <w:rsid w:val="0068152D"/>
    <w:rsid w:val="0068152F"/>
    <w:rsid w:val="006816B6"/>
    <w:rsid w:val="0068189D"/>
    <w:rsid w:val="006818E4"/>
    <w:rsid w:val="0068193B"/>
    <w:rsid w:val="006819FC"/>
    <w:rsid w:val="00681A45"/>
    <w:rsid w:val="00681BE5"/>
    <w:rsid w:val="00681C84"/>
    <w:rsid w:val="00681DA5"/>
    <w:rsid w:val="00681E59"/>
    <w:rsid w:val="00681FAA"/>
    <w:rsid w:val="00681FD6"/>
    <w:rsid w:val="006820EB"/>
    <w:rsid w:val="006820F4"/>
    <w:rsid w:val="00682128"/>
    <w:rsid w:val="0068220C"/>
    <w:rsid w:val="006822D8"/>
    <w:rsid w:val="00682499"/>
    <w:rsid w:val="00682644"/>
    <w:rsid w:val="0068282D"/>
    <w:rsid w:val="006829A0"/>
    <w:rsid w:val="00682A0D"/>
    <w:rsid w:val="00682AB1"/>
    <w:rsid w:val="00682B40"/>
    <w:rsid w:val="00682BB4"/>
    <w:rsid w:val="00682D87"/>
    <w:rsid w:val="00682E9F"/>
    <w:rsid w:val="00682F73"/>
    <w:rsid w:val="00682FF4"/>
    <w:rsid w:val="0068323B"/>
    <w:rsid w:val="00683252"/>
    <w:rsid w:val="0068343A"/>
    <w:rsid w:val="006834D4"/>
    <w:rsid w:val="0068377C"/>
    <w:rsid w:val="006837AD"/>
    <w:rsid w:val="006839F9"/>
    <w:rsid w:val="00683AB1"/>
    <w:rsid w:val="00683AC2"/>
    <w:rsid w:val="00683BCA"/>
    <w:rsid w:val="00683D39"/>
    <w:rsid w:val="0068413D"/>
    <w:rsid w:val="00684265"/>
    <w:rsid w:val="006842AA"/>
    <w:rsid w:val="0068438A"/>
    <w:rsid w:val="00684399"/>
    <w:rsid w:val="006843AE"/>
    <w:rsid w:val="0068440D"/>
    <w:rsid w:val="006844A4"/>
    <w:rsid w:val="006844BA"/>
    <w:rsid w:val="006844DD"/>
    <w:rsid w:val="006845A1"/>
    <w:rsid w:val="006845A2"/>
    <w:rsid w:val="006845D0"/>
    <w:rsid w:val="00684691"/>
    <w:rsid w:val="0068475B"/>
    <w:rsid w:val="00684866"/>
    <w:rsid w:val="006848A1"/>
    <w:rsid w:val="00684AE0"/>
    <w:rsid w:val="00684B9D"/>
    <w:rsid w:val="00684BBC"/>
    <w:rsid w:val="00684BF8"/>
    <w:rsid w:val="00684CC0"/>
    <w:rsid w:val="00684D07"/>
    <w:rsid w:val="00684D9B"/>
    <w:rsid w:val="00684ED3"/>
    <w:rsid w:val="00684FBA"/>
    <w:rsid w:val="006850D4"/>
    <w:rsid w:val="00685120"/>
    <w:rsid w:val="006851A1"/>
    <w:rsid w:val="00685297"/>
    <w:rsid w:val="00685305"/>
    <w:rsid w:val="006853A9"/>
    <w:rsid w:val="006853D6"/>
    <w:rsid w:val="0068547D"/>
    <w:rsid w:val="00685568"/>
    <w:rsid w:val="006856AF"/>
    <w:rsid w:val="00685789"/>
    <w:rsid w:val="006857CA"/>
    <w:rsid w:val="00685832"/>
    <w:rsid w:val="00685890"/>
    <w:rsid w:val="006858AA"/>
    <w:rsid w:val="00685BB4"/>
    <w:rsid w:val="00685BCF"/>
    <w:rsid w:val="00685C33"/>
    <w:rsid w:val="00685D5F"/>
    <w:rsid w:val="00685EDF"/>
    <w:rsid w:val="006861D4"/>
    <w:rsid w:val="0068623F"/>
    <w:rsid w:val="006863DF"/>
    <w:rsid w:val="0068644C"/>
    <w:rsid w:val="00686560"/>
    <w:rsid w:val="0068656E"/>
    <w:rsid w:val="0068666C"/>
    <w:rsid w:val="00686789"/>
    <w:rsid w:val="006869EB"/>
    <w:rsid w:val="00686A6A"/>
    <w:rsid w:val="00686E48"/>
    <w:rsid w:val="0068703A"/>
    <w:rsid w:val="00687148"/>
    <w:rsid w:val="006871D0"/>
    <w:rsid w:val="00687268"/>
    <w:rsid w:val="006872F9"/>
    <w:rsid w:val="006874CC"/>
    <w:rsid w:val="0068751F"/>
    <w:rsid w:val="006875B0"/>
    <w:rsid w:val="0068760F"/>
    <w:rsid w:val="0068779A"/>
    <w:rsid w:val="00687850"/>
    <w:rsid w:val="006878C7"/>
    <w:rsid w:val="00687BEC"/>
    <w:rsid w:val="00687C37"/>
    <w:rsid w:val="00687E1F"/>
    <w:rsid w:val="00687ED3"/>
    <w:rsid w:val="00687ED5"/>
    <w:rsid w:val="00687EEA"/>
    <w:rsid w:val="00687F01"/>
    <w:rsid w:val="00687FC8"/>
    <w:rsid w:val="006900D1"/>
    <w:rsid w:val="00690187"/>
    <w:rsid w:val="006901CF"/>
    <w:rsid w:val="0069028B"/>
    <w:rsid w:val="00690295"/>
    <w:rsid w:val="00690297"/>
    <w:rsid w:val="0069038D"/>
    <w:rsid w:val="0069041C"/>
    <w:rsid w:val="00690494"/>
    <w:rsid w:val="0069057A"/>
    <w:rsid w:val="006905FF"/>
    <w:rsid w:val="006906B7"/>
    <w:rsid w:val="00690799"/>
    <w:rsid w:val="006908EB"/>
    <w:rsid w:val="00690A82"/>
    <w:rsid w:val="00690B2C"/>
    <w:rsid w:val="00690B51"/>
    <w:rsid w:val="00690B5E"/>
    <w:rsid w:val="00690B80"/>
    <w:rsid w:val="00690C06"/>
    <w:rsid w:val="00690C25"/>
    <w:rsid w:val="00690CAE"/>
    <w:rsid w:val="00690D7E"/>
    <w:rsid w:val="00690D91"/>
    <w:rsid w:val="00690DF2"/>
    <w:rsid w:val="00690E44"/>
    <w:rsid w:val="00690EDF"/>
    <w:rsid w:val="00691102"/>
    <w:rsid w:val="00691141"/>
    <w:rsid w:val="0069115A"/>
    <w:rsid w:val="006911DD"/>
    <w:rsid w:val="006911F1"/>
    <w:rsid w:val="0069127D"/>
    <w:rsid w:val="006912F1"/>
    <w:rsid w:val="00691387"/>
    <w:rsid w:val="0069150D"/>
    <w:rsid w:val="0069157A"/>
    <w:rsid w:val="00691683"/>
    <w:rsid w:val="0069173E"/>
    <w:rsid w:val="0069175F"/>
    <w:rsid w:val="00691875"/>
    <w:rsid w:val="006918D3"/>
    <w:rsid w:val="00691B60"/>
    <w:rsid w:val="00691B8F"/>
    <w:rsid w:val="00691BBD"/>
    <w:rsid w:val="00691BCA"/>
    <w:rsid w:val="00691C16"/>
    <w:rsid w:val="00691C3C"/>
    <w:rsid w:val="00691C42"/>
    <w:rsid w:val="00691DD0"/>
    <w:rsid w:val="00691DF7"/>
    <w:rsid w:val="006921EF"/>
    <w:rsid w:val="00692429"/>
    <w:rsid w:val="0069274B"/>
    <w:rsid w:val="006927F2"/>
    <w:rsid w:val="006928CE"/>
    <w:rsid w:val="006928EB"/>
    <w:rsid w:val="006928FA"/>
    <w:rsid w:val="006929CA"/>
    <w:rsid w:val="00692A4B"/>
    <w:rsid w:val="00692A98"/>
    <w:rsid w:val="00692B0E"/>
    <w:rsid w:val="00692B87"/>
    <w:rsid w:val="00692C36"/>
    <w:rsid w:val="00692CAC"/>
    <w:rsid w:val="00692DF0"/>
    <w:rsid w:val="006930C5"/>
    <w:rsid w:val="006930CA"/>
    <w:rsid w:val="00693193"/>
    <w:rsid w:val="006931E1"/>
    <w:rsid w:val="006931F3"/>
    <w:rsid w:val="006931FC"/>
    <w:rsid w:val="006932CD"/>
    <w:rsid w:val="00693452"/>
    <w:rsid w:val="0069348B"/>
    <w:rsid w:val="0069368A"/>
    <w:rsid w:val="00693701"/>
    <w:rsid w:val="0069388E"/>
    <w:rsid w:val="00693930"/>
    <w:rsid w:val="00693932"/>
    <w:rsid w:val="00693947"/>
    <w:rsid w:val="00693DF1"/>
    <w:rsid w:val="00693E3A"/>
    <w:rsid w:val="00693EC4"/>
    <w:rsid w:val="00693F93"/>
    <w:rsid w:val="00694111"/>
    <w:rsid w:val="00694219"/>
    <w:rsid w:val="00694310"/>
    <w:rsid w:val="0069437F"/>
    <w:rsid w:val="006943D8"/>
    <w:rsid w:val="0069452E"/>
    <w:rsid w:val="006945BD"/>
    <w:rsid w:val="006945CB"/>
    <w:rsid w:val="00694700"/>
    <w:rsid w:val="00694803"/>
    <w:rsid w:val="00694A17"/>
    <w:rsid w:val="00694B4E"/>
    <w:rsid w:val="00694B97"/>
    <w:rsid w:val="00694CE8"/>
    <w:rsid w:val="00694D62"/>
    <w:rsid w:val="00694D82"/>
    <w:rsid w:val="00694DB2"/>
    <w:rsid w:val="00694E93"/>
    <w:rsid w:val="00694F95"/>
    <w:rsid w:val="00694FE4"/>
    <w:rsid w:val="006950AC"/>
    <w:rsid w:val="006951CD"/>
    <w:rsid w:val="00695298"/>
    <w:rsid w:val="006953B7"/>
    <w:rsid w:val="006954A3"/>
    <w:rsid w:val="006954CE"/>
    <w:rsid w:val="00695623"/>
    <w:rsid w:val="0069569E"/>
    <w:rsid w:val="006956BD"/>
    <w:rsid w:val="006956C6"/>
    <w:rsid w:val="006957EA"/>
    <w:rsid w:val="00695830"/>
    <w:rsid w:val="006958A7"/>
    <w:rsid w:val="0069590A"/>
    <w:rsid w:val="00695927"/>
    <w:rsid w:val="00695A6D"/>
    <w:rsid w:val="00695ABC"/>
    <w:rsid w:val="00695ADA"/>
    <w:rsid w:val="00695AFF"/>
    <w:rsid w:val="00695C62"/>
    <w:rsid w:val="00695EA8"/>
    <w:rsid w:val="00695FA8"/>
    <w:rsid w:val="0069600F"/>
    <w:rsid w:val="00696091"/>
    <w:rsid w:val="00696130"/>
    <w:rsid w:val="00696183"/>
    <w:rsid w:val="006962A7"/>
    <w:rsid w:val="006965E1"/>
    <w:rsid w:val="00696849"/>
    <w:rsid w:val="00696932"/>
    <w:rsid w:val="00696A11"/>
    <w:rsid w:val="00696A7F"/>
    <w:rsid w:val="00696C93"/>
    <w:rsid w:val="00696E00"/>
    <w:rsid w:val="00696E49"/>
    <w:rsid w:val="00696EE3"/>
    <w:rsid w:val="00696F34"/>
    <w:rsid w:val="00696F6D"/>
    <w:rsid w:val="00696FA0"/>
    <w:rsid w:val="00696FC0"/>
    <w:rsid w:val="00696FED"/>
    <w:rsid w:val="0069708D"/>
    <w:rsid w:val="006970D5"/>
    <w:rsid w:val="0069710F"/>
    <w:rsid w:val="0069712C"/>
    <w:rsid w:val="0069715D"/>
    <w:rsid w:val="006971DF"/>
    <w:rsid w:val="0069721C"/>
    <w:rsid w:val="00697256"/>
    <w:rsid w:val="0069725A"/>
    <w:rsid w:val="00697278"/>
    <w:rsid w:val="00697392"/>
    <w:rsid w:val="00697397"/>
    <w:rsid w:val="0069739B"/>
    <w:rsid w:val="006973E5"/>
    <w:rsid w:val="00697664"/>
    <w:rsid w:val="00697681"/>
    <w:rsid w:val="006976C9"/>
    <w:rsid w:val="0069770C"/>
    <w:rsid w:val="00697739"/>
    <w:rsid w:val="00697861"/>
    <w:rsid w:val="0069791A"/>
    <w:rsid w:val="00697BB3"/>
    <w:rsid w:val="00697CDD"/>
    <w:rsid w:val="00697CF4"/>
    <w:rsid w:val="00697DA5"/>
    <w:rsid w:val="00697DE4"/>
    <w:rsid w:val="006A00E2"/>
    <w:rsid w:val="006A0205"/>
    <w:rsid w:val="006A02D6"/>
    <w:rsid w:val="006A03CD"/>
    <w:rsid w:val="006A0718"/>
    <w:rsid w:val="006A08F2"/>
    <w:rsid w:val="006A0C5A"/>
    <w:rsid w:val="006A0D9F"/>
    <w:rsid w:val="006A0DD2"/>
    <w:rsid w:val="006A114C"/>
    <w:rsid w:val="006A11B5"/>
    <w:rsid w:val="006A1266"/>
    <w:rsid w:val="006A131E"/>
    <w:rsid w:val="006A1359"/>
    <w:rsid w:val="006A142C"/>
    <w:rsid w:val="006A1432"/>
    <w:rsid w:val="006A151A"/>
    <w:rsid w:val="006A1545"/>
    <w:rsid w:val="006A1680"/>
    <w:rsid w:val="006A173A"/>
    <w:rsid w:val="006A1AE0"/>
    <w:rsid w:val="006A1B79"/>
    <w:rsid w:val="006A1B96"/>
    <w:rsid w:val="006A1CCF"/>
    <w:rsid w:val="006A1D21"/>
    <w:rsid w:val="006A1E51"/>
    <w:rsid w:val="006A1E62"/>
    <w:rsid w:val="006A1F56"/>
    <w:rsid w:val="006A1FA5"/>
    <w:rsid w:val="006A2028"/>
    <w:rsid w:val="006A21A6"/>
    <w:rsid w:val="006A223C"/>
    <w:rsid w:val="006A2345"/>
    <w:rsid w:val="006A23A4"/>
    <w:rsid w:val="006A2481"/>
    <w:rsid w:val="006A24ED"/>
    <w:rsid w:val="006A25DA"/>
    <w:rsid w:val="006A25E9"/>
    <w:rsid w:val="006A2714"/>
    <w:rsid w:val="006A28A2"/>
    <w:rsid w:val="006A2A12"/>
    <w:rsid w:val="006A2A26"/>
    <w:rsid w:val="006A2C36"/>
    <w:rsid w:val="006A2CE0"/>
    <w:rsid w:val="006A2E9C"/>
    <w:rsid w:val="006A3184"/>
    <w:rsid w:val="006A32C3"/>
    <w:rsid w:val="006A33C1"/>
    <w:rsid w:val="006A34A6"/>
    <w:rsid w:val="006A35A8"/>
    <w:rsid w:val="006A35E0"/>
    <w:rsid w:val="006A36DD"/>
    <w:rsid w:val="006A375A"/>
    <w:rsid w:val="006A3773"/>
    <w:rsid w:val="006A377E"/>
    <w:rsid w:val="006A377F"/>
    <w:rsid w:val="006A383F"/>
    <w:rsid w:val="006A384A"/>
    <w:rsid w:val="006A3875"/>
    <w:rsid w:val="006A3ABA"/>
    <w:rsid w:val="006A3B2F"/>
    <w:rsid w:val="006A3D40"/>
    <w:rsid w:val="006A3D77"/>
    <w:rsid w:val="006A3DB7"/>
    <w:rsid w:val="006A3EDF"/>
    <w:rsid w:val="006A3F35"/>
    <w:rsid w:val="006A400A"/>
    <w:rsid w:val="006A40DC"/>
    <w:rsid w:val="006A4129"/>
    <w:rsid w:val="006A453E"/>
    <w:rsid w:val="006A45CB"/>
    <w:rsid w:val="006A4720"/>
    <w:rsid w:val="006A47EF"/>
    <w:rsid w:val="006A4820"/>
    <w:rsid w:val="006A48AA"/>
    <w:rsid w:val="006A4C3D"/>
    <w:rsid w:val="006A4EE8"/>
    <w:rsid w:val="006A4F43"/>
    <w:rsid w:val="006A5056"/>
    <w:rsid w:val="006A5075"/>
    <w:rsid w:val="006A518D"/>
    <w:rsid w:val="006A5196"/>
    <w:rsid w:val="006A51D3"/>
    <w:rsid w:val="006A526E"/>
    <w:rsid w:val="006A52B4"/>
    <w:rsid w:val="006A5501"/>
    <w:rsid w:val="006A561D"/>
    <w:rsid w:val="006A5631"/>
    <w:rsid w:val="006A5756"/>
    <w:rsid w:val="006A5833"/>
    <w:rsid w:val="006A5983"/>
    <w:rsid w:val="006A5A0C"/>
    <w:rsid w:val="006A5BA0"/>
    <w:rsid w:val="006A5BB1"/>
    <w:rsid w:val="006A5C38"/>
    <w:rsid w:val="006A5C57"/>
    <w:rsid w:val="006A5C9A"/>
    <w:rsid w:val="006A5E45"/>
    <w:rsid w:val="006A5EE8"/>
    <w:rsid w:val="006A5F5F"/>
    <w:rsid w:val="006A5F88"/>
    <w:rsid w:val="006A6172"/>
    <w:rsid w:val="006A61C7"/>
    <w:rsid w:val="006A61DA"/>
    <w:rsid w:val="006A62E2"/>
    <w:rsid w:val="006A62E8"/>
    <w:rsid w:val="006A6301"/>
    <w:rsid w:val="006A6473"/>
    <w:rsid w:val="006A6590"/>
    <w:rsid w:val="006A6696"/>
    <w:rsid w:val="006A66AD"/>
    <w:rsid w:val="006A68DD"/>
    <w:rsid w:val="006A699D"/>
    <w:rsid w:val="006A69C6"/>
    <w:rsid w:val="006A6A17"/>
    <w:rsid w:val="006A6AAF"/>
    <w:rsid w:val="006A6CB5"/>
    <w:rsid w:val="006A6E37"/>
    <w:rsid w:val="006A6EC0"/>
    <w:rsid w:val="006A7235"/>
    <w:rsid w:val="006A7287"/>
    <w:rsid w:val="006A7294"/>
    <w:rsid w:val="006A7335"/>
    <w:rsid w:val="006A73A2"/>
    <w:rsid w:val="006A74FA"/>
    <w:rsid w:val="006A74FB"/>
    <w:rsid w:val="006A753B"/>
    <w:rsid w:val="006A76C9"/>
    <w:rsid w:val="006A7751"/>
    <w:rsid w:val="006A77D8"/>
    <w:rsid w:val="006A7A24"/>
    <w:rsid w:val="006A7B59"/>
    <w:rsid w:val="006A7C4C"/>
    <w:rsid w:val="006A7D05"/>
    <w:rsid w:val="006A7D94"/>
    <w:rsid w:val="006A7D95"/>
    <w:rsid w:val="006A7E4C"/>
    <w:rsid w:val="006A7EE7"/>
    <w:rsid w:val="006A7FC5"/>
    <w:rsid w:val="006B008A"/>
    <w:rsid w:val="006B00E6"/>
    <w:rsid w:val="006B0108"/>
    <w:rsid w:val="006B02A7"/>
    <w:rsid w:val="006B02F1"/>
    <w:rsid w:val="006B0391"/>
    <w:rsid w:val="006B040B"/>
    <w:rsid w:val="006B063C"/>
    <w:rsid w:val="006B065C"/>
    <w:rsid w:val="006B0662"/>
    <w:rsid w:val="006B06C5"/>
    <w:rsid w:val="006B07BA"/>
    <w:rsid w:val="006B0841"/>
    <w:rsid w:val="006B08FE"/>
    <w:rsid w:val="006B09A3"/>
    <w:rsid w:val="006B0A26"/>
    <w:rsid w:val="006B0A35"/>
    <w:rsid w:val="006B0ACF"/>
    <w:rsid w:val="006B0AD4"/>
    <w:rsid w:val="006B0B92"/>
    <w:rsid w:val="006B0BD9"/>
    <w:rsid w:val="006B0C82"/>
    <w:rsid w:val="006B0E2C"/>
    <w:rsid w:val="006B120D"/>
    <w:rsid w:val="006B120F"/>
    <w:rsid w:val="006B1259"/>
    <w:rsid w:val="006B1356"/>
    <w:rsid w:val="006B13C1"/>
    <w:rsid w:val="006B13E9"/>
    <w:rsid w:val="006B159F"/>
    <w:rsid w:val="006B16F7"/>
    <w:rsid w:val="006B1838"/>
    <w:rsid w:val="006B1850"/>
    <w:rsid w:val="006B19FB"/>
    <w:rsid w:val="006B1B61"/>
    <w:rsid w:val="006B1B66"/>
    <w:rsid w:val="006B1B7E"/>
    <w:rsid w:val="006B1C55"/>
    <w:rsid w:val="006B1C56"/>
    <w:rsid w:val="006B1C9A"/>
    <w:rsid w:val="006B1CB2"/>
    <w:rsid w:val="006B1D01"/>
    <w:rsid w:val="006B1ECA"/>
    <w:rsid w:val="006B1F37"/>
    <w:rsid w:val="006B1F9E"/>
    <w:rsid w:val="006B22CC"/>
    <w:rsid w:val="006B234A"/>
    <w:rsid w:val="006B24AD"/>
    <w:rsid w:val="006B2515"/>
    <w:rsid w:val="006B25B8"/>
    <w:rsid w:val="006B25BB"/>
    <w:rsid w:val="006B2762"/>
    <w:rsid w:val="006B27D0"/>
    <w:rsid w:val="006B286A"/>
    <w:rsid w:val="006B2947"/>
    <w:rsid w:val="006B2A4E"/>
    <w:rsid w:val="006B2CC7"/>
    <w:rsid w:val="006B2E2F"/>
    <w:rsid w:val="006B2E60"/>
    <w:rsid w:val="006B2E73"/>
    <w:rsid w:val="006B3212"/>
    <w:rsid w:val="006B3233"/>
    <w:rsid w:val="006B3321"/>
    <w:rsid w:val="006B3357"/>
    <w:rsid w:val="006B3549"/>
    <w:rsid w:val="006B3692"/>
    <w:rsid w:val="006B3701"/>
    <w:rsid w:val="006B374D"/>
    <w:rsid w:val="006B399D"/>
    <w:rsid w:val="006B3AF9"/>
    <w:rsid w:val="006B3B03"/>
    <w:rsid w:val="006B3B04"/>
    <w:rsid w:val="006B3BB2"/>
    <w:rsid w:val="006B3C84"/>
    <w:rsid w:val="006B3E2D"/>
    <w:rsid w:val="006B3F53"/>
    <w:rsid w:val="006B40C0"/>
    <w:rsid w:val="006B40CE"/>
    <w:rsid w:val="006B42CD"/>
    <w:rsid w:val="006B44C5"/>
    <w:rsid w:val="006B454E"/>
    <w:rsid w:val="006B4896"/>
    <w:rsid w:val="006B49D1"/>
    <w:rsid w:val="006B4A39"/>
    <w:rsid w:val="006B4A66"/>
    <w:rsid w:val="006B4AC8"/>
    <w:rsid w:val="006B4B78"/>
    <w:rsid w:val="006B4BD9"/>
    <w:rsid w:val="006B4C1E"/>
    <w:rsid w:val="006B4D9D"/>
    <w:rsid w:val="006B4ED2"/>
    <w:rsid w:val="006B4F0E"/>
    <w:rsid w:val="006B50C7"/>
    <w:rsid w:val="006B5159"/>
    <w:rsid w:val="006B51E2"/>
    <w:rsid w:val="006B52FF"/>
    <w:rsid w:val="006B5341"/>
    <w:rsid w:val="006B555F"/>
    <w:rsid w:val="006B5568"/>
    <w:rsid w:val="006B559E"/>
    <w:rsid w:val="006B57C2"/>
    <w:rsid w:val="006B5807"/>
    <w:rsid w:val="006B58B0"/>
    <w:rsid w:val="006B58DC"/>
    <w:rsid w:val="006B5932"/>
    <w:rsid w:val="006B5A1C"/>
    <w:rsid w:val="006B5A20"/>
    <w:rsid w:val="006B5A60"/>
    <w:rsid w:val="006B5A80"/>
    <w:rsid w:val="006B5AB2"/>
    <w:rsid w:val="006B5D6E"/>
    <w:rsid w:val="006B5E25"/>
    <w:rsid w:val="006B5E39"/>
    <w:rsid w:val="006B5F2A"/>
    <w:rsid w:val="006B5FDF"/>
    <w:rsid w:val="006B608D"/>
    <w:rsid w:val="006B60CD"/>
    <w:rsid w:val="006B6100"/>
    <w:rsid w:val="006B6190"/>
    <w:rsid w:val="006B61BB"/>
    <w:rsid w:val="006B6242"/>
    <w:rsid w:val="006B625A"/>
    <w:rsid w:val="006B62B8"/>
    <w:rsid w:val="006B648D"/>
    <w:rsid w:val="006B66A7"/>
    <w:rsid w:val="006B6844"/>
    <w:rsid w:val="006B6894"/>
    <w:rsid w:val="006B692F"/>
    <w:rsid w:val="006B693D"/>
    <w:rsid w:val="006B6A29"/>
    <w:rsid w:val="006B6BF7"/>
    <w:rsid w:val="006B6C70"/>
    <w:rsid w:val="006B6C7C"/>
    <w:rsid w:val="006B6D2E"/>
    <w:rsid w:val="006B6D72"/>
    <w:rsid w:val="006B6E76"/>
    <w:rsid w:val="006B6EA4"/>
    <w:rsid w:val="006B6EBF"/>
    <w:rsid w:val="006B70CC"/>
    <w:rsid w:val="006B7112"/>
    <w:rsid w:val="006B71BF"/>
    <w:rsid w:val="006B7244"/>
    <w:rsid w:val="006B7254"/>
    <w:rsid w:val="006B7354"/>
    <w:rsid w:val="006B74AA"/>
    <w:rsid w:val="006B74FF"/>
    <w:rsid w:val="006B7571"/>
    <w:rsid w:val="006B7658"/>
    <w:rsid w:val="006B76D3"/>
    <w:rsid w:val="006B77A9"/>
    <w:rsid w:val="006B77BB"/>
    <w:rsid w:val="006B79D2"/>
    <w:rsid w:val="006B7A11"/>
    <w:rsid w:val="006B7A92"/>
    <w:rsid w:val="006B7DB5"/>
    <w:rsid w:val="006B7E14"/>
    <w:rsid w:val="006B7E19"/>
    <w:rsid w:val="006B7EBD"/>
    <w:rsid w:val="006B7ECC"/>
    <w:rsid w:val="006B7F2F"/>
    <w:rsid w:val="006B7F6B"/>
    <w:rsid w:val="006B7F8F"/>
    <w:rsid w:val="006B7FC5"/>
    <w:rsid w:val="006C0115"/>
    <w:rsid w:val="006C021E"/>
    <w:rsid w:val="006C04BD"/>
    <w:rsid w:val="006C04DA"/>
    <w:rsid w:val="006C04DB"/>
    <w:rsid w:val="006C0532"/>
    <w:rsid w:val="006C055E"/>
    <w:rsid w:val="006C05E1"/>
    <w:rsid w:val="006C060E"/>
    <w:rsid w:val="006C0629"/>
    <w:rsid w:val="006C07DF"/>
    <w:rsid w:val="006C08F7"/>
    <w:rsid w:val="006C094F"/>
    <w:rsid w:val="006C09D0"/>
    <w:rsid w:val="006C0AC6"/>
    <w:rsid w:val="006C0AD3"/>
    <w:rsid w:val="006C0B9F"/>
    <w:rsid w:val="006C0C66"/>
    <w:rsid w:val="006C0C8D"/>
    <w:rsid w:val="006C0D12"/>
    <w:rsid w:val="006C0D13"/>
    <w:rsid w:val="006C0D57"/>
    <w:rsid w:val="006C0F15"/>
    <w:rsid w:val="006C0FB2"/>
    <w:rsid w:val="006C1009"/>
    <w:rsid w:val="006C1057"/>
    <w:rsid w:val="006C1147"/>
    <w:rsid w:val="006C11C7"/>
    <w:rsid w:val="006C1233"/>
    <w:rsid w:val="006C12AD"/>
    <w:rsid w:val="006C1343"/>
    <w:rsid w:val="006C13B5"/>
    <w:rsid w:val="006C1550"/>
    <w:rsid w:val="006C1588"/>
    <w:rsid w:val="006C159E"/>
    <w:rsid w:val="006C1643"/>
    <w:rsid w:val="006C166E"/>
    <w:rsid w:val="006C1710"/>
    <w:rsid w:val="006C187F"/>
    <w:rsid w:val="006C18ED"/>
    <w:rsid w:val="006C19BC"/>
    <w:rsid w:val="006C19D5"/>
    <w:rsid w:val="006C1B44"/>
    <w:rsid w:val="006C1B54"/>
    <w:rsid w:val="006C1CC1"/>
    <w:rsid w:val="006C1F77"/>
    <w:rsid w:val="006C1F88"/>
    <w:rsid w:val="006C1FA0"/>
    <w:rsid w:val="006C21DD"/>
    <w:rsid w:val="006C2211"/>
    <w:rsid w:val="006C2328"/>
    <w:rsid w:val="006C236F"/>
    <w:rsid w:val="006C27DE"/>
    <w:rsid w:val="006C282D"/>
    <w:rsid w:val="006C2857"/>
    <w:rsid w:val="006C290D"/>
    <w:rsid w:val="006C2970"/>
    <w:rsid w:val="006C2A93"/>
    <w:rsid w:val="006C2BC6"/>
    <w:rsid w:val="006C2C9E"/>
    <w:rsid w:val="006C2CAF"/>
    <w:rsid w:val="006C2E59"/>
    <w:rsid w:val="006C2E8E"/>
    <w:rsid w:val="006C2EB7"/>
    <w:rsid w:val="006C2F33"/>
    <w:rsid w:val="006C3031"/>
    <w:rsid w:val="006C35BF"/>
    <w:rsid w:val="006C3607"/>
    <w:rsid w:val="006C3685"/>
    <w:rsid w:val="006C389D"/>
    <w:rsid w:val="006C3990"/>
    <w:rsid w:val="006C39AB"/>
    <w:rsid w:val="006C3A07"/>
    <w:rsid w:val="006C3A60"/>
    <w:rsid w:val="006C3AEF"/>
    <w:rsid w:val="006C3B1B"/>
    <w:rsid w:val="006C3B55"/>
    <w:rsid w:val="006C3D90"/>
    <w:rsid w:val="006C3DA3"/>
    <w:rsid w:val="006C3E23"/>
    <w:rsid w:val="006C3EA6"/>
    <w:rsid w:val="006C3ED2"/>
    <w:rsid w:val="006C4087"/>
    <w:rsid w:val="006C4089"/>
    <w:rsid w:val="006C4233"/>
    <w:rsid w:val="006C429F"/>
    <w:rsid w:val="006C42E7"/>
    <w:rsid w:val="006C439B"/>
    <w:rsid w:val="006C43F0"/>
    <w:rsid w:val="006C43FE"/>
    <w:rsid w:val="006C4422"/>
    <w:rsid w:val="006C4564"/>
    <w:rsid w:val="006C4774"/>
    <w:rsid w:val="006C4801"/>
    <w:rsid w:val="006C48A3"/>
    <w:rsid w:val="006C4AA0"/>
    <w:rsid w:val="006C4B4F"/>
    <w:rsid w:val="006C4CA7"/>
    <w:rsid w:val="006C4F18"/>
    <w:rsid w:val="006C503E"/>
    <w:rsid w:val="006C5053"/>
    <w:rsid w:val="006C5132"/>
    <w:rsid w:val="006C51F3"/>
    <w:rsid w:val="006C5354"/>
    <w:rsid w:val="006C5742"/>
    <w:rsid w:val="006C5769"/>
    <w:rsid w:val="006C57D4"/>
    <w:rsid w:val="006C58FC"/>
    <w:rsid w:val="006C591D"/>
    <w:rsid w:val="006C5939"/>
    <w:rsid w:val="006C59C7"/>
    <w:rsid w:val="006C5BB7"/>
    <w:rsid w:val="006C5CCA"/>
    <w:rsid w:val="006C5D91"/>
    <w:rsid w:val="006C5EDF"/>
    <w:rsid w:val="006C5F03"/>
    <w:rsid w:val="006C5FBA"/>
    <w:rsid w:val="006C5FDA"/>
    <w:rsid w:val="006C60E2"/>
    <w:rsid w:val="006C6157"/>
    <w:rsid w:val="006C61FB"/>
    <w:rsid w:val="006C625F"/>
    <w:rsid w:val="006C62AB"/>
    <w:rsid w:val="006C62CC"/>
    <w:rsid w:val="006C64C8"/>
    <w:rsid w:val="006C65A2"/>
    <w:rsid w:val="006C65C1"/>
    <w:rsid w:val="006C667A"/>
    <w:rsid w:val="006C6774"/>
    <w:rsid w:val="006C67CC"/>
    <w:rsid w:val="006C6823"/>
    <w:rsid w:val="006C69E4"/>
    <w:rsid w:val="006C6A28"/>
    <w:rsid w:val="006C6D30"/>
    <w:rsid w:val="006C6E2A"/>
    <w:rsid w:val="006C6E58"/>
    <w:rsid w:val="006C6EB7"/>
    <w:rsid w:val="006C6F8A"/>
    <w:rsid w:val="006C72EF"/>
    <w:rsid w:val="006C74BF"/>
    <w:rsid w:val="006C7541"/>
    <w:rsid w:val="006C7596"/>
    <w:rsid w:val="006C7831"/>
    <w:rsid w:val="006C78A6"/>
    <w:rsid w:val="006C7902"/>
    <w:rsid w:val="006C79A0"/>
    <w:rsid w:val="006C79D3"/>
    <w:rsid w:val="006C7AB4"/>
    <w:rsid w:val="006C7AD4"/>
    <w:rsid w:val="006C7B4C"/>
    <w:rsid w:val="006C7BB1"/>
    <w:rsid w:val="006C7BEB"/>
    <w:rsid w:val="006C7D85"/>
    <w:rsid w:val="006C7E31"/>
    <w:rsid w:val="006C7E3F"/>
    <w:rsid w:val="006D006B"/>
    <w:rsid w:val="006D0149"/>
    <w:rsid w:val="006D01E4"/>
    <w:rsid w:val="006D020F"/>
    <w:rsid w:val="006D035C"/>
    <w:rsid w:val="006D0476"/>
    <w:rsid w:val="006D0540"/>
    <w:rsid w:val="006D058A"/>
    <w:rsid w:val="006D073E"/>
    <w:rsid w:val="006D0816"/>
    <w:rsid w:val="006D099F"/>
    <w:rsid w:val="006D09D0"/>
    <w:rsid w:val="006D0DA9"/>
    <w:rsid w:val="006D0DB7"/>
    <w:rsid w:val="006D0F93"/>
    <w:rsid w:val="006D0FA0"/>
    <w:rsid w:val="006D105C"/>
    <w:rsid w:val="006D11B3"/>
    <w:rsid w:val="006D11E8"/>
    <w:rsid w:val="006D125A"/>
    <w:rsid w:val="006D14BB"/>
    <w:rsid w:val="006D157C"/>
    <w:rsid w:val="006D1609"/>
    <w:rsid w:val="006D165F"/>
    <w:rsid w:val="006D175F"/>
    <w:rsid w:val="006D17CB"/>
    <w:rsid w:val="006D18FB"/>
    <w:rsid w:val="006D1A11"/>
    <w:rsid w:val="006D1A7C"/>
    <w:rsid w:val="006D1A86"/>
    <w:rsid w:val="006D1CE1"/>
    <w:rsid w:val="006D1CF6"/>
    <w:rsid w:val="006D1E1C"/>
    <w:rsid w:val="006D1E33"/>
    <w:rsid w:val="006D1EFE"/>
    <w:rsid w:val="006D1F21"/>
    <w:rsid w:val="006D2211"/>
    <w:rsid w:val="006D22C7"/>
    <w:rsid w:val="006D278E"/>
    <w:rsid w:val="006D2949"/>
    <w:rsid w:val="006D2D64"/>
    <w:rsid w:val="006D2EE8"/>
    <w:rsid w:val="006D30E7"/>
    <w:rsid w:val="006D3168"/>
    <w:rsid w:val="006D335C"/>
    <w:rsid w:val="006D34E8"/>
    <w:rsid w:val="006D35D2"/>
    <w:rsid w:val="006D36CD"/>
    <w:rsid w:val="006D36E4"/>
    <w:rsid w:val="006D3807"/>
    <w:rsid w:val="006D3968"/>
    <w:rsid w:val="006D39CE"/>
    <w:rsid w:val="006D3ACF"/>
    <w:rsid w:val="006D3C4F"/>
    <w:rsid w:val="006D3C92"/>
    <w:rsid w:val="006D3CCC"/>
    <w:rsid w:val="006D3EA8"/>
    <w:rsid w:val="006D3EBB"/>
    <w:rsid w:val="006D3F03"/>
    <w:rsid w:val="006D3FC3"/>
    <w:rsid w:val="006D408D"/>
    <w:rsid w:val="006D421A"/>
    <w:rsid w:val="006D4289"/>
    <w:rsid w:val="006D4304"/>
    <w:rsid w:val="006D436F"/>
    <w:rsid w:val="006D43BA"/>
    <w:rsid w:val="006D4450"/>
    <w:rsid w:val="006D4636"/>
    <w:rsid w:val="006D463A"/>
    <w:rsid w:val="006D46AF"/>
    <w:rsid w:val="006D46D4"/>
    <w:rsid w:val="006D4797"/>
    <w:rsid w:val="006D47B1"/>
    <w:rsid w:val="006D480E"/>
    <w:rsid w:val="006D48E7"/>
    <w:rsid w:val="006D4947"/>
    <w:rsid w:val="006D4993"/>
    <w:rsid w:val="006D4C02"/>
    <w:rsid w:val="006D4C8E"/>
    <w:rsid w:val="006D50F8"/>
    <w:rsid w:val="006D5130"/>
    <w:rsid w:val="006D5147"/>
    <w:rsid w:val="006D528A"/>
    <w:rsid w:val="006D5390"/>
    <w:rsid w:val="006D54C9"/>
    <w:rsid w:val="006D59D6"/>
    <w:rsid w:val="006D59EA"/>
    <w:rsid w:val="006D5B61"/>
    <w:rsid w:val="006D5B8E"/>
    <w:rsid w:val="006D5B9C"/>
    <w:rsid w:val="006D5C82"/>
    <w:rsid w:val="006D5CFA"/>
    <w:rsid w:val="006D5D5D"/>
    <w:rsid w:val="006D5F16"/>
    <w:rsid w:val="006D5F7B"/>
    <w:rsid w:val="006D602C"/>
    <w:rsid w:val="006D607E"/>
    <w:rsid w:val="006D60C8"/>
    <w:rsid w:val="006D60ED"/>
    <w:rsid w:val="006D6296"/>
    <w:rsid w:val="006D63AD"/>
    <w:rsid w:val="006D640A"/>
    <w:rsid w:val="006D642B"/>
    <w:rsid w:val="006D649A"/>
    <w:rsid w:val="006D65AE"/>
    <w:rsid w:val="006D6663"/>
    <w:rsid w:val="006D6764"/>
    <w:rsid w:val="006D67D9"/>
    <w:rsid w:val="006D67DB"/>
    <w:rsid w:val="006D68AC"/>
    <w:rsid w:val="006D6ACD"/>
    <w:rsid w:val="006D6B1D"/>
    <w:rsid w:val="006D6B80"/>
    <w:rsid w:val="006D6BD7"/>
    <w:rsid w:val="006D6C93"/>
    <w:rsid w:val="006D6DC1"/>
    <w:rsid w:val="006D6EC3"/>
    <w:rsid w:val="006D6FF6"/>
    <w:rsid w:val="006D7220"/>
    <w:rsid w:val="006D7331"/>
    <w:rsid w:val="006D7573"/>
    <w:rsid w:val="006D7617"/>
    <w:rsid w:val="006D7651"/>
    <w:rsid w:val="006D7708"/>
    <w:rsid w:val="006D77C5"/>
    <w:rsid w:val="006D7804"/>
    <w:rsid w:val="006D783A"/>
    <w:rsid w:val="006D78B9"/>
    <w:rsid w:val="006D7A30"/>
    <w:rsid w:val="006D7BB8"/>
    <w:rsid w:val="006D7C49"/>
    <w:rsid w:val="006D7D0A"/>
    <w:rsid w:val="006D7E2B"/>
    <w:rsid w:val="006D7E31"/>
    <w:rsid w:val="006D7E73"/>
    <w:rsid w:val="006D7EB6"/>
    <w:rsid w:val="006D7EC3"/>
    <w:rsid w:val="006D7F38"/>
    <w:rsid w:val="006E0068"/>
    <w:rsid w:val="006E01DC"/>
    <w:rsid w:val="006E025B"/>
    <w:rsid w:val="006E02F2"/>
    <w:rsid w:val="006E0340"/>
    <w:rsid w:val="006E04C6"/>
    <w:rsid w:val="006E04DB"/>
    <w:rsid w:val="006E0587"/>
    <w:rsid w:val="006E06F9"/>
    <w:rsid w:val="006E0781"/>
    <w:rsid w:val="006E07A9"/>
    <w:rsid w:val="006E07FA"/>
    <w:rsid w:val="006E09BC"/>
    <w:rsid w:val="006E0A39"/>
    <w:rsid w:val="006E0A6A"/>
    <w:rsid w:val="006E0B19"/>
    <w:rsid w:val="006E0D91"/>
    <w:rsid w:val="006E0DFC"/>
    <w:rsid w:val="006E10C7"/>
    <w:rsid w:val="006E11C2"/>
    <w:rsid w:val="006E130E"/>
    <w:rsid w:val="006E1456"/>
    <w:rsid w:val="006E14CE"/>
    <w:rsid w:val="006E14E9"/>
    <w:rsid w:val="006E1578"/>
    <w:rsid w:val="006E16C4"/>
    <w:rsid w:val="006E1706"/>
    <w:rsid w:val="006E177A"/>
    <w:rsid w:val="006E1791"/>
    <w:rsid w:val="006E1854"/>
    <w:rsid w:val="006E1892"/>
    <w:rsid w:val="006E194D"/>
    <w:rsid w:val="006E19F9"/>
    <w:rsid w:val="006E1A6F"/>
    <w:rsid w:val="006E1B4C"/>
    <w:rsid w:val="006E1C4F"/>
    <w:rsid w:val="006E1C91"/>
    <w:rsid w:val="006E1EDD"/>
    <w:rsid w:val="006E1F3A"/>
    <w:rsid w:val="006E1FC8"/>
    <w:rsid w:val="006E20B8"/>
    <w:rsid w:val="006E2101"/>
    <w:rsid w:val="006E22AA"/>
    <w:rsid w:val="006E24ED"/>
    <w:rsid w:val="006E2509"/>
    <w:rsid w:val="006E25ED"/>
    <w:rsid w:val="006E26C0"/>
    <w:rsid w:val="006E27BF"/>
    <w:rsid w:val="006E2AE4"/>
    <w:rsid w:val="006E2AED"/>
    <w:rsid w:val="006E2B8F"/>
    <w:rsid w:val="006E2D1E"/>
    <w:rsid w:val="006E2D2A"/>
    <w:rsid w:val="006E2E36"/>
    <w:rsid w:val="006E302E"/>
    <w:rsid w:val="006E30BA"/>
    <w:rsid w:val="006E33EA"/>
    <w:rsid w:val="006E3440"/>
    <w:rsid w:val="006E3457"/>
    <w:rsid w:val="006E369C"/>
    <w:rsid w:val="006E3753"/>
    <w:rsid w:val="006E384F"/>
    <w:rsid w:val="006E3861"/>
    <w:rsid w:val="006E3871"/>
    <w:rsid w:val="006E3890"/>
    <w:rsid w:val="006E38E4"/>
    <w:rsid w:val="006E38F2"/>
    <w:rsid w:val="006E3909"/>
    <w:rsid w:val="006E39B7"/>
    <w:rsid w:val="006E3BA1"/>
    <w:rsid w:val="006E3BD7"/>
    <w:rsid w:val="006E3CB2"/>
    <w:rsid w:val="006E3CC0"/>
    <w:rsid w:val="006E3CEB"/>
    <w:rsid w:val="006E3DA8"/>
    <w:rsid w:val="006E3E8A"/>
    <w:rsid w:val="006E3F2D"/>
    <w:rsid w:val="006E3F83"/>
    <w:rsid w:val="006E4052"/>
    <w:rsid w:val="006E409A"/>
    <w:rsid w:val="006E40FB"/>
    <w:rsid w:val="006E4330"/>
    <w:rsid w:val="006E43E3"/>
    <w:rsid w:val="006E44AD"/>
    <w:rsid w:val="006E4548"/>
    <w:rsid w:val="006E4737"/>
    <w:rsid w:val="006E47F6"/>
    <w:rsid w:val="006E4927"/>
    <w:rsid w:val="006E4977"/>
    <w:rsid w:val="006E498D"/>
    <w:rsid w:val="006E4A4A"/>
    <w:rsid w:val="006E4C36"/>
    <w:rsid w:val="006E4C4B"/>
    <w:rsid w:val="006E4E5F"/>
    <w:rsid w:val="006E4FF1"/>
    <w:rsid w:val="006E5027"/>
    <w:rsid w:val="006E50B8"/>
    <w:rsid w:val="006E511D"/>
    <w:rsid w:val="006E513B"/>
    <w:rsid w:val="006E517E"/>
    <w:rsid w:val="006E5432"/>
    <w:rsid w:val="006E553B"/>
    <w:rsid w:val="006E56B4"/>
    <w:rsid w:val="006E573E"/>
    <w:rsid w:val="006E588A"/>
    <w:rsid w:val="006E5933"/>
    <w:rsid w:val="006E5936"/>
    <w:rsid w:val="006E593F"/>
    <w:rsid w:val="006E59EE"/>
    <w:rsid w:val="006E5A80"/>
    <w:rsid w:val="006E5CDA"/>
    <w:rsid w:val="006E5DAA"/>
    <w:rsid w:val="006E5DE0"/>
    <w:rsid w:val="006E5E0E"/>
    <w:rsid w:val="006E5EFB"/>
    <w:rsid w:val="006E604D"/>
    <w:rsid w:val="006E607A"/>
    <w:rsid w:val="006E6157"/>
    <w:rsid w:val="006E627A"/>
    <w:rsid w:val="006E630C"/>
    <w:rsid w:val="006E6378"/>
    <w:rsid w:val="006E6407"/>
    <w:rsid w:val="006E6439"/>
    <w:rsid w:val="006E65C7"/>
    <w:rsid w:val="006E665C"/>
    <w:rsid w:val="006E66E1"/>
    <w:rsid w:val="006E6A10"/>
    <w:rsid w:val="006E6AD7"/>
    <w:rsid w:val="006E6C02"/>
    <w:rsid w:val="006E6C46"/>
    <w:rsid w:val="006E6CE1"/>
    <w:rsid w:val="006E6DFC"/>
    <w:rsid w:val="006E7006"/>
    <w:rsid w:val="006E7037"/>
    <w:rsid w:val="006E70CE"/>
    <w:rsid w:val="006E70D3"/>
    <w:rsid w:val="006E7152"/>
    <w:rsid w:val="006E7236"/>
    <w:rsid w:val="006E72B9"/>
    <w:rsid w:val="006E7399"/>
    <w:rsid w:val="006E73A7"/>
    <w:rsid w:val="006E74E0"/>
    <w:rsid w:val="006E752E"/>
    <w:rsid w:val="006E765F"/>
    <w:rsid w:val="006E7779"/>
    <w:rsid w:val="006E786F"/>
    <w:rsid w:val="006E7917"/>
    <w:rsid w:val="006E7985"/>
    <w:rsid w:val="006E7994"/>
    <w:rsid w:val="006E7A22"/>
    <w:rsid w:val="006E7A69"/>
    <w:rsid w:val="006E7A8A"/>
    <w:rsid w:val="006E7A9E"/>
    <w:rsid w:val="006E7C1B"/>
    <w:rsid w:val="006E7CFC"/>
    <w:rsid w:val="006E7D76"/>
    <w:rsid w:val="006E7DA4"/>
    <w:rsid w:val="006E7DF9"/>
    <w:rsid w:val="006E7F19"/>
    <w:rsid w:val="006F00BC"/>
    <w:rsid w:val="006F00E7"/>
    <w:rsid w:val="006F0257"/>
    <w:rsid w:val="006F0383"/>
    <w:rsid w:val="006F04A9"/>
    <w:rsid w:val="006F04AA"/>
    <w:rsid w:val="006F05A7"/>
    <w:rsid w:val="006F0733"/>
    <w:rsid w:val="006F07B2"/>
    <w:rsid w:val="006F0819"/>
    <w:rsid w:val="006F08E0"/>
    <w:rsid w:val="006F0941"/>
    <w:rsid w:val="006F0A04"/>
    <w:rsid w:val="006F0A4D"/>
    <w:rsid w:val="006F0D11"/>
    <w:rsid w:val="006F0D4C"/>
    <w:rsid w:val="006F0D8B"/>
    <w:rsid w:val="006F0E75"/>
    <w:rsid w:val="006F0ECE"/>
    <w:rsid w:val="006F0F6C"/>
    <w:rsid w:val="006F0F6E"/>
    <w:rsid w:val="006F10BF"/>
    <w:rsid w:val="006F117D"/>
    <w:rsid w:val="006F11B4"/>
    <w:rsid w:val="006F129B"/>
    <w:rsid w:val="006F138B"/>
    <w:rsid w:val="006F13B1"/>
    <w:rsid w:val="006F13F9"/>
    <w:rsid w:val="006F1454"/>
    <w:rsid w:val="006F14FA"/>
    <w:rsid w:val="006F1557"/>
    <w:rsid w:val="006F1689"/>
    <w:rsid w:val="006F197D"/>
    <w:rsid w:val="006F19E8"/>
    <w:rsid w:val="006F1AEA"/>
    <w:rsid w:val="006F1B22"/>
    <w:rsid w:val="006F1B2B"/>
    <w:rsid w:val="006F1B3F"/>
    <w:rsid w:val="006F1BA4"/>
    <w:rsid w:val="006F1BE7"/>
    <w:rsid w:val="006F1C51"/>
    <w:rsid w:val="006F1D14"/>
    <w:rsid w:val="006F1E8F"/>
    <w:rsid w:val="006F1FB2"/>
    <w:rsid w:val="006F209F"/>
    <w:rsid w:val="006F20DC"/>
    <w:rsid w:val="006F20E9"/>
    <w:rsid w:val="006F20F0"/>
    <w:rsid w:val="006F21F7"/>
    <w:rsid w:val="006F2259"/>
    <w:rsid w:val="006F22DE"/>
    <w:rsid w:val="006F23E1"/>
    <w:rsid w:val="006F2441"/>
    <w:rsid w:val="006F2546"/>
    <w:rsid w:val="006F2644"/>
    <w:rsid w:val="006F268E"/>
    <w:rsid w:val="006F2730"/>
    <w:rsid w:val="006F2917"/>
    <w:rsid w:val="006F2A61"/>
    <w:rsid w:val="006F2C66"/>
    <w:rsid w:val="006F2C71"/>
    <w:rsid w:val="006F2DBE"/>
    <w:rsid w:val="006F2E1E"/>
    <w:rsid w:val="006F2F10"/>
    <w:rsid w:val="006F2F8F"/>
    <w:rsid w:val="006F2FCB"/>
    <w:rsid w:val="006F2FDA"/>
    <w:rsid w:val="006F2FE5"/>
    <w:rsid w:val="006F3005"/>
    <w:rsid w:val="006F31D0"/>
    <w:rsid w:val="006F32C7"/>
    <w:rsid w:val="006F32EC"/>
    <w:rsid w:val="006F3322"/>
    <w:rsid w:val="006F33E2"/>
    <w:rsid w:val="006F3460"/>
    <w:rsid w:val="006F34D0"/>
    <w:rsid w:val="006F34FE"/>
    <w:rsid w:val="006F35DC"/>
    <w:rsid w:val="006F3615"/>
    <w:rsid w:val="006F36EF"/>
    <w:rsid w:val="006F3B38"/>
    <w:rsid w:val="006F3B64"/>
    <w:rsid w:val="006F3BDF"/>
    <w:rsid w:val="006F3C21"/>
    <w:rsid w:val="006F3EAB"/>
    <w:rsid w:val="006F3EDF"/>
    <w:rsid w:val="006F3FA3"/>
    <w:rsid w:val="006F3FB3"/>
    <w:rsid w:val="006F3FFD"/>
    <w:rsid w:val="006F400E"/>
    <w:rsid w:val="006F40BE"/>
    <w:rsid w:val="006F4167"/>
    <w:rsid w:val="006F418A"/>
    <w:rsid w:val="006F4387"/>
    <w:rsid w:val="006F4405"/>
    <w:rsid w:val="006F4420"/>
    <w:rsid w:val="006F44D0"/>
    <w:rsid w:val="006F469F"/>
    <w:rsid w:val="006F46C0"/>
    <w:rsid w:val="006F46F0"/>
    <w:rsid w:val="006F46F9"/>
    <w:rsid w:val="006F4813"/>
    <w:rsid w:val="006F48BA"/>
    <w:rsid w:val="006F4AF9"/>
    <w:rsid w:val="006F4B24"/>
    <w:rsid w:val="006F4B34"/>
    <w:rsid w:val="006F4BD1"/>
    <w:rsid w:val="006F4CC6"/>
    <w:rsid w:val="006F4D0F"/>
    <w:rsid w:val="006F4D17"/>
    <w:rsid w:val="006F4F3C"/>
    <w:rsid w:val="006F4FB2"/>
    <w:rsid w:val="006F4FF1"/>
    <w:rsid w:val="006F511D"/>
    <w:rsid w:val="006F541B"/>
    <w:rsid w:val="006F54EB"/>
    <w:rsid w:val="006F551C"/>
    <w:rsid w:val="006F55FD"/>
    <w:rsid w:val="006F56E1"/>
    <w:rsid w:val="006F5749"/>
    <w:rsid w:val="006F576A"/>
    <w:rsid w:val="006F57B1"/>
    <w:rsid w:val="006F5802"/>
    <w:rsid w:val="006F5BFD"/>
    <w:rsid w:val="006F5C8A"/>
    <w:rsid w:val="006F5CB6"/>
    <w:rsid w:val="006F5CC1"/>
    <w:rsid w:val="006F5CD6"/>
    <w:rsid w:val="006F5E13"/>
    <w:rsid w:val="006F5E78"/>
    <w:rsid w:val="006F5F35"/>
    <w:rsid w:val="006F5F9B"/>
    <w:rsid w:val="006F5FD0"/>
    <w:rsid w:val="006F60B5"/>
    <w:rsid w:val="006F6157"/>
    <w:rsid w:val="006F6246"/>
    <w:rsid w:val="006F62AA"/>
    <w:rsid w:val="006F6341"/>
    <w:rsid w:val="006F6393"/>
    <w:rsid w:val="006F67A5"/>
    <w:rsid w:val="006F6A0D"/>
    <w:rsid w:val="006F6B4E"/>
    <w:rsid w:val="006F6B92"/>
    <w:rsid w:val="006F6C3D"/>
    <w:rsid w:val="006F6D34"/>
    <w:rsid w:val="006F6DB2"/>
    <w:rsid w:val="006F713F"/>
    <w:rsid w:val="006F7183"/>
    <w:rsid w:val="006F7313"/>
    <w:rsid w:val="006F750C"/>
    <w:rsid w:val="006F7543"/>
    <w:rsid w:val="006F762D"/>
    <w:rsid w:val="006F767B"/>
    <w:rsid w:val="006F768C"/>
    <w:rsid w:val="006F7771"/>
    <w:rsid w:val="006F7B02"/>
    <w:rsid w:val="006F7B48"/>
    <w:rsid w:val="006F7C49"/>
    <w:rsid w:val="006F7CE6"/>
    <w:rsid w:val="00700101"/>
    <w:rsid w:val="00700144"/>
    <w:rsid w:val="00700385"/>
    <w:rsid w:val="00700492"/>
    <w:rsid w:val="00700709"/>
    <w:rsid w:val="007009AC"/>
    <w:rsid w:val="00700A89"/>
    <w:rsid w:val="00700C61"/>
    <w:rsid w:val="00700DC3"/>
    <w:rsid w:val="00701057"/>
    <w:rsid w:val="00701309"/>
    <w:rsid w:val="007014A0"/>
    <w:rsid w:val="00701557"/>
    <w:rsid w:val="0070164D"/>
    <w:rsid w:val="0070167E"/>
    <w:rsid w:val="00701985"/>
    <w:rsid w:val="00701BDF"/>
    <w:rsid w:val="00701C5C"/>
    <w:rsid w:val="00701CE4"/>
    <w:rsid w:val="00701CF8"/>
    <w:rsid w:val="00701DFE"/>
    <w:rsid w:val="00701E1B"/>
    <w:rsid w:val="00701F2B"/>
    <w:rsid w:val="00701F6C"/>
    <w:rsid w:val="00701FE8"/>
    <w:rsid w:val="00702010"/>
    <w:rsid w:val="007020A9"/>
    <w:rsid w:val="00702109"/>
    <w:rsid w:val="007021DF"/>
    <w:rsid w:val="007021E8"/>
    <w:rsid w:val="0070226B"/>
    <w:rsid w:val="0070233C"/>
    <w:rsid w:val="007023A5"/>
    <w:rsid w:val="0070245E"/>
    <w:rsid w:val="0070249A"/>
    <w:rsid w:val="00702598"/>
    <w:rsid w:val="007025F4"/>
    <w:rsid w:val="007026B3"/>
    <w:rsid w:val="007027FC"/>
    <w:rsid w:val="007029CC"/>
    <w:rsid w:val="00702A4E"/>
    <w:rsid w:val="00702ED0"/>
    <w:rsid w:val="00702F4C"/>
    <w:rsid w:val="00703079"/>
    <w:rsid w:val="0070322A"/>
    <w:rsid w:val="007032A2"/>
    <w:rsid w:val="00703345"/>
    <w:rsid w:val="007035F8"/>
    <w:rsid w:val="00703618"/>
    <w:rsid w:val="00703636"/>
    <w:rsid w:val="00703680"/>
    <w:rsid w:val="007039D8"/>
    <w:rsid w:val="007039E3"/>
    <w:rsid w:val="00703A61"/>
    <w:rsid w:val="00703A95"/>
    <w:rsid w:val="00703AF0"/>
    <w:rsid w:val="00703C09"/>
    <w:rsid w:val="00703CCA"/>
    <w:rsid w:val="00703D1F"/>
    <w:rsid w:val="00703DF7"/>
    <w:rsid w:val="00703F07"/>
    <w:rsid w:val="00703F1D"/>
    <w:rsid w:val="00703FAC"/>
    <w:rsid w:val="00703FC5"/>
    <w:rsid w:val="00704089"/>
    <w:rsid w:val="00704134"/>
    <w:rsid w:val="00704155"/>
    <w:rsid w:val="0070418F"/>
    <w:rsid w:val="0070434A"/>
    <w:rsid w:val="007043D8"/>
    <w:rsid w:val="00704446"/>
    <w:rsid w:val="0070444C"/>
    <w:rsid w:val="00704459"/>
    <w:rsid w:val="0070452B"/>
    <w:rsid w:val="00704682"/>
    <w:rsid w:val="00704689"/>
    <w:rsid w:val="00704744"/>
    <w:rsid w:val="007048C4"/>
    <w:rsid w:val="007049BD"/>
    <w:rsid w:val="00704AFF"/>
    <w:rsid w:val="00704C11"/>
    <w:rsid w:val="00704CC4"/>
    <w:rsid w:val="00704D27"/>
    <w:rsid w:val="00704D2C"/>
    <w:rsid w:val="00704D6D"/>
    <w:rsid w:val="00704EAB"/>
    <w:rsid w:val="00704ED7"/>
    <w:rsid w:val="00705061"/>
    <w:rsid w:val="00705345"/>
    <w:rsid w:val="00705429"/>
    <w:rsid w:val="007054BF"/>
    <w:rsid w:val="007054D1"/>
    <w:rsid w:val="00705575"/>
    <w:rsid w:val="00705699"/>
    <w:rsid w:val="0070598F"/>
    <w:rsid w:val="007059CA"/>
    <w:rsid w:val="00705A2D"/>
    <w:rsid w:val="00705A65"/>
    <w:rsid w:val="00705B64"/>
    <w:rsid w:val="00705B6D"/>
    <w:rsid w:val="00705BE8"/>
    <w:rsid w:val="00705C2C"/>
    <w:rsid w:val="00705C7C"/>
    <w:rsid w:val="00705D3B"/>
    <w:rsid w:val="00705ED0"/>
    <w:rsid w:val="00705F06"/>
    <w:rsid w:val="00705F0A"/>
    <w:rsid w:val="007060CC"/>
    <w:rsid w:val="00706269"/>
    <w:rsid w:val="007062F2"/>
    <w:rsid w:val="0070630B"/>
    <w:rsid w:val="0070638D"/>
    <w:rsid w:val="00706428"/>
    <w:rsid w:val="00706476"/>
    <w:rsid w:val="007064A9"/>
    <w:rsid w:val="007067F1"/>
    <w:rsid w:val="00706C00"/>
    <w:rsid w:val="00706DBF"/>
    <w:rsid w:val="00706E10"/>
    <w:rsid w:val="00706EE4"/>
    <w:rsid w:val="00706EF5"/>
    <w:rsid w:val="00706F65"/>
    <w:rsid w:val="00706FA2"/>
    <w:rsid w:val="007070A5"/>
    <w:rsid w:val="007070BC"/>
    <w:rsid w:val="00707423"/>
    <w:rsid w:val="00707459"/>
    <w:rsid w:val="007076D3"/>
    <w:rsid w:val="00707716"/>
    <w:rsid w:val="00707722"/>
    <w:rsid w:val="007078BB"/>
    <w:rsid w:val="00707A4D"/>
    <w:rsid w:val="00707A59"/>
    <w:rsid w:val="00707B80"/>
    <w:rsid w:val="00707D71"/>
    <w:rsid w:val="00707F86"/>
    <w:rsid w:val="007101CA"/>
    <w:rsid w:val="007101EB"/>
    <w:rsid w:val="00710220"/>
    <w:rsid w:val="00710402"/>
    <w:rsid w:val="0071046B"/>
    <w:rsid w:val="0071051E"/>
    <w:rsid w:val="00710534"/>
    <w:rsid w:val="00710581"/>
    <w:rsid w:val="007107B6"/>
    <w:rsid w:val="00710982"/>
    <w:rsid w:val="007109E9"/>
    <w:rsid w:val="007109F7"/>
    <w:rsid w:val="00710AC6"/>
    <w:rsid w:val="00710B94"/>
    <w:rsid w:val="00710C1D"/>
    <w:rsid w:val="00710C57"/>
    <w:rsid w:val="00710E93"/>
    <w:rsid w:val="00710EB9"/>
    <w:rsid w:val="00710EF5"/>
    <w:rsid w:val="00710F8A"/>
    <w:rsid w:val="00711091"/>
    <w:rsid w:val="007110A3"/>
    <w:rsid w:val="00711108"/>
    <w:rsid w:val="00711123"/>
    <w:rsid w:val="00711213"/>
    <w:rsid w:val="007112A1"/>
    <w:rsid w:val="00711368"/>
    <w:rsid w:val="00711405"/>
    <w:rsid w:val="0071141E"/>
    <w:rsid w:val="007114D6"/>
    <w:rsid w:val="007115A1"/>
    <w:rsid w:val="0071170D"/>
    <w:rsid w:val="007118E4"/>
    <w:rsid w:val="007118E5"/>
    <w:rsid w:val="00711968"/>
    <w:rsid w:val="00711996"/>
    <w:rsid w:val="00711AEA"/>
    <w:rsid w:val="00711B3B"/>
    <w:rsid w:val="00711B85"/>
    <w:rsid w:val="00711BA3"/>
    <w:rsid w:val="00711C9D"/>
    <w:rsid w:val="00711CCA"/>
    <w:rsid w:val="00711CF8"/>
    <w:rsid w:val="00711D68"/>
    <w:rsid w:val="00711D6C"/>
    <w:rsid w:val="00711F4E"/>
    <w:rsid w:val="00712077"/>
    <w:rsid w:val="0071222B"/>
    <w:rsid w:val="007122C1"/>
    <w:rsid w:val="007126DB"/>
    <w:rsid w:val="0071276D"/>
    <w:rsid w:val="00712794"/>
    <w:rsid w:val="007127B8"/>
    <w:rsid w:val="007127F8"/>
    <w:rsid w:val="00712A10"/>
    <w:rsid w:val="00712AB0"/>
    <w:rsid w:val="00712B71"/>
    <w:rsid w:val="00712BA1"/>
    <w:rsid w:val="00712C38"/>
    <w:rsid w:val="00712E55"/>
    <w:rsid w:val="00712EBD"/>
    <w:rsid w:val="00712F26"/>
    <w:rsid w:val="00713023"/>
    <w:rsid w:val="007131DE"/>
    <w:rsid w:val="0071322C"/>
    <w:rsid w:val="007132C1"/>
    <w:rsid w:val="00713346"/>
    <w:rsid w:val="0071336D"/>
    <w:rsid w:val="00713376"/>
    <w:rsid w:val="00713449"/>
    <w:rsid w:val="00713541"/>
    <w:rsid w:val="007135D8"/>
    <w:rsid w:val="0071364D"/>
    <w:rsid w:val="00713653"/>
    <w:rsid w:val="007136C4"/>
    <w:rsid w:val="00713779"/>
    <w:rsid w:val="00713989"/>
    <w:rsid w:val="00713A1A"/>
    <w:rsid w:val="00713ACE"/>
    <w:rsid w:val="00713AE5"/>
    <w:rsid w:val="00713BBF"/>
    <w:rsid w:val="00713C08"/>
    <w:rsid w:val="00713CEF"/>
    <w:rsid w:val="00713D40"/>
    <w:rsid w:val="00713DCF"/>
    <w:rsid w:val="00713FA9"/>
    <w:rsid w:val="00714004"/>
    <w:rsid w:val="00714124"/>
    <w:rsid w:val="0071420B"/>
    <w:rsid w:val="007143CA"/>
    <w:rsid w:val="00714474"/>
    <w:rsid w:val="007144AE"/>
    <w:rsid w:val="0071455E"/>
    <w:rsid w:val="0071458E"/>
    <w:rsid w:val="007145C9"/>
    <w:rsid w:val="007145EB"/>
    <w:rsid w:val="00714631"/>
    <w:rsid w:val="0071471D"/>
    <w:rsid w:val="007147DF"/>
    <w:rsid w:val="007148D5"/>
    <w:rsid w:val="00714952"/>
    <w:rsid w:val="00714A5F"/>
    <w:rsid w:val="00714B50"/>
    <w:rsid w:val="00714B5E"/>
    <w:rsid w:val="00714B6E"/>
    <w:rsid w:val="00714C0F"/>
    <w:rsid w:val="00714C52"/>
    <w:rsid w:val="00714CB0"/>
    <w:rsid w:val="00714F95"/>
    <w:rsid w:val="0071512F"/>
    <w:rsid w:val="007151BF"/>
    <w:rsid w:val="0071531D"/>
    <w:rsid w:val="007153C2"/>
    <w:rsid w:val="00715412"/>
    <w:rsid w:val="00715471"/>
    <w:rsid w:val="00715474"/>
    <w:rsid w:val="00715519"/>
    <w:rsid w:val="0071554D"/>
    <w:rsid w:val="007156D7"/>
    <w:rsid w:val="0071571A"/>
    <w:rsid w:val="007158A0"/>
    <w:rsid w:val="007158C0"/>
    <w:rsid w:val="00715994"/>
    <w:rsid w:val="007159AB"/>
    <w:rsid w:val="00715A69"/>
    <w:rsid w:val="00715AA7"/>
    <w:rsid w:val="00715BFD"/>
    <w:rsid w:val="00715C1B"/>
    <w:rsid w:val="00715C72"/>
    <w:rsid w:val="00715D2A"/>
    <w:rsid w:val="00715D51"/>
    <w:rsid w:val="00715F6D"/>
    <w:rsid w:val="00715F74"/>
    <w:rsid w:val="00716037"/>
    <w:rsid w:val="00716083"/>
    <w:rsid w:val="007160CF"/>
    <w:rsid w:val="007161D7"/>
    <w:rsid w:val="00716287"/>
    <w:rsid w:val="007164D4"/>
    <w:rsid w:val="007164FA"/>
    <w:rsid w:val="0071660B"/>
    <w:rsid w:val="007166A8"/>
    <w:rsid w:val="0071688A"/>
    <w:rsid w:val="0071693C"/>
    <w:rsid w:val="00716986"/>
    <w:rsid w:val="007169AC"/>
    <w:rsid w:val="007169DD"/>
    <w:rsid w:val="00716B41"/>
    <w:rsid w:val="00716BD3"/>
    <w:rsid w:val="00716BF3"/>
    <w:rsid w:val="00716DF0"/>
    <w:rsid w:val="00716E19"/>
    <w:rsid w:val="00716E35"/>
    <w:rsid w:val="00716E6F"/>
    <w:rsid w:val="00716EB6"/>
    <w:rsid w:val="00716F5E"/>
    <w:rsid w:val="00716F7B"/>
    <w:rsid w:val="00717043"/>
    <w:rsid w:val="007170BD"/>
    <w:rsid w:val="0071713F"/>
    <w:rsid w:val="0071719A"/>
    <w:rsid w:val="007171CD"/>
    <w:rsid w:val="00717305"/>
    <w:rsid w:val="00717354"/>
    <w:rsid w:val="0071746B"/>
    <w:rsid w:val="007175E2"/>
    <w:rsid w:val="00717679"/>
    <w:rsid w:val="0071767B"/>
    <w:rsid w:val="0071769A"/>
    <w:rsid w:val="00717731"/>
    <w:rsid w:val="007177D8"/>
    <w:rsid w:val="007178DB"/>
    <w:rsid w:val="00717926"/>
    <w:rsid w:val="00717B67"/>
    <w:rsid w:val="00717CAD"/>
    <w:rsid w:val="00717E27"/>
    <w:rsid w:val="00717ED3"/>
    <w:rsid w:val="00717F92"/>
    <w:rsid w:val="00717FF8"/>
    <w:rsid w:val="00720268"/>
    <w:rsid w:val="00720282"/>
    <w:rsid w:val="0072036F"/>
    <w:rsid w:val="0072045E"/>
    <w:rsid w:val="007205EA"/>
    <w:rsid w:val="007206A2"/>
    <w:rsid w:val="007206D4"/>
    <w:rsid w:val="007206F6"/>
    <w:rsid w:val="00720815"/>
    <w:rsid w:val="00720817"/>
    <w:rsid w:val="0072093D"/>
    <w:rsid w:val="007209F8"/>
    <w:rsid w:val="00720AC0"/>
    <w:rsid w:val="00720B38"/>
    <w:rsid w:val="00720C14"/>
    <w:rsid w:val="00720CA7"/>
    <w:rsid w:val="00720F19"/>
    <w:rsid w:val="00721122"/>
    <w:rsid w:val="0072113F"/>
    <w:rsid w:val="007211BD"/>
    <w:rsid w:val="00721419"/>
    <w:rsid w:val="00721454"/>
    <w:rsid w:val="0072147B"/>
    <w:rsid w:val="007214C9"/>
    <w:rsid w:val="00721518"/>
    <w:rsid w:val="0072152D"/>
    <w:rsid w:val="00721540"/>
    <w:rsid w:val="00721663"/>
    <w:rsid w:val="00721798"/>
    <w:rsid w:val="0072181E"/>
    <w:rsid w:val="00721850"/>
    <w:rsid w:val="00721870"/>
    <w:rsid w:val="00721918"/>
    <w:rsid w:val="00721B30"/>
    <w:rsid w:val="00721EF2"/>
    <w:rsid w:val="00721F7F"/>
    <w:rsid w:val="00722029"/>
    <w:rsid w:val="00722031"/>
    <w:rsid w:val="00722267"/>
    <w:rsid w:val="0072253B"/>
    <w:rsid w:val="00722580"/>
    <w:rsid w:val="0072259F"/>
    <w:rsid w:val="0072285E"/>
    <w:rsid w:val="00722941"/>
    <w:rsid w:val="00722994"/>
    <w:rsid w:val="00722AFB"/>
    <w:rsid w:val="00722BB3"/>
    <w:rsid w:val="00722BC6"/>
    <w:rsid w:val="00722BD7"/>
    <w:rsid w:val="00722C62"/>
    <w:rsid w:val="00722C89"/>
    <w:rsid w:val="00722DDA"/>
    <w:rsid w:val="00722EC8"/>
    <w:rsid w:val="00723041"/>
    <w:rsid w:val="007230F8"/>
    <w:rsid w:val="0072321F"/>
    <w:rsid w:val="00723295"/>
    <w:rsid w:val="00723425"/>
    <w:rsid w:val="00723649"/>
    <w:rsid w:val="00723697"/>
    <w:rsid w:val="007236C5"/>
    <w:rsid w:val="00723799"/>
    <w:rsid w:val="00723868"/>
    <w:rsid w:val="007238E2"/>
    <w:rsid w:val="00723944"/>
    <w:rsid w:val="007239B4"/>
    <w:rsid w:val="007239D4"/>
    <w:rsid w:val="007239E8"/>
    <w:rsid w:val="00723AB7"/>
    <w:rsid w:val="00723D11"/>
    <w:rsid w:val="00723D83"/>
    <w:rsid w:val="00723D93"/>
    <w:rsid w:val="00723DAC"/>
    <w:rsid w:val="00723DEA"/>
    <w:rsid w:val="00723EC5"/>
    <w:rsid w:val="00723FBE"/>
    <w:rsid w:val="00723FC2"/>
    <w:rsid w:val="007240CE"/>
    <w:rsid w:val="00724243"/>
    <w:rsid w:val="00724446"/>
    <w:rsid w:val="00724512"/>
    <w:rsid w:val="00724584"/>
    <w:rsid w:val="0072463B"/>
    <w:rsid w:val="007246C6"/>
    <w:rsid w:val="00724780"/>
    <w:rsid w:val="0072480B"/>
    <w:rsid w:val="007248C3"/>
    <w:rsid w:val="007248E0"/>
    <w:rsid w:val="0072490E"/>
    <w:rsid w:val="00724A11"/>
    <w:rsid w:val="00724AA1"/>
    <w:rsid w:val="00724AA3"/>
    <w:rsid w:val="00724AA9"/>
    <w:rsid w:val="00724CC0"/>
    <w:rsid w:val="00724CEC"/>
    <w:rsid w:val="00724D39"/>
    <w:rsid w:val="00724EB0"/>
    <w:rsid w:val="00724EEA"/>
    <w:rsid w:val="00724F74"/>
    <w:rsid w:val="0072502A"/>
    <w:rsid w:val="00725070"/>
    <w:rsid w:val="007250DE"/>
    <w:rsid w:val="00725101"/>
    <w:rsid w:val="007253C9"/>
    <w:rsid w:val="0072556D"/>
    <w:rsid w:val="00725835"/>
    <w:rsid w:val="00725A19"/>
    <w:rsid w:val="00725AB4"/>
    <w:rsid w:val="00725B06"/>
    <w:rsid w:val="00725D38"/>
    <w:rsid w:val="00725D50"/>
    <w:rsid w:val="00725E14"/>
    <w:rsid w:val="00725F65"/>
    <w:rsid w:val="00725F9F"/>
    <w:rsid w:val="00725FDD"/>
    <w:rsid w:val="00726057"/>
    <w:rsid w:val="007261BC"/>
    <w:rsid w:val="007261D9"/>
    <w:rsid w:val="007261F8"/>
    <w:rsid w:val="0072629E"/>
    <w:rsid w:val="007262A1"/>
    <w:rsid w:val="00726356"/>
    <w:rsid w:val="00726427"/>
    <w:rsid w:val="007264BD"/>
    <w:rsid w:val="007266D3"/>
    <w:rsid w:val="007267F6"/>
    <w:rsid w:val="007268C7"/>
    <w:rsid w:val="0072699D"/>
    <w:rsid w:val="007269BB"/>
    <w:rsid w:val="007269CA"/>
    <w:rsid w:val="00726A92"/>
    <w:rsid w:val="00726AA0"/>
    <w:rsid w:val="00726AAB"/>
    <w:rsid w:val="00726B7B"/>
    <w:rsid w:val="00726C7C"/>
    <w:rsid w:val="0072706E"/>
    <w:rsid w:val="00727077"/>
    <w:rsid w:val="00727101"/>
    <w:rsid w:val="00727132"/>
    <w:rsid w:val="00727278"/>
    <w:rsid w:val="007273D6"/>
    <w:rsid w:val="0072745F"/>
    <w:rsid w:val="0072747B"/>
    <w:rsid w:val="007279D3"/>
    <w:rsid w:val="00727A16"/>
    <w:rsid w:val="00727A92"/>
    <w:rsid w:val="00727B39"/>
    <w:rsid w:val="00727C50"/>
    <w:rsid w:val="00727E53"/>
    <w:rsid w:val="00727EB3"/>
    <w:rsid w:val="00730052"/>
    <w:rsid w:val="0073023D"/>
    <w:rsid w:val="00730310"/>
    <w:rsid w:val="00730346"/>
    <w:rsid w:val="00730475"/>
    <w:rsid w:val="0073053A"/>
    <w:rsid w:val="00730751"/>
    <w:rsid w:val="007308A7"/>
    <w:rsid w:val="00730933"/>
    <w:rsid w:val="00730BD9"/>
    <w:rsid w:val="00730CA2"/>
    <w:rsid w:val="00730E0D"/>
    <w:rsid w:val="00730E77"/>
    <w:rsid w:val="00730EA6"/>
    <w:rsid w:val="00731281"/>
    <w:rsid w:val="007312AC"/>
    <w:rsid w:val="0073130C"/>
    <w:rsid w:val="00731367"/>
    <w:rsid w:val="00731559"/>
    <w:rsid w:val="007316C4"/>
    <w:rsid w:val="007316E4"/>
    <w:rsid w:val="00731785"/>
    <w:rsid w:val="00731A71"/>
    <w:rsid w:val="00731AC5"/>
    <w:rsid w:val="00731AF6"/>
    <w:rsid w:val="00731BDA"/>
    <w:rsid w:val="00731C15"/>
    <w:rsid w:val="00731C88"/>
    <w:rsid w:val="00731D76"/>
    <w:rsid w:val="00731F0D"/>
    <w:rsid w:val="00732045"/>
    <w:rsid w:val="00732084"/>
    <w:rsid w:val="007321A1"/>
    <w:rsid w:val="00732270"/>
    <w:rsid w:val="007322A0"/>
    <w:rsid w:val="007324FC"/>
    <w:rsid w:val="0073253F"/>
    <w:rsid w:val="0073254D"/>
    <w:rsid w:val="007325A6"/>
    <w:rsid w:val="007325C9"/>
    <w:rsid w:val="00732603"/>
    <w:rsid w:val="007326FC"/>
    <w:rsid w:val="0073289C"/>
    <w:rsid w:val="00732AF9"/>
    <w:rsid w:val="00732C10"/>
    <w:rsid w:val="00732C15"/>
    <w:rsid w:val="00732C1A"/>
    <w:rsid w:val="00732C50"/>
    <w:rsid w:val="00732D7C"/>
    <w:rsid w:val="00732E18"/>
    <w:rsid w:val="00732F4B"/>
    <w:rsid w:val="00732FB4"/>
    <w:rsid w:val="00733026"/>
    <w:rsid w:val="007331D4"/>
    <w:rsid w:val="00733355"/>
    <w:rsid w:val="0073339B"/>
    <w:rsid w:val="00733483"/>
    <w:rsid w:val="007335D2"/>
    <w:rsid w:val="0073386F"/>
    <w:rsid w:val="00733AF2"/>
    <w:rsid w:val="00733B94"/>
    <w:rsid w:val="00733C20"/>
    <w:rsid w:val="00733C52"/>
    <w:rsid w:val="00733CB6"/>
    <w:rsid w:val="00733CDC"/>
    <w:rsid w:val="00733D94"/>
    <w:rsid w:val="00733DC5"/>
    <w:rsid w:val="00733E16"/>
    <w:rsid w:val="00733EB5"/>
    <w:rsid w:val="00733F46"/>
    <w:rsid w:val="00733FF4"/>
    <w:rsid w:val="00734027"/>
    <w:rsid w:val="00734031"/>
    <w:rsid w:val="00734094"/>
    <w:rsid w:val="00734329"/>
    <w:rsid w:val="0073476E"/>
    <w:rsid w:val="00734783"/>
    <w:rsid w:val="007347B8"/>
    <w:rsid w:val="00734905"/>
    <w:rsid w:val="007349AF"/>
    <w:rsid w:val="007349C1"/>
    <w:rsid w:val="00734A67"/>
    <w:rsid w:val="00734B8A"/>
    <w:rsid w:val="00734B9A"/>
    <w:rsid w:val="00734C78"/>
    <w:rsid w:val="00734F43"/>
    <w:rsid w:val="00734F69"/>
    <w:rsid w:val="00734F95"/>
    <w:rsid w:val="00735077"/>
    <w:rsid w:val="007352B6"/>
    <w:rsid w:val="007352F3"/>
    <w:rsid w:val="007354CA"/>
    <w:rsid w:val="007354E4"/>
    <w:rsid w:val="00735695"/>
    <w:rsid w:val="007356A6"/>
    <w:rsid w:val="007356AB"/>
    <w:rsid w:val="007356F6"/>
    <w:rsid w:val="007357ED"/>
    <w:rsid w:val="0073599D"/>
    <w:rsid w:val="007359AF"/>
    <w:rsid w:val="00735A41"/>
    <w:rsid w:val="00735B8D"/>
    <w:rsid w:val="00735BA4"/>
    <w:rsid w:val="00735E88"/>
    <w:rsid w:val="00735F75"/>
    <w:rsid w:val="00735FBE"/>
    <w:rsid w:val="00735FF1"/>
    <w:rsid w:val="0073600E"/>
    <w:rsid w:val="007360CB"/>
    <w:rsid w:val="00736160"/>
    <w:rsid w:val="0073617B"/>
    <w:rsid w:val="007362DF"/>
    <w:rsid w:val="00736474"/>
    <w:rsid w:val="007364C8"/>
    <w:rsid w:val="007364F3"/>
    <w:rsid w:val="0073655E"/>
    <w:rsid w:val="007365BF"/>
    <w:rsid w:val="007365CF"/>
    <w:rsid w:val="007365F1"/>
    <w:rsid w:val="00736821"/>
    <w:rsid w:val="00736825"/>
    <w:rsid w:val="00736C58"/>
    <w:rsid w:val="00736D4A"/>
    <w:rsid w:val="00736DE9"/>
    <w:rsid w:val="0073716B"/>
    <w:rsid w:val="007371C3"/>
    <w:rsid w:val="0073746D"/>
    <w:rsid w:val="0073753A"/>
    <w:rsid w:val="00737566"/>
    <w:rsid w:val="007376AC"/>
    <w:rsid w:val="00737794"/>
    <w:rsid w:val="00737830"/>
    <w:rsid w:val="00737843"/>
    <w:rsid w:val="007379D1"/>
    <w:rsid w:val="00737B26"/>
    <w:rsid w:val="00737CF8"/>
    <w:rsid w:val="00737D1E"/>
    <w:rsid w:val="00737D66"/>
    <w:rsid w:val="00737DB1"/>
    <w:rsid w:val="00737DEE"/>
    <w:rsid w:val="00737FA0"/>
    <w:rsid w:val="007400C3"/>
    <w:rsid w:val="007400CF"/>
    <w:rsid w:val="007402BA"/>
    <w:rsid w:val="007402FC"/>
    <w:rsid w:val="0074033B"/>
    <w:rsid w:val="007403A5"/>
    <w:rsid w:val="0074042A"/>
    <w:rsid w:val="00740647"/>
    <w:rsid w:val="007406D4"/>
    <w:rsid w:val="0074093F"/>
    <w:rsid w:val="00740A62"/>
    <w:rsid w:val="00740A9A"/>
    <w:rsid w:val="00740BC7"/>
    <w:rsid w:val="00740D09"/>
    <w:rsid w:val="00740D2F"/>
    <w:rsid w:val="00740E39"/>
    <w:rsid w:val="00740E83"/>
    <w:rsid w:val="0074130C"/>
    <w:rsid w:val="007413CA"/>
    <w:rsid w:val="00741425"/>
    <w:rsid w:val="007414EF"/>
    <w:rsid w:val="00741523"/>
    <w:rsid w:val="0074152A"/>
    <w:rsid w:val="007415D3"/>
    <w:rsid w:val="007417ED"/>
    <w:rsid w:val="0074182B"/>
    <w:rsid w:val="0074184E"/>
    <w:rsid w:val="00741910"/>
    <w:rsid w:val="00741A6F"/>
    <w:rsid w:val="00741BA2"/>
    <w:rsid w:val="00741BDA"/>
    <w:rsid w:val="00741C93"/>
    <w:rsid w:val="00741CF4"/>
    <w:rsid w:val="00741DCC"/>
    <w:rsid w:val="00741DE2"/>
    <w:rsid w:val="00741F12"/>
    <w:rsid w:val="007420FF"/>
    <w:rsid w:val="00742105"/>
    <w:rsid w:val="0074211A"/>
    <w:rsid w:val="00742198"/>
    <w:rsid w:val="007421A1"/>
    <w:rsid w:val="00742264"/>
    <w:rsid w:val="00742298"/>
    <w:rsid w:val="007422F3"/>
    <w:rsid w:val="007422F7"/>
    <w:rsid w:val="00742474"/>
    <w:rsid w:val="00742696"/>
    <w:rsid w:val="007427FE"/>
    <w:rsid w:val="007428A4"/>
    <w:rsid w:val="00742A04"/>
    <w:rsid w:val="00742B25"/>
    <w:rsid w:val="00742BD9"/>
    <w:rsid w:val="00742C2D"/>
    <w:rsid w:val="00742C51"/>
    <w:rsid w:val="00742C77"/>
    <w:rsid w:val="00742DDB"/>
    <w:rsid w:val="007431A6"/>
    <w:rsid w:val="007431B5"/>
    <w:rsid w:val="0074328E"/>
    <w:rsid w:val="0074331E"/>
    <w:rsid w:val="00743445"/>
    <w:rsid w:val="007434D5"/>
    <w:rsid w:val="00743651"/>
    <w:rsid w:val="007436D5"/>
    <w:rsid w:val="007436FA"/>
    <w:rsid w:val="007437AC"/>
    <w:rsid w:val="007437C6"/>
    <w:rsid w:val="007438E9"/>
    <w:rsid w:val="00743946"/>
    <w:rsid w:val="00743B76"/>
    <w:rsid w:val="00743B89"/>
    <w:rsid w:val="00743C1D"/>
    <w:rsid w:val="00743C4F"/>
    <w:rsid w:val="00743C68"/>
    <w:rsid w:val="00743CCF"/>
    <w:rsid w:val="00743EB8"/>
    <w:rsid w:val="00744019"/>
    <w:rsid w:val="00744050"/>
    <w:rsid w:val="007440E1"/>
    <w:rsid w:val="00744139"/>
    <w:rsid w:val="007442D5"/>
    <w:rsid w:val="0074437D"/>
    <w:rsid w:val="0074447D"/>
    <w:rsid w:val="00744512"/>
    <w:rsid w:val="00744802"/>
    <w:rsid w:val="00744805"/>
    <w:rsid w:val="00744854"/>
    <w:rsid w:val="007448E1"/>
    <w:rsid w:val="00744981"/>
    <w:rsid w:val="00744B7E"/>
    <w:rsid w:val="00744C12"/>
    <w:rsid w:val="00744C21"/>
    <w:rsid w:val="00744E4B"/>
    <w:rsid w:val="00744E59"/>
    <w:rsid w:val="00744F6C"/>
    <w:rsid w:val="00744FD4"/>
    <w:rsid w:val="00744FE1"/>
    <w:rsid w:val="00745144"/>
    <w:rsid w:val="0074520D"/>
    <w:rsid w:val="0074589F"/>
    <w:rsid w:val="00745A3D"/>
    <w:rsid w:val="00745A74"/>
    <w:rsid w:val="00745E01"/>
    <w:rsid w:val="00746249"/>
    <w:rsid w:val="00746253"/>
    <w:rsid w:val="0074625D"/>
    <w:rsid w:val="007462DC"/>
    <w:rsid w:val="00746328"/>
    <w:rsid w:val="00746442"/>
    <w:rsid w:val="007465E1"/>
    <w:rsid w:val="00746621"/>
    <w:rsid w:val="0074666B"/>
    <w:rsid w:val="00746756"/>
    <w:rsid w:val="00746830"/>
    <w:rsid w:val="0074683B"/>
    <w:rsid w:val="007468D6"/>
    <w:rsid w:val="007469D6"/>
    <w:rsid w:val="00746BE6"/>
    <w:rsid w:val="00746BFF"/>
    <w:rsid w:val="00746D3C"/>
    <w:rsid w:val="00746E73"/>
    <w:rsid w:val="00746ED2"/>
    <w:rsid w:val="00746EDF"/>
    <w:rsid w:val="00746EEE"/>
    <w:rsid w:val="00746F3D"/>
    <w:rsid w:val="00746FA0"/>
    <w:rsid w:val="00746FF6"/>
    <w:rsid w:val="00747235"/>
    <w:rsid w:val="007472DC"/>
    <w:rsid w:val="007473E1"/>
    <w:rsid w:val="007473F5"/>
    <w:rsid w:val="0074743D"/>
    <w:rsid w:val="0074752E"/>
    <w:rsid w:val="00747591"/>
    <w:rsid w:val="00747640"/>
    <w:rsid w:val="00747692"/>
    <w:rsid w:val="00747897"/>
    <w:rsid w:val="0074799E"/>
    <w:rsid w:val="007479B8"/>
    <w:rsid w:val="00747AE6"/>
    <w:rsid w:val="00747B65"/>
    <w:rsid w:val="00747E47"/>
    <w:rsid w:val="00747F73"/>
    <w:rsid w:val="007500C7"/>
    <w:rsid w:val="00750148"/>
    <w:rsid w:val="00750192"/>
    <w:rsid w:val="0075021D"/>
    <w:rsid w:val="00750275"/>
    <w:rsid w:val="00750311"/>
    <w:rsid w:val="007503B9"/>
    <w:rsid w:val="00750406"/>
    <w:rsid w:val="007504E1"/>
    <w:rsid w:val="00750544"/>
    <w:rsid w:val="00750760"/>
    <w:rsid w:val="007507AC"/>
    <w:rsid w:val="00750804"/>
    <w:rsid w:val="007509AB"/>
    <w:rsid w:val="00750A4E"/>
    <w:rsid w:val="00750A85"/>
    <w:rsid w:val="00750B9D"/>
    <w:rsid w:val="00750D65"/>
    <w:rsid w:val="00750F78"/>
    <w:rsid w:val="00751088"/>
    <w:rsid w:val="007510B1"/>
    <w:rsid w:val="00751126"/>
    <w:rsid w:val="00751259"/>
    <w:rsid w:val="007512E9"/>
    <w:rsid w:val="00751350"/>
    <w:rsid w:val="0075142B"/>
    <w:rsid w:val="0075153F"/>
    <w:rsid w:val="0075159E"/>
    <w:rsid w:val="00751689"/>
    <w:rsid w:val="007516BF"/>
    <w:rsid w:val="007516F8"/>
    <w:rsid w:val="00751708"/>
    <w:rsid w:val="00751767"/>
    <w:rsid w:val="00751A77"/>
    <w:rsid w:val="00751AFF"/>
    <w:rsid w:val="00751B6C"/>
    <w:rsid w:val="00751CE9"/>
    <w:rsid w:val="00751D15"/>
    <w:rsid w:val="00751D33"/>
    <w:rsid w:val="00751D6C"/>
    <w:rsid w:val="00751F17"/>
    <w:rsid w:val="00752037"/>
    <w:rsid w:val="0075214A"/>
    <w:rsid w:val="007521B1"/>
    <w:rsid w:val="007521B6"/>
    <w:rsid w:val="007523A3"/>
    <w:rsid w:val="007523FB"/>
    <w:rsid w:val="00752405"/>
    <w:rsid w:val="007524AA"/>
    <w:rsid w:val="00752560"/>
    <w:rsid w:val="0075289F"/>
    <w:rsid w:val="00752B43"/>
    <w:rsid w:val="00752C09"/>
    <w:rsid w:val="00752DBF"/>
    <w:rsid w:val="00752DF6"/>
    <w:rsid w:val="00753067"/>
    <w:rsid w:val="00753181"/>
    <w:rsid w:val="007532A8"/>
    <w:rsid w:val="007533F8"/>
    <w:rsid w:val="0075357B"/>
    <w:rsid w:val="00753744"/>
    <w:rsid w:val="0075380E"/>
    <w:rsid w:val="00753829"/>
    <w:rsid w:val="00753A18"/>
    <w:rsid w:val="00753A44"/>
    <w:rsid w:val="00753A93"/>
    <w:rsid w:val="00753AE5"/>
    <w:rsid w:val="00753C51"/>
    <w:rsid w:val="00753D14"/>
    <w:rsid w:val="00753D20"/>
    <w:rsid w:val="00753D35"/>
    <w:rsid w:val="00753E42"/>
    <w:rsid w:val="00753F70"/>
    <w:rsid w:val="00753FA4"/>
    <w:rsid w:val="00754166"/>
    <w:rsid w:val="007543EE"/>
    <w:rsid w:val="00754469"/>
    <w:rsid w:val="00754486"/>
    <w:rsid w:val="007544B8"/>
    <w:rsid w:val="0075460E"/>
    <w:rsid w:val="007546CB"/>
    <w:rsid w:val="0075492C"/>
    <w:rsid w:val="00754948"/>
    <w:rsid w:val="007549B9"/>
    <w:rsid w:val="00754A0B"/>
    <w:rsid w:val="00754A8B"/>
    <w:rsid w:val="00754B44"/>
    <w:rsid w:val="00754C85"/>
    <w:rsid w:val="00754DF3"/>
    <w:rsid w:val="00754E2A"/>
    <w:rsid w:val="00754ECB"/>
    <w:rsid w:val="007550D8"/>
    <w:rsid w:val="00755176"/>
    <w:rsid w:val="007554A7"/>
    <w:rsid w:val="007554ED"/>
    <w:rsid w:val="00755558"/>
    <w:rsid w:val="007555C6"/>
    <w:rsid w:val="00755635"/>
    <w:rsid w:val="00755663"/>
    <w:rsid w:val="00755747"/>
    <w:rsid w:val="007558D4"/>
    <w:rsid w:val="007559E7"/>
    <w:rsid w:val="00755A32"/>
    <w:rsid w:val="00755B8E"/>
    <w:rsid w:val="00755C1C"/>
    <w:rsid w:val="00755CE8"/>
    <w:rsid w:val="00755D06"/>
    <w:rsid w:val="00755DD1"/>
    <w:rsid w:val="00755E90"/>
    <w:rsid w:val="00755EDE"/>
    <w:rsid w:val="007560AF"/>
    <w:rsid w:val="007560EC"/>
    <w:rsid w:val="007562E9"/>
    <w:rsid w:val="00756325"/>
    <w:rsid w:val="00756386"/>
    <w:rsid w:val="00756603"/>
    <w:rsid w:val="0075662A"/>
    <w:rsid w:val="00756846"/>
    <w:rsid w:val="00756A08"/>
    <w:rsid w:val="00756C3C"/>
    <w:rsid w:val="00756C6A"/>
    <w:rsid w:val="00756C9E"/>
    <w:rsid w:val="00756D14"/>
    <w:rsid w:val="00756D18"/>
    <w:rsid w:val="00756D41"/>
    <w:rsid w:val="00756DEF"/>
    <w:rsid w:val="00756E1C"/>
    <w:rsid w:val="00756E59"/>
    <w:rsid w:val="00756EBA"/>
    <w:rsid w:val="00756F41"/>
    <w:rsid w:val="00756F73"/>
    <w:rsid w:val="00756FCE"/>
    <w:rsid w:val="0075702F"/>
    <w:rsid w:val="00757090"/>
    <w:rsid w:val="00757098"/>
    <w:rsid w:val="00757141"/>
    <w:rsid w:val="007572E5"/>
    <w:rsid w:val="00757541"/>
    <w:rsid w:val="007575C0"/>
    <w:rsid w:val="007576FA"/>
    <w:rsid w:val="00757936"/>
    <w:rsid w:val="00757C94"/>
    <w:rsid w:val="00757D06"/>
    <w:rsid w:val="00757D17"/>
    <w:rsid w:val="00757D2F"/>
    <w:rsid w:val="00757E1C"/>
    <w:rsid w:val="00757E3C"/>
    <w:rsid w:val="00757EF4"/>
    <w:rsid w:val="00757F78"/>
    <w:rsid w:val="0076000E"/>
    <w:rsid w:val="00760142"/>
    <w:rsid w:val="0076026C"/>
    <w:rsid w:val="00760321"/>
    <w:rsid w:val="007603F8"/>
    <w:rsid w:val="007604C7"/>
    <w:rsid w:val="00760668"/>
    <w:rsid w:val="0076075C"/>
    <w:rsid w:val="007607BE"/>
    <w:rsid w:val="00760867"/>
    <w:rsid w:val="00760AF3"/>
    <w:rsid w:val="00760C00"/>
    <w:rsid w:val="00760F54"/>
    <w:rsid w:val="00761070"/>
    <w:rsid w:val="00761085"/>
    <w:rsid w:val="007610BF"/>
    <w:rsid w:val="007610CF"/>
    <w:rsid w:val="007610E2"/>
    <w:rsid w:val="007610E9"/>
    <w:rsid w:val="00761139"/>
    <w:rsid w:val="0076124D"/>
    <w:rsid w:val="007615B6"/>
    <w:rsid w:val="0076167D"/>
    <w:rsid w:val="00761728"/>
    <w:rsid w:val="00761731"/>
    <w:rsid w:val="00761754"/>
    <w:rsid w:val="0076187B"/>
    <w:rsid w:val="007618C2"/>
    <w:rsid w:val="007618E9"/>
    <w:rsid w:val="0076195F"/>
    <w:rsid w:val="00761A02"/>
    <w:rsid w:val="00761A36"/>
    <w:rsid w:val="00761A55"/>
    <w:rsid w:val="00761AF9"/>
    <w:rsid w:val="00761B26"/>
    <w:rsid w:val="00761C6C"/>
    <w:rsid w:val="00761F4F"/>
    <w:rsid w:val="00761F97"/>
    <w:rsid w:val="00762113"/>
    <w:rsid w:val="00762355"/>
    <w:rsid w:val="0076237B"/>
    <w:rsid w:val="0076239B"/>
    <w:rsid w:val="00762595"/>
    <w:rsid w:val="007628C0"/>
    <w:rsid w:val="007629C9"/>
    <w:rsid w:val="00762AC2"/>
    <w:rsid w:val="00762AD0"/>
    <w:rsid w:val="00762AEC"/>
    <w:rsid w:val="00762B72"/>
    <w:rsid w:val="00762BF9"/>
    <w:rsid w:val="00762C81"/>
    <w:rsid w:val="00762CBF"/>
    <w:rsid w:val="00762D8E"/>
    <w:rsid w:val="00762DB3"/>
    <w:rsid w:val="00762F3D"/>
    <w:rsid w:val="00762F9F"/>
    <w:rsid w:val="007630BC"/>
    <w:rsid w:val="007631A4"/>
    <w:rsid w:val="00763644"/>
    <w:rsid w:val="00763693"/>
    <w:rsid w:val="00763711"/>
    <w:rsid w:val="007637CD"/>
    <w:rsid w:val="0076393C"/>
    <w:rsid w:val="00763B7E"/>
    <w:rsid w:val="00763C21"/>
    <w:rsid w:val="00763C8C"/>
    <w:rsid w:val="00763CCB"/>
    <w:rsid w:val="00763D5C"/>
    <w:rsid w:val="00763E5B"/>
    <w:rsid w:val="00763ED1"/>
    <w:rsid w:val="00763F36"/>
    <w:rsid w:val="00763F60"/>
    <w:rsid w:val="00763FA9"/>
    <w:rsid w:val="00763FAB"/>
    <w:rsid w:val="00764109"/>
    <w:rsid w:val="007641DE"/>
    <w:rsid w:val="0076426F"/>
    <w:rsid w:val="007642B4"/>
    <w:rsid w:val="007642FA"/>
    <w:rsid w:val="007645FB"/>
    <w:rsid w:val="0076486E"/>
    <w:rsid w:val="007649D9"/>
    <w:rsid w:val="00764A4A"/>
    <w:rsid w:val="00764B4C"/>
    <w:rsid w:val="00764C45"/>
    <w:rsid w:val="00764C7F"/>
    <w:rsid w:val="00765145"/>
    <w:rsid w:val="007652AB"/>
    <w:rsid w:val="0076533F"/>
    <w:rsid w:val="007653B8"/>
    <w:rsid w:val="00765460"/>
    <w:rsid w:val="00765483"/>
    <w:rsid w:val="007654C6"/>
    <w:rsid w:val="00765540"/>
    <w:rsid w:val="007656D2"/>
    <w:rsid w:val="007657D9"/>
    <w:rsid w:val="00765888"/>
    <w:rsid w:val="0076592C"/>
    <w:rsid w:val="007659B8"/>
    <w:rsid w:val="00765A7D"/>
    <w:rsid w:val="00765B12"/>
    <w:rsid w:val="00765D7C"/>
    <w:rsid w:val="00765D93"/>
    <w:rsid w:val="00765F04"/>
    <w:rsid w:val="00765FD1"/>
    <w:rsid w:val="0076601C"/>
    <w:rsid w:val="0076619A"/>
    <w:rsid w:val="0076624D"/>
    <w:rsid w:val="00766277"/>
    <w:rsid w:val="00766421"/>
    <w:rsid w:val="007664E0"/>
    <w:rsid w:val="0076656A"/>
    <w:rsid w:val="00766611"/>
    <w:rsid w:val="00766701"/>
    <w:rsid w:val="0076677F"/>
    <w:rsid w:val="0076687A"/>
    <w:rsid w:val="00766911"/>
    <w:rsid w:val="00766C52"/>
    <w:rsid w:val="00766CA7"/>
    <w:rsid w:val="00766DF6"/>
    <w:rsid w:val="00766E22"/>
    <w:rsid w:val="00766E62"/>
    <w:rsid w:val="00766F44"/>
    <w:rsid w:val="0076729A"/>
    <w:rsid w:val="007672E1"/>
    <w:rsid w:val="00767480"/>
    <w:rsid w:val="00767584"/>
    <w:rsid w:val="0076759D"/>
    <w:rsid w:val="007675A5"/>
    <w:rsid w:val="007675D5"/>
    <w:rsid w:val="00767693"/>
    <w:rsid w:val="00767735"/>
    <w:rsid w:val="0076777C"/>
    <w:rsid w:val="00767793"/>
    <w:rsid w:val="00767937"/>
    <w:rsid w:val="0076795C"/>
    <w:rsid w:val="007679CC"/>
    <w:rsid w:val="007679D8"/>
    <w:rsid w:val="00767A32"/>
    <w:rsid w:val="00767B77"/>
    <w:rsid w:val="00767BB7"/>
    <w:rsid w:val="00767D13"/>
    <w:rsid w:val="00767D56"/>
    <w:rsid w:val="0077015A"/>
    <w:rsid w:val="0077026A"/>
    <w:rsid w:val="007703AD"/>
    <w:rsid w:val="00770803"/>
    <w:rsid w:val="00770829"/>
    <w:rsid w:val="00770887"/>
    <w:rsid w:val="007708FD"/>
    <w:rsid w:val="007709B8"/>
    <w:rsid w:val="007709C9"/>
    <w:rsid w:val="00770A14"/>
    <w:rsid w:val="00770A79"/>
    <w:rsid w:val="00770B99"/>
    <w:rsid w:val="00770CC8"/>
    <w:rsid w:val="00770EA0"/>
    <w:rsid w:val="00770ED4"/>
    <w:rsid w:val="00770EF2"/>
    <w:rsid w:val="007711AB"/>
    <w:rsid w:val="007711B4"/>
    <w:rsid w:val="007711D3"/>
    <w:rsid w:val="00771231"/>
    <w:rsid w:val="00771319"/>
    <w:rsid w:val="007713E8"/>
    <w:rsid w:val="0077146E"/>
    <w:rsid w:val="007714B4"/>
    <w:rsid w:val="007714CF"/>
    <w:rsid w:val="0077172C"/>
    <w:rsid w:val="00771794"/>
    <w:rsid w:val="00771912"/>
    <w:rsid w:val="00771B0F"/>
    <w:rsid w:val="00771B9C"/>
    <w:rsid w:val="00771BA2"/>
    <w:rsid w:val="00771BE7"/>
    <w:rsid w:val="00771CCF"/>
    <w:rsid w:val="00771F7D"/>
    <w:rsid w:val="00771FBF"/>
    <w:rsid w:val="0077202F"/>
    <w:rsid w:val="007720FD"/>
    <w:rsid w:val="00772152"/>
    <w:rsid w:val="007721D8"/>
    <w:rsid w:val="00772411"/>
    <w:rsid w:val="00772424"/>
    <w:rsid w:val="007724A4"/>
    <w:rsid w:val="007724BB"/>
    <w:rsid w:val="0077261C"/>
    <w:rsid w:val="00772623"/>
    <w:rsid w:val="00772644"/>
    <w:rsid w:val="0077280C"/>
    <w:rsid w:val="0077281E"/>
    <w:rsid w:val="00772897"/>
    <w:rsid w:val="007728F0"/>
    <w:rsid w:val="00772970"/>
    <w:rsid w:val="00772975"/>
    <w:rsid w:val="00772A8E"/>
    <w:rsid w:val="00772B64"/>
    <w:rsid w:val="00772BF5"/>
    <w:rsid w:val="00772C3E"/>
    <w:rsid w:val="00772F55"/>
    <w:rsid w:val="00773224"/>
    <w:rsid w:val="00773243"/>
    <w:rsid w:val="00773261"/>
    <w:rsid w:val="00773284"/>
    <w:rsid w:val="00773366"/>
    <w:rsid w:val="007733AC"/>
    <w:rsid w:val="007734F0"/>
    <w:rsid w:val="00773568"/>
    <w:rsid w:val="007735DC"/>
    <w:rsid w:val="0077365A"/>
    <w:rsid w:val="007736E8"/>
    <w:rsid w:val="00773779"/>
    <w:rsid w:val="0077390B"/>
    <w:rsid w:val="00773BBD"/>
    <w:rsid w:val="00773CCF"/>
    <w:rsid w:val="00773E68"/>
    <w:rsid w:val="00774167"/>
    <w:rsid w:val="00774316"/>
    <w:rsid w:val="00774400"/>
    <w:rsid w:val="0077441C"/>
    <w:rsid w:val="007744B0"/>
    <w:rsid w:val="0077457B"/>
    <w:rsid w:val="0077467B"/>
    <w:rsid w:val="007748BB"/>
    <w:rsid w:val="00774ACE"/>
    <w:rsid w:val="00774CEB"/>
    <w:rsid w:val="00774CF0"/>
    <w:rsid w:val="00774D09"/>
    <w:rsid w:val="00774DC7"/>
    <w:rsid w:val="00774F67"/>
    <w:rsid w:val="0077503C"/>
    <w:rsid w:val="0077526E"/>
    <w:rsid w:val="00775370"/>
    <w:rsid w:val="007753F7"/>
    <w:rsid w:val="007754AE"/>
    <w:rsid w:val="00775527"/>
    <w:rsid w:val="007755B0"/>
    <w:rsid w:val="00775753"/>
    <w:rsid w:val="007757A2"/>
    <w:rsid w:val="007757E2"/>
    <w:rsid w:val="007757ED"/>
    <w:rsid w:val="00775823"/>
    <w:rsid w:val="00775926"/>
    <w:rsid w:val="00775956"/>
    <w:rsid w:val="00775A33"/>
    <w:rsid w:val="00775B63"/>
    <w:rsid w:val="00775B77"/>
    <w:rsid w:val="00775BF1"/>
    <w:rsid w:val="00775C46"/>
    <w:rsid w:val="00775EF4"/>
    <w:rsid w:val="00775EFA"/>
    <w:rsid w:val="00775F0A"/>
    <w:rsid w:val="00775F33"/>
    <w:rsid w:val="00775F57"/>
    <w:rsid w:val="00775F69"/>
    <w:rsid w:val="007760D9"/>
    <w:rsid w:val="00776190"/>
    <w:rsid w:val="007761A7"/>
    <w:rsid w:val="00776395"/>
    <w:rsid w:val="0077639A"/>
    <w:rsid w:val="007763CB"/>
    <w:rsid w:val="007763FB"/>
    <w:rsid w:val="00776468"/>
    <w:rsid w:val="007764F8"/>
    <w:rsid w:val="00776584"/>
    <w:rsid w:val="007765E3"/>
    <w:rsid w:val="007767EF"/>
    <w:rsid w:val="00776852"/>
    <w:rsid w:val="007769EF"/>
    <w:rsid w:val="00776A3F"/>
    <w:rsid w:val="00776AD3"/>
    <w:rsid w:val="00776C42"/>
    <w:rsid w:val="00776CEC"/>
    <w:rsid w:val="00776D4F"/>
    <w:rsid w:val="00776D7E"/>
    <w:rsid w:val="00776DDC"/>
    <w:rsid w:val="00776EB8"/>
    <w:rsid w:val="00776EF6"/>
    <w:rsid w:val="00776F13"/>
    <w:rsid w:val="00776F3F"/>
    <w:rsid w:val="007770F9"/>
    <w:rsid w:val="00777179"/>
    <w:rsid w:val="00777292"/>
    <w:rsid w:val="00777668"/>
    <w:rsid w:val="007777D0"/>
    <w:rsid w:val="0077780A"/>
    <w:rsid w:val="00777945"/>
    <w:rsid w:val="00777A2F"/>
    <w:rsid w:val="00777A7D"/>
    <w:rsid w:val="00777AB6"/>
    <w:rsid w:val="00777AE2"/>
    <w:rsid w:val="00777B4E"/>
    <w:rsid w:val="00777B56"/>
    <w:rsid w:val="00777CF4"/>
    <w:rsid w:val="00777D40"/>
    <w:rsid w:val="00777D71"/>
    <w:rsid w:val="00777EEF"/>
    <w:rsid w:val="00780170"/>
    <w:rsid w:val="0078017D"/>
    <w:rsid w:val="0078030E"/>
    <w:rsid w:val="00780537"/>
    <w:rsid w:val="00780589"/>
    <w:rsid w:val="0078062E"/>
    <w:rsid w:val="007807CE"/>
    <w:rsid w:val="00780AD2"/>
    <w:rsid w:val="00780B22"/>
    <w:rsid w:val="00780B74"/>
    <w:rsid w:val="00780B8D"/>
    <w:rsid w:val="00780B8E"/>
    <w:rsid w:val="00780C3F"/>
    <w:rsid w:val="00780F1B"/>
    <w:rsid w:val="00780FF5"/>
    <w:rsid w:val="007811B5"/>
    <w:rsid w:val="0078139D"/>
    <w:rsid w:val="007813AD"/>
    <w:rsid w:val="007814C8"/>
    <w:rsid w:val="00781528"/>
    <w:rsid w:val="00781649"/>
    <w:rsid w:val="007817E8"/>
    <w:rsid w:val="00781829"/>
    <w:rsid w:val="00781BA2"/>
    <w:rsid w:val="00781C55"/>
    <w:rsid w:val="00781C8E"/>
    <w:rsid w:val="00781D0A"/>
    <w:rsid w:val="00781F1D"/>
    <w:rsid w:val="00781FC8"/>
    <w:rsid w:val="00781FDE"/>
    <w:rsid w:val="00782089"/>
    <w:rsid w:val="00782186"/>
    <w:rsid w:val="00782192"/>
    <w:rsid w:val="00782237"/>
    <w:rsid w:val="00782254"/>
    <w:rsid w:val="00782287"/>
    <w:rsid w:val="007823D6"/>
    <w:rsid w:val="0078241E"/>
    <w:rsid w:val="0078254E"/>
    <w:rsid w:val="00782628"/>
    <w:rsid w:val="007826AB"/>
    <w:rsid w:val="0078271A"/>
    <w:rsid w:val="007827D6"/>
    <w:rsid w:val="00782A15"/>
    <w:rsid w:val="00782A53"/>
    <w:rsid w:val="00782ABF"/>
    <w:rsid w:val="00782B0F"/>
    <w:rsid w:val="00782B24"/>
    <w:rsid w:val="00782BB7"/>
    <w:rsid w:val="00782C08"/>
    <w:rsid w:val="00782C3F"/>
    <w:rsid w:val="00782CF5"/>
    <w:rsid w:val="00782FD6"/>
    <w:rsid w:val="007830E3"/>
    <w:rsid w:val="00783323"/>
    <w:rsid w:val="00783394"/>
    <w:rsid w:val="0078359C"/>
    <w:rsid w:val="007836EC"/>
    <w:rsid w:val="00783798"/>
    <w:rsid w:val="00783B34"/>
    <w:rsid w:val="00783BE8"/>
    <w:rsid w:val="00783C86"/>
    <w:rsid w:val="00783EAC"/>
    <w:rsid w:val="00783F85"/>
    <w:rsid w:val="00784077"/>
    <w:rsid w:val="007840E2"/>
    <w:rsid w:val="0078414F"/>
    <w:rsid w:val="00784151"/>
    <w:rsid w:val="0078416F"/>
    <w:rsid w:val="00784228"/>
    <w:rsid w:val="00784385"/>
    <w:rsid w:val="007843F3"/>
    <w:rsid w:val="007844E1"/>
    <w:rsid w:val="007845C8"/>
    <w:rsid w:val="007848C6"/>
    <w:rsid w:val="00784956"/>
    <w:rsid w:val="007849CC"/>
    <w:rsid w:val="00784AFF"/>
    <w:rsid w:val="00784B4A"/>
    <w:rsid w:val="00784D0D"/>
    <w:rsid w:val="00784D71"/>
    <w:rsid w:val="00784DEC"/>
    <w:rsid w:val="00784DED"/>
    <w:rsid w:val="00784ECA"/>
    <w:rsid w:val="00784F11"/>
    <w:rsid w:val="00785061"/>
    <w:rsid w:val="00785118"/>
    <w:rsid w:val="00785124"/>
    <w:rsid w:val="00785211"/>
    <w:rsid w:val="00785348"/>
    <w:rsid w:val="007854F4"/>
    <w:rsid w:val="00785585"/>
    <w:rsid w:val="0078569F"/>
    <w:rsid w:val="00785803"/>
    <w:rsid w:val="007858EE"/>
    <w:rsid w:val="00785B77"/>
    <w:rsid w:val="00785DB7"/>
    <w:rsid w:val="00785E82"/>
    <w:rsid w:val="00785EB4"/>
    <w:rsid w:val="00785EDC"/>
    <w:rsid w:val="00785F90"/>
    <w:rsid w:val="00786003"/>
    <w:rsid w:val="0078609A"/>
    <w:rsid w:val="00786103"/>
    <w:rsid w:val="00786128"/>
    <w:rsid w:val="0078633D"/>
    <w:rsid w:val="00786352"/>
    <w:rsid w:val="0078636F"/>
    <w:rsid w:val="00786416"/>
    <w:rsid w:val="0078656E"/>
    <w:rsid w:val="0078679D"/>
    <w:rsid w:val="00786827"/>
    <w:rsid w:val="0078683A"/>
    <w:rsid w:val="00786A65"/>
    <w:rsid w:val="00786B22"/>
    <w:rsid w:val="00786B30"/>
    <w:rsid w:val="00786B80"/>
    <w:rsid w:val="00786BD5"/>
    <w:rsid w:val="00786C2D"/>
    <w:rsid w:val="00786D67"/>
    <w:rsid w:val="00786D8A"/>
    <w:rsid w:val="00786E81"/>
    <w:rsid w:val="00786F0B"/>
    <w:rsid w:val="00786F74"/>
    <w:rsid w:val="00786F85"/>
    <w:rsid w:val="0078701B"/>
    <w:rsid w:val="007870B5"/>
    <w:rsid w:val="00787195"/>
    <w:rsid w:val="00787214"/>
    <w:rsid w:val="0078727E"/>
    <w:rsid w:val="0078730E"/>
    <w:rsid w:val="0078731A"/>
    <w:rsid w:val="007873B3"/>
    <w:rsid w:val="007873BD"/>
    <w:rsid w:val="00787402"/>
    <w:rsid w:val="00787462"/>
    <w:rsid w:val="00787487"/>
    <w:rsid w:val="007874AF"/>
    <w:rsid w:val="00787678"/>
    <w:rsid w:val="0078797D"/>
    <w:rsid w:val="00787983"/>
    <w:rsid w:val="0078798A"/>
    <w:rsid w:val="00787A29"/>
    <w:rsid w:val="00787B1C"/>
    <w:rsid w:val="00787B70"/>
    <w:rsid w:val="00787CF7"/>
    <w:rsid w:val="00787E5A"/>
    <w:rsid w:val="00787EE4"/>
    <w:rsid w:val="00787F69"/>
    <w:rsid w:val="00787F81"/>
    <w:rsid w:val="00790027"/>
    <w:rsid w:val="00790151"/>
    <w:rsid w:val="007901A8"/>
    <w:rsid w:val="007902A5"/>
    <w:rsid w:val="0079033C"/>
    <w:rsid w:val="00790365"/>
    <w:rsid w:val="0079051C"/>
    <w:rsid w:val="00790608"/>
    <w:rsid w:val="00790677"/>
    <w:rsid w:val="007906CC"/>
    <w:rsid w:val="007906EC"/>
    <w:rsid w:val="007906F1"/>
    <w:rsid w:val="00790832"/>
    <w:rsid w:val="0079086E"/>
    <w:rsid w:val="007908D2"/>
    <w:rsid w:val="00790924"/>
    <w:rsid w:val="0079095E"/>
    <w:rsid w:val="00790A29"/>
    <w:rsid w:val="00790ABB"/>
    <w:rsid w:val="00790ACE"/>
    <w:rsid w:val="00790B36"/>
    <w:rsid w:val="00790BF6"/>
    <w:rsid w:val="00790CBB"/>
    <w:rsid w:val="00790D58"/>
    <w:rsid w:val="00790DEE"/>
    <w:rsid w:val="00790EDA"/>
    <w:rsid w:val="00790F01"/>
    <w:rsid w:val="00790FB3"/>
    <w:rsid w:val="00790FC5"/>
    <w:rsid w:val="0079115E"/>
    <w:rsid w:val="007911C8"/>
    <w:rsid w:val="00791349"/>
    <w:rsid w:val="00791361"/>
    <w:rsid w:val="007913D6"/>
    <w:rsid w:val="00791461"/>
    <w:rsid w:val="00791475"/>
    <w:rsid w:val="007915F0"/>
    <w:rsid w:val="0079174A"/>
    <w:rsid w:val="00791877"/>
    <w:rsid w:val="00791A78"/>
    <w:rsid w:val="00791AB3"/>
    <w:rsid w:val="00791D85"/>
    <w:rsid w:val="00791DAF"/>
    <w:rsid w:val="00791F56"/>
    <w:rsid w:val="00791FA0"/>
    <w:rsid w:val="00792005"/>
    <w:rsid w:val="00792020"/>
    <w:rsid w:val="0079212B"/>
    <w:rsid w:val="00792141"/>
    <w:rsid w:val="00792242"/>
    <w:rsid w:val="00792251"/>
    <w:rsid w:val="00792340"/>
    <w:rsid w:val="00792360"/>
    <w:rsid w:val="007924CA"/>
    <w:rsid w:val="007925C5"/>
    <w:rsid w:val="007927F3"/>
    <w:rsid w:val="007927FF"/>
    <w:rsid w:val="00792828"/>
    <w:rsid w:val="00792880"/>
    <w:rsid w:val="007928C4"/>
    <w:rsid w:val="00792933"/>
    <w:rsid w:val="00792955"/>
    <w:rsid w:val="0079296D"/>
    <w:rsid w:val="007929D1"/>
    <w:rsid w:val="00792A5B"/>
    <w:rsid w:val="00792B8F"/>
    <w:rsid w:val="00792D53"/>
    <w:rsid w:val="00792E6B"/>
    <w:rsid w:val="00792E89"/>
    <w:rsid w:val="00793009"/>
    <w:rsid w:val="00793030"/>
    <w:rsid w:val="0079313B"/>
    <w:rsid w:val="0079317F"/>
    <w:rsid w:val="007931E4"/>
    <w:rsid w:val="00793339"/>
    <w:rsid w:val="00793416"/>
    <w:rsid w:val="0079346D"/>
    <w:rsid w:val="00793509"/>
    <w:rsid w:val="0079354D"/>
    <w:rsid w:val="0079362C"/>
    <w:rsid w:val="007936A3"/>
    <w:rsid w:val="00793787"/>
    <w:rsid w:val="0079386F"/>
    <w:rsid w:val="00793A39"/>
    <w:rsid w:val="00793A49"/>
    <w:rsid w:val="00793AF9"/>
    <w:rsid w:val="00793BB3"/>
    <w:rsid w:val="00793BC5"/>
    <w:rsid w:val="00793BCD"/>
    <w:rsid w:val="00793D0D"/>
    <w:rsid w:val="00793D9B"/>
    <w:rsid w:val="00793EC1"/>
    <w:rsid w:val="00793F26"/>
    <w:rsid w:val="00793FC0"/>
    <w:rsid w:val="00793FEF"/>
    <w:rsid w:val="00794105"/>
    <w:rsid w:val="00794146"/>
    <w:rsid w:val="007945A9"/>
    <w:rsid w:val="00794713"/>
    <w:rsid w:val="0079472A"/>
    <w:rsid w:val="00794819"/>
    <w:rsid w:val="00794836"/>
    <w:rsid w:val="007948BF"/>
    <w:rsid w:val="00794905"/>
    <w:rsid w:val="00794A60"/>
    <w:rsid w:val="00794AC2"/>
    <w:rsid w:val="00794AE1"/>
    <w:rsid w:val="00794B06"/>
    <w:rsid w:val="00794CBF"/>
    <w:rsid w:val="00794E1D"/>
    <w:rsid w:val="00794EB4"/>
    <w:rsid w:val="00794F1B"/>
    <w:rsid w:val="00795254"/>
    <w:rsid w:val="007952D3"/>
    <w:rsid w:val="00795365"/>
    <w:rsid w:val="0079541F"/>
    <w:rsid w:val="007955E9"/>
    <w:rsid w:val="0079566F"/>
    <w:rsid w:val="0079567E"/>
    <w:rsid w:val="00795836"/>
    <w:rsid w:val="0079587F"/>
    <w:rsid w:val="007958B1"/>
    <w:rsid w:val="00795960"/>
    <w:rsid w:val="007959CF"/>
    <w:rsid w:val="00795A83"/>
    <w:rsid w:val="00795B50"/>
    <w:rsid w:val="00795D41"/>
    <w:rsid w:val="00795E6B"/>
    <w:rsid w:val="00796032"/>
    <w:rsid w:val="00796085"/>
    <w:rsid w:val="007960B1"/>
    <w:rsid w:val="007961D5"/>
    <w:rsid w:val="007961E1"/>
    <w:rsid w:val="00796397"/>
    <w:rsid w:val="007963C8"/>
    <w:rsid w:val="00796425"/>
    <w:rsid w:val="0079642D"/>
    <w:rsid w:val="00796478"/>
    <w:rsid w:val="007965D8"/>
    <w:rsid w:val="00796645"/>
    <w:rsid w:val="00796790"/>
    <w:rsid w:val="00796966"/>
    <w:rsid w:val="00796A05"/>
    <w:rsid w:val="00796A0A"/>
    <w:rsid w:val="00796A6F"/>
    <w:rsid w:val="00796ADE"/>
    <w:rsid w:val="00796B22"/>
    <w:rsid w:val="00796C27"/>
    <w:rsid w:val="00796C5D"/>
    <w:rsid w:val="00796D3C"/>
    <w:rsid w:val="00796F92"/>
    <w:rsid w:val="00796FEE"/>
    <w:rsid w:val="00797012"/>
    <w:rsid w:val="00797046"/>
    <w:rsid w:val="007970AF"/>
    <w:rsid w:val="00797296"/>
    <w:rsid w:val="007972AC"/>
    <w:rsid w:val="007972F8"/>
    <w:rsid w:val="00797338"/>
    <w:rsid w:val="0079742D"/>
    <w:rsid w:val="007974E3"/>
    <w:rsid w:val="00797822"/>
    <w:rsid w:val="00797888"/>
    <w:rsid w:val="00797B06"/>
    <w:rsid w:val="00797B9C"/>
    <w:rsid w:val="00797B9E"/>
    <w:rsid w:val="00797C12"/>
    <w:rsid w:val="00797C84"/>
    <w:rsid w:val="00797D38"/>
    <w:rsid w:val="00797EB3"/>
    <w:rsid w:val="007A00D4"/>
    <w:rsid w:val="007A0159"/>
    <w:rsid w:val="007A01EB"/>
    <w:rsid w:val="007A0279"/>
    <w:rsid w:val="007A0367"/>
    <w:rsid w:val="007A038B"/>
    <w:rsid w:val="007A0428"/>
    <w:rsid w:val="007A0483"/>
    <w:rsid w:val="007A0610"/>
    <w:rsid w:val="007A080C"/>
    <w:rsid w:val="007A0B9A"/>
    <w:rsid w:val="007A0E82"/>
    <w:rsid w:val="007A0EB0"/>
    <w:rsid w:val="007A105F"/>
    <w:rsid w:val="007A1065"/>
    <w:rsid w:val="007A112B"/>
    <w:rsid w:val="007A12F7"/>
    <w:rsid w:val="007A1469"/>
    <w:rsid w:val="007A15B5"/>
    <w:rsid w:val="007A165F"/>
    <w:rsid w:val="007A16AB"/>
    <w:rsid w:val="007A1850"/>
    <w:rsid w:val="007A1A98"/>
    <w:rsid w:val="007A1AFA"/>
    <w:rsid w:val="007A1B36"/>
    <w:rsid w:val="007A1CF3"/>
    <w:rsid w:val="007A1D86"/>
    <w:rsid w:val="007A1EF2"/>
    <w:rsid w:val="007A22DF"/>
    <w:rsid w:val="007A2331"/>
    <w:rsid w:val="007A26CE"/>
    <w:rsid w:val="007A2763"/>
    <w:rsid w:val="007A2939"/>
    <w:rsid w:val="007A2A3C"/>
    <w:rsid w:val="007A2A53"/>
    <w:rsid w:val="007A2A97"/>
    <w:rsid w:val="007A2C62"/>
    <w:rsid w:val="007A2C66"/>
    <w:rsid w:val="007A2C6D"/>
    <w:rsid w:val="007A2CB9"/>
    <w:rsid w:val="007A2CDC"/>
    <w:rsid w:val="007A2D1D"/>
    <w:rsid w:val="007A2E31"/>
    <w:rsid w:val="007A2F1A"/>
    <w:rsid w:val="007A2FA3"/>
    <w:rsid w:val="007A3135"/>
    <w:rsid w:val="007A31BD"/>
    <w:rsid w:val="007A31C6"/>
    <w:rsid w:val="007A351E"/>
    <w:rsid w:val="007A371B"/>
    <w:rsid w:val="007A37EA"/>
    <w:rsid w:val="007A3832"/>
    <w:rsid w:val="007A388A"/>
    <w:rsid w:val="007A3A0F"/>
    <w:rsid w:val="007A3B5D"/>
    <w:rsid w:val="007A3B66"/>
    <w:rsid w:val="007A3B76"/>
    <w:rsid w:val="007A3C47"/>
    <w:rsid w:val="007A3E60"/>
    <w:rsid w:val="007A3E70"/>
    <w:rsid w:val="007A3F1C"/>
    <w:rsid w:val="007A3F41"/>
    <w:rsid w:val="007A3F78"/>
    <w:rsid w:val="007A4057"/>
    <w:rsid w:val="007A407D"/>
    <w:rsid w:val="007A4080"/>
    <w:rsid w:val="007A42C3"/>
    <w:rsid w:val="007A4621"/>
    <w:rsid w:val="007A464F"/>
    <w:rsid w:val="007A46F5"/>
    <w:rsid w:val="007A4700"/>
    <w:rsid w:val="007A480C"/>
    <w:rsid w:val="007A4944"/>
    <w:rsid w:val="007A4A56"/>
    <w:rsid w:val="007A4B0A"/>
    <w:rsid w:val="007A4C8C"/>
    <w:rsid w:val="007A4F7C"/>
    <w:rsid w:val="007A4FE8"/>
    <w:rsid w:val="007A5071"/>
    <w:rsid w:val="007A5089"/>
    <w:rsid w:val="007A512C"/>
    <w:rsid w:val="007A52C0"/>
    <w:rsid w:val="007A52DC"/>
    <w:rsid w:val="007A5744"/>
    <w:rsid w:val="007A57D6"/>
    <w:rsid w:val="007A593B"/>
    <w:rsid w:val="007A5AB3"/>
    <w:rsid w:val="007A5C53"/>
    <w:rsid w:val="007A5CDD"/>
    <w:rsid w:val="007A5CE7"/>
    <w:rsid w:val="007A5DF2"/>
    <w:rsid w:val="007A5DF8"/>
    <w:rsid w:val="007A6034"/>
    <w:rsid w:val="007A603C"/>
    <w:rsid w:val="007A610A"/>
    <w:rsid w:val="007A6183"/>
    <w:rsid w:val="007A6196"/>
    <w:rsid w:val="007A61F5"/>
    <w:rsid w:val="007A63CC"/>
    <w:rsid w:val="007A63D5"/>
    <w:rsid w:val="007A6685"/>
    <w:rsid w:val="007A6717"/>
    <w:rsid w:val="007A689A"/>
    <w:rsid w:val="007A68EA"/>
    <w:rsid w:val="007A6A0B"/>
    <w:rsid w:val="007A6A44"/>
    <w:rsid w:val="007A6B1A"/>
    <w:rsid w:val="007A6B7D"/>
    <w:rsid w:val="007A6B87"/>
    <w:rsid w:val="007A6CA4"/>
    <w:rsid w:val="007A6CB2"/>
    <w:rsid w:val="007A6CC5"/>
    <w:rsid w:val="007A6D61"/>
    <w:rsid w:val="007A6DAB"/>
    <w:rsid w:val="007A6DE4"/>
    <w:rsid w:val="007A7231"/>
    <w:rsid w:val="007A7277"/>
    <w:rsid w:val="007A7342"/>
    <w:rsid w:val="007A73A1"/>
    <w:rsid w:val="007A73DA"/>
    <w:rsid w:val="007A7437"/>
    <w:rsid w:val="007A7561"/>
    <w:rsid w:val="007A7629"/>
    <w:rsid w:val="007A7755"/>
    <w:rsid w:val="007A77C7"/>
    <w:rsid w:val="007A7967"/>
    <w:rsid w:val="007A7A89"/>
    <w:rsid w:val="007A7AFA"/>
    <w:rsid w:val="007A7B2C"/>
    <w:rsid w:val="007A7B73"/>
    <w:rsid w:val="007A7BA5"/>
    <w:rsid w:val="007A7BB5"/>
    <w:rsid w:val="007A7BFE"/>
    <w:rsid w:val="007A7CD5"/>
    <w:rsid w:val="007A7D32"/>
    <w:rsid w:val="007A7DE7"/>
    <w:rsid w:val="007A7E5F"/>
    <w:rsid w:val="007A7E66"/>
    <w:rsid w:val="007A7F4A"/>
    <w:rsid w:val="007B0086"/>
    <w:rsid w:val="007B0111"/>
    <w:rsid w:val="007B0160"/>
    <w:rsid w:val="007B02A2"/>
    <w:rsid w:val="007B04AA"/>
    <w:rsid w:val="007B057E"/>
    <w:rsid w:val="007B05DF"/>
    <w:rsid w:val="007B0738"/>
    <w:rsid w:val="007B07EB"/>
    <w:rsid w:val="007B0814"/>
    <w:rsid w:val="007B0845"/>
    <w:rsid w:val="007B08CD"/>
    <w:rsid w:val="007B08F5"/>
    <w:rsid w:val="007B0983"/>
    <w:rsid w:val="007B0991"/>
    <w:rsid w:val="007B0A03"/>
    <w:rsid w:val="007B0A12"/>
    <w:rsid w:val="007B0CA0"/>
    <w:rsid w:val="007B0CA4"/>
    <w:rsid w:val="007B0D65"/>
    <w:rsid w:val="007B0DC4"/>
    <w:rsid w:val="007B0F9B"/>
    <w:rsid w:val="007B1027"/>
    <w:rsid w:val="007B107B"/>
    <w:rsid w:val="007B1198"/>
    <w:rsid w:val="007B11D1"/>
    <w:rsid w:val="007B1218"/>
    <w:rsid w:val="007B1243"/>
    <w:rsid w:val="007B1246"/>
    <w:rsid w:val="007B14E0"/>
    <w:rsid w:val="007B1605"/>
    <w:rsid w:val="007B1637"/>
    <w:rsid w:val="007B1691"/>
    <w:rsid w:val="007B174F"/>
    <w:rsid w:val="007B1783"/>
    <w:rsid w:val="007B17B4"/>
    <w:rsid w:val="007B1837"/>
    <w:rsid w:val="007B1863"/>
    <w:rsid w:val="007B1874"/>
    <w:rsid w:val="007B1A89"/>
    <w:rsid w:val="007B1B0D"/>
    <w:rsid w:val="007B1B55"/>
    <w:rsid w:val="007B1D53"/>
    <w:rsid w:val="007B1F88"/>
    <w:rsid w:val="007B1FA4"/>
    <w:rsid w:val="007B20EE"/>
    <w:rsid w:val="007B21A5"/>
    <w:rsid w:val="007B22E0"/>
    <w:rsid w:val="007B2376"/>
    <w:rsid w:val="007B2539"/>
    <w:rsid w:val="007B26E7"/>
    <w:rsid w:val="007B276A"/>
    <w:rsid w:val="007B28CA"/>
    <w:rsid w:val="007B28DF"/>
    <w:rsid w:val="007B2A6A"/>
    <w:rsid w:val="007B2BE5"/>
    <w:rsid w:val="007B2BF9"/>
    <w:rsid w:val="007B2C0F"/>
    <w:rsid w:val="007B2D55"/>
    <w:rsid w:val="007B30C9"/>
    <w:rsid w:val="007B3199"/>
    <w:rsid w:val="007B31B2"/>
    <w:rsid w:val="007B31FE"/>
    <w:rsid w:val="007B3213"/>
    <w:rsid w:val="007B32F7"/>
    <w:rsid w:val="007B3372"/>
    <w:rsid w:val="007B3445"/>
    <w:rsid w:val="007B3535"/>
    <w:rsid w:val="007B358D"/>
    <w:rsid w:val="007B3629"/>
    <w:rsid w:val="007B38F0"/>
    <w:rsid w:val="007B3BDD"/>
    <w:rsid w:val="007B3CB8"/>
    <w:rsid w:val="007B3DB8"/>
    <w:rsid w:val="007B3E5F"/>
    <w:rsid w:val="007B3FD0"/>
    <w:rsid w:val="007B40E0"/>
    <w:rsid w:val="007B423B"/>
    <w:rsid w:val="007B455B"/>
    <w:rsid w:val="007B47A0"/>
    <w:rsid w:val="007B4985"/>
    <w:rsid w:val="007B49B8"/>
    <w:rsid w:val="007B4AA4"/>
    <w:rsid w:val="007B4C9B"/>
    <w:rsid w:val="007B4F69"/>
    <w:rsid w:val="007B4F98"/>
    <w:rsid w:val="007B5167"/>
    <w:rsid w:val="007B5182"/>
    <w:rsid w:val="007B5218"/>
    <w:rsid w:val="007B5401"/>
    <w:rsid w:val="007B54BB"/>
    <w:rsid w:val="007B5522"/>
    <w:rsid w:val="007B56F3"/>
    <w:rsid w:val="007B5894"/>
    <w:rsid w:val="007B58A7"/>
    <w:rsid w:val="007B58B5"/>
    <w:rsid w:val="007B5A00"/>
    <w:rsid w:val="007B5A09"/>
    <w:rsid w:val="007B5CA8"/>
    <w:rsid w:val="007B5CD7"/>
    <w:rsid w:val="007B5E62"/>
    <w:rsid w:val="007B5E7E"/>
    <w:rsid w:val="007B5FB4"/>
    <w:rsid w:val="007B6180"/>
    <w:rsid w:val="007B631D"/>
    <w:rsid w:val="007B6465"/>
    <w:rsid w:val="007B65AB"/>
    <w:rsid w:val="007B65FF"/>
    <w:rsid w:val="007B6624"/>
    <w:rsid w:val="007B679D"/>
    <w:rsid w:val="007B68A0"/>
    <w:rsid w:val="007B68AB"/>
    <w:rsid w:val="007B6977"/>
    <w:rsid w:val="007B69A4"/>
    <w:rsid w:val="007B69F5"/>
    <w:rsid w:val="007B6AD9"/>
    <w:rsid w:val="007B6B2B"/>
    <w:rsid w:val="007B6B4A"/>
    <w:rsid w:val="007B6B95"/>
    <w:rsid w:val="007B6BD8"/>
    <w:rsid w:val="007B6CBA"/>
    <w:rsid w:val="007B6D26"/>
    <w:rsid w:val="007B6E45"/>
    <w:rsid w:val="007B6FF4"/>
    <w:rsid w:val="007B7322"/>
    <w:rsid w:val="007B7326"/>
    <w:rsid w:val="007B7380"/>
    <w:rsid w:val="007B7551"/>
    <w:rsid w:val="007B75F1"/>
    <w:rsid w:val="007B774A"/>
    <w:rsid w:val="007B77D9"/>
    <w:rsid w:val="007B788F"/>
    <w:rsid w:val="007B78B5"/>
    <w:rsid w:val="007B7949"/>
    <w:rsid w:val="007B7989"/>
    <w:rsid w:val="007B7A1F"/>
    <w:rsid w:val="007B7A2F"/>
    <w:rsid w:val="007B7ACB"/>
    <w:rsid w:val="007B7B3A"/>
    <w:rsid w:val="007B7D30"/>
    <w:rsid w:val="007B7E2F"/>
    <w:rsid w:val="007B7E5C"/>
    <w:rsid w:val="007B7EB3"/>
    <w:rsid w:val="007C0070"/>
    <w:rsid w:val="007C00A6"/>
    <w:rsid w:val="007C00A8"/>
    <w:rsid w:val="007C0288"/>
    <w:rsid w:val="007C0310"/>
    <w:rsid w:val="007C0447"/>
    <w:rsid w:val="007C06DC"/>
    <w:rsid w:val="007C0780"/>
    <w:rsid w:val="007C07D6"/>
    <w:rsid w:val="007C0802"/>
    <w:rsid w:val="007C0919"/>
    <w:rsid w:val="007C0937"/>
    <w:rsid w:val="007C0968"/>
    <w:rsid w:val="007C097B"/>
    <w:rsid w:val="007C09AB"/>
    <w:rsid w:val="007C09D6"/>
    <w:rsid w:val="007C0C93"/>
    <w:rsid w:val="007C0EE2"/>
    <w:rsid w:val="007C0FA9"/>
    <w:rsid w:val="007C0FD6"/>
    <w:rsid w:val="007C0FDE"/>
    <w:rsid w:val="007C109D"/>
    <w:rsid w:val="007C127C"/>
    <w:rsid w:val="007C1598"/>
    <w:rsid w:val="007C171F"/>
    <w:rsid w:val="007C192A"/>
    <w:rsid w:val="007C1943"/>
    <w:rsid w:val="007C195F"/>
    <w:rsid w:val="007C1BB2"/>
    <w:rsid w:val="007C1D70"/>
    <w:rsid w:val="007C1EB1"/>
    <w:rsid w:val="007C1EB6"/>
    <w:rsid w:val="007C1EC3"/>
    <w:rsid w:val="007C1FD8"/>
    <w:rsid w:val="007C220F"/>
    <w:rsid w:val="007C2275"/>
    <w:rsid w:val="007C2413"/>
    <w:rsid w:val="007C2437"/>
    <w:rsid w:val="007C2576"/>
    <w:rsid w:val="007C2593"/>
    <w:rsid w:val="007C25AE"/>
    <w:rsid w:val="007C265A"/>
    <w:rsid w:val="007C26E5"/>
    <w:rsid w:val="007C27D2"/>
    <w:rsid w:val="007C27DC"/>
    <w:rsid w:val="007C27E9"/>
    <w:rsid w:val="007C281A"/>
    <w:rsid w:val="007C2B27"/>
    <w:rsid w:val="007C2D16"/>
    <w:rsid w:val="007C2DD5"/>
    <w:rsid w:val="007C2E0E"/>
    <w:rsid w:val="007C3048"/>
    <w:rsid w:val="007C3152"/>
    <w:rsid w:val="007C326E"/>
    <w:rsid w:val="007C333B"/>
    <w:rsid w:val="007C34EA"/>
    <w:rsid w:val="007C3561"/>
    <w:rsid w:val="007C35BA"/>
    <w:rsid w:val="007C3695"/>
    <w:rsid w:val="007C3720"/>
    <w:rsid w:val="007C3812"/>
    <w:rsid w:val="007C3914"/>
    <w:rsid w:val="007C3993"/>
    <w:rsid w:val="007C3B52"/>
    <w:rsid w:val="007C3C6D"/>
    <w:rsid w:val="007C3CA2"/>
    <w:rsid w:val="007C3CEA"/>
    <w:rsid w:val="007C3D09"/>
    <w:rsid w:val="007C3D92"/>
    <w:rsid w:val="007C3E98"/>
    <w:rsid w:val="007C3EFF"/>
    <w:rsid w:val="007C40C5"/>
    <w:rsid w:val="007C4212"/>
    <w:rsid w:val="007C43E7"/>
    <w:rsid w:val="007C44A1"/>
    <w:rsid w:val="007C455B"/>
    <w:rsid w:val="007C46BE"/>
    <w:rsid w:val="007C477B"/>
    <w:rsid w:val="007C477E"/>
    <w:rsid w:val="007C4839"/>
    <w:rsid w:val="007C4893"/>
    <w:rsid w:val="007C48A9"/>
    <w:rsid w:val="007C48BF"/>
    <w:rsid w:val="007C4962"/>
    <w:rsid w:val="007C4BC4"/>
    <w:rsid w:val="007C4BE1"/>
    <w:rsid w:val="007C4D90"/>
    <w:rsid w:val="007C4DFE"/>
    <w:rsid w:val="007C4E76"/>
    <w:rsid w:val="007C4E91"/>
    <w:rsid w:val="007C507D"/>
    <w:rsid w:val="007C50D8"/>
    <w:rsid w:val="007C51CE"/>
    <w:rsid w:val="007C520A"/>
    <w:rsid w:val="007C538D"/>
    <w:rsid w:val="007C5593"/>
    <w:rsid w:val="007C55B2"/>
    <w:rsid w:val="007C568A"/>
    <w:rsid w:val="007C570E"/>
    <w:rsid w:val="007C584A"/>
    <w:rsid w:val="007C5896"/>
    <w:rsid w:val="007C58FA"/>
    <w:rsid w:val="007C592D"/>
    <w:rsid w:val="007C5A41"/>
    <w:rsid w:val="007C5A8F"/>
    <w:rsid w:val="007C5B04"/>
    <w:rsid w:val="007C5B38"/>
    <w:rsid w:val="007C5E4F"/>
    <w:rsid w:val="007C5F7B"/>
    <w:rsid w:val="007C5FA9"/>
    <w:rsid w:val="007C5FB7"/>
    <w:rsid w:val="007C6012"/>
    <w:rsid w:val="007C60AD"/>
    <w:rsid w:val="007C62F6"/>
    <w:rsid w:val="007C638D"/>
    <w:rsid w:val="007C6593"/>
    <w:rsid w:val="007C6662"/>
    <w:rsid w:val="007C6680"/>
    <w:rsid w:val="007C6683"/>
    <w:rsid w:val="007C668A"/>
    <w:rsid w:val="007C67A7"/>
    <w:rsid w:val="007C6861"/>
    <w:rsid w:val="007C6A59"/>
    <w:rsid w:val="007C6B6C"/>
    <w:rsid w:val="007C6C2F"/>
    <w:rsid w:val="007C6C8C"/>
    <w:rsid w:val="007C6E83"/>
    <w:rsid w:val="007C6F56"/>
    <w:rsid w:val="007C70AA"/>
    <w:rsid w:val="007C70CF"/>
    <w:rsid w:val="007C7258"/>
    <w:rsid w:val="007C726C"/>
    <w:rsid w:val="007C75ED"/>
    <w:rsid w:val="007C76E8"/>
    <w:rsid w:val="007C7813"/>
    <w:rsid w:val="007C7822"/>
    <w:rsid w:val="007C7839"/>
    <w:rsid w:val="007C798E"/>
    <w:rsid w:val="007C7CB8"/>
    <w:rsid w:val="007C7D29"/>
    <w:rsid w:val="007C7D6E"/>
    <w:rsid w:val="007C7EFD"/>
    <w:rsid w:val="007C7FF8"/>
    <w:rsid w:val="007D01BB"/>
    <w:rsid w:val="007D01CC"/>
    <w:rsid w:val="007D01E4"/>
    <w:rsid w:val="007D01E6"/>
    <w:rsid w:val="007D0228"/>
    <w:rsid w:val="007D0234"/>
    <w:rsid w:val="007D02C5"/>
    <w:rsid w:val="007D0300"/>
    <w:rsid w:val="007D035E"/>
    <w:rsid w:val="007D0396"/>
    <w:rsid w:val="007D03F1"/>
    <w:rsid w:val="007D0459"/>
    <w:rsid w:val="007D05A3"/>
    <w:rsid w:val="007D05B9"/>
    <w:rsid w:val="007D0644"/>
    <w:rsid w:val="007D0854"/>
    <w:rsid w:val="007D09CA"/>
    <w:rsid w:val="007D0A9B"/>
    <w:rsid w:val="007D0B40"/>
    <w:rsid w:val="007D0B71"/>
    <w:rsid w:val="007D0B9F"/>
    <w:rsid w:val="007D0C00"/>
    <w:rsid w:val="007D0E24"/>
    <w:rsid w:val="007D0E5C"/>
    <w:rsid w:val="007D0E92"/>
    <w:rsid w:val="007D0EC1"/>
    <w:rsid w:val="007D0F1A"/>
    <w:rsid w:val="007D0FAE"/>
    <w:rsid w:val="007D128A"/>
    <w:rsid w:val="007D129C"/>
    <w:rsid w:val="007D12BE"/>
    <w:rsid w:val="007D1301"/>
    <w:rsid w:val="007D14CA"/>
    <w:rsid w:val="007D165A"/>
    <w:rsid w:val="007D1801"/>
    <w:rsid w:val="007D19D6"/>
    <w:rsid w:val="007D1B9D"/>
    <w:rsid w:val="007D1CCB"/>
    <w:rsid w:val="007D1D2A"/>
    <w:rsid w:val="007D1DBB"/>
    <w:rsid w:val="007D1E13"/>
    <w:rsid w:val="007D1F51"/>
    <w:rsid w:val="007D1FE0"/>
    <w:rsid w:val="007D204E"/>
    <w:rsid w:val="007D2081"/>
    <w:rsid w:val="007D2097"/>
    <w:rsid w:val="007D20BB"/>
    <w:rsid w:val="007D21F4"/>
    <w:rsid w:val="007D2314"/>
    <w:rsid w:val="007D2478"/>
    <w:rsid w:val="007D24C2"/>
    <w:rsid w:val="007D2579"/>
    <w:rsid w:val="007D25B6"/>
    <w:rsid w:val="007D261E"/>
    <w:rsid w:val="007D26D1"/>
    <w:rsid w:val="007D26E1"/>
    <w:rsid w:val="007D284B"/>
    <w:rsid w:val="007D291B"/>
    <w:rsid w:val="007D2A45"/>
    <w:rsid w:val="007D2AF8"/>
    <w:rsid w:val="007D2B2B"/>
    <w:rsid w:val="007D2B36"/>
    <w:rsid w:val="007D2B3D"/>
    <w:rsid w:val="007D2D5C"/>
    <w:rsid w:val="007D2DB6"/>
    <w:rsid w:val="007D2F2C"/>
    <w:rsid w:val="007D2F61"/>
    <w:rsid w:val="007D2F99"/>
    <w:rsid w:val="007D2FB1"/>
    <w:rsid w:val="007D3004"/>
    <w:rsid w:val="007D3045"/>
    <w:rsid w:val="007D3088"/>
    <w:rsid w:val="007D30A7"/>
    <w:rsid w:val="007D30B7"/>
    <w:rsid w:val="007D316D"/>
    <w:rsid w:val="007D317E"/>
    <w:rsid w:val="007D3181"/>
    <w:rsid w:val="007D3272"/>
    <w:rsid w:val="007D33AB"/>
    <w:rsid w:val="007D33AE"/>
    <w:rsid w:val="007D33DF"/>
    <w:rsid w:val="007D34FE"/>
    <w:rsid w:val="007D351D"/>
    <w:rsid w:val="007D361D"/>
    <w:rsid w:val="007D366C"/>
    <w:rsid w:val="007D38FB"/>
    <w:rsid w:val="007D3971"/>
    <w:rsid w:val="007D3B90"/>
    <w:rsid w:val="007D3BC6"/>
    <w:rsid w:val="007D3C33"/>
    <w:rsid w:val="007D3CB1"/>
    <w:rsid w:val="007D3D0E"/>
    <w:rsid w:val="007D3D33"/>
    <w:rsid w:val="007D3D3E"/>
    <w:rsid w:val="007D3D93"/>
    <w:rsid w:val="007D3F26"/>
    <w:rsid w:val="007D403A"/>
    <w:rsid w:val="007D41C2"/>
    <w:rsid w:val="007D427D"/>
    <w:rsid w:val="007D42B2"/>
    <w:rsid w:val="007D4331"/>
    <w:rsid w:val="007D4367"/>
    <w:rsid w:val="007D4370"/>
    <w:rsid w:val="007D4395"/>
    <w:rsid w:val="007D43AB"/>
    <w:rsid w:val="007D445D"/>
    <w:rsid w:val="007D4495"/>
    <w:rsid w:val="007D456F"/>
    <w:rsid w:val="007D45EE"/>
    <w:rsid w:val="007D46D1"/>
    <w:rsid w:val="007D47CB"/>
    <w:rsid w:val="007D487B"/>
    <w:rsid w:val="007D48E8"/>
    <w:rsid w:val="007D4AEF"/>
    <w:rsid w:val="007D4C5A"/>
    <w:rsid w:val="007D4D26"/>
    <w:rsid w:val="007D4ED9"/>
    <w:rsid w:val="007D4F02"/>
    <w:rsid w:val="007D51D9"/>
    <w:rsid w:val="007D52F0"/>
    <w:rsid w:val="007D5343"/>
    <w:rsid w:val="007D541B"/>
    <w:rsid w:val="007D5486"/>
    <w:rsid w:val="007D5490"/>
    <w:rsid w:val="007D553B"/>
    <w:rsid w:val="007D56BD"/>
    <w:rsid w:val="007D57A7"/>
    <w:rsid w:val="007D5B61"/>
    <w:rsid w:val="007D5BCC"/>
    <w:rsid w:val="007D5C36"/>
    <w:rsid w:val="007D5DC3"/>
    <w:rsid w:val="007D6052"/>
    <w:rsid w:val="007D608C"/>
    <w:rsid w:val="007D6184"/>
    <w:rsid w:val="007D6364"/>
    <w:rsid w:val="007D64B9"/>
    <w:rsid w:val="007D6523"/>
    <w:rsid w:val="007D665F"/>
    <w:rsid w:val="007D66D9"/>
    <w:rsid w:val="007D674C"/>
    <w:rsid w:val="007D6779"/>
    <w:rsid w:val="007D68C8"/>
    <w:rsid w:val="007D68EF"/>
    <w:rsid w:val="007D6A10"/>
    <w:rsid w:val="007D6ABF"/>
    <w:rsid w:val="007D6B7B"/>
    <w:rsid w:val="007D6C82"/>
    <w:rsid w:val="007D6CF1"/>
    <w:rsid w:val="007D6CF4"/>
    <w:rsid w:val="007D6CF8"/>
    <w:rsid w:val="007D7115"/>
    <w:rsid w:val="007D7131"/>
    <w:rsid w:val="007D7168"/>
    <w:rsid w:val="007D71F1"/>
    <w:rsid w:val="007D72E2"/>
    <w:rsid w:val="007D7535"/>
    <w:rsid w:val="007D7603"/>
    <w:rsid w:val="007D761C"/>
    <w:rsid w:val="007D7633"/>
    <w:rsid w:val="007D778D"/>
    <w:rsid w:val="007D7977"/>
    <w:rsid w:val="007D7997"/>
    <w:rsid w:val="007D7A9E"/>
    <w:rsid w:val="007D7BEC"/>
    <w:rsid w:val="007D7CE3"/>
    <w:rsid w:val="007D7D2B"/>
    <w:rsid w:val="007D7D99"/>
    <w:rsid w:val="007D7DA8"/>
    <w:rsid w:val="007D7DBD"/>
    <w:rsid w:val="007D7EC6"/>
    <w:rsid w:val="007D7F04"/>
    <w:rsid w:val="007E005A"/>
    <w:rsid w:val="007E0103"/>
    <w:rsid w:val="007E0121"/>
    <w:rsid w:val="007E018C"/>
    <w:rsid w:val="007E01AE"/>
    <w:rsid w:val="007E023C"/>
    <w:rsid w:val="007E0394"/>
    <w:rsid w:val="007E051A"/>
    <w:rsid w:val="007E0535"/>
    <w:rsid w:val="007E053C"/>
    <w:rsid w:val="007E053E"/>
    <w:rsid w:val="007E05B3"/>
    <w:rsid w:val="007E0629"/>
    <w:rsid w:val="007E071C"/>
    <w:rsid w:val="007E071E"/>
    <w:rsid w:val="007E0798"/>
    <w:rsid w:val="007E07F8"/>
    <w:rsid w:val="007E0961"/>
    <w:rsid w:val="007E09D0"/>
    <w:rsid w:val="007E0AD1"/>
    <w:rsid w:val="007E0AE3"/>
    <w:rsid w:val="007E0B5C"/>
    <w:rsid w:val="007E0C3E"/>
    <w:rsid w:val="007E0C59"/>
    <w:rsid w:val="007E0DAA"/>
    <w:rsid w:val="007E0E62"/>
    <w:rsid w:val="007E0EDE"/>
    <w:rsid w:val="007E1185"/>
    <w:rsid w:val="007E1187"/>
    <w:rsid w:val="007E1282"/>
    <w:rsid w:val="007E137E"/>
    <w:rsid w:val="007E1380"/>
    <w:rsid w:val="007E1565"/>
    <w:rsid w:val="007E15D5"/>
    <w:rsid w:val="007E16D0"/>
    <w:rsid w:val="007E1752"/>
    <w:rsid w:val="007E177A"/>
    <w:rsid w:val="007E1951"/>
    <w:rsid w:val="007E19AE"/>
    <w:rsid w:val="007E1AEC"/>
    <w:rsid w:val="007E1B4E"/>
    <w:rsid w:val="007E1B72"/>
    <w:rsid w:val="007E1CE9"/>
    <w:rsid w:val="007E1D83"/>
    <w:rsid w:val="007E1D99"/>
    <w:rsid w:val="007E1E01"/>
    <w:rsid w:val="007E1E41"/>
    <w:rsid w:val="007E1F29"/>
    <w:rsid w:val="007E1F49"/>
    <w:rsid w:val="007E1F92"/>
    <w:rsid w:val="007E2138"/>
    <w:rsid w:val="007E21BD"/>
    <w:rsid w:val="007E22C7"/>
    <w:rsid w:val="007E239C"/>
    <w:rsid w:val="007E2650"/>
    <w:rsid w:val="007E278F"/>
    <w:rsid w:val="007E2870"/>
    <w:rsid w:val="007E28BF"/>
    <w:rsid w:val="007E2949"/>
    <w:rsid w:val="007E2ABF"/>
    <w:rsid w:val="007E2BB0"/>
    <w:rsid w:val="007E2DF2"/>
    <w:rsid w:val="007E2E42"/>
    <w:rsid w:val="007E2F58"/>
    <w:rsid w:val="007E2FD7"/>
    <w:rsid w:val="007E2FEE"/>
    <w:rsid w:val="007E3036"/>
    <w:rsid w:val="007E30C3"/>
    <w:rsid w:val="007E3104"/>
    <w:rsid w:val="007E3151"/>
    <w:rsid w:val="007E319F"/>
    <w:rsid w:val="007E31FD"/>
    <w:rsid w:val="007E3201"/>
    <w:rsid w:val="007E3209"/>
    <w:rsid w:val="007E3218"/>
    <w:rsid w:val="007E3260"/>
    <w:rsid w:val="007E3270"/>
    <w:rsid w:val="007E33FF"/>
    <w:rsid w:val="007E34B3"/>
    <w:rsid w:val="007E34E6"/>
    <w:rsid w:val="007E3569"/>
    <w:rsid w:val="007E370D"/>
    <w:rsid w:val="007E3761"/>
    <w:rsid w:val="007E3996"/>
    <w:rsid w:val="007E3A4C"/>
    <w:rsid w:val="007E3A4D"/>
    <w:rsid w:val="007E3ABA"/>
    <w:rsid w:val="007E3AF9"/>
    <w:rsid w:val="007E3C18"/>
    <w:rsid w:val="007E3EE3"/>
    <w:rsid w:val="007E3F7C"/>
    <w:rsid w:val="007E4040"/>
    <w:rsid w:val="007E4155"/>
    <w:rsid w:val="007E4164"/>
    <w:rsid w:val="007E4195"/>
    <w:rsid w:val="007E420C"/>
    <w:rsid w:val="007E4225"/>
    <w:rsid w:val="007E4289"/>
    <w:rsid w:val="007E432B"/>
    <w:rsid w:val="007E46EA"/>
    <w:rsid w:val="007E47DB"/>
    <w:rsid w:val="007E4809"/>
    <w:rsid w:val="007E4B4C"/>
    <w:rsid w:val="007E4BE1"/>
    <w:rsid w:val="007E4DA7"/>
    <w:rsid w:val="007E4ED0"/>
    <w:rsid w:val="007E4FDB"/>
    <w:rsid w:val="007E50F5"/>
    <w:rsid w:val="007E51C6"/>
    <w:rsid w:val="007E5248"/>
    <w:rsid w:val="007E5273"/>
    <w:rsid w:val="007E55B4"/>
    <w:rsid w:val="007E5626"/>
    <w:rsid w:val="007E5680"/>
    <w:rsid w:val="007E56B2"/>
    <w:rsid w:val="007E56F9"/>
    <w:rsid w:val="007E57B0"/>
    <w:rsid w:val="007E57DE"/>
    <w:rsid w:val="007E57E9"/>
    <w:rsid w:val="007E5880"/>
    <w:rsid w:val="007E58B5"/>
    <w:rsid w:val="007E5902"/>
    <w:rsid w:val="007E5963"/>
    <w:rsid w:val="007E5972"/>
    <w:rsid w:val="007E59E7"/>
    <w:rsid w:val="007E5A4F"/>
    <w:rsid w:val="007E5C46"/>
    <w:rsid w:val="007E5C48"/>
    <w:rsid w:val="007E5C5C"/>
    <w:rsid w:val="007E5DA8"/>
    <w:rsid w:val="007E5F08"/>
    <w:rsid w:val="007E5FAC"/>
    <w:rsid w:val="007E5FB9"/>
    <w:rsid w:val="007E6243"/>
    <w:rsid w:val="007E6298"/>
    <w:rsid w:val="007E6472"/>
    <w:rsid w:val="007E6520"/>
    <w:rsid w:val="007E6594"/>
    <w:rsid w:val="007E66C8"/>
    <w:rsid w:val="007E6719"/>
    <w:rsid w:val="007E6747"/>
    <w:rsid w:val="007E676A"/>
    <w:rsid w:val="007E6853"/>
    <w:rsid w:val="007E685B"/>
    <w:rsid w:val="007E68ED"/>
    <w:rsid w:val="007E6957"/>
    <w:rsid w:val="007E69ED"/>
    <w:rsid w:val="007E6B34"/>
    <w:rsid w:val="007E6B76"/>
    <w:rsid w:val="007E6CDA"/>
    <w:rsid w:val="007E6CF9"/>
    <w:rsid w:val="007E6D62"/>
    <w:rsid w:val="007E6D9C"/>
    <w:rsid w:val="007E6F9D"/>
    <w:rsid w:val="007E7182"/>
    <w:rsid w:val="007E71D4"/>
    <w:rsid w:val="007E71E3"/>
    <w:rsid w:val="007E7290"/>
    <w:rsid w:val="007E733D"/>
    <w:rsid w:val="007E734A"/>
    <w:rsid w:val="007E7353"/>
    <w:rsid w:val="007E7404"/>
    <w:rsid w:val="007E75E2"/>
    <w:rsid w:val="007E763D"/>
    <w:rsid w:val="007E77B3"/>
    <w:rsid w:val="007E77E4"/>
    <w:rsid w:val="007E7979"/>
    <w:rsid w:val="007E798D"/>
    <w:rsid w:val="007E7994"/>
    <w:rsid w:val="007E7B2D"/>
    <w:rsid w:val="007E7B73"/>
    <w:rsid w:val="007E7BF8"/>
    <w:rsid w:val="007E7C19"/>
    <w:rsid w:val="007E7CB4"/>
    <w:rsid w:val="007E7CE7"/>
    <w:rsid w:val="007E7DE0"/>
    <w:rsid w:val="007F0221"/>
    <w:rsid w:val="007F02C1"/>
    <w:rsid w:val="007F0330"/>
    <w:rsid w:val="007F034B"/>
    <w:rsid w:val="007F036F"/>
    <w:rsid w:val="007F03BE"/>
    <w:rsid w:val="007F03FE"/>
    <w:rsid w:val="007F0454"/>
    <w:rsid w:val="007F068E"/>
    <w:rsid w:val="007F0774"/>
    <w:rsid w:val="007F0786"/>
    <w:rsid w:val="007F07B9"/>
    <w:rsid w:val="007F07E6"/>
    <w:rsid w:val="007F0928"/>
    <w:rsid w:val="007F0BBC"/>
    <w:rsid w:val="007F0F0E"/>
    <w:rsid w:val="007F0FE4"/>
    <w:rsid w:val="007F113A"/>
    <w:rsid w:val="007F12DD"/>
    <w:rsid w:val="007F1526"/>
    <w:rsid w:val="007F1552"/>
    <w:rsid w:val="007F15C0"/>
    <w:rsid w:val="007F15CE"/>
    <w:rsid w:val="007F16A5"/>
    <w:rsid w:val="007F1916"/>
    <w:rsid w:val="007F1924"/>
    <w:rsid w:val="007F1A77"/>
    <w:rsid w:val="007F1ACD"/>
    <w:rsid w:val="007F1B5C"/>
    <w:rsid w:val="007F1BFF"/>
    <w:rsid w:val="007F1C0E"/>
    <w:rsid w:val="007F1C25"/>
    <w:rsid w:val="007F1C54"/>
    <w:rsid w:val="007F1E88"/>
    <w:rsid w:val="007F1F8D"/>
    <w:rsid w:val="007F2012"/>
    <w:rsid w:val="007F24E6"/>
    <w:rsid w:val="007F25C8"/>
    <w:rsid w:val="007F264A"/>
    <w:rsid w:val="007F26D4"/>
    <w:rsid w:val="007F2748"/>
    <w:rsid w:val="007F2882"/>
    <w:rsid w:val="007F2927"/>
    <w:rsid w:val="007F2952"/>
    <w:rsid w:val="007F298C"/>
    <w:rsid w:val="007F29AB"/>
    <w:rsid w:val="007F2A5F"/>
    <w:rsid w:val="007F2B02"/>
    <w:rsid w:val="007F2B2A"/>
    <w:rsid w:val="007F2BDD"/>
    <w:rsid w:val="007F2C2D"/>
    <w:rsid w:val="007F2CD7"/>
    <w:rsid w:val="007F2D2A"/>
    <w:rsid w:val="007F2D5B"/>
    <w:rsid w:val="007F2E06"/>
    <w:rsid w:val="007F2E33"/>
    <w:rsid w:val="007F2E80"/>
    <w:rsid w:val="007F2F30"/>
    <w:rsid w:val="007F2F38"/>
    <w:rsid w:val="007F2F7F"/>
    <w:rsid w:val="007F3005"/>
    <w:rsid w:val="007F302D"/>
    <w:rsid w:val="007F3045"/>
    <w:rsid w:val="007F310A"/>
    <w:rsid w:val="007F3167"/>
    <w:rsid w:val="007F3222"/>
    <w:rsid w:val="007F3248"/>
    <w:rsid w:val="007F326F"/>
    <w:rsid w:val="007F3323"/>
    <w:rsid w:val="007F33C3"/>
    <w:rsid w:val="007F3551"/>
    <w:rsid w:val="007F3568"/>
    <w:rsid w:val="007F35C7"/>
    <w:rsid w:val="007F3629"/>
    <w:rsid w:val="007F37BE"/>
    <w:rsid w:val="007F3BCB"/>
    <w:rsid w:val="007F3C8C"/>
    <w:rsid w:val="007F3E16"/>
    <w:rsid w:val="007F4196"/>
    <w:rsid w:val="007F421B"/>
    <w:rsid w:val="007F422D"/>
    <w:rsid w:val="007F430B"/>
    <w:rsid w:val="007F438E"/>
    <w:rsid w:val="007F4439"/>
    <w:rsid w:val="007F4462"/>
    <w:rsid w:val="007F452A"/>
    <w:rsid w:val="007F465C"/>
    <w:rsid w:val="007F46C1"/>
    <w:rsid w:val="007F471B"/>
    <w:rsid w:val="007F4727"/>
    <w:rsid w:val="007F4738"/>
    <w:rsid w:val="007F4799"/>
    <w:rsid w:val="007F47A4"/>
    <w:rsid w:val="007F48D3"/>
    <w:rsid w:val="007F48FC"/>
    <w:rsid w:val="007F49AD"/>
    <w:rsid w:val="007F4DBA"/>
    <w:rsid w:val="007F4F57"/>
    <w:rsid w:val="007F519C"/>
    <w:rsid w:val="007F52A9"/>
    <w:rsid w:val="007F52EC"/>
    <w:rsid w:val="007F534B"/>
    <w:rsid w:val="007F534D"/>
    <w:rsid w:val="007F54A2"/>
    <w:rsid w:val="007F54FE"/>
    <w:rsid w:val="007F5535"/>
    <w:rsid w:val="007F55FC"/>
    <w:rsid w:val="007F56C8"/>
    <w:rsid w:val="007F576A"/>
    <w:rsid w:val="007F57D8"/>
    <w:rsid w:val="007F590D"/>
    <w:rsid w:val="007F5997"/>
    <w:rsid w:val="007F59D7"/>
    <w:rsid w:val="007F5AF2"/>
    <w:rsid w:val="007F5B53"/>
    <w:rsid w:val="007F5B62"/>
    <w:rsid w:val="007F5B9C"/>
    <w:rsid w:val="007F5BE0"/>
    <w:rsid w:val="007F5BE4"/>
    <w:rsid w:val="007F5C76"/>
    <w:rsid w:val="007F5CAA"/>
    <w:rsid w:val="007F5D32"/>
    <w:rsid w:val="007F5D5B"/>
    <w:rsid w:val="007F5DA0"/>
    <w:rsid w:val="007F5E82"/>
    <w:rsid w:val="007F5EAC"/>
    <w:rsid w:val="007F5F42"/>
    <w:rsid w:val="007F603C"/>
    <w:rsid w:val="007F6158"/>
    <w:rsid w:val="007F61D6"/>
    <w:rsid w:val="007F62EB"/>
    <w:rsid w:val="007F6351"/>
    <w:rsid w:val="007F6371"/>
    <w:rsid w:val="007F6472"/>
    <w:rsid w:val="007F6677"/>
    <w:rsid w:val="007F6805"/>
    <w:rsid w:val="007F68C4"/>
    <w:rsid w:val="007F69C6"/>
    <w:rsid w:val="007F69E4"/>
    <w:rsid w:val="007F69F3"/>
    <w:rsid w:val="007F6A50"/>
    <w:rsid w:val="007F6A59"/>
    <w:rsid w:val="007F6AAC"/>
    <w:rsid w:val="007F6BD0"/>
    <w:rsid w:val="007F6BFD"/>
    <w:rsid w:val="007F6D76"/>
    <w:rsid w:val="007F6D8C"/>
    <w:rsid w:val="007F6EB5"/>
    <w:rsid w:val="007F6F99"/>
    <w:rsid w:val="007F6FDD"/>
    <w:rsid w:val="007F7020"/>
    <w:rsid w:val="007F7092"/>
    <w:rsid w:val="007F70B1"/>
    <w:rsid w:val="007F72DC"/>
    <w:rsid w:val="007F76C8"/>
    <w:rsid w:val="007F772D"/>
    <w:rsid w:val="007F78A1"/>
    <w:rsid w:val="007F795F"/>
    <w:rsid w:val="007F7C72"/>
    <w:rsid w:val="007F7D1B"/>
    <w:rsid w:val="007F7D5C"/>
    <w:rsid w:val="007F7DF5"/>
    <w:rsid w:val="007F7F58"/>
    <w:rsid w:val="00800534"/>
    <w:rsid w:val="00800605"/>
    <w:rsid w:val="00800628"/>
    <w:rsid w:val="00800662"/>
    <w:rsid w:val="00800685"/>
    <w:rsid w:val="0080069C"/>
    <w:rsid w:val="008006FD"/>
    <w:rsid w:val="0080084B"/>
    <w:rsid w:val="0080097E"/>
    <w:rsid w:val="008009A9"/>
    <w:rsid w:val="008009BF"/>
    <w:rsid w:val="00800A74"/>
    <w:rsid w:val="00800C11"/>
    <w:rsid w:val="00800D07"/>
    <w:rsid w:val="00800D81"/>
    <w:rsid w:val="00800DB8"/>
    <w:rsid w:val="00800E1B"/>
    <w:rsid w:val="00800F69"/>
    <w:rsid w:val="0080100F"/>
    <w:rsid w:val="00801420"/>
    <w:rsid w:val="0080148D"/>
    <w:rsid w:val="0080156B"/>
    <w:rsid w:val="00801766"/>
    <w:rsid w:val="00801971"/>
    <w:rsid w:val="00801A3A"/>
    <w:rsid w:val="00801D85"/>
    <w:rsid w:val="00801DF4"/>
    <w:rsid w:val="00801EE2"/>
    <w:rsid w:val="00801F15"/>
    <w:rsid w:val="00802026"/>
    <w:rsid w:val="008020B6"/>
    <w:rsid w:val="008020D1"/>
    <w:rsid w:val="0080223C"/>
    <w:rsid w:val="0080236A"/>
    <w:rsid w:val="00802655"/>
    <w:rsid w:val="00802753"/>
    <w:rsid w:val="008028DA"/>
    <w:rsid w:val="008028EF"/>
    <w:rsid w:val="00802A28"/>
    <w:rsid w:val="00802A61"/>
    <w:rsid w:val="00802C23"/>
    <w:rsid w:val="00802D7C"/>
    <w:rsid w:val="00802DBD"/>
    <w:rsid w:val="0080305F"/>
    <w:rsid w:val="0080310D"/>
    <w:rsid w:val="00803182"/>
    <w:rsid w:val="008031A7"/>
    <w:rsid w:val="00803256"/>
    <w:rsid w:val="00803272"/>
    <w:rsid w:val="008032EC"/>
    <w:rsid w:val="00803384"/>
    <w:rsid w:val="0080350E"/>
    <w:rsid w:val="00803514"/>
    <w:rsid w:val="0080358B"/>
    <w:rsid w:val="0080360E"/>
    <w:rsid w:val="008036F8"/>
    <w:rsid w:val="00803762"/>
    <w:rsid w:val="0080380C"/>
    <w:rsid w:val="0080383E"/>
    <w:rsid w:val="008038A7"/>
    <w:rsid w:val="008038F1"/>
    <w:rsid w:val="00803934"/>
    <w:rsid w:val="00803946"/>
    <w:rsid w:val="008039AE"/>
    <w:rsid w:val="008039E3"/>
    <w:rsid w:val="00803BF1"/>
    <w:rsid w:val="00803C81"/>
    <w:rsid w:val="00803DF2"/>
    <w:rsid w:val="00803F67"/>
    <w:rsid w:val="00804100"/>
    <w:rsid w:val="00804114"/>
    <w:rsid w:val="0080415D"/>
    <w:rsid w:val="0080418E"/>
    <w:rsid w:val="0080430D"/>
    <w:rsid w:val="00804339"/>
    <w:rsid w:val="008043D6"/>
    <w:rsid w:val="0080447C"/>
    <w:rsid w:val="008044A0"/>
    <w:rsid w:val="00804518"/>
    <w:rsid w:val="00804566"/>
    <w:rsid w:val="00804634"/>
    <w:rsid w:val="0080477E"/>
    <w:rsid w:val="008047E8"/>
    <w:rsid w:val="00804810"/>
    <w:rsid w:val="00804874"/>
    <w:rsid w:val="008048D6"/>
    <w:rsid w:val="008049C0"/>
    <w:rsid w:val="008049E3"/>
    <w:rsid w:val="00804ADD"/>
    <w:rsid w:val="00804AE6"/>
    <w:rsid w:val="00804B54"/>
    <w:rsid w:val="00804D1C"/>
    <w:rsid w:val="00804D52"/>
    <w:rsid w:val="00804DE3"/>
    <w:rsid w:val="00804EDA"/>
    <w:rsid w:val="00805084"/>
    <w:rsid w:val="00805146"/>
    <w:rsid w:val="00805156"/>
    <w:rsid w:val="0080531E"/>
    <w:rsid w:val="008053DB"/>
    <w:rsid w:val="0080550B"/>
    <w:rsid w:val="0080587C"/>
    <w:rsid w:val="0080591E"/>
    <w:rsid w:val="00805A42"/>
    <w:rsid w:val="00805B96"/>
    <w:rsid w:val="00805C3D"/>
    <w:rsid w:val="00805E2E"/>
    <w:rsid w:val="0080602D"/>
    <w:rsid w:val="0080606E"/>
    <w:rsid w:val="008060FE"/>
    <w:rsid w:val="0080627E"/>
    <w:rsid w:val="008062E8"/>
    <w:rsid w:val="00806402"/>
    <w:rsid w:val="0080649A"/>
    <w:rsid w:val="008064A4"/>
    <w:rsid w:val="008065CB"/>
    <w:rsid w:val="008067DE"/>
    <w:rsid w:val="00806888"/>
    <w:rsid w:val="00806891"/>
    <w:rsid w:val="0080698C"/>
    <w:rsid w:val="008069B2"/>
    <w:rsid w:val="00806AB5"/>
    <w:rsid w:val="00806C45"/>
    <w:rsid w:val="00806EEE"/>
    <w:rsid w:val="00806F1D"/>
    <w:rsid w:val="00806F90"/>
    <w:rsid w:val="00806FB6"/>
    <w:rsid w:val="0080701F"/>
    <w:rsid w:val="00807052"/>
    <w:rsid w:val="0080705A"/>
    <w:rsid w:val="00807250"/>
    <w:rsid w:val="008073A3"/>
    <w:rsid w:val="008073DB"/>
    <w:rsid w:val="00807450"/>
    <w:rsid w:val="008074FC"/>
    <w:rsid w:val="00807695"/>
    <w:rsid w:val="008076D1"/>
    <w:rsid w:val="008077ED"/>
    <w:rsid w:val="00807A04"/>
    <w:rsid w:val="00807B6F"/>
    <w:rsid w:val="00807C3F"/>
    <w:rsid w:val="00807C5E"/>
    <w:rsid w:val="00807D39"/>
    <w:rsid w:val="00807D4D"/>
    <w:rsid w:val="00807D92"/>
    <w:rsid w:val="00807E87"/>
    <w:rsid w:val="00807E93"/>
    <w:rsid w:val="00807FED"/>
    <w:rsid w:val="008100B0"/>
    <w:rsid w:val="00810108"/>
    <w:rsid w:val="00810172"/>
    <w:rsid w:val="00810179"/>
    <w:rsid w:val="008101D5"/>
    <w:rsid w:val="00810207"/>
    <w:rsid w:val="00810224"/>
    <w:rsid w:val="008102CB"/>
    <w:rsid w:val="008102FF"/>
    <w:rsid w:val="008103C1"/>
    <w:rsid w:val="0081047F"/>
    <w:rsid w:val="00810480"/>
    <w:rsid w:val="00810491"/>
    <w:rsid w:val="00810683"/>
    <w:rsid w:val="00810688"/>
    <w:rsid w:val="008106C3"/>
    <w:rsid w:val="00810758"/>
    <w:rsid w:val="00810762"/>
    <w:rsid w:val="008107D7"/>
    <w:rsid w:val="00810858"/>
    <w:rsid w:val="00810986"/>
    <w:rsid w:val="00810B18"/>
    <w:rsid w:val="00810B38"/>
    <w:rsid w:val="00810CA2"/>
    <w:rsid w:val="00810E14"/>
    <w:rsid w:val="00810E6B"/>
    <w:rsid w:val="00810EFF"/>
    <w:rsid w:val="00810F85"/>
    <w:rsid w:val="0081102A"/>
    <w:rsid w:val="00811108"/>
    <w:rsid w:val="00811110"/>
    <w:rsid w:val="008111DA"/>
    <w:rsid w:val="00811228"/>
    <w:rsid w:val="008112D0"/>
    <w:rsid w:val="00811314"/>
    <w:rsid w:val="00811479"/>
    <w:rsid w:val="0081163B"/>
    <w:rsid w:val="00811647"/>
    <w:rsid w:val="0081172C"/>
    <w:rsid w:val="0081181F"/>
    <w:rsid w:val="0081186E"/>
    <w:rsid w:val="008118D5"/>
    <w:rsid w:val="00811922"/>
    <w:rsid w:val="00811926"/>
    <w:rsid w:val="008119CB"/>
    <w:rsid w:val="00811A39"/>
    <w:rsid w:val="00811ADA"/>
    <w:rsid w:val="00811B02"/>
    <w:rsid w:val="00811BA5"/>
    <w:rsid w:val="00811C1A"/>
    <w:rsid w:val="00811C75"/>
    <w:rsid w:val="00811D6F"/>
    <w:rsid w:val="00811E24"/>
    <w:rsid w:val="00811E71"/>
    <w:rsid w:val="00811F91"/>
    <w:rsid w:val="0081214E"/>
    <w:rsid w:val="008121A6"/>
    <w:rsid w:val="008121CC"/>
    <w:rsid w:val="008121D6"/>
    <w:rsid w:val="008121D7"/>
    <w:rsid w:val="00812202"/>
    <w:rsid w:val="008123F6"/>
    <w:rsid w:val="00812448"/>
    <w:rsid w:val="008125E0"/>
    <w:rsid w:val="00812634"/>
    <w:rsid w:val="008127E6"/>
    <w:rsid w:val="0081291B"/>
    <w:rsid w:val="00812A3F"/>
    <w:rsid w:val="00812AE9"/>
    <w:rsid w:val="00812B8C"/>
    <w:rsid w:val="00812C02"/>
    <w:rsid w:val="00812E2F"/>
    <w:rsid w:val="0081301C"/>
    <w:rsid w:val="00813157"/>
    <w:rsid w:val="00813197"/>
    <w:rsid w:val="00813238"/>
    <w:rsid w:val="00813447"/>
    <w:rsid w:val="00813622"/>
    <w:rsid w:val="0081385B"/>
    <w:rsid w:val="008139A1"/>
    <w:rsid w:val="00813A1B"/>
    <w:rsid w:val="00813C57"/>
    <w:rsid w:val="00813D66"/>
    <w:rsid w:val="00813DA0"/>
    <w:rsid w:val="00813DCF"/>
    <w:rsid w:val="00813E16"/>
    <w:rsid w:val="00813F00"/>
    <w:rsid w:val="00813FAB"/>
    <w:rsid w:val="008140E8"/>
    <w:rsid w:val="008140FB"/>
    <w:rsid w:val="00814184"/>
    <w:rsid w:val="008142CA"/>
    <w:rsid w:val="008143E3"/>
    <w:rsid w:val="0081440A"/>
    <w:rsid w:val="00814798"/>
    <w:rsid w:val="0081483A"/>
    <w:rsid w:val="00814854"/>
    <w:rsid w:val="0081498C"/>
    <w:rsid w:val="00814AE1"/>
    <w:rsid w:val="00814D1C"/>
    <w:rsid w:val="00814D68"/>
    <w:rsid w:val="00814D81"/>
    <w:rsid w:val="00814DBE"/>
    <w:rsid w:val="00814DCA"/>
    <w:rsid w:val="00814E7C"/>
    <w:rsid w:val="00814F52"/>
    <w:rsid w:val="00814F5E"/>
    <w:rsid w:val="00814F88"/>
    <w:rsid w:val="00814FB9"/>
    <w:rsid w:val="00815188"/>
    <w:rsid w:val="00815250"/>
    <w:rsid w:val="00815292"/>
    <w:rsid w:val="008152FA"/>
    <w:rsid w:val="0081538C"/>
    <w:rsid w:val="00815432"/>
    <w:rsid w:val="00815477"/>
    <w:rsid w:val="008154DB"/>
    <w:rsid w:val="0081560E"/>
    <w:rsid w:val="0081583C"/>
    <w:rsid w:val="008158C2"/>
    <w:rsid w:val="008158D6"/>
    <w:rsid w:val="00815AD7"/>
    <w:rsid w:val="00815D31"/>
    <w:rsid w:val="00815E68"/>
    <w:rsid w:val="00815F78"/>
    <w:rsid w:val="0081601F"/>
    <w:rsid w:val="00816064"/>
    <w:rsid w:val="00816372"/>
    <w:rsid w:val="00816381"/>
    <w:rsid w:val="008163B2"/>
    <w:rsid w:val="0081648E"/>
    <w:rsid w:val="0081654F"/>
    <w:rsid w:val="00816594"/>
    <w:rsid w:val="008166CE"/>
    <w:rsid w:val="0081674F"/>
    <w:rsid w:val="008169B5"/>
    <w:rsid w:val="00816A9A"/>
    <w:rsid w:val="00816AE8"/>
    <w:rsid w:val="00816DD8"/>
    <w:rsid w:val="00816E0D"/>
    <w:rsid w:val="00816EC5"/>
    <w:rsid w:val="00817014"/>
    <w:rsid w:val="00817058"/>
    <w:rsid w:val="00817134"/>
    <w:rsid w:val="008171FC"/>
    <w:rsid w:val="008174B2"/>
    <w:rsid w:val="0081760E"/>
    <w:rsid w:val="00817688"/>
    <w:rsid w:val="00817A70"/>
    <w:rsid w:val="00817C0E"/>
    <w:rsid w:val="00817CFF"/>
    <w:rsid w:val="00817D58"/>
    <w:rsid w:val="00817EE9"/>
    <w:rsid w:val="00817FED"/>
    <w:rsid w:val="0082000D"/>
    <w:rsid w:val="008200D2"/>
    <w:rsid w:val="0082015E"/>
    <w:rsid w:val="008201D9"/>
    <w:rsid w:val="00820262"/>
    <w:rsid w:val="0082027B"/>
    <w:rsid w:val="008202DD"/>
    <w:rsid w:val="0082037E"/>
    <w:rsid w:val="00820496"/>
    <w:rsid w:val="008204BC"/>
    <w:rsid w:val="00820525"/>
    <w:rsid w:val="00820555"/>
    <w:rsid w:val="00820582"/>
    <w:rsid w:val="008205D2"/>
    <w:rsid w:val="00820626"/>
    <w:rsid w:val="008207E7"/>
    <w:rsid w:val="0082096A"/>
    <w:rsid w:val="008209BD"/>
    <w:rsid w:val="00820B3D"/>
    <w:rsid w:val="00820B95"/>
    <w:rsid w:val="00820C58"/>
    <w:rsid w:val="00820C9C"/>
    <w:rsid w:val="00820CD5"/>
    <w:rsid w:val="00820DB5"/>
    <w:rsid w:val="00820DC0"/>
    <w:rsid w:val="00820E5F"/>
    <w:rsid w:val="00820F55"/>
    <w:rsid w:val="00820F9E"/>
    <w:rsid w:val="008211A1"/>
    <w:rsid w:val="00821393"/>
    <w:rsid w:val="008213A9"/>
    <w:rsid w:val="00821572"/>
    <w:rsid w:val="00821879"/>
    <w:rsid w:val="00821924"/>
    <w:rsid w:val="00821939"/>
    <w:rsid w:val="00821A09"/>
    <w:rsid w:val="00821A95"/>
    <w:rsid w:val="00821FA3"/>
    <w:rsid w:val="00821FAA"/>
    <w:rsid w:val="0082206D"/>
    <w:rsid w:val="008220BC"/>
    <w:rsid w:val="00822310"/>
    <w:rsid w:val="00822375"/>
    <w:rsid w:val="00822431"/>
    <w:rsid w:val="00822718"/>
    <w:rsid w:val="008227C2"/>
    <w:rsid w:val="0082296F"/>
    <w:rsid w:val="008229DB"/>
    <w:rsid w:val="00822B2F"/>
    <w:rsid w:val="00822B73"/>
    <w:rsid w:val="00822B93"/>
    <w:rsid w:val="00822D14"/>
    <w:rsid w:val="00822F7D"/>
    <w:rsid w:val="00822FA4"/>
    <w:rsid w:val="00823069"/>
    <w:rsid w:val="00823192"/>
    <w:rsid w:val="00823324"/>
    <w:rsid w:val="0082332F"/>
    <w:rsid w:val="008235B1"/>
    <w:rsid w:val="008236DD"/>
    <w:rsid w:val="008236F8"/>
    <w:rsid w:val="00823794"/>
    <w:rsid w:val="008237DB"/>
    <w:rsid w:val="008237F4"/>
    <w:rsid w:val="008239C4"/>
    <w:rsid w:val="008239EF"/>
    <w:rsid w:val="00823A3C"/>
    <w:rsid w:val="00823B14"/>
    <w:rsid w:val="00823C11"/>
    <w:rsid w:val="00823C57"/>
    <w:rsid w:val="00823CBD"/>
    <w:rsid w:val="00823CF0"/>
    <w:rsid w:val="00823F67"/>
    <w:rsid w:val="00824022"/>
    <w:rsid w:val="0082409D"/>
    <w:rsid w:val="0082412D"/>
    <w:rsid w:val="008241BB"/>
    <w:rsid w:val="008241FB"/>
    <w:rsid w:val="00824295"/>
    <w:rsid w:val="008242F9"/>
    <w:rsid w:val="00824657"/>
    <w:rsid w:val="00824664"/>
    <w:rsid w:val="008246A7"/>
    <w:rsid w:val="008246C5"/>
    <w:rsid w:val="008246CB"/>
    <w:rsid w:val="00824706"/>
    <w:rsid w:val="008247BF"/>
    <w:rsid w:val="0082483A"/>
    <w:rsid w:val="0082494F"/>
    <w:rsid w:val="00824950"/>
    <w:rsid w:val="008249E6"/>
    <w:rsid w:val="00824A81"/>
    <w:rsid w:val="00824AFA"/>
    <w:rsid w:val="00824B21"/>
    <w:rsid w:val="00824C1C"/>
    <w:rsid w:val="00824C31"/>
    <w:rsid w:val="00824D18"/>
    <w:rsid w:val="0082506F"/>
    <w:rsid w:val="0082508B"/>
    <w:rsid w:val="0082509E"/>
    <w:rsid w:val="008250EE"/>
    <w:rsid w:val="0082517B"/>
    <w:rsid w:val="00825192"/>
    <w:rsid w:val="008251A6"/>
    <w:rsid w:val="008252BF"/>
    <w:rsid w:val="00825458"/>
    <w:rsid w:val="008256A6"/>
    <w:rsid w:val="008257B8"/>
    <w:rsid w:val="008259AB"/>
    <w:rsid w:val="00825A85"/>
    <w:rsid w:val="00825B83"/>
    <w:rsid w:val="00825C81"/>
    <w:rsid w:val="00825CCA"/>
    <w:rsid w:val="00825D70"/>
    <w:rsid w:val="00825D92"/>
    <w:rsid w:val="00825DDD"/>
    <w:rsid w:val="00825E80"/>
    <w:rsid w:val="00825E8C"/>
    <w:rsid w:val="00825FB9"/>
    <w:rsid w:val="0082601C"/>
    <w:rsid w:val="00826040"/>
    <w:rsid w:val="00826088"/>
    <w:rsid w:val="008260D2"/>
    <w:rsid w:val="008260ED"/>
    <w:rsid w:val="00826196"/>
    <w:rsid w:val="0082620E"/>
    <w:rsid w:val="0082625B"/>
    <w:rsid w:val="008263DF"/>
    <w:rsid w:val="00826431"/>
    <w:rsid w:val="0082656B"/>
    <w:rsid w:val="0082667A"/>
    <w:rsid w:val="0082675F"/>
    <w:rsid w:val="008267F8"/>
    <w:rsid w:val="0082699D"/>
    <w:rsid w:val="008269F4"/>
    <w:rsid w:val="00826A11"/>
    <w:rsid w:val="00826A8C"/>
    <w:rsid w:val="00826ABB"/>
    <w:rsid w:val="00826D08"/>
    <w:rsid w:val="00826D45"/>
    <w:rsid w:val="00826E6B"/>
    <w:rsid w:val="00826FC6"/>
    <w:rsid w:val="0082704B"/>
    <w:rsid w:val="008270C8"/>
    <w:rsid w:val="008270D4"/>
    <w:rsid w:val="00827115"/>
    <w:rsid w:val="00827250"/>
    <w:rsid w:val="00827331"/>
    <w:rsid w:val="00827420"/>
    <w:rsid w:val="0082754B"/>
    <w:rsid w:val="008275F6"/>
    <w:rsid w:val="008275FD"/>
    <w:rsid w:val="00827649"/>
    <w:rsid w:val="008276AC"/>
    <w:rsid w:val="0082779D"/>
    <w:rsid w:val="00827857"/>
    <w:rsid w:val="00827982"/>
    <w:rsid w:val="008279AF"/>
    <w:rsid w:val="00827B93"/>
    <w:rsid w:val="00827DB5"/>
    <w:rsid w:val="00827E27"/>
    <w:rsid w:val="00827E9A"/>
    <w:rsid w:val="00827EE6"/>
    <w:rsid w:val="00827F38"/>
    <w:rsid w:val="00827FA4"/>
    <w:rsid w:val="00830036"/>
    <w:rsid w:val="00830044"/>
    <w:rsid w:val="00830087"/>
    <w:rsid w:val="008300AD"/>
    <w:rsid w:val="008301F1"/>
    <w:rsid w:val="00830377"/>
    <w:rsid w:val="0083037C"/>
    <w:rsid w:val="00830422"/>
    <w:rsid w:val="00830582"/>
    <w:rsid w:val="00830739"/>
    <w:rsid w:val="00830760"/>
    <w:rsid w:val="008307B7"/>
    <w:rsid w:val="00830840"/>
    <w:rsid w:val="00830A47"/>
    <w:rsid w:val="00830B69"/>
    <w:rsid w:val="00830BA1"/>
    <w:rsid w:val="00830C44"/>
    <w:rsid w:val="00830D01"/>
    <w:rsid w:val="00830D55"/>
    <w:rsid w:val="00830E39"/>
    <w:rsid w:val="00830EB2"/>
    <w:rsid w:val="00830EE2"/>
    <w:rsid w:val="00830FD8"/>
    <w:rsid w:val="0083112F"/>
    <w:rsid w:val="0083149B"/>
    <w:rsid w:val="008314F4"/>
    <w:rsid w:val="00831652"/>
    <w:rsid w:val="008316E9"/>
    <w:rsid w:val="00831764"/>
    <w:rsid w:val="00831824"/>
    <w:rsid w:val="008318B2"/>
    <w:rsid w:val="008318C9"/>
    <w:rsid w:val="00831BBA"/>
    <w:rsid w:val="00831CA5"/>
    <w:rsid w:val="00831D53"/>
    <w:rsid w:val="00831DED"/>
    <w:rsid w:val="00831DFA"/>
    <w:rsid w:val="00831EFD"/>
    <w:rsid w:val="0083202E"/>
    <w:rsid w:val="00832066"/>
    <w:rsid w:val="008321A2"/>
    <w:rsid w:val="00832305"/>
    <w:rsid w:val="0083245D"/>
    <w:rsid w:val="0083266E"/>
    <w:rsid w:val="008326EC"/>
    <w:rsid w:val="008327DF"/>
    <w:rsid w:val="008328CF"/>
    <w:rsid w:val="008328F8"/>
    <w:rsid w:val="00832B58"/>
    <w:rsid w:val="00832B8F"/>
    <w:rsid w:val="00832B92"/>
    <w:rsid w:val="00832C34"/>
    <w:rsid w:val="00832CF6"/>
    <w:rsid w:val="00832DCF"/>
    <w:rsid w:val="00832E31"/>
    <w:rsid w:val="00832F62"/>
    <w:rsid w:val="0083304F"/>
    <w:rsid w:val="008331B0"/>
    <w:rsid w:val="00833260"/>
    <w:rsid w:val="0083328C"/>
    <w:rsid w:val="0083333B"/>
    <w:rsid w:val="008333A1"/>
    <w:rsid w:val="008334C9"/>
    <w:rsid w:val="0083354D"/>
    <w:rsid w:val="00833755"/>
    <w:rsid w:val="00833778"/>
    <w:rsid w:val="008337B4"/>
    <w:rsid w:val="0083388D"/>
    <w:rsid w:val="008338F5"/>
    <w:rsid w:val="00833D67"/>
    <w:rsid w:val="00833E2A"/>
    <w:rsid w:val="00833E65"/>
    <w:rsid w:val="00833FD2"/>
    <w:rsid w:val="00834122"/>
    <w:rsid w:val="00834301"/>
    <w:rsid w:val="00834338"/>
    <w:rsid w:val="0083438A"/>
    <w:rsid w:val="008344E6"/>
    <w:rsid w:val="00834572"/>
    <w:rsid w:val="0083461B"/>
    <w:rsid w:val="00834858"/>
    <w:rsid w:val="00834888"/>
    <w:rsid w:val="00834933"/>
    <w:rsid w:val="00834953"/>
    <w:rsid w:val="00834AA4"/>
    <w:rsid w:val="00834AF8"/>
    <w:rsid w:val="00834D50"/>
    <w:rsid w:val="00834E83"/>
    <w:rsid w:val="00834F7B"/>
    <w:rsid w:val="00835025"/>
    <w:rsid w:val="00835194"/>
    <w:rsid w:val="008351FC"/>
    <w:rsid w:val="008352C5"/>
    <w:rsid w:val="008352E1"/>
    <w:rsid w:val="008352F8"/>
    <w:rsid w:val="00835333"/>
    <w:rsid w:val="00835448"/>
    <w:rsid w:val="008354B6"/>
    <w:rsid w:val="008354D9"/>
    <w:rsid w:val="00835603"/>
    <w:rsid w:val="0083562C"/>
    <w:rsid w:val="00835670"/>
    <w:rsid w:val="0083569A"/>
    <w:rsid w:val="008356DF"/>
    <w:rsid w:val="0083583D"/>
    <w:rsid w:val="008358A6"/>
    <w:rsid w:val="008358B2"/>
    <w:rsid w:val="00835918"/>
    <w:rsid w:val="00835995"/>
    <w:rsid w:val="008359FB"/>
    <w:rsid w:val="00835BB0"/>
    <w:rsid w:val="00835BCF"/>
    <w:rsid w:val="00835C35"/>
    <w:rsid w:val="00835C56"/>
    <w:rsid w:val="00835D69"/>
    <w:rsid w:val="00835DFD"/>
    <w:rsid w:val="00835E36"/>
    <w:rsid w:val="00835E6D"/>
    <w:rsid w:val="00835EAD"/>
    <w:rsid w:val="00835EF5"/>
    <w:rsid w:val="00836029"/>
    <w:rsid w:val="00836085"/>
    <w:rsid w:val="008360FC"/>
    <w:rsid w:val="0083618C"/>
    <w:rsid w:val="008362EC"/>
    <w:rsid w:val="00836314"/>
    <w:rsid w:val="0083645E"/>
    <w:rsid w:val="008364D9"/>
    <w:rsid w:val="00836559"/>
    <w:rsid w:val="008366B9"/>
    <w:rsid w:val="008367BC"/>
    <w:rsid w:val="00836B05"/>
    <w:rsid w:val="00836B4F"/>
    <w:rsid w:val="00836B7F"/>
    <w:rsid w:val="00836C7B"/>
    <w:rsid w:val="00836D23"/>
    <w:rsid w:val="00836E81"/>
    <w:rsid w:val="00836F60"/>
    <w:rsid w:val="00837108"/>
    <w:rsid w:val="00837135"/>
    <w:rsid w:val="008371A0"/>
    <w:rsid w:val="0083734D"/>
    <w:rsid w:val="00837412"/>
    <w:rsid w:val="008374C0"/>
    <w:rsid w:val="0083758C"/>
    <w:rsid w:val="008375AF"/>
    <w:rsid w:val="00837623"/>
    <w:rsid w:val="008377C1"/>
    <w:rsid w:val="00837978"/>
    <w:rsid w:val="008379F9"/>
    <w:rsid w:val="00837B55"/>
    <w:rsid w:val="00837C65"/>
    <w:rsid w:val="00837C90"/>
    <w:rsid w:val="00837CFD"/>
    <w:rsid w:val="00837D15"/>
    <w:rsid w:val="00837E7B"/>
    <w:rsid w:val="00837EB1"/>
    <w:rsid w:val="00837F58"/>
    <w:rsid w:val="008401A8"/>
    <w:rsid w:val="00840396"/>
    <w:rsid w:val="0084042B"/>
    <w:rsid w:val="008404EA"/>
    <w:rsid w:val="00840774"/>
    <w:rsid w:val="00840861"/>
    <w:rsid w:val="00840987"/>
    <w:rsid w:val="008409BB"/>
    <w:rsid w:val="008409C3"/>
    <w:rsid w:val="00840B55"/>
    <w:rsid w:val="00840B98"/>
    <w:rsid w:val="00840BA6"/>
    <w:rsid w:val="00840C87"/>
    <w:rsid w:val="00840E64"/>
    <w:rsid w:val="00840F31"/>
    <w:rsid w:val="00841034"/>
    <w:rsid w:val="008410F4"/>
    <w:rsid w:val="008411D7"/>
    <w:rsid w:val="0084131E"/>
    <w:rsid w:val="00841339"/>
    <w:rsid w:val="008413AF"/>
    <w:rsid w:val="008413D0"/>
    <w:rsid w:val="008413E3"/>
    <w:rsid w:val="00841437"/>
    <w:rsid w:val="0084152C"/>
    <w:rsid w:val="0084161C"/>
    <w:rsid w:val="00841740"/>
    <w:rsid w:val="0084184A"/>
    <w:rsid w:val="00841929"/>
    <w:rsid w:val="00841A8B"/>
    <w:rsid w:val="00841ACC"/>
    <w:rsid w:val="00841C62"/>
    <w:rsid w:val="00841D81"/>
    <w:rsid w:val="00841E56"/>
    <w:rsid w:val="00841EC8"/>
    <w:rsid w:val="00841F94"/>
    <w:rsid w:val="008420AD"/>
    <w:rsid w:val="008423F2"/>
    <w:rsid w:val="008423F8"/>
    <w:rsid w:val="00842429"/>
    <w:rsid w:val="00842471"/>
    <w:rsid w:val="0084256F"/>
    <w:rsid w:val="008427B5"/>
    <w:rsid w:val="008427C7"/>
    <w:rsid w:val="00842827"/>
    <w:rsid w:val="00842A30"/>
    <w:rsid w:val="00842B0E"/>
    <w:rsid w:val="00842D3D"/>
    <w:rsid w:val="00842E11"/>
    <w:rsid w:val="00842E62"/>
    <w:rsid w:val="00842F09"/>
    <w:rsid w:val="00842F31"/>
    <w:rsid w:val="00842F71"/>
    <w:rsid w:val="0084309F"/>
    <w:rsid w:val="008430DF"/>
    <w:rsid w:val="00843152"/>
    <w:rsid w:val="0084316D"/>
    <w:rsid w:val="00843179"/>
    <w:rsid w:val="008431DC"/>
    <w:rsid w:val="00843268"/>
    <w:rsid w:val="008432F7"/>
    <w:rsid w:val="008433CE"/>
    <w:rsid w:val="00843407"/>
    <w:rsid w:val="0084346E"/>
    <w:rsid w:val="008434AC"/>
    <w:rsid w:val="008434F1"/>
    <w:rsid w:val="00843791"/>
    <w:rsid w:val="008437AE"/>
    <w:rsid w:val="0084386A"/>
    <w:rsid w:val="00843887"/>
    <w:rsid w:val="008438FB"/>
    <w:rsid w:val="00843987"/>
    <w:rsid w:val="00843ABE"/>
    <w:rsid w:val="00843B39"/>
    <w:rsid w:val="00843BAF"/>
    <w:rsid w:val="00843C32"/>
    <w:rsid w:val="00843C43"/>
    <w:rsid w:val="00843D0B"/>
    <w:rsid w:val="00843D96"/>
    <w:rsid w:val="00843E0E"/>
    <w:rsid w:val="00843EE7"/>
    <w:rsid w:val="00843F51"/>
    <w:rsid w:val="0084422B"/>
    <w:rsid w:val="008442B7"/>
    <w:rsid w:val="008442EA"/>
    <w:rsid w:val="0084433C"/>
    <w:rsid w:val="008443B7"/>
    <w:rsid w:val="0084447A"/>
    <w:rsid w:val="008444A2"/>
    <w:rsid w:val="00844589"/>
    <w:rsid w:val="00844681"/>
    <w:rsid w:val="00844785"/>
    <w:rsid w:val="00844794"/>
    <w:rsid w:val="00844854"/>
    <w:rsid w:val="008448D5"/>
    <w:rsid w:val="00844964"/>
    <w:rsid w:val="00844AC1"/>
    <w:rsid w:val="00844C48"/>
    <w:rsid w:val="00844CDC"/>
    <w:rsid w:val="00844D8A"/>
    <w:rsid w:val="00844E86"/>
    <w:rsid w:val="00844FE7"/>
    <w:rsid w:val="008450D7"/>
    <w:rsid w:val="00845103"/>
    <w:rsid w:val="008452EE"/>
    <w:rsid w:val="008453E5"/>
    <w:rsid w:val="00845497"/>
    <w:rsid w:val="008454B9"/>
    <w:rsid w:val="0084555F"/>
    <w:rsid w:val="008455B2"/>
    <w:rsid w:val="008456EA"/>
    <w:rsid w:val="0084573B"/>
    <w:rsid w:val="008457B8"/>
    <w:rsid w:val="00845969"/>
    <w:rsid w:val="00845ACC"/>
    <w:rsid w:val="00845AEC"/>
    <w:rsid w:val="00845BE5"/>
    <w:rsid w:val="00845BE6"/>
    <w:rsid w:val="00845BF9"/>
    <w:rsid w:val="00845C75"/>
    <w:rsid w:val="00845E3D"/>
    <w:rsid w:val="00845F37"/>
    <w:rsid w:val="00845FBE"/>
    <w:rsid w:val="00845FF5"/>
    <w:rsid w:val="00846001"/>
    <w:rsid w:val="008460BC"/>
    <w:rsid w:val="0084615D"/>
    <w:rsid w:val="0084616F"/>
    <w:rsid w:val="008462E3"/>
    <w:rsid w:val="0084642A"/>
    <w:rsid w:val="00846460"/>
    <w:rsid w:val="0084649B"/>
    <w:rsid w:val="0084655C"/>
    <w:rsid w:val="008465C4"/>
    <w:rsid w:val="008465F9"/>
    <w:rsid w:val="00846646"/>
    <w:rsid w:val="00846688"/>
    <w:rsid w:val="00846710"/>
    <w:rsid w:val="0084672A"/>
    <w:rsid w:val="0084677E"/>
    <w:rsid w:val="00846856"/>
    <w:rsid w:val="008468C0"/>
    <w:rsid w:val="00846B5C"/>
    <w:rsid w:val="00846CD5"/>
    <w:rsid w:val="00846D13"/>
    <w:rsid w:val="00846D25"/>
    <w:rsid w:val="00846DBF"/>
    <w:rsid w:val="00846E45"/>
    <w:rsid w:val="00846FBF"/>
    <w:rsid w:val="00847058"/>
    <w:rsid w:val="00847083"/>
    <w:rsid w:val="0084709B"/>
    <w:rsid w:val="0084718B"/>
    <w:rsid w:val="00847271"/>
    <w:rsid w:val="00847318"/>
    <w:rsid w:val="0084755F"/>
    <w:rsid w:val="008475F3"/>
    <w:rsid w:val="0084774C"/>
    <w:rsid w:val="00847842"/>
    <w:rsid w:val="008478ED"/>
    <w:rsid w:val="00847953"/>
    <w:rsid w:val="00847997"/>
    <w:rsid w:val="00847A2F"/>
    <w:rsid w:val="00847BAD"/>
    <w:rsid w:val="00847CE3"/>
    <w:rsid w:val="00847E94"/>
    <w:rsid w:val="00847F20"/>
    <w:rsid w:val="00847F9F"/>
    <w:rsid w:val="008500C1"/>
    <w:rsid w:val="00850329"/>
    <w:rsid w:val="008503B6"/>
    <w:rsid w:val="008503D1"/>
    <w:rsid w:val="008504F3"/>
    <w:rsid w:val="0085050E"/>
    <w:rsid w:val="00850557"/>
    <w:rsid w:val="00850849"/>
    <w:rsid w:val="00850877"/>
    <w:rsid w:val="0085087F"/>
    <w:rsid w:val="008508D4"/>
    <w:rsid w:val="00850970"/>
    <w:rsid w:val="00850C6F"/>
    <w:rsid w:val="00850CE1"/>
    <w:rsid w:val="00850F7D"/>
    <w:rsid w:val="00851028"/>
    <w:rsid w:val="0085108D"/>
    <w:rsid w:val="008511A5"/>
    <w:rsid w:val="00851384"/>
    <w:rsid w:val="00851385"/>
    <w:rsid w:val="00851549"/>
    <w:rsid w:val="00851580"/>
    <w:rsid w:val="00851718"/>
    <w:rsid w:val="00851728"/>
    <w:rsid w:val="0085172F"/>
    <w:rsid w:val="0085174A"/>
    <w:rsid w:val="0085180E"/>
    <w:rsid w:val="00851BC3"/>
    <w:rsid w:val="00851CB8"/>
    <w:rsid w:val="00851CCE"/>
    <w:rsid w:val="00851DFF"/>
    <w:rsid w:val="00851E93"/>
    <w:rsid w:val="00851E97"/>
    <w:rsid w:val="00851F78"/>
    <w:rsid w:val="0085201C"/>
    <w:rsid w:val="0085208F"/>
    <w:rsid w:val="0085209F"/>
    <w:rsid w:val="008520AE"/>
    <w:rsid w:val="008521DF"/>
    <w:rsid w:val="0085226F"/>
    <w:rsid w:val="008522EE"/>
    <w:rsid w:val="00852353"/>
    <w:rsid w:val="0085248D"/>
    <w:rsid w:val="008524E9"/>
    <w:rsid w:val="008525B5"/>
    <w:rsid w:val="00852715"/>
    <w:rsid w:val="00852773"/>
    <w:rsid w:val="00852995"/>
    <w:rsid w:val="008529C3"/>
    <w:rsid w:val="00852A28"/>
    <w:rsid w:val="00852A5D"/>
    <w:rsid w:val="00852B8D"/>
    <w:rsid w:val="00852C28"/>
    <w:rsid w:val="00852C82"/>
    <w:rsid w:val="00852CA7"/>
    <w:rsid w:val="00852CFA"/>
    <w:rsid w:val="00852E38"/>
    <w:rsid w:val="00852ED7"/>
    <w:rsid w:val="00852F9F"/>
    <w:rsid w:val="00853084"/>
    <w:rsid w:val="00853142"/>
    <w:rsid w:val="008533E2"/>
    <w:rsid w:val="0085346F"/>
    <w:rsid w:val="008534EC"/>
    <w:rsid w:val="00853797"/>
    <w:rsid w:val="008537D4"/>
    <w:rsid w:val="0085386F"/>
    <w:rsid w:val="008538C3"/>
    <w:rsid w:val="0085393B"/>
    <w:rsid w:val="00853999"/>
    <w:rsid w:val="008539BE"/>
    <w:rsid w:val="008539F7"/>
    <w:rsid w:val="00853B8F"/>
    <w:rsid w:val="00853DA6"/>
    <w:rsid w:val="00853E52"/>
    <w:rsid w:val="00853EC9"/>
    <w:rsid w:val="00853FAC"/>
    <w:rsid w:val="00853FC2"/>
    <w:rsid w:val="008540A2"/>
    <w:rsid w:val="008540A6"/>
    <w:rsid w:val="00854114"/>
    <w:rsid w:val="008542DC"/>
    <w:rsid w:val="00854351"/>
    <w:rsid w:val="00854391"/>
    <w:rsid w:val="008543ED"/>
    <w:rsid w:val="00854420"/>
    <w:rsid w:val="00854450"/>
    <w:rsid w:val="00854481"/>
    <w:rsid w:val="008544D5"/>
    <w:rsid w:val="0085487C"/>
    <w:rsid w:val="00854990"/>
    <w:rsid w:val="00854BE5"/>
    <w:rsid w:val="00854D34"/>
    <w:rsid w:val="00854EF1"/>
    <w:rsid w:val="008551CC"/>
    <w:rsid w:val="008552DC"/>
    <w:rsid w:val="008552E1"/>
    <w:rsid w:val="008553A6"/>
    <w:rsid w:val="008554E9"/>
    <w:rsid w:val="008555C4"/>
    <w:rsid w:val="008555EF"/>
    <w:rsid w:val="00855637"/>
    <w:rsid w:val="00855A40"/>
    <w:rsid w:val="00855AE5"/>
    <w:rsid w:val="00855B4B"/>
    <w:rsid w:val="00855B5B"/>
    <w:rsid w:val="00855DF6"/>
    <w:rsid w:val="00855FC4"/>
    <w:rsid w:val="00856330"/>
    <w:rsid w:val="00856363"/>
    <w:rsid w:val="008563C4"/>
    <w:rsid w:val="008563EA"/>
    <w:rsid w:val="00856477"/>
    <w:rsid w:val="00856552"/>
    <w:rsid w:val="008566DA"/>
    <w:rsid w:val="0085675B"/>
    <w:rsid w:val="0085695F"/>
    <w:rsid w:val="00856A91"/>
    <w:rsid w:val="00856ADF"/>
    <w:rsid w:val="00856CEA"/>
    <w:rsid w:val="00856D62"/>
    <w:rsid w:val="00856DB5"/>
    <w:rsid w:val="00856EA1"/>
    <w:rsid w:val="00857151"/>
    <w:rsid w:val="00857245"/>
    <w:rsid w:val="0085727E"/>
    <w:rsid w:val="0085750A"/>
    <w:rsid w:val="0085755C"/>
    <w:rsid w:val="00857591"/>
    <w:rsid w:val="00857660"/>
    <w:rsid w:val="0085778D"/>
    <w:rsid w:val="008577F4"/>
    <w:rsid w:val="00857883"/>
    <w:rsid w:val="008578C9"/>
    <w:rsid w:val="0085791C"/>
    <w:rsid w:val="00857A79"/>
    <w:rsid w:val="00857AC6"/>
    <w:rsid w:val="00857B1A"/>
    <w:rsid w:val="00857B89"/>
    <w:rsid w:val="00857C51"/>
    <w:rsid w:val="00857CAA"/>
    <w:rsid w:val="00857E88"/>
    <w:rsid w:val="00860147"/>
    <w:rsid w:val="00860236"/>
    <w:rsid w:val="008602A1"/>
    <w:rsid w:val="00860307"/>
    <w:rsid w:val="00860377"/>
    <w:rsid w:val="008604C6"/>
    <w:rsid w:val="00860561"/>
    <w:rsid w:val="0086077B"/>
    <w:rsid w:val="00860A28"/>
    <w:rsid w:val="00860AAA"/>
    <w:rsid w:val="00860B43"/>
    <w:rsid w:val="00860D18"/>
    <w:rsid w:val="00860E62"/>
    <w:rsid w:val="00860F76"/>
    <w:rsid w:val="008611A2"/>
    <w:rsid w:val="008611B9"/>
    <w:rsid w:val="0086125B"/>
    <w:rsid w:val="008612DB"/>
    <w:rsid w:val="0086146F"/>
    <w:rsid w:val="00861687"/>
    <w:rsid w:val="00861730"/>
    <w:rsid w:val="00861811"/>
    <w:rsid w:val="00861A5D"/>
    <w:rsid w:val="00861B57"/>
    <w:rsid w:val="00861D7F"/>
    <w:rsid w:val="00862112"/>
    <w:rsid w:val="00862248"/>
    <w:rsid w:val="00862257"/>
    <w:rsid w:val="00862335"/>
    <w:rsid w:val="008623E1"/>
    <w:rsid w:val="0086256B"/>
    <w:rsid w:val="008625C8"/>
    <w:rsid w:val="0086262C"/>
    <w:rsid w:val="008626FC"/>
    <w:rsid w:val="00862719"/>
    <w:rsid w:val="008627D3"/>
    <w:rsid w:val="0086280E"/>
    <w:rsid w:val="00862940"/>
    <w:rsid w:val="00862AC4"/>
    <w:rsid w:val="00862BFC"/>
    <w:rsid w:val="00862CDE"/>
    <w:rsid w:val="00862E36"/>
    <w:rsid w:val="00862F95"/>
    <w:rsid w:val="00862FD9"/>
    <w:rsid w:val="008633AC"/>
    <w:rsid w:val="00863484"/>
    <w:rsid w:val="008634E3"/>
    <w:rsid w:val="00863509"/>
    <w:rsid w:val="00863695"/>
    <w:rsid w:val="0086376B"/>
    <w:rsid w:val="00863787"/>
    <w:rsid w:val="008637E2"/>
    <w:rsid w:val="00863894"/>
    <w:rsid w:val="00863946"/>
    <w:rsid w:val="008639A4"/>
    <w:rsid w:val="00863A07"/>
    <w:rsid w:val="00863C58"/>
    <w:rsid w:val="00863D45"/>
    <w:rsid w:val="00863D85"/>
    <w:rsid w:val="00863E51"/>
    <w:rsid w:val="00863F4F"/>
    <w:rsid w:val="0086408B"/>
    <w:rsid w:val="008641DD"/>
    <w:rsid w:val="00864270"/>
    <w:rsid w:val="008642A5"/>
    <w:rsid w:val="0086436F"/>
    <w:rsid w:val="00864465"/>
    <w:rsid w:val="008644F0"/>
    <w:rsid w:val="00864588"/>
    <w:rsid w:val="00864627"/>
    <w:rsid w:val="00864635"/>
    <w:rsid w:val="0086465E"/>
    <w:rsid w:val="00864678"/>
    <w:rsid w:val="00864834"/>
    <w:rsid w:val="0086486E"/>
    <w:rsid w:val="008648B1"/>
    <w:rsid w:val="00864C1A"/>
    <w:rsid w:val="00864D55"/>
    <w:rsid w:val="00864E1A"/>
    <w:rsid w:val="00864E72"/>
    <w:rsid w:val="00864F29"/>
    <w:rsid w:val="00865013"/>
    <w:rsid w:val="0086510B"/>
    <w:rsid w:val="00865217"/>
    <w:rsid w:val="00865333"/>
    <w:rsid w:val="00865338"/>
    <w:rsid w:val="0086542D"/>
    <w:rsid w:val="00865431"/>
    <w:rsid w:val="008654B0"/>
    <w:rsid w:val="008654CB"/>
    <w:rsid w:val="008655A4"/>
    <w:rsid w:val="00865608"/>
    <w:rsid w:val="008656FA"/>
    <w:rsid w:val="0086575F"/>
    <w:rsid w:val="00865835"/>
    <w:rsid w:val="008658AA"/>
    <w:rsid w:val="008658BA"/>
    <w:rsid w:val="00865B8C"/>
    <w:rsid w:val="00865CBD"/>
    <w:rsid w:val="00865CD1"/>
    <w:rsid w:val="00865CF7"/>
    <w:rsid w:val="00865D26"/>
    <w:rsid w:val="00865D28"/>
    <w:rsid w:val="00865D42"/>
    <w:rsid w:val="00865F5D"/>
    <w:rsid w:val="00865FF0"/>
    <w:rsid w:val="00866137"/>
    <w:rsid w:val="00866193"/>
    <w:rsid w:val="00866194"/>
    <w:rsid w:val="008661CD"/>
    <w:rsid w:val="008662CC"/>
    <w:rsid w:val="00866301"/>
    <w:rsid w:val="00866374"/>
    <w:rsid w:val="008664DD"/>
    <w:rsid w:val="008666B2"/>
    <w:rsid w:val="0086679D"/>
    <w:rsid w:val="0086684A"/>
    <w:rsid w:val="0086693B"/>
    <w:rsid w:val="00866965"/>
    <w:rsid w:val="00866B76"/>
    <w:rsid w:val="00866E37"/>
    <w:rsid w:val="00866E8E"/>
    <w:rsid w:val="00866F9E"/>
    <w:rsid w:val="0086712E"/>
    <w:rsid w:val="008671AD"/>
    <w:rsid w:val="008671B4"/>
    <w:rsid w:val="008672E0"/>
    <w:rsid w:val="008672E2"/>
    <w:rsid w:val="00867439"/>
    <w:rsid w:val="008677C3"/>
    <w:rsid w:val="0086785E"/>
    <w:rsid w:val="00867894"/>
    <w:rsid w:val="008678F8"/>
    <w:rsid w:val="0086793D"/>
    <w:rsid w:val="00867B1C"/>
    <w:rsid w:val="00867BA4"/>
    <w:rsid w:val="00867C32"/>
    <w:rsid w:val="00867C6D"/>
    <w:rsid w:val="00867C9E"/>
    <w:rsid w:val="00867FBA"/>
    <w:rsid w:val="008701B4"/>
    <w:rsid w:val="00870368"/>
    <w:rsid w:val="008703C8"/>
    <w:rsid w:val="00870489"/>
    <w:rsid w:val="008705DB"/>
    <w:rsid w:val="00870677"/>
    <w:rsid w:val="008706CC"/>
    <w:rsid w:val="008708B3"/>
    <w:rsid w:val="008708E5"/>
    <w:rsid w:val="00870A09"/>
    <w:rsid w:val="00870A85"/>
    <w:rsid w:val="00870C5E"/>
    <w:rsid w:val="00870DBB"/>
    <w:rsid w:val="00870E79"/>
    <w:rsid w:val="00871068"/>
    <w:rsid w:val="008710CA"/>
    <w:rsid w:val="0087132C"/>
    <w:rsid w:val="00871333"/>
    <w:rsid w:val="008713C6"/>
    <w:rsid w:val="008713D6"/>
    <w:rsid w:val="008713F1"/>
    <w:rsid w:val="00871417"/>
    <w:rsid w:val="0087145C"/>
    <w:rsid w:val="0087158D"/>
    <w:rsid w:val="00871643"/>
    <w:rsid w:val="008717B2"/>
    <w:rsid w:val="0087192D"/>
    <w:rsid w:val="00871BB2"/>
    <w:rsid w:val="00871C51"/>
    <w:rsid w:val="00871C58"/>
    <w:rsid w:val="00871E20"/>
    <w:rsid w:val="00871F0D"/>
    <w:rsid w:val="00871F59"/>
    <w:rsid w:val="0087210A"/>
    <w:rsid w:val="00872154"/>
    <w:rsid w:val="00872293"/>
    <w:rsid w:val="008722D6"/>
    <w:rsid w:val="00872348"/>
    <w:rsid w:val="0087237A"/>
    <w:rsid w:val="008723C8"/>
    <w:rsid w:val="008724FC"/>
    <w:rsid w:val="0087264C"/>
    <w:rsid w:val="0087281D"/>
    <w:rsid w:val="00872883"/>
    <w:rsid w:val="00872967"/>
    <w:rsid w:val="00872B29"/>
    <w:rsid w:val="00872B64"/>
    <w:rsid w:val="00872D51"/>
    <w:rsid w:val="00872D7E"/>
    <w:rsid w:val="00872E68"/>
    <w:rsid w:val="00872F66"/>
    <w:rsid w:val="008732D8"/>
    <w:rsid w:val="00873303"/>
    <w:rsid w:val="00873375"/>
    <w:rsid w:val="00873377"/>
    <w:rsid w:val="00873492"/>
    <w:rsid w:val="0087349A"/>
    <w:rsid w:val="0087350F"/>
    <w:rsid w:val="00873577"/>
    <w:rsid w:val="00873585"/>
    <w:rsid w:val="008735FF"/>
    <w:rsid w:val="0087371B"/>
    <w:rsid w:val="0087373D"/>
    <w:rsid w:val="00873761"/>
    <w:rsid w:val="00873873"/>
    <w:rsid w:val="00873ADE"/>
    <w:rsid w:val="00873BD0"/>
    <w:rsid w:val="00873D75"/>
    <w:rsid w:val="00873DD3"/>
    <w:rsid w:val="00873E15"/>
    <w:rsid w:val="00873F11"/>
    <w:rsid w:val="00873FA7"/>
    <w:rsid w:val="00874096"/>
    <w:rsid w:val="0087409F"/>
    <w:rsid w:val="008740AC"/>
    <w:rsid w:val="00874109"/>
    <w:rsid w:val="0087410E"/>
    <w:rsid w:val="00874124"/>
    <w:rsid w:val="008743E7"/>
    <w:rsid w:val="008744C5"/>
    <w:rsid w:val="008745FF"/>
    <w:rsid w:val="00874720"/>
    <w:rsid w:val="00874833"/>
    <w:rsid w:val="008748A8"/>
    <w:rsid w:val="0087490A"/>
    <w:rsid w:val="00874AE3"/>
    <w:rsid w:val="00874AEF"/>
    <w:rsid w:val="00874C6A"/>
    <w:rsid w:val="00874D50"/>
    <w:rsid w:val="00874D58"/>
    <w:rsid w:val="00874E53"/>
    <w:rsid w:val="00874F90"/>
    <w:rsid w:val="00875006"/>
    <w:rsid w:val="008750D2"/>
    <w:rsid w:val="00875132"/>
    <w:rsid w:val="0087525A"/>
    <w:rsid w:val="008752B5"/>
    <w:rsid w:val="008754AF"/>
    <w:rsid w:val="008755D2"/>
    <w:rsid w:val="008756C3"/>
    <w:rsid w:val="0087582F"/>
    <w:rsid w:val="00875845"/>
    <w:rsid w:val="00875AAF"/>
    <w:rsid w:val="00875AB5"/>
    <w:rsid w:val="00875AB6"/>
    <w:rsid w:val="00875B28"/>
    <w:rsid w:val="00875B52"/>
    <w:rsid w:val="00875C4D"/>
    <w:rsid w:val="00875C91"/>
    <w:rsid w:val="00875CEC"/>
    <w:rsid w:val="00875D9D"/>
    <w:rsid w:val="00875E49"/>
    <w:rsid w:val="00875E93"/>
    <w:rsid w:val="00875F85"/>
    <w:rsid w:val="00875FF3"/>
    <w:rsid w:val="008760B2"/>
    <w:rsid w:val="008760ED"/>
    <w:rsid w:val="008761A2"/>
    <w:rsid w:val="008761A8"/>
    <w:rsid w:val="008762EB"/>
    <w:rsid w:val="00876304"/>
    <w:rsid w:val="00876378"/>
    <w:rsid w:val="008763CD"/>
    <w:rsid w:val="00876623"/>
    <w:rsid w:val="0087667C"/>
    <w:rsid w:val="008766BE"/>
    <w:rsid w:val="0087673F"/>
    <w:rsid w:val="0087675F"/>
    <w:rsid w:val="0087683B"/>
    <w:rsid w:val="00876A15"/>
    <w:rsid w:val="00876A48"/>
    <w:rsid w:val="00876A72"/>
    <w:rsid w:val="00876BF3"/>
    <w:rsid w:val="00876C6B"/>
    <w:rsid w:val="00876DC9"/>
    <w:rsid w:val="00876DD3"/>
    <w:rsid w:val="00876EA3"/>
    <w:rsid w:val="00876F7E"/>
    <w:rsid w:val="00877125"/>
    <w:rsid w:val="0087726B"/>
    <w:rsid w:val="00877348"/>
    <w:rsid w:val="008773FB"/>
    <w:rsid w:val="00877449"/>
    <w:rsid w:val="0087746A"/>
    <w:rsid w:val="0087767C"/>
    <w:rsid w:val="0087773D"/>
    <w:rsid w:val="008777A2"/>
    <w:rsid w:val="008777C2"/>
    <w:rsid w:val="00877898"/>
    <w:rsid w:val="00877B1A"/>
    <w:rsid w:val="00877BDB"/>
    <w:rsid w:val="00877DC8"/>
    <w:rsid w:val="00877DCA"/>
    <w:rsid w:val="00877E1F"/>
    <w:rsid w:val="00877E72"/>
    <w:rsid w:val="00877ED0"/>
    <w:rsid w:val="00880002"/>
    <w:rsid w:val="0088002A"/>
    <w:rsid w:val="0088015B"/>
    <w:rsid w:val="008803E2"/>
    <w:rsid w:val="008803E4"/>
    <w:rsid w:val="00880410"/>
    <w:rsid w:val="008804B9"/>
    <w:rsid w:val="00880627"/>
    <w:rsid w:val="0088063B"/>
    <w:rsid w:val="008806E1"/>
    <w:rsid w:val="0088070D"/>
    <w:rsid w:val="00880798"/>
    <w:rsid w:val="00880818"/>
    <w:rsid w:val="00880959"/>
    <w:rsid w:val="00880AE2"/>
    <w:rsid w:val="00880AEC"/>
    <w:rsid w:val="00880B4A"/>
    <w:rsid w:val="00880C8E"/>
    <w:rsid w:val="00880D6C"/>
    <w:rsid w:val="00880F5E"/>
    <w:rsid w:val="008813D9"/>
    <w:rsid w:val="008813EE"/>
    <w:rsid w:val="00881442"/>
    <w:rsid w:val="00881500"/>
    <w:rsid w:val="00881511"/>
    <w:rsid w:val="008815BA"/>
    <w:rsid w:val="00881657"/>
    <w:rsid w:val="00881675"/>
    <w:rsid w:val="0088190A"/>
    <w:rsid w:val="0088194C"/>
    <w:rsid w:val="00881A21"/>
    <w:rsid w:val="00881A5F"/>
    <w:rsid w:val="00881A7F"/>
    <w:rsid w:val="00881C07"/>
    <w:rsid w:val="00881D6D"/>
    <w:rsid w:val="00881E0F"/>
    <w:rsid w:val="00881F01"/>
    <w:rsid w:val="00881F4E"/>
    <w:rsid w:val="00881F80"/>
    <w:rsid w:val="0088212E"/>
    <w:rsid w:val="00882159"/>
    <w:rsid w:val="00882273"/>
    <w:rsid w:val="0088236C"/>
    <w:rsid w:val="0088243C"/>
    <w:rsid w:val="00882448"/>
    <w:rsid w:val="00882576"/>
    <w:rsid w:val="00882682"/>
    <w:rsid w:val="00882721"/>
    <w:rsid w:val="008829AD"/>
    <w:rsid w:val="008829B6"/>
    <w:rsid w:val="00882AC2"/>
    <w:rsid w:val="00882DCC"/>
    <w:rsid w:val="00882DD4"/>
    <w:rsid w:val="00882E88"/>
    <w:rsid w:val="00882F1D"/>
    <w:rsid w:val="00882F3B"/>
    <w:rsid w:val="008830E3"/>
    <w:rsid w:val="00883110"/>
    <w:rsid w:val="008831DC"/>
    <w:rsid w:val="008831FA"/>
    <w:rsid w:val="0088329B"/>
    <w:rsid w:val="008832E8"/>
    <w:rsid w:val="008835E8"/>
    <w:rsid w:val="0088360A"/>
    <w:rsid w:val="0088361F"/>
    <w:rsid w:val="0088364D"/>
    <w:rsid w:val="00883672"/>
    <w:rsid w:val="008837DE"/>
    <w:rsid w:val="008838EB"/>
    <w:rsid w:val="0088397C"/>
    <w:rsid w:val="00883A4D"/>
    <w:rsid w:val="00883B21"/>
    <w:rsid w:val="00883B5D"/>
    <w:rsid w:val="00883B63"/>
    <w:rsid w:val="00883B64"/>
    <w:rsid w:val="00883BF7"/>
    <w:rsid w:val="00883CCF"/>
    <w:rsid w:val="00883E02"/>
    <w:rsid w:val="00883E92"/>
    <w:rsid w:val="00883EA3"/>
    <w:rsid w:val="00883EE7"/>
    <w:rsid w:val="00883EF0"/>
    <w:rsid w:val="00883F26"/>
    <w:rsid w:val="00883F8F"/>
    <w:rsid w:val="00884103"/>
    <w:rsid w:val="0088418D"/>
    <w:rsid w:val="008841EE"/>
    <w:rsid w:val="00884235"/>
    <w:rsid w:val="0088437E"/>
    <w:rsid w:val="00884497"/>
    <w:rsid w:val="0088455D"/>
    <w:rsid w:val="0088463B"/>
    <w:rsid w:val="0088489F"/>
    <w:rsid w:val="00884B7C"/>
    <w:rsid w:val="00884BDF"/>
    <w:rsid w:val="00884D76"/>
    <w:rsid w:val="0088500A"/>
    <w:rsid w:val="00885206"/>
    <w:rsid w:val="00885211"/>
    <w:rsid w:val="00885222"/>
    <w:rsid w:val="00885237"/>
    <w:rsid w:val="00885285"/>
    <w:rsid w:val="00885508"/>
    <w:rsid w:val="00885584"/>
    <w:rsid w:val="0088558E"/>
    <w:rsid w:val="00885604"/>
    <w:rsid w:val="00885770"/>
    <w:rsid w:val="00885985"/>
    <w:rsid w:val="00885A9D"/>
    <w:rsid w:val="00885AE9"/>
    <w:rsid w:val="00885E1A"/>
    <w:rsid w:val="00885F0E"/>
    <w:rsid w:val="00886171"/>
    <w:rsid w:val="0088618E"/>
    <w:rsid w:val="00886253"/>
    <w:rsid w:val="0088630D"/>
    <w:rsid w:val="008865D7"/>
    <w:rsid w:val="00886699"/>
    <w:rsid w:val="008866E1"/>
    <w:rsid w:val="00886782"/>
    <w:rsid w:val="008869CE"/>
    <w:rsid w:val="00886A2E"/>
    <w:rsid w:val="00886AA7"/>
    <w:rsid w:val="00886ABE"/>
    <w:rsid w:val="00886D89"/>
    <w:rsid w:val="00887032"/>
    <w:rsid w:val="0088709A"/>
    <w:rsid w:val="008871E2"/>
    <w:rsid w:val="00887257"/>
    <w:rsid w:val="0088741B"/>
    <w:rsid w:val="00887679"/>
    <w:rsid w:val="00887700"/>
    <w:rsid w:val="0088788F"/>
    <w:rsid w:val="008878BF"/>
    <w:rsid w:val="008879A1"/>
    <w:rsid w:val="00887A62"/>
    <w:rsid w:val="00887AAC"/>
    <w:rsid w:val="00887B1C"/>
    <w:rsid w:val="00887B67"/>
    <w:rsid w:val="00887C55"/>
    <w:rsid w:val="00887DF4"/>
    <w:rsid w:val="00887F49"/>
    <w:rsid w:val="00890064"/>
    <w:rsid w:val="00890336"/>
    <w:rsid w:val="00890492"/>
    <w:rsid w:val="0089050C"/>
    <w:rsid w:val="008907B7"/>
    <w:rsid w:val="008907C7"/>
    <w:rsid w:val="008908B9"/>
    <w:rsid w:val="00890999"/>
    <w:rsid w:val="008909A4"/>
    <w:rsid w:val="00890BDE"/>
    <w:rsid w:val="00890C79"/>
    <w:rsid w:val="00890DAF"/>
    <w:rsid w:val="00890DBC"/>
    <w:rsid w:val="0089105B"/>
    <w:rsid w:val="0089124A"/>
    <w:rsid w:val="008912A1"/>
    <w:rsid w:val="008912BE"/>
    <w:rsid w:val="008912E1"/>
    <w:rsid w:val="00891326"/>
    <w:rsid w:val="00891539"/>
    <w:rsid w:val="008916EA"/>
    <w:rsid w:val="008917F9"/>
    <w:rsid w:val="00891819"/>
    <w:rsid w:val="00891858"/>
    <w:rsid w:val="00891976"/>
    <w:rsid w:val="0089199F"/>
    <w:rsid w:val="00891A63"/>
    <w:rsid w:val="00891B23"/>
    <w:rsid w:val="00891B4D"/>
    <w:rsid w:val="00891B52"/>
    <w:rsid w:val="00891C32"/>
    <w:rsid w:val="00891CC8"/>
    <w:rsid w:val="00891D7F"/>
    <w:rsid w:val="00891D81"/>
    <w:rsid w:val="00891E31"/>
    <w:rsid w:val="00892000"/>
    <w:rsid w:val="008920AB"/>
    <w:rsid w:val="008921DB"/>
    <w:rsid w:val="00892265"/>
    <w:rsid w:val="00892269"/>
    <w:rsid w:val="008922B0"/>
    <w:rsid w:val="0089233E"/>
    <w:rsid w:val="0089236F"/>
    <w:rsid w:val="00892866"/>
    <w:rsid w:val="00892923"/>
    <w:rsid w:val="00892927"/>
    <w:rsid w:val="0089297B"/>
    <w:rsid w:val="008929DF"/>
    <w:rsid w:val="00892A07"/>
    <w:rsid w:val="00892A1E"/>
    <w:rsid w:val="00892DB1"/>
    <w:rsid w:val="00892EA6"/>
    <w:rsid w:val="00892EE1"/>
    <w:rsid w:val="00892FBC"/>
    <w:rsid w:val="0089305E"/>
    <w:rsid w:val="008930B1"/>
    <w:rsid w:val="0089316D"/>
    <w:rsid w:val="008932A9"/>
    <w:rsid w:val="0089330E"/>
    <w:rsid w:val="00893314"/>
    <w:rsid w:val="00893499"/>
    <w:rsid w:val="00893532"/>
    <w:rsid w:val="008935B4"/>
    <w:rsid w:val="00893658"/>
    <w:rsid w:val="0089395B"/>
    <w:rsid w:val="008939DC"/>
    <w:rsid w:val="008939FB"/>
    <w:rsid w:val="008939FF"/>
    <w:rsid w:val="00893A03"/>
    <w:rsid w:val="00893A8E"/>
    <w:rsid w:val="00893CDC"/>
    <w:rsid w:val="00893DDC"/>
    <w:rsid w:val="00893E27"/>
    <w:rsid w:val="00893E76"/>
    <w:rsid w:val="00893E8C"/>
    <w:rsid w:val="00894026"/>
    <w:rsid w:val="008941A4"/>
    <w:rsid w:val="008943DB"/>
    <w:rsid w:val="0089446E"/>
    <w:rsid w:val="00894486"/>
    <w:rsid w:val="008945BB"/>
    <w:rsid w:val="008945F7"/>
    <w:rsid w:val="0089463D"/>
    <w:rsid w:val="008946F8"/>
    <w:rsid w:val="00894768"/>
    <w:rsid w:val="008947D2"/>
    <w:rsid w:val="00894812"/>
    <w:rsid w:val="0089482B"/>
    <w:rsid w:val="00894848"/>
    <w:rsid w:val="008948C5"/>
    <w:rsid w:val="00894AC0"/>
    <w:rsid w:val="00894B1C"/>
    <w:rsid w:val="00894D9E"/>
    <w:rsid w:val="00894E89"/>
    <w:rsid w:val="00894FD7"/>
    <w:rsid w:val="008950B5"/>
    <w:rsid w:val="0089522F"/>
    <w:rsid w:val="008953B3"/>
    <w:rsid w:val="00895527"/>
    <w:rsid w:val="0089554F"/>
    <w:rsid w:val="008955E6"/>
    <w:rsid w:val="008955F5"/>
    <w:rsid w:val="008956E4"/>
    <w:rsid w:val="00895802"/>
    <w:rsid w:val="00895894"/>
    <w:rsid w:val="008958E9"/>
    <w:rsid w:val="008959E0"/>
    <w:rsid w:val="00895A96"/>
    <w:rsid w:val="00895B5F"/>
    <w:rsid w:val="00895B71"/>
    <w:rsid w:val="00895ED8"/>
    <w:rsid w:val="00895F79"/>
    <w:rsid w:val="00896009"/>
    <w:rsid w:val="00896338"/>
    <w:rsid w:val="00896340"/>
    <w:rsid w:val="0089635C"/>
    <w:rsid w:val="0089637C"/>
    <w:rsid w:val="008964A3"/>
    <w:rsid w:val="0089653B"/>
    <w:rsid w:val="00896628"/>
    <w:rsid w:val="0089668F"/>
    <w:rsid w:val="00896712"/>
    <w:rsid w:val="00896870"/>
    <w:rsid w:val="008969BD"/>
    <w:rsid w:val="00896A3F"/>
    <w:rsid w:val="00896E4F"/>
    <w:rsid w:val="0089708C"/>
    <w:rsid w:val="00897205"/>
    <w:rsid w:val="008972BA"/>
    <w:rsid w:val="008972FF"/>
    <w:rsid w:val="00897331"/>
    <w:rsid w:val="0089787F"/>
    <w:rsid w:val="008979A0"/>
    <w:rsid w:val="00897A96"/>
    <w:rsid w:val="00897ABA"/>
    <w:rsid w:val="00897B8E"/>
    <w:rsid w:val="00897CCA"/>
    <w:rsid w:val="00897EC9"/>
    <w:rsid w:val="00897F2A"/>
    <w:rsid w:val="00897F62"/>
    <w:rsid w:val="008A0070"/>
    <w:rsid w:val="008A02C4"/>
    <w:rsid w:val="008A02C6"/>
    <w:rsid w:val="008A0595"/>
    <w:rsid w:val="008A069D"/>
    <w:rsid w:val="008A07EF"/>
    <w:rsid w:val="008A082C"/>
    <w:rsid w:val="008A0967"/>
    <w:rsid w:val="008A0AE7"/>
    <w:rsid w:val="008A0B26"/>
    <w:rsid w:val="008A0BC4"/>
    <w:rsid w:val="008A0BED"/>
    <w:rsid w:val="008A0C27"/>
    <w:rsid w:val="008A0EE6"/>
    <w:rsid w:val="008A0F0C"/>
    <w:rsid w:val="008A0F0F"/>
    <w:rsid w:val="008A101D"/>
    <w:rsid w:val="008A122A"/>
    <w:rsid w:val="008A131D"/>
    <w:rsid w:val="008A13BD"/>
    <w:rsid w:val="008A1596"/>
    <w:rsid w:val="008A1611"/>
    <w:rsid w:val="008A166B"/>
    <w:rsid w:val="008A1689"/>
    <w:rsid w:val="008A17F0"/>
    <w:rsid w:val="008A1820"/>
    <w:rsid w:val="008A18CA"/>
    <w:rsid w:val="008A18EF"/>
    <w:rsid w:val="008A191A"/>
    <w:rsid w:val="008A1AE8"/>
    <w:rsid w:val="008A1B99"/>
    <w:rsid w:val="008A1E58"/>
    <w:rsid w:val="008A1E78"/>
    <w:rsid w:val="008A1EDF"/>
    <w:rsid w:val="008A1EEE"/>
    <w:rsid w:val="008A1F0B"/>
    <w:rsid w:val="008A20B6"/>
    <w:rsid w:val="008A2134"/>
    <w:rsid w:val="008A2211"/>
    <w:rsid w:val="008A24B7"/>
    <w:rsid w:val="008A2501"/>
    <w:rsid w:val="008A260F"/>
    <w:rsid w:val="008A265D"/>
    <w:rsid w:val="008A2695"/>
    <w:rsid w:val="008A2767"/>
    <w:rsid w:val="008A2807"/>
    <w:rsid w:val="008A291A"/>
    <w:rsid w:val="008A2979"/>
    <w:rsid w:val="008A29F2"/>
    <w:rsid w:val="008A2B7D"/>
    <w:rsid w:val="008A2BAD"/>
    <w:rsid w:val="008A2C4E"/>
    <w:rsid w:val="008A2C5F"/>
    <w:rsid w:val="008A2C8A"/>
    <w:rsid w:val="008A2CD8"/>
    <w:rsid w:val="008A2DC9"/>
    <w:rsid w:val="008A2F08"/>
    <w:rsid w:val="008A2FF1"/>
    <w:rsid w:val="008A3056"/>
    <w:rsid w:val="008A3120"/>
    <w:rsid w:val="008A32D4"/>
    <w:rsid w:val="008A3351"/>
    <w:rsid w:val="008A3387"/>
    <w:rsid w:val="008A33E7"/>
    <w:rsid w:val="008A358F"/>
    <w:rsid w:val="008A367F"/>
    <w:rsid w:val="008A370A"/>
    <w:rsid w:val="008A372D"/>
    <w:rsid w:val="008A374A"/>
    <w:rsid w:val="008A37AF"/>
    <w:rsid w:val="008A37D1"/>
    <w:rsid w:val="008A37F6"/>
    <w:rsid w:val="008A3821"/>
    <w:rsid w:val="008A3875"/>
    <w:rsid w:val="008A3965"/>
    <w:rsid w:val="008A3A4A"/>
    <w:rsid w:val="008A3B50"/>
    <w:rsid w:val="008A3D62"/>
    <w:rsid w:val="008A3F92"/>
    <w:rsid w:val="008A402D"/>
    <w:rsid w:val="008A40DC"/>
    <w:rsid w:val="008A416A"/>
    <w:rsid w:val="008A419C"/>
    <w:rsid w:val="008A4243"/>
    <w:rsid w:val="008A4270"/>
    <w:rsid w:val="008A448D"/>
    <w:rsid w:val="008A4544"/>
    <w:rsid w:val="008A457F"/>
    <w:rsid w:val="008A458E"/>
    <w:rsid w:val="008A46F7"/>
    <w:rsid w:val="008A4707"/>
    <w:rsid w:val="008A478D"/>
    <w:rsid w:val="008A4822"/>
    <w:rsid w:val="008A4972"/>
    <w:rsid w:val="008A4A55"/>
    <w:rsid w:val="008A4A83"/>
    <w:rsid w:val="008A4C16"/>
    <w:rsid w:val="008A4CD6"/>
    <w:rsid w:val="008A4D86"/>
    <w:rsid w:val="008A4DF3"/>
    <w:rsid w:val="008A4E14"/>
    <w:rsid w:val="008A4E9A"/>
    <w:rsid w:val="008A506F"/>
    <w:rsid w:val="008A50AF"/>
    <w:rsid w:val="008A5102"/>
    <w:rsid w:val="008A528A"/>
    <w:rsid w:val="008A5298"/>
    <w:rsid w:val="008A52C8"/>
    <w:rsid w:val="008A535A"/>
    <w:rsid w:val="008A5385"/>
    <w:rsid w:val="008A56F9"/>
    <w:rsid w:val="008A57A8"/>
    <w:rsid w:val="008A5872"/>
    <w:rsid w:val="008A5A9D"/>
    <w:rsid w:val="008A5C81"/>
    <w:rsid w:val="008A5CDF"/>
    <w:rsid w:val="008A5D02"/>
    <w:rsid w:val="008A5E5B"/>
    <w:rsid w:val="008A6169"/>
    <w:rsid w:val="008A622E"/>
    <w:rsid w:val="008A647B"/>
    <w:rsid w:val="008A658C"/>
    <w:rsid w:val="008A6595"/>
    <w:rsid w:val="008A6A9C"/>
    <w:rsid w:val="008A6B10"/>
    <w:rsid w:val="008A6B1E"/>
    <w:rsid w:val="008A6BB3"/>
    <w:rsid w:val="008A6EE2"/>
    <w:rsid w:val="008A6F55"/>
    <w:rsid w:val="008A70E6"/>
    <w:rsid w:val="008A70E7"/>
    <w:rsid w:val="008A7198"/>
    <w:rsid w:val="008A71A1"/>
    <w:rsid w:val="008A720F"/>
    <w:rsid w:val="008A72DA"/>
    <w:rsid w:val="008A72E8"/>
    <w:rsid w:val="008A7498"/>
    <w:rsid w:val="008A74C3"/>
    <w:rsid w:val="008A76A1"/>
    <w:rsid w:val="008A76EA"/>
    <w:rsid w:val="008A775C"/>
    <w:rsid w:val="008A780B"/>
    <w:rsid w:val="008A781D"/>
    <w:rsid w:val="008A79BD"/>
    <w:rsid w:val="008A7A45"/>
    <w:rsid w:val="008A7C2F"/>
    <w:rsid w:val="008A7C72"/>
    <w:rsid w:val="008A7DB2"/>
    <w:rsid w:val="008A7EC3"/>
    <w:rsid w:val="008B0000"/>
    <w:rsid w:val="008B00FE"/>
    <w:rsid w:val="008B0205"/>
    <w:rsid w:val="008B0211"/>
    <w:rsid w:val="008B044E"/>
    <w:rsid w:val="008B04F2"/>
    <w:rsid w:val="008B0524"/>
    <w:rsid w:val="008B0925"/>
    <w:rsid w:val="008B09B7"/>
    <w:rsid w:val="008B09BC"/>
    <w:rsid w:val="008B0A29"/>
    <w:rsid w:val="008B0A43"/>
    <w:rsid w:val="008B0A7F"/>
    <w:rsid w:val="008B0AE1"/>
    <w:rsid w:val="008B0B23"/>
    <w:rsid w:val="008B0B29"/>
    <w:rsid w:val="008B0B31"/>
    <w:rsid w:val="008B0D0E"/>
    <w:rsid w:val="008B1051"/>
    <w:rsid w:val="008B11C1"/>
    <w:rsid w:val="008B11CF"/>
    <w:rsid w:val="008B126F"/>
    <w:rsid w:val="008B12B2"/>
    <w:rsid w:val="008B12BB"/>
    <w:rsid w:val="008B13B0"/>
    <w:rsid w:val="008B13D8"/>
    <w:rsid w:val="008B1411"/>
    <w:rsid w:val="008B161F"/>
    <w:rsid w:val="008B16DA"/>
    <w:rsid w:val="008B1704"/>
    <w:rsid w:val="008B17A2"/>
    <w:rsid w:val="008B183D"/>
    <w:rsid w:val="008B18EA"/>
    <w:rsid w:val="008B1AB8"/>
    <w:rsid w:val="008B1E99"/>
    <w:rsid w:val="008B2079"/>
    <w:rsid w:val="008B20BC"/>
    <w:rsid w:val="008B2161"/>
    <w:rsid w:val="008B219F"/>
    <w:rsid w:val="008B23DA"/>
    <w:rsid w:val="008B25F2"/>
    <w:rsid w:val="008B261F"/>
    <w:rsid w:val="008B2643"/>
    <w:rsid w:val="008B26CD"/>
    <w:rsid w:val="008B276C"/>
    <w:rsid w:val="008B27AF"/>
    <w:rsid w:val="008B299F"/>
    <w:rsid w:val="008B2A13"/>
    <w:rsid w:val="008B2A3A"/>
    <w:rsid w:val="008B2A64"/>
    <w:rsid w:val="008B2A86"/>
    <w:rsid w:val="008B2BB7"/>
    <w:rsid w:val="008B2BF2"/>
    <w:rsid w:val="008B2C89"/>
    <w:rsid w:val="008B2D02"/>
    <w:rsid w:val="008B2FAE"/>
    <w:rsid w:val="008B3068"/>
    <w:rsid w:val="008B31ED"/>
    <w:rsid w:val="008B3317"/>
    <w:rsid w:val="008B36ED"/>
    <w:rsid w:val="008B3760"/>
    <w:rsid w:val="008B388B"/>
    <w:rsid w:val="008B3906"/>
    <w:rsid w:val="008B3BE4"/>
    <w:rsid w:val="008B3C74"/>
    <w:rsid w:val="008B3D88"/>
    <w:rsid w:val="008B3F0A"/>
    <w:rsid w:val="008B3FB6"/>
    <w:rsid w:val="008B414B"/>
    <w:rsid w:val="008B41E6"/>
    <w:rsid w:val="008B434F"/>
    <w:rsid w:val="008B4362"/>
    <w:rsid w:val="008B436F"/>
    <w:rsid w:val="008B4595"/>
    <w:rsid w:val="008B4618"/>
    <w:rsid w:val="008B476F"/>
    <w:rsid w:val="008B481D"/>
    <w:rsid w:val="008B48AE"/>
    <w:rsid w:val="008B49BB"/>
    <w:rsid w:val="008B49E2"/>
    <w:rsid w:val="008B4A46"/>
    <w:rsid w:val="008B4E0E"/>
    <w:rsid w:val="008B4E3A"/>
    <w:rsid w:val="008B4E4F"/>
    <w:rsid w:val="008B4FB9"/>
    <w:rsid w:val="008B4FD1"/>
    <w:rsid w:val="008B4FDC"/>
    <w:rsid w:val="008B52DC"/>
    <w:rsid w:val="008B5427"/>
    <w:rsid w:val="008B544E"/>
    <w:rsid w:val="008B555A"/>
    <w:rsid w:val="008B56D8"/>
    <w:rsid w:val="008B5715"/>
    <w:rsid w:val="008B57CF"/>
    <w:rsid w:val="008B588C"/>
    <w:rsid w:val="008B5A13"/>
    <w:rsid w:val="008B5A2D"/>
    <w:rsid w:val="008B5B97"/>
    <w:rsid w:val="008B5BC2"/>
    <w:rsid w:val="008B5D6E"/>
    <w:rsid w:val="008B5DC6"/>
    <w:rsid w:val="008B5DD1"/>
    <w:rsid w:val="008B5DF5"/>
    <w:rsid w:val="008B5E54"/>
    <w:rsid w:val="008B5F33"/>
    <w:rsid w:val="008B5FD8"/>
    <w:rsid w:val="008B603B"/>
    <w:rsid w:val="008B60BB"/>
    <w:rsid w:val="008B6177"/>
    <w:rsid w:val="008B6296"/>
    <w:rsid w:val="008B6307"/>
    <w:rsid w:val="008B63B7"/>
    <w:rsid w:val="008B643F"/>
    <w:rsid w:val="008B652E"/>
    <w:rsid w:val="008B6732"/>
    <w:rsid w:val="008B68A7"/>
    <w:rsid w:val="008B68EC"/>
    <w:rsid w:val="008B6994"/>
    <w:rsid w:val="008B6B95"/>
    <w:rsid w:val="008B6BB2"/>
    <w:rsid w:val="008B6BEC"/>
    <w:rsid w:val="008B6CBA"/>
    <w:rsid w:val="008B6CCA"/>
    <w:rsid w:val="008B6E9C"/>
    <w:rsid w:val="008B7036"/>
    <w:rsid w:val="008B704C"/>
    <w:rsid w:val="008B711E"/>
    <w:rsid w:val="008B7189"/>
    <w:rsid w:val="008B718D"/>
    <w:rsid w:val="008B7196"/>
    <w:rsid w:val="008B7426"/>
    <w:rsid w:val="008B7451"/>
    <w:rsid w:val="008B7599"/>
    <w:rsid w:val="008B77AC"/>
    <w:rsid w:val="008B7946"/>
    <w:rsid w:val="008B7986"/>
    <w:rsid w:val="008B7A7A"/>
    <w:rsid w:val="008B7BE2"/>
    <w:rsid w:val="008B7C5F"/>
    <w:rsid w:val="008B7D71"/>
    <w:rsid w:val="008B7E93"/>
    <w:rsid w:val="008C000F"/>
    <w:rsid w:val="008C001B"/>
    <w:rsid w:val="008C0197"/>
    <w:rsid w:val="008C01AC"/>
    <w:rsid w:val="008C0204"/>
    <w:rsid w:val="008C0290"/>
    <w:rsid w:val="008C0312"/>
    <w:rsid w:val="008C042F"/>
    <w:rsid w:val="008C04F1"/>
    <w:rsid w:val="008C053F"/>
    <w:rsid w:val="008C0557"/>
    <w:rsid w:val="008C057B"/>
    <w:rsid w:val="008C06B7"/>
    <w:rsid w:val="008C075E"/>
    <w:rsid w:val="008C0775"/>
    <w:rsid w:val="008C0867"/>
    <w:rsid w:val="008C094C"/>
    <w:rsid w:val="008C09B1"/>
    <w:rsid w:val="008C0A4A"/>
    <w:rsid w:val="008C0CAC"/>
    <w:rsid w:val="008C0D10"/>
    <w:rsid w:val="008C0D45"/>
    <w:rsid w:val="008C0D75"/>
    <w:rsid w:val="008C0E8D"/>
    <w:rsid w:val="008C0EA9"/>
    <w:rsid w:val="008C0EE5"/>
    <w:rsid w:val="008C0F29"/>
    <w:rsid w:val="008C0F98"/>
    <w:rsid w:val="008C10E2"/>
    <w:rsid w:val="008C119F"/>
    <w:rsid w:val="008C11DD"/>
    <w:rsid w:val="008C1214"/>
    <w:rsid w:val="008C13B4"/>
    <w:rsid w:val="008C147B"/>
    <w:rsid w:val="008C1486"/>
    <w:rsid w:val="008C14E4"/>
    <w:rsid w:val="008C1557"/>
    <w:rsid w:val="008C1646"/>
    <w:rsid w:val="008C194F"/>
    <w:rsid w:val="008C19B4"/>
    <w:rsid w:val="008C1A01"/>
    <w:rsid w:val="008C1B8C"/>
    <w:rsid w:val="008C1BB4"/>
    <w:rsid w:val="008C1D77"/>
    <w:rsid w:val="008C1E46"/>
    <w:rsid w:val="008C1F73"/>
    <w:rsid w:val="008C1F87"/>
    <w:rsid w:val="008C205B"/>
    <w:rsid w:val="008C207A"/>
    <w:rsid w:val="008C22AA"/>
    <w:rsid w:val="008C2306"/>
    <w:rsid w:val="008C2358"/>
    <w:rsid w:val="008C2404"/>
    <w:rsid w:val="008C256F"/>
    <w:rsid w:val="008C269B"/>
    <w:rsid w:val="008C26D1"/>
    <w:rsid w:val="008C2784"/>
    <w:rsid w:val="008C27F6"/>
    <w:rsid w:val="008C2917"/>
    <w:rsid w:val="008C2984"/>
    <w:rsid w:val="008C2A5D"/>
    <w:rsid w:val="008C2B0F"/>
    <w:rsid w:val="008C2B40"/>
    <w:rsid w:val="008C2B7F"/>
    <w:rsid w:val="008C2BA1"/>
    <w:rsid w:val="008C2D35"/>
    <w:rsid w:val="008C2D38"/>
    <w:rsid w:val="008C2D81"/>
    <w:rsid w:val="008C2DF2"/>
    <w:rsid w:val="008C2F54"/>
    <w:rsid w:val="008C2F66"/>
    <w:rsid w:val="008C2F6D"/>
    <w:rsid w:val="008C2FB4"/>
    <w:rsid w:val="008C300E"/>
    <w:rsid w:val="008C36AC"/>
    <w:rsid w:val="008C36E9"/>
    <w:rsid w:val="008C36F6"/>
    <w:rsid w:val="008C3719"/>
    <w:rsid w:val="008C3847"/>
    <w:rsid w:val="008C3BBB"/>
    <w:rsid w:val="008C3C64"/>
    <w:rsid w:val="008C3FED"/>
    <w:rsid w:val="008C4003"/>
    <w:rsid w:val="008C40C9"/>
    <w:rsid w:val="008C414C"/>
    <w:rsid w:val="008C4151"/>
    <w:rsid w:val="008C41AC"/>
    <w:rsid w:val="008C422B"/>
    <w:rsid w:val="008C42EC"/>
    <w:rsid w:val="008C4301"/>
    <w:rsid w:val="008C43D2"/>
    <w:rsid w:val="008C43F6"/>
    <w:rsid w:val="008C4455"/>
    <w:rsid w:val="008C447F"/>
    <w:rsid w:val="008C4484"/>
    <w:rsid w:val="008C4579"/>
    <w:rsid w:val="008C4812"/>
    <w:rsid w:val="008C4953"/>
    <w:rsid w:val="008C49D9"/>
    <w:rsid w:val="008C4DFF"/>
    <w:rsid w:val="008C4E23"/>
    <w:rsid w:val="008C4E44"/>
    <w:rsid w:val="008C4EA0"/>
    <w:rsid w:val="008C4ECE"/>
    <w:rsid w:val="008C4F0F"/>
    <w:rsid w:val="008C4F2A"/>
    <w:rsid w:val="008C4FCF"/>
    <w:rsid w:val="008C4FD4"/>
    <w:rsid w:val="008C51A4"/>
    <w:rsid w:val="008C542C"/>
    <w:rsid w:val="008C545C"/>
    <w:rsid w:val="008C54CC"/>
    <w:rsid w:val="008C5617"/>
    <w:rsid w:val="008C56FC"/>
    <w:rsid w:val="008C590E"/>
    <w:rsid w:val="008C5BF7"/>
    <w:rsid w:val="008C5C9C"/>
    <w:rsid w:val="008C5D3C"/>
    <w:rsid w:val="008C5DFA"/>
    <w:rsid w:val="008C5E04"/>
    <w:rsid w:val="008C5E6C"/>
    <w:rsid w:val="008C606F"/>
    <w:rsid w:val="008C6255"/>
    <w:rsid w:val="008C632B"/>
    <w:rsid w:val="008C638A"/>
    <w:rsid w:val="008C6469"/>
    <w:rsid w:val="008C64B5"/>
    <w:rsid w:val="008C6508"/>
    <w:rsid w:val="008C658D"/>
    <w:rsid w:val="008C666E"/>
    <w:rsid w:val="008C66A3"/>
    <w:rsid w:val="008C66E9"/>
    <w:rsid w:val="008C67B4"/>
    <w:rsid w:val="008C684B"/>
    <w:rsid w:val="008C6860"/>
    <w:rsid w:val="008C68D8"/>
    <w:rsid w:val="008C68DE"/>
    <w:rsid w:val="008C690A"/>
    <w:rsid w:val="008C6976"/>
    <w:rsid w:val="008C6A38"/>
    <w:rsid w:val="008C6A3A"/>
    <w:rsid w:val="008C6ABD"/>
    <w:rsid w:val="008C6B72"/>
    <w:rsid w:val="008C6C6C"/>
    <w:rsid w:val="008C6C88"/>
    <w:rsid w:val="008C6F18"/>
    <w:rsid w:val="008C70A9"/>
    <w:rsid w:val="008C70CE"/>
    <w:rsid w:val="008C70F9"/>
    <w:rsid w:val="008C7685"/>
    <w:rsid w:val="008C779A"/>
    <w:rsid w:val="008C7895"/>
    <w:rsid w:val="008C790A"/>
    <w:rsid w:val="008C7AD6"/>
    <w:rsid w:val="008C7BAD"/>
    <w:rsid w:val="008C7BCD"/>
    <w:rsid w:val="008C7E6E"/>
    <w:rsid w:val="008C7F6B"/>
    <w:rsid w:val="008C7F8C"/>
    <w:rsid w:val="008C7F9B"/>
    <w:rsid w:val="008D000B"/>
    <w:rsid w:val="008D007A"/>
    <w:rsid w:val="008D0561"/>
    <w:rsid w:val="008D05A3"/>
    <w:rsid w:val="008D0710"/>
    <w:rsid w:val="008D07DE"/>
    <w:rsid w:val="008D0831"/>
    <w:rsid w:val="008D083D"/>
    <w:rsid w:val="008D0A3B"/>
    <w:rsid w:val="008D0B67"/>
    <w:rsid w:val="008D0B70"/>
    <w:rsid w:val="008D0C4C"/>
    <w:rsid w:val="008D0C9E"/>
    <w:rsid w:val="008D0D7B"/>
    <w:rsid w:val="008D0E40"/>
    <w:rsid w:val="008D0EDC"/>
    <w:rsid w:val="008D10BA"/>
    <w:rsid w:val="008D1111"/>
    <w:rsid w:val="008D151A"/>
    <w:rsid w:val="008D159E"/>
    <w:rsid w:val="008D1650"/>
    <w:rsid w:val="008D16F0"/>
    <w:rsid w:val="008D1718"/>
    <w:rsid w:val="008D181A"/>
    <w:rsid w:val="008D18A9"/>
    <w:rsid w:val="008D1990"/>
    <w:rsid w:val="008D1B6D"/>
    <w:rsid w:val="008D1BBF"/>
    <w:rsid w:val="008D1C03"/>
    <w:rsid w:val="008D1C05"/>
    <w:rsid w:val="008D1C22"/>
    <w:rsid w:val="008D1DFE"/>
    <w:rsid w:val="008D1E7F"/>
    <w:rsid w:val="008D1EE5"/>
    <w:rsid w:val="008D1FDF"/>
    <w:rsid w:val="008D2218"/>
    <w:rsid w:val="008D2367"/>
    <w:rsid w:val="008D23EA"/>
    <w:rsid w:val="008D2578"/>
    <w:rsid w:val="008D2619"/>
    <w:rsid w:val="008D269D"/>
    <w:rsid w:val="008D26F2"/>
    <w:rsid w:val="008D282A"/>
    <w:rsid w:val="008D2948"/>
    <w:rsid w:val="008D2973"/>
    <w:rsid w:val="008D2B55"/>
    <w:rsid w:val="008D2C8C"/>
    <w:rsid w:val="008D2CF9"/>
    <w:rsid w:val="008D2D59"/>
    <w:rsid w:val="008D2F22"/>
    <w:rsid w:val="008D2FBC"/>
    <w:rsid w:val="008D3131"/>
    <w:rsid w:val="008D3185"/>
    <w:rsid w:val="008D3186"/>
    <w:rsid w:val="008D3204"/>
    <w:rsid w:val="008D3437"/>
    <w:rsid w:val="008D34AE"/>
    <w:rsid w:val="008D362C"/>
    <w:rsid w:val="008D37DB"/>
    <w:rsid w:val="008D3822"/>
    <w:rsid w:val="008D387F"/>
    <w:rsid w:val="008D38BC"/>
    <w:rsid w:val="008D3ABB"/>
    <w:rsid w:val="008D3B32"/>
    <w:rsid w:val="008D3B8F"/>
    <w:rsid w:val="008D3BA0"/>
    <w:rsid w:val="008D3BB6"/>
    <w:rsid w:val="008D3D89"/>
    <w:rsid w:val="008D3DC4"/>
    <w:rsid w:val="008D4003"/>
    <w:rsid w:val="008D4037"/>
    <w:rsid w:val="008D41D3"/>
    <w:rsid w:val="008D4234"/>
    <w:rsid w:val="008D427A"/>
    <w:rsid w:val="008D42A3"/>
    <w:rsid w:val="008D42BE"/>
    <w:rsid w:val="008D44FB"/>
    <w:rsid w:val="008D4865"/>
    <w:rsid w:val="008D4892"/>
    <w:rsid w:val="008D4941"/>
    <w:rsid w:val="008D499B"/>
    <w:rsid w:val="008D4A38"/>
    <w:rsid w:val="008D4C37"/>
    <w:rsid w:val="008D4C3C"/>
    <w:rsid w:val="008D4CBE"/>
    <w:rsid w:val="008D4CF7"/>
    <w:rsid w:val="008D4D74"/>
    <w:rsid w:val="008D4DCA"/>
    <w:rsid w:val="008D4DD5"/>
    <w:rsid w:val="008D4DE8"/>
    <w:rsid w:val="008D4EA3"/>
    <w:rsid w:val="008D5022"/>
    <w:rsid w:val="008D5038"/>
    <w:rsid w:val="008D5057"/>
    <w:rsid w:val="008D50B6"/>
    <w:rsid w:val="008D51A6"/>
    <w:rsid w:val="008D5212"/>
    <w:rsid w:val="008D524A"/>
    <w:rsid w:val="008D524B"/>
    <w:rsid w:val="008D5341"/>
    <w:rsid w:val="008D5451"/>
    <w:rsid w:val="008D55AC"/>
    <w:rsid w:val="008D562A"/>
    <w:rsid w:val="008D5657"/>
    <w:rsid w:val="008D5742"/>
    <w:rsid w:val="008D5AA4"/>
    <w:rsid w:val="008D5AD2"/>
    <w:rsid w:val="008D5CFD"/>
    <w:rsid w:val="008D5DEF"/>
    <w:rsid w:val="008D5EA2"/>
    <w:rsid w:val="008D5F52"/>
    <w:rsid w:val="008D6055"/>
    <w:rsid w:val="008D6063"/>
    <w:rsid w:val="008D6078"/>
    <w:rsid w:val="008D60A3"/>
    <w:rsid w:val="008D6288"/>
    <w:rsid w:val="008D62EA"/>
    <w:rsid w:val="008D63CD"/>
    <w:rsid w:val="008D646B"/>
    <w:rsid w:val="008D6488"/>
    <w:rsid w:val="008D6519"/>
    <w:rsid w:val="008D6540"/>
    <w:rsid w:val="008D65A2"/>
    <w:rsid w:val="008D6609"/>
    <w:rsid w:val="008D6616"/>
    <w:rsid w:val="008D6619"/>
    <w:rsid w:val="008D6732"/>
    <w:rsid w:val="008D6752"/>
    <w:rsid w:val="008D6890"/>
    <w:rsid w:val="008D689E"/>
    <w:rsid w:val="008D6946"/>
    <w:rsid w:val="008D69E7"/>
    <w:rsid w:val="008D69FF"/>
    <w:rsid w:val="008D6C1D"/>
    <w:rsid w:val="008D6FC1"/>
    <w:rsid w:val="008D71BC"/>
    <w:rsid w:val="008D747F"/>
    <w:rsid w:val="008D74B3"/>
    <w:rsid w:val="008D758C"/>
    <w:rsid w:val="008D7632"/>
    <w:rsid w:val="008D785B"/>
    <w:rsid w:val="008D7976"/>
    <w:rsid w:val="008D7A75"/>
    <w:rsid w:val="008D7AB4"/>
    <w:rsid w:val="008D7AD2"/>
    <w:rsid w:val="008D7CBB"/>
    <w:rsid w:val="008D7CDD"/>
    <w:rsid w:val="008D7D63"/>
    <w:rsid w:val="008D7EFD"/>
    <w:rsid w:val="008D7FA4"/>
    <w:rsid w:val="008E0140"/>
    <w:rsid w:val="008E02F7"/>
    <w:rsid w:val="008E044F"/>
    <w:rsid w:val="008E048E"/>
    <w:rsid w:val="008E04F2"/>
    <w:rsid w:val="008E0509"/>
    <w:rsid w:val="008E0598"/>
    <w:rsid w:val="008E0680"/>
    <w:rsid w:val="008E0688"/>
    <w:rsid w:val="008E069B"/>
    <w:rsid w:val="008E06B7"/>
    <w:rsid w:val="008E0702"/>
    <w:rsid w:val="008E084A"/>
    <w:rsid w:val="008E08F2"/>
    <w:rsid w:val="008E090C"/>
    <w:rsid w:val="008E0974"/>
    <w:rsid w:val="008E0BEF"/>
    <w:rsid w:val="008E0CF6"/>
    <w:rsid w:val="008E0D57"/>
    <w:rsid w:val="008E0E1C"/>
    <w:rsid w:val="008E0EBC"/>
    <w:rsid w:val="008E0F71"/>
    <w:rsid w:val="008E103C"/>
    <w:rsid w:val="008E109B"/>
    <w:rsid w:val="008E11F0"/>
    <w:rsid w:val="008E1220"/>
    <w:rsid w:val="008E127F"/>
    <w:rsid w:val="008E1328"/>
    <w:rsid w:val="008E136D"/>
    <w:rsid w:val="008E1489"/>
    <w:rsid w:val="008E16A6"/>
    <w:rsid w:val="008E171B"/>
    <w:rsid w:val="008E1754"/>
    <w:rsid w:val="008E188E"/>
    <w:rsid w:val="008E18D1"/>
    <w:rsid w:val="008E1931"/>
    <w:rsid w:val="008E1940"/>
    <w:rsid w:val="008E1962"/>
    <w:rsid w:val="008E1A40"/>
    <w:rsid w:val="008E1C0A"/>
    <w:rsid w:val="008E1CEB"/>
    <w:rsid w:val="008E1D4D"/>
    <w:rsid w:val="008E1DB7"/>
    <w:rsid w:val="008E1E36"/>
    <w:rsid w:val="008E1F67"/>
    <w:rsid w:val="008E222B"/>
    <w:rsid w:val="008E228F"/>
    <w:rsid w:val="008E2328"/>
    <w:rsid w:val="008E2467"/>
    <w:rsid w:val="008E25EF"/>
    <w:rsid w:val="008E2604"/>
    <w:rsid w:val="008E2616"/>
    <w:rsid w:val="008E264A"/>
    <w:rsid w:val="008E266D"/>
    <w:rsid w:val="008E293F"/>
    <w:rsid w:val="008E29E9"/>
    <w:rsid w:val="008E2A6E"/>
    <w:rsid w:val="008E2A91"/>
    <w:rsid w:val="008E2AD1"/>
    <w:rsid w:val="008E2F0C"/>
    <w:rsid w:val="008E2F1F"/>
    <w:rsid w:val="008E2F4F"/>
    <w:rsid w:val="008E3084"/>
    <w:rsid w:val="008E31B9"/>
    <w:rsid w:val="008E32DC"/>
    <w:rsid w:val="008E32FA"/>
    <w:rsid w:val="008E335D"/>
    <w:rsid w:val="008E36D6"/>
    <w:rsid w:val="008E3A33"/>
    <w:rsid w:val="008E3BF1"/>
    <w:rsid w:val="008E3C26"/>
    <w:rsid w:val="008E3E23"/>
    <w:rsid w:val="008E3EF2"/>
    <w:rsid w:val="008E3F56"/>
    <w:rsid w:val="008E3F9C"/>
    <w:rsid w:val="008E3FCF"/>
    <w:rsid w:val="008E4147"/>
    <w:rsid w:val="008E414C"/>
    <w:rsid w:val="008E42EC"/>
    <w:rsid w:val="008E44B5"/>
    <w:rsid w:val="008E452C"/>
    <w:rsid w:val="008E4532"/>
    <w:rsid w:val="008E4695"/>
    <w:rsid w:val="008E46FC"/>
    <w:rsid w:val="008E470D"/>
    <w:rsid w:val="008E4717"/>
    <w:rsid w:val="008E477C"/>
    <w:rsid w:val="008E4877"/>
    <w:rsid w:val="008E489C"/>
    <w:rsid w:val="008E48C0"/>
    <w:rsid w:val="008E48FA"/>
    <w:rsid w:val="008E4998"/>
    <w:rsid w:val="008E4A4A"/>
    <w:rsid w:val="008E4BDF"/>
    <w:rsid w:val="008E4C10"/>
    <w:rsid w:val="008E4DB4"/>
    <w:rsid w:val="008E4EAA"/>
    <w:rsid w:val="008E5159"/>
    <w:rsid w:val="008E5168"/>
    <w:rsid w:val="008E547B"/>
    <w:rsid w:val="008E54DA"/>
    <w:rsid w:val="008E59DF"/>
    <w:rsid w:val="008E59F8"/>
    <w:rsid w:val="008E5CE1"/>
    <w:rsid w:val="008E5D04"/>
    <w:rsid w:val="008E5DE6"/>
    <w:rsid w:val="008E5DF8"/>
    <w:rsid w:val="008E5E69"/>
    <w:rsid w:val="008E5FA3"/>
    <w:rsid w:val="008E615E"/>
    <w:rsid w:val="008E61B0"/>
    <w:rsid w:val="008E625A"/>
    <w:rsid w:val="008E636F"/>
    <w:rsid w:val="008E63D2"/>
    <w:rsid w:val="008E640D"/>
    <w:rsid w:val="008E64E8"/>
    <w:rsid w:val="008E6523"/>
    <w:rsid w:val="008E67A9"/>
    <w:rsid w:val="008E685F"/>
    <w:rsid w:val="008E6B35"/>
    <w:rsid w:val="008E6CA1"/>
    <w:rsid w:val="008E6E61"/>
    <w:rsid w:val="008E6EB6"/>
    <w:rsid w:val="008E6F02"/>
    <w:rsid w:val="008E7025"/>
    <w:rsid w:val="008E7227"/>
    <w:rsid w:val="008E72E1"/>
    <w:rsid w:val="008E74C6"/>
    <w:rsid w:val="008E75A1"/>
    <w:rsid w:val="008E76C3"/>
    <w:rsid w:val="008E7957"/>
    <w:rsid w:val="008E7A34"/>
    <w:rsid w:val="008E7AB7"/>
    <w:rsid w:val="008E7BB7"/>
    <w:rsid w:val="008E7C7F"/>
    <w:rsid w:val="008E7C9D"/>
    <w:rsid w:val="008E7E83"/>
    <w:rsid w:val="008E7F27"/>
    <w:rsid w:val="008F0057"/>
    <w:rsid w:val="008F006A"/>
    <w:rsid w:val="008F0120"/>
    <w:rsid w:val="008F0210"/>
    <w:rsid w:val="008F021F"/>
    <w:rsid w:val="008F0250"/>
    <w:rsid w:val="008F025C"/>
    <w:rsid w:val="008F031E"/>
    <w:rsid w:val="008F05C0"/>
    <w:rsid w:val="008F067C"/>
    <w:rsid w:val="008F06D4"/>
    <w:rsid w:val="008F0A26"/>
    <w:rsid w:val="008F0A6A"/>
    <w:rsid w:val="008F0ACA"/>
    <w:rsid w:val="008F0B3A"/>
    <w:rsid w:val="008F1177"/>
    <w:rsid w:val="008F11F4"/>
    <w:rsid w:val="008F12B8"/>
    <w:rsid w:val="008F12EE"/>
    <w:rsid w:val="008F1307"/>
    <w:rsid w:val="008F1351"/>
    <w:rsid w:val="008F13A7"/>
    <w:rsid w:val="008F13B2"/>
    <w:rsid w:val="008F15AA"/>
    <w:rsid w:val="008F15DC"/>
    <w:rsid w:val="008F1790"/>
    <w:rsid w:val="008F1938"/>
    <w:rsid w:val="008F1952"/>
    <w:rsid w:val="008F1A2F"/>
    <w:rsid w:val="008F1ACA"/>
    <w:rsid w:val="008F1D4B"/>
    <w:rsid w:val="008F1D98"/>
    <w:rsid w:val="008F1E47"/>
    <w:rsid w:val="008F1F03"/>
    <w:rsid w:val="008F1FAA"/>
    <w:rsid w:val="008F2214"/>
    <w:rsid w:val="008F2310"/>
    <w:rsid w:val="008F237B"/>
    <w:rsid w:val="008F23C7"/>
    <w:rsid w:val="008F254D"/>
    <w:rsid w:val="008F25FD"/>
    <w:rsid w:val="008F273D"/>
    <w:rsid w:val="008F273F"/>
    <w:rsid w:val="008F27EA"/>
    <w:rsid w:val="008F28E1"/>
    <w:rsid w:val="008F28E5"/>
    <w:rsid w:val="008F2BC6"/>
    <w:rsid w:val="008F2C35"/>
    <w:rsid w:val="008F2E8F"/>
    <w:rsid w:val="008F2EC1"/>
    <w:rsid w:val="008F2EF1"/>
    <w:rsid w:val="008F30EF"/>
    <w:rsid w:val="008F310B"/>
    <w:rsid w:val="008F31AE"/>
    <w:rsid w:val="008F322B"/>
    <w:rsid w:val="008F34CB"/>
    <w:rsid w:val="008F3519"/>
    <w:rsid w:val="008F3671"/>
    <w:rsid w:val="008F3747"/>
    <w:rsid w:val="008F384E"/>
    <w:rsid w:val="008F38C9"/>
    <w:rsid w:val="008F390C"/>
    <w:rsid w:val="008F3AD3"/>
    <w:rsid w:val="008F3B15"/>
    <w:rsid w:val="008F3C58"/>
    <w:rsid w:val="008F3CA7"/>
    <w:rsid w:val="008F3CE6"/>
    <w:rsid w:val="008F3D98"/>
    <w:rsid w:val="008F3E8E"/>
    <w:rsid w:val="008F3F22"/>
    <w:rsid w:val="008F3FB0"/>
    <w:rsid w:val="008F3FEF"/>
    <w:rsid w:val="008F4004"/>
    <w:rsid w:val="008F40B2"/>
    <w:rsid w:val="008F40D3"/>
    <w:rsid w:val="008F40F4"/>
    <w:rsid w:val="008F4207"/>
    <w:rsid w:val="008F4362"/>
    <w:rsid w:val="008F440B"/>
    <w:rsid w:val="008F443F"/>
    <w:rsid w:val="008F4510"/>
    <w:rsid w:val="008F4768"/>
    <w:rsid w:val="008F48B6"/>
    <w:rsid w:val="008F4B62"/>
    <w:rsid w:val="008F4BAB"/>
    <w:rsid w:val="008F4EA5"/>
    <w:rsid w:val="008F4EDA"/>
    <w:rsid w:val="008F4F79"/>
    <w:rsid w:val="008F50C9"/>
    <w:rsid w:val="008F51D2"/>
    <w:rsid w:val="008F52AC"/>
    <w:rsid w:val="008F531E"/>
    <w:rsid w:val="008F531F"/>
    <w:rsid w:val="008F5509"/>
    <w:rsid w:val="008F568D"/>
    <w:rsid w:val="008F580C"/>
    <w:rsid w:val="008F5948"/>
    <w:rsid w:val="008F5949"/>
    <w:rsid w:val="008F59BB"/>
    <w:rsid w:val="008F5ACB"/>
    <w:rsid w:val="008F5B7A"/>
    <w:rsid w:val="008F5CF4"/>
    <w:rsid w:val="008F5D23"/>
    <w:rsid w:val="008F5DC4"/>
    <w:rsid w:val="008F5DE5"/>
    <w:rsid w:val="008F5E42"/>
    <w:rsid w:val="008F63B1"/>
    <w:rsid w:val="008F63DB"/>
    <w:rsid w:val="008F6490"/>
    <w:rsid w:val="008F64E4"/>
    <w:rsid w:val="008F6597"/>
    <w:rsid w:val="008F6624"/>
    <w:rsid w:val="008F669A"/>
    <w:rsid w:val="008F66C2"/>
    <w:rsid w:val="008F68DB"/>
    <w:rsid w:val="008F6973"/>
    <w:rsid w:val="008F6A42"/>
    <w:rsid w:val="008F6A9B"/>
    <w:rsid w:val="008F6AAA"/>
    <w:rsid w:val="008F6AC4"/>
    <w:rsid w:val="008F6B7A"/>
    <w:rsid w:val="008F6CF8"/>
    <w:rsid w:val="008F6E6A"/>
    <w:rsid w:val="008F6E84"/>
    <w:rsid w:val="008F6EAD"/>
    <w:rsid w:val="008F6ED8"/>
    <w:rsid w:val="008F6F68"/>
    <w:rsid w:val="008F7096"/>
    <w:rsid w:val="008F7114"/>
    <w:rsid w:val="008F7184"/>
    <w:rsid w:val="008F726A"/>
    <w:rsid w:val="008F755D"/>
    <w:rsid w:val="008F75D2"/>
    <w:rsid w:val="008F77B2"/>
    <w:rsid w:val="008F7807"/>
    <w:rsid w:val="008F787B"/>
    <w:rsid w:val="008F78A4"/>
    <w:rsid w:val="008F7959"/>
    <w:rsid w:val="008F7A48"/>
    <w:rsid w:val="008F7AA7"/>
    <w:rsid w:val="008F7C4C"/>
    <w:rsid w:val="008F7CED"/>
    <w:rsid w:val="008F7D38"/>
    <w:rsid w:val="008F7D8B"/>
    <w:rsid w:val="008F7E42"/>
    <w:rsid w:val="008F7F31"/>
    <w:rsid w:val="008F7F94"/>
    <w:rsid w:val="00900042"/>
    <w:rsid w:val="009000D4"/>
    <w:rsid w:val="0090015F"/>
    <w:rsid w:val="00900213"/>
    <w:rsid w:val="0090028E"/>
    <w:rsid w:val="00900319"/>
    <w:rsid w:val="00900337"/>
    <w:rsid w:val="00900372"/>
    <w:rsid w:val="0090054D"/>
    <w:rsid w:val="00900643"/>
    <w:rsid w:val="0090064B"/>
    <w:rsid w:val="00900762"/>
    <w:rsid w:val="00900791"/>
    <w:rsid w:val="009007DF"/>
    <w:rsid w:val="00900940"/>
    <w:rsid w:val="00900947"/>
    <w:rsid w:val="009009FA"/>
    <w:rsid w:val="00900C74"/>
    <w:rsid w:val="00900CDF"/>
    <w:rsid w:val="00900EB8"/>
    <w:rsid w:val="00900F13"/>
    <w:rsid w:val="00900FBA"/>
    <w:rsid w:val="0090101C"/>
    <w:rsid w:val="009011A7"/>
    <w:rsid w:val="00901240"/>
    <w:rsid w:val="009012DD"/>
    <w:rsid w:val="00901333"/>
    <w:rsid w:val="009013AC"/>
    <w:rsid w:val="009013B0"/>
    <w:rsid w:val="009013E2"/>
    <w:rsid w:val="009014B8"/>
    <w:rsid w:val="00901542"/>
    <w:rsid w:val="009015A5"/>
    <w:rsid w:val="00901736"/>
    <w:rsid w:val="00901857"/>
    <w:rsid w:val="009018DE"/>
    <w:rsid w:val="0090193D"/>
    <w:rsid w:val="009019B1"/>
    <w:rsid w:val="00901B82"/>
    <w:rsid w:val="00901B94"/>
    <w:rsid w:val="00901BDC"/>
    <w:rsid w:val="00901C32"/>
    <w:rsid w:val="00901CA5"/>
    <w:rsid w:val="00901CC5"/>
    <w:rsid w:val="00901D5E"/>
    <w:rsid w:val="00901E4B"/>
    <w:rsid w:val="00901F36"/>
    <w:rsid w:val="00901F3E"/>
    <w:rsid w:val="00902175"/>
    <w:rsid w:val="009021A6"/>
    <w:rsid w:val="0090237A"/>
    <w:rsid w:val="009023D0"/>
    <w:rsid w:val="0090240E"/>
    <w:rsid w:val="0090249A"/>
    <w:rsid w:val="00902638"/>
    <w:rsid w:val="00902742"/>
    <w:rsid w:val="009027A8"/>
    <w:rsid w:val="0090283E"/>
    <w:rsid w:val="00902880"/>
    <w:rsid w:val="00902A15"/>
    <w:rsid w:val="00902A90"/>
    <w:rsid w:val="00902D33"/>
    <w:rsid w:val="00902E5B"/>
    <w:rsid w:val="00902E65"/>
    <w:rsid w:val="0090316E"/>
    <w:rsid w:val="009031C9"/>
    <w:rsid w:val="009032CB"/>
    <w:rsid w:val="00903314"/>
    <w:rsid w:val="0090337D"/>
    <w:rsid w:val="00903469"/>
    <w:rsid w:val="009034B1"/>
    <w:rsid w:val="00903515"/>
    <w:rsid w:val="0090372A"/>
    <w:rsid w:val="009037B5"/>
    <w:rsid w:val="00903AE6"/>
    <w:rsid w:val="00903B40"/>
    <w:rsid w:val="00903BE6"/>
    <w:rsid w:val="00903CB3"/>
    <w:rsid w:val="00903CF7"/>
    <w:rsid w:val="00903FD9"/>
    <w:rsid w:val="00903FFE"/>
    <w:rsid w:val="00904005"/>
    <w:rsid w:val="009040F7"/>
    <w:rsid w:val="00904468"/>
    <w:rsid w:val="009044C6"/>
    <w:rsid w:val="009044F9"/>
    <w:rsid w:val="0090452C"/>
    <w:rsid w:val="009045D0"/>
    <w:rsid w:val="00904699"/>
    <w:rsid w:val="009049F0"/>
    <w:rsid w:val="00904BD5"/>
    <w:rsid w:val="00904BDD"/>
    <w:rsid w:val="00904C91"/>
    <w:rsid w:val="00904CF5"/>
    <w:rsid w:val="00904D6C"/>
    <w:rsid w:val="00904E6B"/>
    <w:rsid w:val="00904E83"/>
    <w:rsid w:val="00904F06"/>
    <w:rsid w:val="00904F26"/>
    <w:rsid w:val="00904F61"/>
    <w:rsid w:val="00904F73"/>
    <w:rsid w:val="00904FE7"/>
    <w:rsid w:val="00905033"/>
    <w:rsid w:val="009050A9"/>
    <w:rsid w:val="00905120"/>
    <w:rsid w:val="00905188"/>
    <w:rsid w:val="009051BF"/>
    <w:rsid w:val="00905214"/>
    <w:rsid w:val="00905242"/>
    <w:rsid w:val="00905259"/>
    <w:rsid w:val="00905451"/>
    <w:rsid w:val="009054DA"/>
    <w:rsid w:val="00905506"/>
    <w:rsid w:val="0090556C"/>
    <w:rsid w:val="009055AE"/>
    <w:rsid w:val="00905633"/>
    <w:rsid w:val="00905644"/>
    <w:rsid w:val="009056F4"/>
    <w:rsid w:val="0090574F"/>
    <w:rsid w:val="009057F3"/>
    <w:rsid w:val="009059EF"/>
    <w:rsid w:val="00905B74"/>
    <w:rsid w:val="00905C48"/>
    <w:rsid w:val="00905C94"/>
    <w:rsid w:val="00905CA3"/>
    <w:rsid w:val="00905CD5"/>
    <w:rsid w:val="00905D34"/>
    <w:rsid w:val="00905EAE"/>
    <w:rsid w:val="00905EF8"/>
    <w:rsid w:val="0090609D"/>
    <w:rsid w:val="009060C4"/>
    <w:rsid w:val="00906148"/>
    <w:rsid w:val="009061DB"/>
    <w:rsid w:val="00906255"/>
    <w:rsid w:val="00906372"/>
    <w:rsid w:val="0090646F"/>
    <w:rsid w:val="00906642"/>
    <w:rsid w:val="009067C3"/>
    <w:rsid w:val="00906983"/>
    <w:rsid w:val="00906995"/>
    <w:rsid w:val="0090699E"/>
    <w:rsid w:val="00906A1B"/>
    <w:rsid w:val="00906A27"/>
    <w:rsid w:val="00906B3C"/>
    <w:rsid w:val="00906C91"/>
    <w:rsid w:val="00906C95"/>
    <w:rsid w:val="00906DC9"/>
    <w:rsid w:val="00906DD2"/>
    <w:rsid w:val="00906DF1"/>
    <w:rsid w:val="00906E34"/>
    <w:rsid w:val="00906E3B"/>
    <w:rsid w:val="00906E66"/>
    <w:rsid w:val="00906F8E"/>
    <w:rsid w:val="00907017"/>
    <w:rsid w:val="0090705A"/>
    <w:rsid w:val="009070D5"/>
    <w:rsid w:val="009071DE"/>
    <w:rsid w:val="00907231"/>
    <w:rsid w:val="00907329"/>
    <w:rsid w:val="0090740A"/>
    <w:rsid w:val="00907429"/>
    <w:rsid w:val="00907584"/>
    <w:rsid w:val="00907639"/>
    <w:rsid w:val="00907656"/>
    <w:rsid w:val="009079F1"/>
    <w:rsid w:val="00907A29"/>
    <w:rsid w:val="00907A34"/>
    <w:rsid w:val="00907BAE"/>
    <w:rsid w:val="00907C8B"/>
    <w:rsid w:val="00907CFC"/>
    <w:rsid w:val="00907D09"/>
    <w:rsid w:val="00907E47"/>
    <w:rsid w:val="00907F22"/>
    <w:rsid w:val="00910082"/>
    <w:rsid w:val="00910170"/>
    <w:rsid w:val="009101B8"/>
    <w:rsid w:val="00910310"/>
    <w:rsid w:val="00910482"/>
    <w:rsid w:val="00910589"/>
    <w:rsid w:val="00910651"/>
    <w:rsid w:val="00910663"/>
    <w:rsid w:val="0091081F"/>
    <w:rsid w:val="0091094A"/>
    <w:rsid w:val="00910995"/>
    <w:rsid w:val="009109A5"/>
    <w:rsid w:val="009109CD"/>
    <w:rsid w:val="00910AB9"/>
    <w:rsid w:val="00910BD9"/>
    <w:rsid w:val="00910CA4"/>
    <w:rsid w:val="00910E1C"/>
    <w:rsid w:val="00910E8A"/>
    <w:rsid w:val="00910F09"/>
    <w:rsid w:val="00910F6E"/>
    <w:rsid w:val="0091102D"/>
    <w:rsid w:val="009110EE"/>
    <w:rsid w:val="009110F8"/>
    <w:rsid w:val="00911174"/>
    <w:rsid w:val="00911196"/>
    <w:rsid w:val="00911200"/>
    <w:rsid w:val="00911285"/>
    <w:rsid w:val="00911287"/>
    <w:rsid w:val="009112DB"/>
    <w:rsid w:val="009113DD"/>
    <w:rsid w:val="009114E0"/>
    <w:rsid w:val="009115A6"/>
    <w:rsid w:val="009115E1"/>
    <w:rsid w:val="009115EF"/>
    <w:rsid w:val="0091167B"/>
    <w:rsid w:val="009116DD"/>
    <w:rsid w:val="0091174E"/>
    <w:rsid w:val="00911808"/>
    <w:rsid w:val="00911827"/>
    <w:rsid w:val="009118D1"/>
    <w:rsid w:val="00911971"/>
    <w:rsid w:val="00911B25"/>
    <w:rsid w:val="00911D57"/>
    <w:rsid w:val="00911E3D"/>
    <w:rsid w:val="00911EC9"/>
    <w:rsid w:val="00911F7B"/>
    <w:rsid w:val="00912084"/>
    <w:rsid w:val="0091210B"/>
    <w:rsid w:val="0091215F"/>
    <w:rsid w:val="00912230"/>
    <w:rsid w:val="0091225C"/>
    <w:rsid w:val="009122C9"/>
    <w:rsid w:val="00912364"/>
    <w:rsid w:val="009123FD"/>
    <w:rsid w:val="009124D7"/>
    <w:rsid w:val="009126DE"/>
    <w:rsid w:val="00912710"/>
    <w:rsid w:val="009127BB"/>
    <w:rsid w:val="0091284D"/>
    <w:rsid w:val="009128AF"/>
    <w:rsid w:val="00912A08"/>
    <w:rsid w:val="00912CE0"/>
    <w:rsid w:val="00912D1C"/>
    <w:rsid w:val="00912D81"/>
    <w:rsid w:val="00912F06"/>
    <w:rsid w:val="00913019"/>
    <w:rsid w:val="00913287"/>
    <w:rsid w:val="00913302"/>
    <w:rsid w:val="00913327"/>
    <w:rsid w:val="0091337E"/>
    <w:rsid w:val="009133D2"/>
    <w:rsid w:val="00913484"/>
    <w:rsid w:val="0091368B"/>
    <w:rsid w:val="009138DD"/>
    <w:rsid w:val="00913992"/>
    <w:rsid w:val="009139A7"/>
    <w:rsid w:val="00913A17"/>
    <w:rsid w:val="00913B21"/>
    <w:rsid w:val="00913BBB"/>
    <w:rsid w:val="00913C05"/>
    <w:rsid w:val="00913D75"/>
    <w:rsid w:val="00913D9C"/>
    <w:rsid w:val="00913EAB"/>
    <w:rsid w:val="00913EF2"/>
    <w:rsid w:val="00913F1E"/>
    <w:rsid w:val="00913F3F"/>
    <w:rsid w:val="00913FB2"/>
    <w:rsid w:val="00914087"/>
    <w:rsid w:val="009140C4"/>
    <w:rsid w:val="00914318"/>
    <w:rsid w:val="00914407"/>
    <w:rsid w:val="00914483"/>
    <w:rsid w:val="009144A9"/>
    <w:rsid w:val="009145BE"/>
    <w:rsid w:val="0091468B"/>
    <w:rsid w:val="009146B4"/>
    <w:rsid w:val="00914755"/>
    <w:rsid w:val="009147A0"/>
    <w:rsid w:val="009147E2"/>
    <w:rsid w:val="009148DB"/>
    <w:rsid w:val="0091492E"/>
    <w:rsid w:val="0091497D"/>
    <w:rsid w:val="009149D8"/>
    <w:rsid w:val="00914A60"/>
    <w:rsid w:val="00914A6E"/>
    <w:rsid w:val="00914B64"/>
    <w:rsid w:val="00914B8B"/>
    <w:rsid w:val="00914C83"/>
    <w:rsid w:val="00914CAF"/>
    <w:rsid w:val="00914D96"/>
    <w:rsid w:val="00914D99"/>
    <w:rsid w:val="00914DAB"/>
    <w:rsid w:val="00914EA3"/>
    <w:rsid w:val="00914EC0"/>
    <w:rsid w:val="00914FC4"/>
    <w:rsid w:val="009151DF"/>
    <w:rsid w:val="0091523B"/>
    <w:rsid w:val="0091526F"/>
    <w:rsid w:val="009152CC"/>
    <w:rsid w:val="009153D2"/>
    <w:rsid w:val="0091546A"/>
    <w:rsid w:val="009154DA"/>
    <w:rsid w:val="00915524"/>
    <w:rsid w:val="00915779"/>
    <w:rsid w:val="00915799"/>
    <w:rsid w:val="009157BF"/>
    <w:rsid w:val="009157F7"/>
    <w:rsid w:val="00915832"/>
    <w:rsid w:val="009159C3"/>
    <w:rsid w:val="00915A51"/>
    <w:rsid w:val="00915AF7"/>
    <w:rsid w:val="00915B2B"/>
    <w:rsid w:val="00915B6F"/>
    <w:rsid w:val="00915DA3"/>
    <w:rsid w:val="00916048"/>
    <w:rsid w:val="00916095"/>
    <w:rsid w:val="00916286"/>
    <w:rsid w:val="0091638A"/>
    <w:rsid w:val="009163B2"/>
    <w:rsid w:val="0091646D"/>
    <w:rsid w:val="0091647C"/>
    <w:rsid w:val="00916499"/>
    <w:rsid w:val="00916595"/>
    <w:rsid w:val="00916747"/>
    <w:rsid w:val="0091679A"/>
    <w:rsid w:val="00916965"/>
    <w:rsid w:val="009169DB"/>
    <w:rsid w:val="00916A48"/>
    <w:rsid w:val="00916B24"/>
    <w:rsid w:val="00916B35"/>
    <w:rsid w:val="00916C47"/>
    <w:rsid w:val="00916C6C"/>
    <w:rsid w:val="00916E21"/>
    <w:rsid w:val="00916E8B"/>
    <w:rsid w:val="00916FC3"/>
    <w:rsid w:val="00916FFE"/>
    <w:rsid w:val="00917028"/>
    <w:rsid w:val="009170E1"/>
    <w:rsid w:val="009171AD"/>
    <w:rsid w:val="0091724F"/>
    <w:rsid w:val="009172EA"/>
    <w:rsid w:val="009172F3"/>
    <w:rsid w:val="00917343"/>
    <w:rsid w:val="00917404"/>
    <w:rsid w:val="00917412"/>
    <w:rsid w:val="0091743B"/>
    <w:rsid w:val="009174E1"/>
    <w:rsid w:val="00917543"/>
    <w:rsid w:val="00917557"/>
    <w:rsid w:val="00917569"/>
    <w:rsid w:val="00917A6A"/>
    <w:rsid w:val="00917C0C"/>
    <w:rsid w:val="00917E44"/>
    <w:rsid w:val="00920129"/>
    <w:rsid w:val="00920174"/>
    <w:rsid w:val="00920226"/>
    <w:rsid w:val="009204CC"/>
    <w:rsid w:val="00920712"/>
    <w:rsid w:val="00920788"/>
    <w:rsid w:val="009208D0"/>
    <w:rsid w:val="00920A46"/>
    <w:rsid w:val="00920ACE"/>
    <w:rsid w:val="00920BB1"/>
    <w:rsid w:val="00920DB4"/>
    <w:rsid w:val="00920DCE"/>
    <w:rsid w:val="00920EAB"/>
    <w:rsid w:val="0092100E"/>
    <w:rsid w:val="00921075"/>
    <w:rsid w:val="009210E6"/>
    <w:rsid w:val="00921180"/>
    <w:rsid w:val="009213B1"/>
    <w:rsid w:val="0092151F"/>
    <w:rsid w:val="00921521"/>
    <w:rsid w:val="0092173A"/>
    <w:rsid w:val="009217B1"/>
    <w:rsid w:val="009217EA"/>
    <w:rsid w:val="00921895"/>
    <w:rsid w:val="009218DD"/>
    <w:rsid w:val="00921906"/>
    <w:rsid w:val="009219D2"/>
    <w:rsid w:val="00921A4E"/>
    <w:rsid w:val="00921C11"/>
    <w:rsid w:val="00921C59"/>
    <w:rsid w:val="00921C89"/>
    <w:rsid w:val="00921E37"/>
    <w:rsid w:val="00921E4C"/>
    <w:rsid w:val="00921E73"/>
    <w:rsid w:val="00921F7B"/>
    <w:rsid w:val="00921F9D"/>
    <w:rsid w:val="00921FA8"/>
    <w:rsid w:val="00922011"/>
    <w:rsid w:val="00922132"/>
    <w:rsid w:val="0092229E"/>
    <w:rsid w:val="009222CD"/>
    <w:rsid w:val="00922496"/>
    <w:rsid w:val="00922511"/>
    <w:rsid w:val="009227B7"/>
    <w:rsid w:val="00922899"/>
    <w:rsid w:val="009229BA"/>
    <w:rsid w:val="00922A2E"/>
    <w:rsid w:val="00922AA2"/>
    <w:rsid w:val="00922AB1"/>
    <w:rsid w:val="00922ABF"/>
    <w:rsid w:val="00922BEF"/>
    <w:rsid w:val="00922C89"/>
    <w:rsid w:val="00922EE1"/>
    <w:rsid w:val="00922F07"/>
    <w:rsid w:val="00922F35"/>
    <w:rsid w:val="0092309E"/>
    <w:rsid w:val="009230F2"/>
    <w:rsid w:val="00923122"/>
    <w:rsid w:val="009231B1"/>
    <w:rsid w:val="00923220"/>
    <w:rsid w:val="00923463"/>
    <w:rsid w:val="009234DA"/>
    <w:rsid w:val="009236B6"/>
    <w:rsid w:val="0092374B"/>
    <w:rsid w:val="0092374C"/>
    <w:rsid w:val="0092387F"/>
    <w:rsid w:val="009238A8"/>
    <w:rsid w:val="00923A8F"/>
    <w:rsid w:val="00923AA0"/>
    <w:rsid w:val="00923B98"/>
    <w:rsid w:val="00923BAA"/>
    <w:rsid w:val="00923C36"/>
    <w:rsid w:val="00923C60"/>
    <w:rsid w:val="00923D22"/>
    <w:rsid w:val="00923D2F"/>
    <w:rsid w:val="00923EC9"/>
    <w:rsid w:val="0092401D"/>
    <w:rsid w:val="00924155"/>
    <w:rsid w:val="00924298"/>
    <w:rsid w:val="009242BE"/>
    <w:rsid w:val="00924561"/>
    <w:rsid w:val="00924573"/>
    <w:rsid w:val="009245BE"/>
    <w:rsid w:val="009245C2"/>
    <w:rsid w:val="009245CF"/>
    <w:rsid w:val="009246D0"/>
    <w:rsid w:val="009246D3"/>
    <w:rsid w:val="009246DC"/>
    <w:rsid w:val="009246E7"/>
    <w:rsid w:val="00924707"/>
    <w:rsid w:val="00924764"/>
    <w:rsid w:val="009247ED"/>
    <w:rsid w:val="009249FC"/>
    <w:rsid w:val="00924B29"/>
    <w:rsid w:val="00924B46"/>
    <w:rsid w:val="00924C55"/>
    <w:rsid w:val="00924D35"/>
    <w:rsid w:val="00924D67"/>
    <w:rsid w:val="00924E7F"/>
    <w:rsid w:val="00924F9B"/>
    <w:rsid w:val="0092500F"/>
    <w:rsid w:val="0092509C"/>
    <w:rsid w:val="00925101"/>
    <w:rsid w:val="009251DE"/>
    <w:rsid w:val="00925238"/>
    <w:rsid w:val="0092524B"/>
    <w:rsid w:val="009254BE"/>
    <w:rsid w:val="009255F4"/>
    <w:rsid w:val="00925600"/>
    <w:rsid w:val="0092560C"/>
    <w:rsid w:val="0092564F"/>
    <w:rsid w:val="00925766"/>
    <w:rsid w:val="0092586B"/>
    <w:rsid w:val="00925ACF"/>
    <w:rsid w:val="00925B6D"/>
    <w:rsid w:val="00925C79"/>
    <w:rsid w:val="00925D54"/>
    <w:rsid w:val="00925D68"/>
    <w:rsid w:val="00925D90"/>
    <w:rsid w:val="00925F48"/>
    <w:rsid w:val="0092606B"/>
    <w:rsid w:val="00926155"/>
    <w:rsid w:val="0092615D"/>
    <w:rsid w:val="009262FC"/>
    <w:rsid w:val="009263D6"/>
    <w:rsid w:val="009264C0"/>
    <w:rsid w:val="00926533"/>
    <w:rsid w:val="00926546"/>
    <w:rsid w:val="0092654C"/>
    <w:rsid w:val="009265A1"/>
    <w:rsid w:val="009265C8"/>
    <w:rsid w:val="00926636"/>
    <w:rsid w:val="009267C7"/>
    <w:rsid w:val="00926BFA"/>
    <w:rsid w:val="00926C48"/>
    <w:rsid w:val="00926DED"/>
    <w:rsid w:val="00926F3C"/>
    <w:rsid w:val="00927004"/>
    <w:rsid w:val="00927122"/>
    <w:rsid w:val="00927244"/>
    <w:rsid w:val="00927262"/>
    <w:rsid w:val="00927522"/>
    <w:rsid w:val="00927565"/>
    <w:rsid w:val="00927595"/>
    <w:rsid w:val="00927676"/>
    <w:rsid w:val="00927700"/>
    <w:rsid w:val="009277DC"/>
    <w:rsid w:val="00927927"/>
    <w:rsid w:val="0092795E"/>
    <w:rsid w:val="009279C3"/>
    <w:rsid w:val="009279FE"/>
    <w:rsid w:val="00927BCB"/>
    <w:rsid w:val="00927C4E"/>
    <w:rsid w:val="00927D10"/>
    <w:rsid w:val="00927DF7"/>
    <w:rsid w:val="00927E7F"/>
    <w:rsid w:val="00927EAE"/>
    <w:rsid w:val="00927EDB"/>
    <w:rsid w:val="0093017C"/>
    <w:rsid w:val="009301E0"/>
    <w:rsid w:val="0093021D"/>
    <w:rsid w:val="0093028E"/>
    <w:rsid w:val="0093036E"/>
    <w:rsid w:val="00930663"/>
    <w:rsid w:val="0093067B"/>
    <w:rsid w:val="0093077D"/>
    <w:rsid w:val="00930891"/>
    <w:rsid w:val="00930925"/>
    <w:rsid w:val="0093093A"/>
    <w:rsid w:val="009309E5"/>
    <w:rsid w:val="00930A6C"/>
    <w:rsid w:val="00930ABE"/>
    <w:rsid w:val="00930BA2"/>
    <w:rsid w:val="00930D2C"/>
    <w:rsid w:val="00930EF3"/>
    <w:rsid w:val="00930F7E"/>
    <w:rsid w:val="00930FC7"/>
    <w:rsid w:val="00931224"/>
    <w:rsid w:val="0093130A"/>
    <w:rsid w:val="0093137C"/>
    <w:rsid w:val="009314E3"/>
    <w:rsid w:val="00931532"/>
    <w:rsid w:val="009317D2"/>
    <w:rsid w:val="009319C0"/>
    <w:rsid w:val="00931A72"/>
    <w:rsid w:val="00931AC0"/>
    <w:rsid w:val="00931D96"/>
    <w:rsid w:val="00931DA3"/>
    <w:rsid w:val="00931ED6"/>
    <w:rsid w:val="00931FB9"/>
    <w:rsid w:val="00932181"/>
    <w:rsid w:val="009321B5"/>
    <w:rsid w:val="0093222A"/>
    <w:rsid w:val="00932265"/>
    <w:rsid w:val="0093232B"/>
    <w:rsid w:val="0093232C"/>
    <w:rsid w:val="009323F1"/>
    <w:rsid w:val="00932481"/>
    <w:rsid w:val="0093264C"/>
    <w:rsid w:val="0093265B"/>
    <w:rsid w:val="009326A9"/>
    <w:rsid w:val="009326EC"/>
    <w:rsid w:val="00932713"/>
    <w:rsid w:val="0093281D"/>
    <w:rsid w:val="009328E2"/>
    <w:rsid w:val="0093291C"/>
    <w:rsid w:val="009329CA"/>
    <w:rsid w:val="009329D4"/>
    <w:rsid w:val="00932BAB"/>
    <w:rsid w:val="00932E56"/>
    <w:rsid w:val="00932F23"/>
    <w:rsid w:val="009330E4"/>
    <w:rsid w:val="009331F4"/>
    <w:rsid w:val="009332BD"/>
    <w:rsid w:val="009333C2"/>
    <w:rsid w:val="009333D3"/>
    <w:rsid w:val="00933461"/>
    <w:rsid w:val="0093348A"/>
    <w:rsid w:val="009334B6"/>
    <w:rsid w:val="009334F9"/>
    <w:rsid w:val="00933696"/>
    <w:rsid w:val="009337CA"/>
    <w:rsid w:val="00933808"/>
    <w:rsid w:val="0093387F"/>
    <w:rsid w:val="009338B6"/>
    <w:rsid w:val="009338BF"/>
    <w:rsid w:val="009338DD"/>
    <w:rsid w:val="009339B6"/>
    <w:rsid w:val="00933B36"/>
    <w:rsid w:val="00933B4C"/>
    <w:rsid w:val="00933B92"/>
    <w:rsid w:val="00933C07"/>
    <w:rsid w:val="00933C4E"/>
    <w:rsid w:val="00933D94"/>
    <w:rsid w:val="00933DC4"/>
    <w:rsid w:val="00933F04"/>
    <w:rsid w:val="00933F5F"/>
    <w:rsid w:val="009340EC"/>
    <w:rsid w:val="00934116"/>
    <w:rsid w:val="00934158"/>
    <w:rsid w:val="0093419C"/>
    <w:rsid w:val="009341BA"/>
    <w:rsid w:val="009342A1"/>
    <w:rsid w:val="0093431B"/>
    <w:rsid w:val="009345A0"/>
    <w:rsid w:val="00934667"/>
    <w:rsid w:val="009346D0"/>
    <w:rsid w:val="009346D6"/>
    <w:rsid w:val="00934743"/>
    <w:rsid w:val="009347C6"/>
    <w:rsid w:val="0093487E"/>
    <w:rsid w:val="00934A40"/>
    <w:rsid w:val="00934A82"/>
    <w:rsid w:val="00934AAC"/>
    <w:rsid w:val="00934B2C"/>
    <w:rsid w:val="00934B54"/>
    <w:rsid w:val="00934BC4"/>
    <w:rsid w:val="00934C78"/>
    <w:rsid w:val="00934CBE"/>
    <w:rsid w:val="00934D6E"/>
    <w:rsid w:val="00934DAD"/>
    <w:rsid w:val="00934F02"/>
    <w:rsid w:val="00934F5A"/>
    <w:rsid w:val="00934F9F"/>
    <w:rsid w:val="00934FA6"/>
    <w:rsid w:val="00934FFA"/>
    <w:rsid w:val="00934FFE"/>
    <w:rsid w:val="00935094"/>
    <w:rsid w:val="0093509B"/>
    <w:rsid w:val="009351E0"/>
    <w:rsid w:val="009351E7"/>
    <w:rsid w:val="00935277"/>
    <w:rsid w:val="00935332"/>
    <w:rsid w:val="00935449"/>
    <w:rsid w:val="009354B0"/>
    <w:rsid w:val="009356DD"/>
    <w:rsid w:val="0093574F"/>
    <w:rsid w:val="009357A5"/>
    <w:rsid w:val="00935A10"/>
    <w:rsid w:val="00935AB1"/>
    <w:rsid w:val="00935C0B"/>
    <w:rsid w:val="00935CCA"/>
    <w:rsid w:val="00935DD2"/>
    <w:rsid w:val="00935EDD"/>
    <w:rsid w:val="009362A2"/>
    <w:rsid w:val="00936405"/>
    <w:rsid w:val="0093645D"/>
    <w:rsid w:val="00936536"/>
    <w:rsid w:val="0093657F"/>
    <w:rsid w:val="0093664A"/>
    <w:rsid w:val="009367D1"/>
    <w:rsid w:val="009367E7"/>
    <w:rsid w:val="00936966"/>
    <w:rsid w:val="00936B64"/>
    <w:rsid w:val="00936D47"/>
    <w:rsid w:val="00936D90"/>
    <w:rsid w:val="00936DA3"/>
    <w:rsid w:val="00936FC5"/>
    <w:rsid w:val="009370AE"/>
    <w:rsid w:val="00937202"/>
    <w:rsid w:val="009372F7"/>
    <w:rsid w:val="009372FB"/>
    <w:rsid w:val="0093730D"/>
    <w:rsid w:val="00937368"/>
    <w:rsid w:val="00937394"/>
    <w:rsid w:val="00937449"/>
    <w:rsid w:val="0093751E"/>
    <w:rsid w:val="00937611"/>
    <w:rsid w:val="00937788"/>
    <w:rsid w:val="0093780A"/>
    <w:rsid w:val="00937826"/>
    <w:rsid w:val="00937922"/>
    <w:rsid w:val="009379C4"/>
    <w:rsid w:val="00937C08"/>
    <w:rsid w:val="00937C24"/>
    <w:rsid w:val="00937C5E"/>
    <w:rsid w:val="00937D25"/>
    <w:rsid w:val="00937F04"/>
    <w:rsid w:val="00940223"/>
    <w:rsid w:val="0094032E"/>
    <w:rsid w:val="0094041A"/>
    <w:rsid w:val="0094042B"/>
    <w:rsid w:val="00940468"/>
    <w:rsid w:val="009404EE"/>
    <w:rsid w:val="0094063A"/>
    <w:rsid w:val="0094065D"/>
    <w:rsid w:val="00940892"/>
    <w:rsid w:val="009409C3"/>
    <w:rsid w:val="009409EB"/>
    <w:rsid w:val="00940A5F"/>
    <w:rsid w:val="00940ADB"/>
    <w:rsid w:val="00940BAC"/>
    <w:rsid w:val="00940C29"/>
    <w:rsid w:val="00940D32"/>
    <w:rsid w:val="00940D52"/>
    <w:rsid w:val="00940E28"/>
    <w:rsid w:val="0094112B"/>
    <w:rsid w:val="00941189"/>
    <w:rsid w:val="0094119C"/>
    <w:rsid w:val="009412A4"/>
    <w:rsid w:val="009412A8"/>
    <w:rsid w:val="0094143A"/>
    <w:rsid w:val="0094148A"/>
    <w:rsid w:val="00941576"/>
    <w:rsid w:val="009416BF"/>
    <w:rsid w:val="0094172A"/>
    <w:rsid w:val="009417A6"/>
    <w:rsid w:val="009418F8"/>
    <w:rsid w:val="0094190D"/>
    <w:rsid w:val="00941913"/>
    <w:rsid w:val="0094197C"/>
    <w:rsid w:val="009419C5"/>
    <w:rsid w:val="009419C7"/>
    <w:rsid w:val="00941A46"/>
    <w:rsid w:val="00941ADF"/>
    <w:rsid w:val="00941B35"/>
    <w:rsid w:val="00941B61"/>
    <w:rsid w:val="00941C07"/>
    <w:rsid w:val="00941D9E"/>
    <w:rsid w:val="00941DAC"/>
    <w:rsid w:val="00941DAD"/>
    <w:rsid w:val="00941E4D"/>
    <w:rsid w:val="00941E88"/>
    <w:rsid w:val="00941FE9"/>
    <w:rsid w:val="00942174"/>
    <w:rsid w:val="00942339"/>
    <w:rsid w:val="00942354"/>
    <w:rsid w:val="009424D3"/>
    <w:rsid w:val="00942681"/>
    <w:rsid w:val="0094289C"/>
    <w:rsid w:val="0094295F"/>
    <w:rsid w:val="00942A04"/>
    <w:rsid w:val="00942AFA"/>
    <w:rsid w:val="00942B06"/>
    <w:rsid w:val="00942B3D"/>
    <w:rsid w:val="00942B47"/>
    <w:rsid w:val="00942BEB"/>
    <w:rsid w:val="00942C4C"/>
    <w:rsid w:val="00942E83"/>
    <w:rsid w:val="00942EED"/>
    <w:rsid w:val="00942EFC"/>
    <w:rsid w:val="00943064"/>
    <w:rsid w:val="009430F7"/>
    <w:rsid w:val="00943486"/>
    <w:rsid w:val="00943496"/>
    <w:rsid w:val="009434D7"/>
    <w:rsid w:val="00943515"/>
    <w:rsid w:val="009435CF"/>
    <w:rsid w:val="009436F3"/>
    <w:rsid w:val="0094376A"/>
    <w:rsid w:val="0094377F"/>
    <w:rsid w:val="00943A7E"/>
    <w:rsid w:val="00943AA2"/>
    <w:rsid w:val="00943B1B"/>
    <w:rsid w:val="00943BF1"/>
    <w:rsid w:val="00943D15"/>
    <w:rsid w:val="00943D9E"/>
    <w:rsid w:val="00943E42"/>
    <w:rsid w:val="00943E5D"/>
    <w:rsid w:val="00943E90"/>
    <w:rsid w:val="00943EBC"/>
    <w:rsid w:val="00943EE9"/>
    <w:rsid w:val="00943EEB"/>
    <w:rsid w:val="00944062"/>
    <w:rsid w:val="0094406E"/>
    <w:rsid w:val="00944084"/>
    <w:rsid w:val="009440EB"/>
    <w:rsid w:val="00944101"/>
    <w:rsid w:val="009441AC"/>
    <w:rsid w:val="00944297"/>
    <w:rsid w:val="00944395"/>
    <w:rsid w:val="00944594"/>
    <w:rsid w:val="009445FB"/>
    <w:rsid w:val="0094460E"/>
    <w:rsid w:val="00944728"/>
    <w:rsid w:val="00944800"/>
    <w:rsid w:val="0094483B"/>
    <w:rsid w:val="00944AFC"/>
    <w:rsid w:val="00944B53"/>
    <w:rsid w:val="00944BF1"/>
    <w:rsid w:val="00944C53"/>
    <w:rsid w:val="009450EE"/>
    <w:rsid w:val="00945136"/>
    <w:rsid w:val="009451DC"/>
    <w:rsid w:val="00945215"/>
    <w:rsid w:val="009452D3"/>
    <w:rsid w:val="009452F4"/>
    <w:rsid w:val="00945331"/>
    <w:rsid w:val="009453E8"/>
    <w:rsid w:val="0094546A"/>
    <w:rsid w:val="0094559E"/>
    <w:rsid w:val="00945635"/>
    <w:rsid w:val="00945664"/>
    <w:rsid w:val="00945674"/>
    <w:rsid w:val="00945797"/>
    <w:rsid w:val="00945824"/>
    <w:rsid w:val="0094582A"/>
    <w:rsid w:val="00945944"/>
    <w:rsid w:val="00945A6C"/>
    <w:rsid w:val="00945AD1"/>
    <w:rsid w:val="00945B1E"/>
    <w:rsid w:val="00945B8C"/>
    <w:rsid w:val="00945BED"/>
    <w:rsid w:val="00945CA8"/>
    <w:rsid w:val="00945D5D"/>
    <w:rsid w:val="00945DA0"/>
    <w:rsid w:val="00945E4A"/>
    <w:rsid w:val="00945E9C"/>
    <w:rsid w:val="0094601A"/>
    <w:rsid w:val="00946112"/>
    <w:rsid w:val="00946189"/>
    <w:rsid w:val="009463BA"/>
    <w:rsid w:val="0094662D"/>
    <w:rsid w:val="00946740"/>
    <w:rsid w:val="009467E6"/>
    <w:rsid w:val="009468A6"/>
    <w:rsid w:val="009468D9"/>
    <w:rsid w:val="009469C7"/>
    <w:rsid w:val="00946A4A"/>
    <w:rsid w:val="00946CD7"/>
    <w:rsid w:val="00946D58"/>
    <w:rsid w:val="00946ECB"/>
    <w:rsid w:val="00946F4B"/>
    <w:rsid w:val="00946F85"/>
    <w:rsid w:val="00947071"/>
    <w:rsid w:val="009470F3"/>
    <w:rsid w:val="00947108"/>
    <w:rsid w:val="00947268"/>
    <w:rsid w:val="0094735A"/>
    <w:rsid w:val="00947391"/>
    <w:rsid w:val="00947484"/>
    <w:rsid w:val="0094750E"/>
    <w:rsid w:val="00947843"/>
    <w:rsid w:val="0094786B"/>
    <w:rsid w:val="0094788A"/>
    <w:rsid w:val="009478C7"/>
    <w:rsid w:val="00947963"/>
    <w:rsid w:val="00947B34"/>
    <w:rsid w:val="00947B62"/>
    <w:rsid w:val="00947C94"/>
    <w:rsid w:val="00947DB0"/>
    <w:rsid w:val="00947DF0"/>
    <w:rsid w:val="00950171"/>
    <w:rsid w:val="009501E0"/>
    <w:rsid w:val="0095020F"/>
    <w:rsid w:val="0095025B"/>
    <w:rsid w:val="009502D1"/>
    <w:rsid w:val="00950325"/>
    <w:rsid w:val="00950339"/>
    <w:rsid w:val="009505A5"/>
    <w:rsid w:val="009505DD"/>
    <w:rsid w:val="00950607"/>
    <w:rsid w:val="00950635"/>
    <w:rsid w:val="009506EC"/>
    <w:rsid w:val="00950757"/>
    <w:rsid w:val="009507C8"/>
    <w:rsid w:val="009507CD"/>
    <w:rsid w:val="009507D3"/>
    <w:rsid w:val="00950818"/>
    <w:rsid w:val="00950953"/>
    <w:rsid w:val="00950C34"/>
    <w:rsid w:val="00950C3F"/>
    <w:rsid w:val="00950C4D"/>
    <w:rsid w:val="00950EE8"/>
    <w:rsid w:val="0095115E"/>
    <w:rsid w:val="0095118A"/>
    <w:rsid w:val="00951320"/>
    <w:rsid w:val="00951430"/>
    <w:rsid w:val="009514E9"/>
    <w:rsid w:val="00951610"/>
    <w:rsid w:val="00951632"/>
    <w:rsid w:val="00951B97"/>
    <w:rsid w:val="00951C00"/>
    <w:rsid w:val="00951C3C"/>
    <w:rsid w:val="00951D2D"/>
    <w:rsid w:val="00951EBE"/>
    <w:rsid w:val="00951F23"/>
    <w:rsid w:val="00951FE1"/>
    <w:rsid w:val="00952150"/>
    <w:rsid w:val="00952423"/>
    <w:rsid w:val="00952468"/>
    <w:rsid w:val="009524FC"/>
    <w:rsid w:val="009525A8"/>
    <w:rsid w:val="009525EF"/>
    <w:rsid w:val="0095261A"/>
    <w:rsid w:val="009527AD"/>
    <w:rsid w:val="009527CE"/>
    <w:rsid w:val="00952870"/>
    <w:rsid w:val="009529CE"/>
    <w:rsid w:val="00952A3B"/>
    <w:rsid w:val="00952A61"/>
    <w:rsid w:val="00952C4F"/>
    <w:rsid w:val="00952DA2"/>
    <w:rsid w:val="00952E30"/>
    <w:rsid w:val="00952F73"/>
    <w:rsid w:val="009530DB"/>
    <w:rsid w:val="009533EC"/>
    <w:rsid w:val="0095341E"/>
    <w:rsid w:val="00953447"/>
    <w:rsid w:val="00953452"/>
    <w:rsid w:val="009534A5"/>
    <w:rsid w:val="009535F0"/>
    <w:rsid w:val="009538DD"/>
    <w:rsid w:val="00953993"/>
    <w:rsid w:val="0095399D"/>
    <w:rsid w:val="00953A31"/>
    <w:rsid w:val="00953B56"/>
    <w:rsid w:val="00953D63"/>
    <w:rsid w:val="00953EC7"/>
    <w:rsid w:val="00954128"/>
    <w:rsid w:val="00954166"/>
    <w:rsid w:val="00954282"/>
    <w:rsid w:val="00954414"/>
    <w:rsid w:val="0095441B"/>
    <w:rsid w:val="0095466B"/>
    <w:rsid w:val="00954767"/>
    <w:rsid w:val="00954827"/>
    <w:rsid w:val="0095487A"/>
    <w:rsid w:val="009548FB"/>
    <w:rsid w:val="00954A4B"/>
    <w:rsid w:val="00954B17"/>
    <w:rsid w:val="00954BE2"/>
    <w:rsid w:val="00954CA4"/>
    <w:rsid w:val="00954DDC"/>
    <w:rsid w:val="00954E00"/>
    <w:rsid w:val="00954F00"/>
    <w:rsid w:val="00954F99"/>
    <w:rsid w:val="00955037"/>
    <w:rsid w:val="00955183"/>
    <w:rsid w:val="009551E9"/>
    <w:rsid w:val="009552AE"/>
    <w:rsid w:val="0095538B"/>
    <w:rsid w:val="00955501"/>
    <w:rsid w:val="0095558A"/>
    <w:rsid w:val="00955711"/>
    <w:rsid w:val="0095583E"/>
    <w:rsid w:val="00955899"/>
    <w:rsid w:val="009559A1"/>
    <w:rsid w:val="00955AE9"/>
    <w:rsid w:val="00955B56"/>
    <w:rsid w:val="00955B70"/>
    <w:rsid w:val="00955C14"/>
    <w:rsid w:val="00955C94"/>
    <w:rsid w:val="00955DCB"/>
    <w:rsid w:val="00955F84"/>
    <w:rsid w:val="00956078"/>
    <w:rsid w:val="009560F8"/>
    <w:rsid w:val="0095615A"/>
    <w:rsid w:val="0095622E"/>
    <w:rsid w:val="00956237"/>
    <w:rsid w:val="009562E0"/>
    <w:rsid w:val="0095640E"/>
    <w:rsid w:val="009564E4"/>
    <w:rsid w:val="009564F1"/>
    <w:rsid w:val="00956607"/>
    <w:rsid w:val="009566F2"/>
    <w:rsid w:val="009566F4"/>
    <w:rsid w:val="009567E8"/>
    <w:rsid w:val="009569EC"/>
    <w:rsid w:val="009569FB"/>
    <w:rsid w:val="00956A61"/>
    <w:rsid w:val="00956AE2"/>
    <w:rsid w:val="00956B1C"/>
    <w:rsid w:val="00956F7B"/>
    <w:rsid w:val="009570C4"/>
    <w:rsid w:val="00957177"/>
    <w:rsid w:val="009571C3"/>
    <w:rsid w:val="009571D6"/>
    <w:rsid w:val="00957255"/>
    <w:rsid w:val="00957362"/>
    <w:rsid w:val="0095736F"/>
    <w:rsid w:val="009574C9"/>
    <w:rsid w:val="009574F8"/>
    <w:rsid w:val="00957508"/>
    <w:rsid w:val="00957565"/>
    <w:rsid w:val="009575B9"/>
    <w:rsid w:val="00957678"/>
    <w:rsid w:val="009577C6"/>
    <w:rsid w:val="0095782D"/>
    <w:rsid w:val="00957857"/>
    <w:rsid w:val="00957AF7"/>
    <w:rsid w:val="00957B08"/>
    <w:rsid w:val="00957C3E"/>
    <w:rsid w:val="00957F56"/>
    <w:rsid w:val="00960024"/>
    <w:rsid w:val="0096003E"/>
    <w:rsid w:val="00960068"/>
    <w:rsid w:val="00960085"/>
    <w:rsid w:val="00960188"/>
    <w:rsid w:val="009601FD"/>
    <w:rsid w:val="0096020A"/>
    <w:rsid w:val="0096029D"/>
    <w:rsid w:val="009602BE"/>
    <w:rsid w:val="00960375"/>
    <w:rsid w:val="009603E9"/>
    <w:rsid w:val="0096055F"/>
    <w:rsid w:val="009605F2"/>
    <w:rsid w:val="0096064B"/>
    <w:rsid w:val="009606CF"/>
    <w:rsid w:val="00960772"/>
    <w:rsid w:val="00960926"/>
    <w:rsid w:val="0096098C"/>
    <w:rsid w:val="00960A10"/>
    <w:rsid w:val="00960A25"/>
    <w:rsid w:val="00960ACA"/>
    <w:rsid w:val="00960C4F"/>
    <w:rsid w:val="00960C91"/>
    <w:rsid w:val="00960DFB"/>
    <w:rsid w:val="00960F3D"/>
    <w:rsid w:val="00960FE3"/>
    <w:rsid w:val="00961019"/>
    <w:rsid w:val="0096111A"/>
    <w:rsid w:val="00961192"/>
    <w:rsid w:val="009611CE"/>
    <w:rsid w:val="009614AC"/>
    <w:rsid w:val="009615FB"/>
    <w:rsid w:val="00961609"/>
    <w:rsid w:val="0096162D"/>
    <w:rsid w:val="00961728"/>
    <w:rsid w:val="0096177F"/>
    <w:rsid w:val="00961875"/>
    <w:rsid w:val="0096195F"/>
    <w:rsid w:val="0096198F"/>
    <w:rsid w:val="009619EE"/>
    <w:rsid w:val="00961A81"/>
    <w:rsid w:val="00961BA3"/>
    <w:rsid w:val="00961BB9"/>
    <w:rsid w:val="00961D06"/>
    <w:rsid w:val="00961D5B"/>
    <w:rsid w:val="00961D7F"/>
    <w:rsid w:val="00961DB0"/>
    <w:rsid w:val="00961E30"/>
    <w:rsid w:val="00961EED"/>
    <w:rsid w:val="00961F6C"/>
    <w:rsid w:val="00962016"/>
    <w:rsid w:val="0096217C"/>
    <w:rsid w:val="00962306"/>
    <w:rsid w:val="00962308"/>
    <w:rsid w:val="00962441"/>
    <w:rsid w:val="009627DA"/>
    <w:rsid w:val="0096298B"/>
    <w:rsid w:val="00962BBB"/>
    <w:rsid w:val="00962C05"/>
    <w:rsid w:val="00962C46"/>
    <w:rsid w:val="00962EC8"/>
    <w:rsid w:val="009630F5"/>
    <w:rsid w:val="00963179"/>
    <w:rsid w:val="00963277"/>
    <w:rsid w:val="00963502"/>
    <w:rsid w:val="009635F2"/>
    <w:rsid w:val="0096392E"/>
    <w:rsid w:val="00963AF5"/>
    <w:rsid w:val="00963BE2"/>
    <w:rsid w:val="00963C1C"/>
    <w:rsid w:val="00963CC2"/>
    <w:rsid w:val="00963D0E"/>
    <w:rsid w:val="00963EA2"/>
    <w:rsid w:val="00963F94"/>
    <w:rsid w:val="00963FCF"/>
    <w:rsid w:val="009640BE"/>
    <w:rsid w:val="00964122"/>
    <w:rsid w:val="0096426A"/>
    <w:rsid w:val="00964304"/>
    <w:rsid w:val="00964411"/>
    <w:rsid w:val="0096466B"/>
    <w:rsid w:val="009646BF"/>
    <w:rsid w:val="009648E2"/>
    <w:rsid w:val="0096498B"/>
    <w:rsid w:val="009649AA"/>
    <w:rsid w:val="009649AE"/>
    <w:rsid w:val="00964B00"/>
    <w:rsid w:val="00964B53"/>
    <w:rsid w:val="00964BC3"/>
    <w:rsid w:val="00964C3F"/>
    <w:rsid w:val="00964C6C"/>
    <w:rsid w:val="00964EB5"/>
    <w:rsid w:val="00964F38"/>
    <w:rsid w:val="00964FB3"/>
    <w:rsid w:val="00965073"/>
    <w:rsid w:val="00965176"/>
    <w:rsid w:val="00965177"/>
    <w:rsid w:val="00965206"/>
    <w:rsid w:val="00965240"/>
    <w:rsid w:val="009652AE"/>
    <w:rsid w:val="009652C9"/>
    <w:rsid w:val="009653D3"/>
    <w:rsid w:val="0096547B"/>
    <w:rsid w:val="009657AF"/>
    <w:rsid w:val="00965847"/>
    <w:rsid w:val="009659D3"/>
    <w:rsid w:val="00965A22"/>
    <w:rsid w:val="00965A3E"/>
    <w:rsid w:val="00965A8F"/>
    <w:rsid w:val="00965AB1"/>
    <w:rsid w:val="00965BAE"/>
    <w:rsid w:val="00965C48"/>
    <w:rsid w:val="00965D37"/>
    <w:rsid w:val="00965D7F"/>
    <w:rsid w:val="00965DF5"/>
    <w:rsid w:val="00965FFF"/>
    <w:rsid w:val="00966058"/>
    <w:rsid w:val="0096616D"/>
    <w:rsid w:val="00966255"/>
    <w:rsid w:val="009662A1"/>
    <w:rsid w:val="00966426"/>
    <w:rsid w:val="00966453"/>
    <w:rsid w:val="009664D2"/>
    <w:rsid w:val="009664ED"/>
    <w:rsid w:val="00966607"/>
    <w:rsid w:val="0096685D"/>
    <w:rsid w:val="00966A98"/>
    <w:rsid w:val="00966AB4"/>
    <w:rsid w:val="00966B93"/>
    <w:rsid w:val="00966BB2"/>
    <w:rsid w:val="00966C0A"/>
    <w:rsid w:val="00966CD6"/>
    <w:rsid w:val="00966D9D"/>
    <w:rsid w:val="00966E00"/>
    <w:rsid w:val="00966E4A"/>
    <w:rsid w:val="00966E99"/>
    <w:rsid w:val="00966F15"/>
    <w:rsid w:val="00967041"/>
    <w:rsid w:val="0096716C"/>
    <w:rsid w:val="00967241"/>
    <w:rsid w:val="0096724F"/>
    <w:rsid w:val="00967303"/>
    <w:rsid w:val="00967375"/>
    <w:rsid w:val="00967398"/>
    <w:rsid w:val="0096770B"/>
    <w:rsid w:val="0096770F"/>
    <w:rsid w:val="00967A18"/>
    <w:rsid w:val="00967B50"/>
    <w:rsid w:val="00967BB6"/>
    <w:rsid w:val="00967C5B"/>
    <w:rsid w:val="00967C62"/>
    <w:rsid w:val="00967F52"/>
    <w:rsid w:val="009700B0"/>
    <w:rsid w:val="009701F7"/>
    <w:rsid w:val="0097026F"/>
    <w:rsid w:val="00970392"/>
    <w:rsid w:val="0097082F"/>
    <w:rsid w:val="00970918"/>
    <w:rsid w:val="0097099E"/>
    <w:rsid w:val="00970CC2"/>
    <w:rsid w:val="00970CCB"/>
    <w:rsid w:val="00970CD8"/>
    <w:rsid w:val="00970D77"/>
    <w:rsid w:val="0097103D"/>
    <w:rsid w:val="009710D2"/>
    <w:rsid w:val="00971176"/>
    <w:rsid w:val="009711AB"/>
    <w:rsid w:val="00971377"/>
    <w:rsid w:val="0097141E"/>
    <w:rsid w:val="00971452"/>
    <w:rsid w:val="009715A0"/>
    <w:rsid w:val="0097171B"/>
    <w:rsid w:val="00971761"/>
    <w:rsid w:val="009717FA"/>
    <w:rsid w:val="00971862"/>
    <w:rsid w:val="0097197E"/>
    <w:rsid w:val="00971A5C"/>
    <w:rsid w:val="00971B52"/>
    <w:rsid w:val="00971C1E"/>
    <w:rsid w:val="00971C55"/>
    <w:rsid w:val="00971F1C"/>
    <w:rsid w:val="00971F52"/>
    <w:rsid w:val="00971F9D"/>
    <w:rsid w:val="00971FAD"/>
    <w:rsid w:val="0097216F"/>
    <w:rsid w:val="00972190"/>
    <w:rsid w:val="00972199"/>
    <w:rsid w:val="009722E3"/>
    <w:rsid w:val="0097233F"/>
    <w:rsid w:val="0097249E"/>
    <w:rsid w:val="0097252D"/>
    <w:rsid w:val="0097269B"/>
    <w:rsid w:val="009726F0"/>
    <w:rsid w:val="00972819"/>
    <w:rsid w:val="0097289E"/>
    <w:rsid w:val="009728D9"/>
    <w:rsid w:val="0097292B"/>
    <w:rsid w:val="00972A91"/>
    <w:rsid w:val="00972B04"/>
    <w:rsid w:val="00972BAE"/>
    <w:rsid w:val="00972C3B"/>
    <w:rsid w:val="00972D8D"/>
    <w:rsid w:val="00973057"/>
    <w:rsid w:val="00973058"/>
    <w:rsid w:val="00973093"/>
    <w:rsid w:val="0097310E"/>
    <w:rsid w:val="00973183"/>
    <w:rsid w:val="0097319E"/>
    <w:rsid w:val="00973294"/>
    <w:rsid w:val="00973298"/>
    <w:rsid w:val="009732A2"/>
    <w:rsid w:val="0097338F"/>
    <w:rsid w:val="009733EB"/>
    <w:rsid w:val="0097340F"/>
    <w:rsid w:val="0097360F"/>
    <w:rsid w:val="0097379C"/>
    <w:rsid w:val="0097386D"/>
    <w:rsid w:val="00973897"/>
    <w:rsid w:val="009738D3"/>
    <w:rsid w:val="00973A8C"/>
    <w:rsid w:val="00973B1A"/>
    <w:rsid w:val="00973BCA"/>
    <w:rsid w:val="00973CE3"/>
    <w:rsid w:val="00973E96"/>
    <w:rsid w:val="00973F62"/>
    <w:rsid w:val="00973FC2"/>
    <w:rsid w:val="0097425D"/>
    <w:rsid w:val="0097428C"/>
    <w:rsid w:val="00974370"/>
    <w:rsid w:val="00974424"/>
    <w:rsid w:val="009744AE"/>
    <w:rsid w:val="009745F6"/>
    <w:rsid w:val="00974691"/>
    <w:rsid w:val="009747C4"/>
    <w:rsid w:val="009747F6"/>
    <w:rsid w:val="00974987"/>
    <w:rsid w:val="00974B08"/>
    <w:rsid w:val="00974B38"/>
    <w:rsid w:val="00974C03"/>
    <w:rsid w:val="00974CC9"/>
    <w:rsid w:val="00974D50"/>
    <w:rsid w:val="00974D52"/>
    <w:rsid w:val="00974FB5"/>
    <w:rsid w:val="00974FC7"/>
    <w:rsid w:val="00975039"/>
    <w:rsid w:val="009751AF"/>
    <w:rsid w:val="0097525A"/>
    <w:rsid w:val="009752A8"/>
    <w:rsid w:val="009752D8"/>
    <w:rsid w:val="009752F2"/>
    <w:rsid w:val="00975326"/>
    <w:rsid w:val="00975348"/>
    <w:rsid w:val="00975448"/>
    <w:rsid w:val="00975513"/>
    <w:rsid w:val="00975742"/>
    <w:rsid w:val="00975760"/>
    <w:rsid w:val="009758E1"/>
    <w:rsid w:val="00975952"/>
    <w:rsid w:val="00975B1C"/>
    <w:rsid w:val="00975B4E"/>
    <w:rsid w:val="00975C63"/>
    <w:rsid w:val="00975DEA"/>
    <w:rsid w:val="00975E05"/>
    <w:rsid w:val="00976013"/>
    <w:rsid w:val="0097605E"/>
    <w:rsid w:val="0097629F"/>
    <w:rsid w:val="009762CA"/>
    <w:rsid w:val="009763A6"/>
    <w:rsid w:val="009764C1"/>
    <w:rsid w:val="009764E7"/>
    <w:rsid w:val="00976592"/>
    <w:rsid w:val="009765FB"/>
    <w:rsid w:val="00976600"/>
    <w:rsid w:val="0097660C"/>
    <w:rsid w:val="00976673"/>
    <w:rsid w:val="0097673A"/>
    <w:rsid w:val="0097674A"/>
    <w:rsid w:val="009768C0"/>
    <w:rsid w:val="00976915"/>
    <w:rsid w:val="00976A5D"/>
    <w:rsid w:val="00976C5B"/>
    <w:rsid w:val="00976FDB"/>
    <w:rsid w:val="0097703F"/>
    <w:rsid w:val="00977127"/>
    <w:rsid w:val="00977288"/>
    <w:rsid w:val="009774B3"/>
    <w:rsid w:val="009774E8"/>
    <w:rsid w:val="0097754F"/>
    <w:rsid w:val="009778C0"/>
    <w:rsid w:val="00977975"/>
    <w:rsid w:val="00977BEE"/>
    <w:rsid w:val="00977C66"/>
    <w:rsid w:val="00977CDF"/>
    <w:rsid w:val="00977E36"/>
    <w:rsid w:val="00977F4A"/>
    <w:rsid w:val="00977FB5"/>
    <w:rsid w:val="00980115"/>
    <w:rsid w:val="00980240"/>
    <w:rsid w:val="00980249"/>
    <w:rsid w:val="00980257"/>
    <w:rsid w:val="00980333"/>
    <w:rsid w:val="00980365"/>
    <w:rsid w:val="009803CF"/>
    <w:rsid w:val="0098043F"/>
    <w:rsid w:val="00980510"/>
    <w:rsid w:val="009805CF"/>
    <w:rsid w:val="009805E4"/>
    <w:rsid w:val="00980657"/>
    <w:rsid w:val="009806CC"/>
    <w:rsid w:val="009806CF"/>
    <w:rsid w:val="009806D2"/>
    <w:rsid w:val="009806ED"/>
    <w:rsid w:val="00980771"/>
    <w:rsid w:val="0098089A"/>
    <w:rsid w:val="009808A3"/>
    <w:rsid w:val="0098095C"/>
    <w:rsid w:val="00980AEC"/>
    <w:rsid w:val="00980B5F"/>
    <w:rsid w:val="00980D3D"/>
    <w:rsid w:val="00980E65"/>
    <w:rsid w:val="00980F24"/>
    <w:rsid w:val="00980FD2"/>
    <w:rsid w:val="00981038"/>
    <w:rsid w:val="0098106E"/>
    <w:rsid w:val="009810FF"/>
    <w:rsid w:val="0098118B"/>
    <w:rsid w:val="00981263"/>
    <w:rsid w:val="0098126E"/>
    <w:rsid w:val="00981304"/>
    <w:rsid w:val="00981511"/>
    <w:rsid w:val="00981698"/>
    <w:rsid w:val="00981728"/>
    <w:rsid w:val="0098179B"/>
    <w:rsid w:val="009818E6"/>
    <w:rsid w:val="00981915"/>
    <w:rsid w:val="00981923"/>
    <w:rsid w:val="0098196C"/>
    <w:rsid w:val="009819C5"/>
    <w:rsid w:val="00981B3B"/>
    <w:rsid w:val="00981B48"/>
    <w:rsid w:val="00981C8C"/>
    <w:rsid w:val="00981CA6"/>
    <w:rsid w:val="00981D1C"/>
    <w:rsid w:val="00981E1C"/>
    <w:rsid w:val="00981F50"/>
    <w:rsid w:val="00982073"/>
    <w:rsid w:val="009820A7"/>
    <w:rsid w:val="00982118"/>
    <w:rsid w:val="0098212B"/>
    <w:rsid w:val="009822B8"/>
    <w:rsid w:val="009824CF"/>
    <w:rsid w:val="009824E7"/>
    <w:rsid w:val="0098256D"/>
    <w:rsid w:val="0098297C"/>
    <w:rsid w:val="00982A54"/>
    <w:rsid w:val="00982A77"/>
    <w:rsid w:val="00982BE1"/>
    <w:rsid w:val="00982C19"/>
    <w:rsid w:val="00982C62"/>
    <w:rsid w:val="00982C91"/>
    <w:rsid w:val="00982F76"/>
    <w:rsid w:val="00982FA3"/>
    <w:rsid w:val="0098319D"/>
    <w:rsid w:val="009831F0"/>
    <w:rsid w:val="009832F6"/>
    <w:rsid w:val="009833D4"/>
    <w:rsid w:val="00983493"/>
    <w:rsid w:val="00983615"/>
    <w:rsid w:val="00983642"/>
    <w:rsid w:val="0098365E"/>
    <w:rsid w:val="0098373C"/>
    <w:rsid w:val="0098386B"/>
    <w:rsid w:val="00983A3D"/>
    <w:rsid w:val="00983D30"/>
    <w:rsid w:val="00983D35"/>
    <w:rsid w:val="00983E26"/>
    <w:rsid w:val="00983EDE"/>
    <w:rsid w:val="00983FA7"/>
    <w:rsid w:val="00984063"/>
    <w:rsid w:val="009840FD"/>
    <w:rsid w:val="009841BB"/>
    <w:rsid w:val="00984297"/>
    <w:rsid w:val="0098439E"/>
    <w:rsid w:val="009845A0"/>
    <w:rsid w:val="009845CB"/>
    <w:rsid w:val="009845F9"/>
    <w:rsid w:val="00984701"/>
    <w:rsid w:val="0098473B"/>
    <w:rsid w:val="00984847"/>
    <w:rsid w:val="00984A91"/>
    <w:rsid w:val="00984BEC"/>
    <w:rsid w:val="00984C39"/>
    <w:rsid w:val="00984CBD"/>
    <w:rsid w:val="00984D38"/>
    <w:rsid w:val="00984D44"/>
    <w:rsid w:val="00984E5F"/>
    <w:rsid w:val="00984EB5"/>
    <w:rsid w:val="00985145"/>
    <w:rsid w:val="00985292"/>
    <w:rsid w:val="00985396"/>
    <w:rsid w:val="009854B6"/>
    <w:rsid w:val="009854E5"/>
    <w:rsid w:val="009854F3"/>
    <w:rsid w:val="0098566F"/>
    <w:rsid w:val="0098575B"/>
    <w:rsid w:val="00985871"/>
    <w:rsid w:val="0098588F"/>
    <w:rsid w:val="009858E7"/>
    <w:rsid w:val="00985B33"/>
    <w:rsid w:val="00985B6B"/>
    <w:rsid w:val="00985B9C"/>
    <w:rsid w:val="00985D2D"/>
    <w:rsid w:val="00985DA0"/>
    <w:rsid w:val="00985DFE"/>
    <w:rsid w:val="00985EA6"/>
    <w:rsid w:val="00985EB8"/>
    <w:rsid w:val="00985F04"/>
    <w:rsid w:val="00985F60"/>
    <w:rsid w:val="00985F6D"/>
    <w:rsid w:val="00985FB3"/>
    <w:rsid w:val="009860EE"/>
    <w:rsid w:val="0098626C"/>
    <w:rsid w:val="0098645B"/>
    <w:rsid w:val="00986566"/>
    <w:rsid w:val="00986583"/>
    <w:rsid w:val="0098688D"/>
    <w:rsid w:val="00986ADF"/>
    <w:rsid w:val="00986B3C"/>
    <w:rsid w:val="00986BE2"/>
    <w:rsid w:val="00986CC1"/>
    <w:rsid w:val="00986D9F"/>
    <w:rsid w:val="00986EB0"/>
    <w:rsid w:val="00986EC6"/>
    <w:rsid w:val="00986F4E"/>
    <w:rsid w:val="00986FF9"/>
    <w:rsid w:val="009870DC"/>
    <w:rsid w:val="00987168"/>
    <w:rsid w:val="00987185"/>
    <w:rsid w:val="00987191"/>
    <w:rsid w:val="009871E9"/>
    <w:rsid w:val="0098733D"/>
    <w:rsid w:val="0098734F"/>
    <w:rsid w:val="00987469"/>
    <w:rsid w:val="00987496"/>
    <w:rsid w:val="009875EF"/>
    <w:rsid w:val="009876F9"/>
    <w:rsid w:val="00987720"/>
    <w:rsid w:val="009877AF"/>
    <w:rsid w:val="00987979"/>
    <w:rsid w:val="009879B1"/>
    <w:rsid w:val="00987A38"/>
    <w:rsid w:val="00987A5A"/>
    <w:rsid w:val="00987A86"/>
    <w:rsid w:val="00987A8D"/>
    <w:rsid w:val="00987B2E"/>
    <w:rsid w:val="00987BC8"/>
    <w:rsid w:val="00987BE7"/>
    <w:rsid w:val="00987C16"/>
    <w:rsid w:val="00987CB4"/>
    <w:rsid w:val="00987E8F"/>
    <w:rsid w:val="00987F71"/>
    <w:rsid w:val="00990135"/>
    <w:rsid w:val="00990164"/>
    <w:rsid w:val="009901C8"/>
    <w:rsid w:val="00990421"/>
    <w:rsid w:val="00990458"/>
    <w:rsid w:val="009904EA"/>
    <w:rsid w:val="00990510"/>
    <w:rsid w:val="009905BA"/>
    <w:rsid w:val="00990625"/>
    <w:rsid w:val="0099081E"/>
    <w:rsid w:val="00990821"/>
    <w:rsid w:val="0099097E"/>
    <w:rsid w:val="00990B5A"/>
    <w:rsid w:val="00990E93"/>
    <w:rsid w:val="00990F42"/>
    <w:rsid w:val="00990FE2"/>
    <w:rsid w:val="009911D8"/>
    <w:rsid w:val="0099137E"/>
    <w:rsid w:val="009913B6"/>
    <w:rsid w:val="009914C4"/>
    <w:rsid w:val="009914D6"/>
    <w:rsid w:val="009914EF"/>
    <w:rsid w:val="0099159B"/>
    <w:rsid w:val="009915ED"/>
    <w:rsid w:val="00991618"/>
    <w:rsid w:val="009917DA"/>
    <w:rsid w:val="009918C2"/>
    <w:rsid w:val="009918DE"/>
    <w:rsid w:val="00991A3B"/>
    <w:rsid w:val="00991CA8"/>
    <w:rsid w:val="00991CD7"/>
    <w:rsid w:val="00991D63"/>
    <w:rsid w:val="00991DA4"/>
    <w:rsid w:val="00991DE6"/>
    <w:rsid w:val="009920FC"/>
    <w:rsid w:val="009921FC"/>
    <w:rsid w:val="00992268"/>
    <w:rsid w:val="009923A5"/>
    <w:rsid w:val="00992401"/>
    <w:rsid w:val="00992430"/>
    <w:rsid w:val="009925B0"/>
    <w:rsid w:val="00992630"/>
    <w:rsid w:val="0099266B"/>
    <w:rsid w:val="0099271C"/>
    <w:rsid w:val="0099272B"/>
    <w:rsid w:val="009927DE"/>
    <w:rsid w:val="0099298E"/>
    <w:rsid w:val="009929DE"/>
    <w:rsid w:val="00992A0E"/>
    <w:rsid w:val="00992B88"/>
    <w:rsid w:val="00992B8D"/>
    <w:rsid w:val="00992C5B"/>
    <w:rsid w:val="00992D8C"/>
    <w:rsid w:val="00992DA9"/>
    <w:rsid w:val="00992F72"/>
    <w:rsid w:val="0099306D"/>
    <w:rsid w:val="00993179"/>
    <w:rsid w:val="009932A6"/>
    <w:rsid w:val="00993473"/>
    <w:rsid w:val="009936B1"/>
    <w:rsid w:val="0099375C"/>
    <w:rsid w:val="009937F9"/>
    <w:rsid w:val="00993812"/>
    <w:rsid w:val="00993825"/>
    <w:rsid w:val="00993909"/>
    <w:rsid w:val="0099399E"/>
    <w:rsid w:val="00993A6D"/>
    <w:rsid w:val="00993A75"/>
    <w:rsid w:val="00993C46"/>
    <w:rsid w:val="00993E13"/>
    <w:rsid w:val="00993EAE"/>
    <w:rsid w:val="0099401B"/>
    <w:rsid w:val="009940A0"/>
    <w:rsid w:val="009940AB"/>
    <w:rsid w:val="0099413C"/>
    <w:rsid w:val="00994230"/>
    <w:rsid w:val="009943EA"/>
    <w:rsid w:val="009944A1"/>
    <w:rsid w:val="00994501"/>
    <w:rsid w:val="0099479E"/>
    <w:rsid w:val="00994842"/>
    <w:rsid w:val="0099487B"/>
    <w:rsid w:val="009948E2"/>
    <w:rsid w:val="00994B59"/>
    <w:rsid w:val="00994BA0"/>
    <w:rsid w:val="00994C05"/>
    <w:rsid w:val="00994F34"/>
    <w:rsid w:val="009951D8"/>
    <w:rsid w:val="00995355"/>
    <w:rsid w:val="00995358"/>
    <w:rsid w:val="0099546F"/>
    <w:rsid w:val="009954DF"/>
    <w:rsid w:val="00995502"/>
    <w:rsid w:val="009955A2"/>
    <w:rsid w:val="009955EB"/>
    <w:rsid w:val="00995665"/>
    <w:rsid w:val="009956E3"/>
    <w:rsid w:val="0099586F"/>
    <w:rsid w:val="009959F2"/>
    <w:rsid w:val="00995A19"/>
    <w:rsid w:val="00995A81"/>
    <w:rsid w:val="00995AEE"/>
    <w:rsid w:val="00995B08"/>
    <w:rsid w:val="00995DC7"/>
    <w:rsid w:val="00995DC8"/>
    <w:rsid w:val="00996016"/>
    <w:rsid w:val="00996138"/>
    <w:rsid w:val="00996381"/>
    <w:rsid w:val="009963BE"/>
    <w:rsid w:val="0099652C"/>
    <w:rsid w:val="009968AF"/>
    <w:rsid w:val="009968CD"/>
    <w:rsid w:val="0099690B"/>
    <w:rsid w:val="00996BB9"/>
    <w:rsid w:val="00996C5F"/>
    <w:rsid w:val="00996CB5"/>
    <w:rsid w:val="00996E00"/>
    <w:rsid w:val="00997095"/>
    <w:rsid w:val="0099719E"/>
    <w:rsid w:val="0099720F"/>
    <w:rsid w:val="00997426"/>
    <w:rsid w:val="009974A1"/>
    <w:rsid w:val="009974A3"/>
    <w:rsid w:val="00997504"/>
    <w:rsid w:val="00997550"/>
    <w:rsid w:val="0099770D"/>
    <w:rsid w:val="0099781D"/>
    <w:rsid w:val="009979D7"/>
    <w:rsid w:val="00997A04"/>
    <w:rsid w:val="00997A98"/>
    <w:rsid w:val="00997AC8"/>
    <w:rsid w:val="00997DCB"/>
    <w:rsid w:val="009A0053"/>
    <w:rsid w:val="009A0169"/>
    <w:rsid w:val="009A0298"/>
    <w:rsid w:val="009A0299"/>
    <w:rsid w:val="009A02E3"/>
    <w:rsid w:val="009A0347"/>
    <w:rsid w:val="009A04CF"/>
    <w:rsid w:val="009A0527"/>
    <w:rsid w:val="009A056F"/>
    <w:rsid w:val="009A078C"/>
    <w:rsid w:val="009A07A5"/>
    <w:rsid w:val="009A09D4"/>
    <w:rsid w:val="009A0AAC"/>
    <w:rsid w:val="009A0BD4"/>
    <w:rsid w:val="009A0CA3"/>
    <w:rsid w:val="009A0E5C"/>
    <w:rsid w:val="009A0EAA"/>
    <w:rsid w:val="009A0EE3"/>
    <w:rsid w:val="009A0F91"/>
    <w:rsid w:val="009A1009"/>
    <w:rsid w:val="009A1267"/>
    <w:rsid w:val="009A12E4"/>
    <w:rsid w:val="009A1453"/>
    <w:rsid w:val="009A1473"/>
    <w:rsid w:val="009A149E"/>
    <w:rsid w:val="009A1591"/>
    <w:rsid w:val="009A1708"/>
    <w:rsid w:val="009A17BE"/>
    <w:rsid w:val="009A187B"/>
    <w:rsid w:val="009A191B"/>
    <w:rsid w:val="009A1B56"/>
    <w:rsid w:val="009A1D95"/>
    <w:rsid w:val="009A1DFC"/>
    <w:rsid w:val="009A1E94"/>
    <w:rsid w:val="009A1ECE"/>
    <w:rsid w:val="009A1ECF"/>
    <w:rsid w:val="009A1F9E"/>
    <w:rsid w:val="009A2025"/>
    <w:rsid w:val="009A20A0"/>
    <w:rsid w:val="009A2126"/>
    <w:rsid w:val="009A2136"/>
    <w:rsid w:val="009A2187"/>
    <w:rsid w:val="009A2235"/>
    <w:rsid w:val="009A2268"/>
    <w:rsid w:val="009A2326"/>
    <w:rsid w:val="009A24CB"/>
    <w:rsid w:val="009A26FF"/>
    <w:rsid w:val="009A292D"/>
    <w:rsid w:val="009A29BF"/>
    <w:rsid w:val="009A29C9"/>
    <w:rsid w:val="009A2A8A"/>
    <w:rsid w:val="009A2AAD"/>
    <w:rsid w:val="009A2AD4"/>
    <w:rsid w:val="009A2D33"/>
    <w:rsid w:val="009A2DC2"/>
    <w:rsid w:val="009A2E64"/>
    <w:rsid w:val="009A2F07"/>
    <w:rsid w:val="009A2F38"/>
    <w:rsid w:val="009A3057"/>
    <w:rsid w:val="009A3298"/>
    <w:rsid w:val="009A3421"/>
    <w:rsid w:val="009A3509"/>
    <w:rsid w:val="009A355E"/>
    <w:rsid w:val="009A3666"/>
    <w:rsid w:val="009A36ED"/>
    <w:rsid w:val="009A39BD"/>
    <w:rsid w:val="009A3B6B"/>
    <w:rsid w:val="009A3C93"/>
    <w:rsid w:val="009A3D4E"/>
    <w:rsid w:val="009A3EDB"/>
    <w:rsid w:val="009A3EDD"/>
    <w:rsid w:val="009A3EF5"/>
    <w:rsid w:val="009A3F1A"/>
    <w:rsid w:val="009A3FB7"/>
    <w:rsid w:val="009A3FD0"/>
    <w:rsid w:val="009A40A0"/>
    <w:rsid w:val="009A40E7"/>
    <w:rsid w:val="009A4198"/>
    <w:rsid w:val="009A4333"/>
    <w:rsid w:val="009A435A"/>
    <w:rsid w:val="009A437B"/>
    <w:rsid w:val="009A4411"/>
    <w:rsid w:val="009A4446"/>
    <w:rsid w:val="009A4501"/>
    <w:rsid w:val="009A4585"/>
    <w:rsid w:val="009A4591"/>
    <w:rsid w:val="009A46B6"/>
    <w:rsid w:val="009A4A44"/>
    <w:rsid w:val="009A4A9C"/>
    <w:rsid w:val="009A4B51"/>
    <w:rsid w:val="009A5025"/>
    <w:rsid w:val="009A513B"/>
    <w:rsid w:val="009A51C7"/>
    <w:rsid w:val="009A51FD"/>
    <w:rsid w:val="009A5339"/>
    <w:rsid w:val="009A544D"/>
    <w:rsid w:val="009A5477"/>
    <w:rsid w:val="009A548D"/>
    <w:rsid w:val="009A5681"/>
    <w:rsid w:val="009A5705"/>
    <w:rsid w:val="009A578A"/>
    <w:rsid w:val="009A5984"/>
    <w:rsid w:val="009A59EC"/>
    <w:rsid w:val="009A5B31"/>
    <w:rsid w:val="009A5B86"/>
    <w:rsid w:val="009A5C56"/>
    <w:rsid w:val="009A5CA8"/>
    <w:rsid w:val="009A5D01"/>
    <w:rsid w:val="009A5ED1"/>
    <w:rsid w:val="009A5FAB"/>
    <w:rsid w:val="009A5FEC"/>
    <w:rsid w:val="009A60AB"/>
    <w:rsid w:val="009A60AF"/>
    <w:rsid w:val="009A6101"/>
    <w:rsid w:val="009A6272"/>
    <w:rsid w:val="009A6399"/>
    <w:rsid w:val="009A6578"/>
    <w:rsid w:val="009A65CD"/>
    <w:rsid w:val="009A673B"/>
    <w:rsid w:val="009A6849"/>
    <w:rsid w:val="009A689D"/>
    <w:rsid w:val="009A6AB4"/>
    <w:rsid w:val="009A6B29"/>
    <w:rsid w:val="009A6B4C"/>
    <w:rsid w:val="009A6B8C"/>
    <w:rsid w:val="009A6E33"/>
    <w:rsid w:val="009A6E76"/>
    <w:rsid w:val="009A6E8B"/>
    <w:rsid w:val="009A6ED0"/>
    <w:rsid w:val="009A6ED5"/>
    <w:rsid w:val="009A6F9C"/>
    <w:rsid w:val="009A706A"/>
    <w:rsid w:val="009A71AB"/>
    <w:rsid w:val="009A7240"/>
    <w:rsid w:val="009A7245"/>
    <w:rsid w:val="009A7257"/>
    <w:rsid w:val="009A72D9"/>
    <w:rsid w:val="009A7392"/>
    <w:rsid w:val="009A73C3"/>
    <w:rsid w:val="009A74F1"/>
    <w:rsid w:val="009A76DA"/>
    <w:rsid w:val="009A7745"/>
    <w:rsid w:val="009A77F1"/>
    <w:rsid w:val="009A78D5"/>
    <w:rsid w:val="009A78E8"/>
    <w:rsid w:val="009A7938"/>
    <w:rsid w:val="009A79B2"/>
    <w:rsid w:val="009A79EF"/>
    <w:rsid w:val="009A7ABB"/>
    <w:rsid w:val="009A7BD6"/>
    <w:rsid w:val="009A7C2E"/>
    <w:rsid w:val="009A7C3D"/>
    <w:rsid w:val="009A7D43"/>
    <w:rsid w:val="009A7D85"/>
    <w:rsid w:val="009A7DB9"/>
    <w:rsid w:val="009A7E01"/>
    <w:rsid w:val="009A7FCA"/>
    <w:rsid w:val="009A7FE6"/>
    <w:rsid w:val="009B0013"/>
    <w:rsid w:val="009B0049"/>
    <w:rsid w:val="009B0156"/>
    <w:rsid w:val="009B0221"/>
    <w:rsid w:val="009B023B"/>
    <w:rsid w:val="009B0295"/>
    <w:rsid w:val="009B02C0"/>
    <w:rsid w:val="009B0410"/>
    <w:rsid w:val="009B058E"/>
    <w:rsid w:val="009B05BA"/>
    <w:rsid w:val="009B05E0"/>
    <w:rsid w:val="009B0608"/>
    <w:rsid w:val="009B061F"/>
    <w:rsid w:val="009B0853"/>
    <w:rsid w:val="009B08DB"/>
    <w:rsid w:val="009B0996"/>
    <w:rsid w:val="009B0B03"/>
    <w:rsid w:val="009B0C2E"/>
    <w:rsid w:val="009B0C58"/>
    <w:rsid w:val="009B0D2A"/>
    <w:rsid w:val="009B0D7A"/>
    <w:rsid w:val="009B0E0C"/>
    <w:rsid w:val="009B10B7"/>
    <w:rsid w:val="009B10BE"/>
    <w:rsid w:val="009B1117"/>
    <w:rsid w:val="009B139C"/>
    <w:rsid w:val="009B1513"/>
    <w:rsid w:val="009B1581"/>
    <w:rsid w:val="009B15AA"/>
    <w:rsid w:val="009B1618"/>
    <w:rsid w:val="009B1A5D"/>
    <w:rsid w:val="009B1B0E"/>
    <w:rsid w:val="009B1C34"/>
    <w:rsid w:val="009B1EB6"/>
    <w:rsid w:val="009B1F2C"/>
    <w:rsid w:val="009B1F48"/>
    <w:rsid w:val="009B2146"/>
    <w:rsid w:val="009B21A9"/>
    <w:rsid w:val="009B2505"/>
    <w:rsid w:val="009B2596"/>
    <w:rsid w:val="009B25AE"/>
    <w:rsid w:val="009B263E"/>
    <w:rsid w:val="009B2AE3"/>
    <w:rsid w:val="009B2E6D"/>
    <w:rsid w:val="009B2F00"/>
    <w:rsid w:val="009B2FFA"/>
    <w:rsid w:val="009B30A0"/>
    <w:rsid w:val="009B319F"/>
    <w:rsid w:val="009B31CD"/>
    <w:rsid w:val="009B31F6"/>
    <w:rsid w:val="009B3242"/>
    <w:rsid w:val="009B3268"/>
    <w:rsid w:val="009B32FC"/>
    <w:rsid w:val="009B34AA"/>
    <w:rsid w:val="009B34F0"/>
    <w:rsid w:val="009B3708"/>
    <w:rsid w:val="009B3727"/>
    <w:rsid w:val="009B384F"/>
    <w:rsid w:val="009B3C6A"/>
    <w:rsid w:val="009B3DCC"/>
    <w:rsid w:val="009B3DFE"/>
    <w:rsid w:val="009B3E98"/>
    <w:rsid w:val="009B3FF5"/>
    <w:rsid w:val="009B40E9"/>
    <w:rsid w:val="009B4276"/>
    <w:rsid w:val="009B42B6"/>
    <w:rsid w:val="009B42CC"/>
    <w:rsid w:val="009B43D6"/>
    <w:rsid w:val="009B44D2"/>
    <w:rsid w:val="009B457D"/>
    <w:rsid w:val="009B473C"/>
    <w:rsid w:val="009B48B7"/>
    <w:rsid w:val="009B4931"/>
    <w:rsid w:val="009B4A34"/>
    <w:rsid w:val="009B4A55"/>
    <w:rsid w:val="009B4A88"/>
    <w:rsid w:val="009B4AE6"/>
    <w:rsid w:val="009B4D04"/>
    <w:rsid w:val="009B4EC6"/>
    <w:rsid w:val="009B4ED6"/>
    <w:rsid w:val="009B4FC1"/>
    <w:rsid w:val="009B5081"/>
    <w:rsid w:val="009B51AB"/>
    <w:rsid w:val="009B5283"/>
    <w:rsid w:val="009B53C0"/>
    <w:rsid w:val="009B55F0"/>
    <w:rsid w:val="009B56BB"/>
    <w:rsid w:val="009B5781"/>
    <w:rsid w:val="009B5794"/>
    <w:rsid w:val="009B5846"/>
    <w:rsid w:val="009B5934"/>
    <w:rsid w:val="009B597B"/>
    <w:rsid w:val="009B59D7"/>
    <w:rsid w:val="009B5B02"/>
    <w:rsid w:val="009B5BA9"/>
    <w:rsid w:val="009B5E32"/>
    <w:rsid w:val="009B5F3C"/>
    <w:rsid w:val="009B5F9E"/>
    <w:rsid w:val="009B6101"/>
    <w:rsid w:val="009B613B"/>
    <w:rsid w:val="009B61A8"/>
    <w:rsid w:val="009B6320"/>
    <w:rsid w:val="009B6433"/>
    <w:rsid w:val="009B6509"/>
    <w:rsid w:val="009B667C"/>
    <w:rsid w:val="009B67B0"/>
    <w:rsid w:val="009B684C"/>
    <w:rsid w:val="009B6985"/>
    <w:rsid w:val="009B69B3"/>
    <w:rsid w:val="009B6A27"/>
    <w:rsid w:val="009B6A59"/>
    <w:rsid w:val="009B6CC9"/>
    <w:rsid w:val="009B6D13"/>
    <w:rsid w:val="009B6DB0"/>
    <w:rsid w:val="009B6E0E"/>
    <w:rsid w:val="009B6E39"/>
    <w:rsid w:val="009B6E6E"/>
    <w:rsid w:val="009B6FE1"/>
    <w:rsid w:val="009B7011"/>
    <w:rsid w:val="009B7069"/>
    <w:rsid w:val="009B71E4"/>
    <w:rsid w:val="009B7251"/>
    <w:rsid w:val="009B7309"/>
    <w:rsid w:val="009B7404"/>
    <w:rsid w:val="009B768C"/>
    <w:rsid w:val="009B7780"/>
    <w:rsid w:val="009B7847"/>
    <w:rsid w:val="009B79D0"/>
    <w:rsid w:val="009B7AAA"/>
    <w:rsid w:val="009B7AEE"/>
    <w:rsid w:val="009B7B88"/>
    <w:rsid w:val="009B7BB9"/>
    <w:rsid w:val="009B7BC3"/>
    <w:rsid w:val="009B7C39"/>
    <w:rsid w:val="009B7EA2"/>
    <w:rsid w:val="009B7EA5"/>
    <w:rsid w:val="009B7F25"/>
    <w:rsid w:val="009B7F2E"/>
    <w:rsid w:val="009B7FE6"/>
    <w:rsid w:val="009B7FE8"/>
    <w:rsid w:val="009C00BF"/>
    <w:rsid w:val="009C015A"/>
    <w:rsid w:val="009C019A"/>
    <w:rsid w:val="009C01A2"/>
    <w:rsid w:val="009C04EE"/>
    <w:rsid w:val="009C0591"/>
    <w:rsid w:val="009C05CC"/>
    <w:rsid w:val="009C0628"/>
    <w:rsid w:val="009C062C"/>
    <w:rsid w:val="009C0640"/>
    <w:rsid w:val="009C075C"/>
    <w:rsid w:val="009C07D1"/>
    <w:rsid w:val="009C081A"/>
    <w:rsid w:val="009C0919"/>
    <w:rsid w:val="009C093A"/>
    <w:rsid w:val="009C09CC"/>
    <w:rsid w:val="009C0A14"/>
    <w:rsid w:val="009C0AB1"/>
    <w:rsid w:val="009C0B8A"/>
    <w:rsid w:val="009C0CD4"/>
    <w:rsid w:val="009C108C"/>
    <w:rsid w:val="009C10FD"/>
    <w:rsid w:val="009C10FE"/>
    <w:rsid w:val="009C1117"/>
    <w:rsid w:val="009C1172"/>
    <w:rsid w:val="009C11B2"/>
    <w:rsid w:val="009C13C4"/>
    <w:rsid w:val="009C1517"/>
    <w:rsid w:val="009C15E7"/>
    <w:rsid w:val="009C17C8"/>
    <w:rsid w:val="009C1C57"/>
    <w:rsid w:val="009C1C77"/>
    <w:rsid w:val="009C1D23"/>
    <w:rsid w:val="009C1D42"/>
    <w:rsid w:val="009C1DBD"/>
    <w:rsid w:val="009C2138"/>
    <w:rsid w:val="009C2223"/>
    <w:rsid w:val="009C230F"/>
    <w:rsid w:val="009C2350"/>
    <w:rsid w:val="009C23E5"/>
    <w:rsid w:val="009C25AB"/>
    <w:rsid w:val="009C2615"/>
    <w:rsid w:val="009C264F"/>
    <w:rsid w:val="009C28BD"/>
    <w:rsid w:val="009C28DF"/>
    <w:rsid w:val="009C28F6"/>
    <w:rsid w:val="009C2993"/>
    <w:rsid w:val="009C2B3A"/>
    <w:rsid w:val="009C2CB1"/>
    <w:rsid w:val="009C2DDE"/>
    <w:rsid w:val="009C2E64"/>
    <w:rsid w:val="009C2EE7"/>
    <w:rsid w:val="009C2F79"/>
    <w:rsid w:val="009C2F89"/>
    <w:rsid w:val="009C3436"/>
    <w:rsid w:val="009C3489"/>
    <w:rsid w:val="009C35BA"/>
    <w:rsid w:val="009C35E4"/>
    <w:rsid w:val="009C3628"/>
    <w:rsid w:val="009C36E9"/>
    <w:rsid w:val="009C385B"/>
    <w:rsid w:val="009C386D"/>
    <w:rsid w:val="009C39D7"/>
    <w:rsid w:val="009C39E8"/>
    <w:rsid w:val="009C3C11"/>
    <w:rsid w:val="009C3C27"/>
    <w:rsid w:val="009C3C28"/>
    <w:rsid w:val="009C3CDA"/>
    <w:rsid w:val="009C3E3C"/>
    <w:rsid w:val="009C3E44"/>
    <w:rsid w:val="009C411E"/>
    <w:rsid w:val="009C4238"/>
    <w:rsid w:val="009C4353"/>
    <w:rsid w:val="009C4378"/>
    <w:rsid w:val="009C4485"/>
    <w:rsid w:val="009C4496"/>
    <w:rsid w:val="009C465D"/>
    <w:rsid w:val="009C4791"/>
    <w:rsid w:val="009C486F"/>
    <w:rsid w:val="009C48A8"/>
    <w:rsid w:val="009C492C"/>
    <w:rsid w:val="009C49C2"/>
    <w:rsid w:val="009C4ABE"/>
    <w:rsid w:val="009C4B23"/>
    <w:rsid w:val="009C4CAB"/>
    <w:rsid w:val="009C4D40"/>
    <w:rsid w:val="009C4D96"/>
    <w:rsid w:val="009C4E2D"/>
    <w:rsid w:val="009C4E9A"/>
    <w:rsid w:val="009C4EA3"/>
    <w:rsid w:val="009C50B4"/>
    <w:rsid w:val="009C515E"/>
    <w:rsid w:val="009C51A8"/>
    <w:rsid w:val="009C5308"/>
    <w:rsid w:val="009C5691"/>
    <w:rsid w:val="009C58D3"/>
    <w:rsid w:val="009C5C00"/>
    <w:rsid w:val="009C5F8A"/>
    <w:rsid w:val="009C6048"/>
    <w:rsid w:val="009C6089"/>
    <w:rsid w:val="009C61F3"/>
    <w:rsid w:val="009C6263"/>
    <w:rsid w:val="009C629D"/>
    <w:rsid w:val="009C62C0"/>
    <w:rsid w:val="009C6375"/>
    <w:rsid w:val="009C6573"/>
    <w:rsid w:val="009C6588"/>
    <w:rsid w:val="009C6626"/>
    <w:rsid w:val="009C6825"/>
    <w:rsid w:val="009C68A3"/>
    <w:rsid w:val="009C6979"/>
    <w:rsid w:val="009C69F8"/>
    <w:rsid w:val="009C6A68"/>
    <w:rsid w:val="009C6A88"/>
    <w:rsid w:val="009C6B7A"/>
    <w:rsid w:val="009C6C24"/>
    <w:rsid w:val="009C6C4F"/>
    <w:rsid w:val="009C6CC5"/>
    <w:rsid w:val="009C6E41"/>
    <w:rsid w:val="009C6E75"/>
    <w:rsid w:val="009C6F56"/>
    <w:rsid w:val="009C6F6E"/>
    <w:rsid w:val="009C6FB5"/>
    <w:rsid w:val="009C6FFF"/>
    <w:rsid w:val="009C70F8"/>
    <w:rsid w:val="009C7324"/>
    <w:rsid w:val="009C738C"/>
    <w:rsid w:val="009C7629"/>
    <w:rsid w:val="009C765D"/>
    <w:rsid w:val="009C7685"/>
    <w:rsid w:val="009C7714"/>
    <w:rsid w:val="009C7718"/>
    <w:rsid w:val="009C77F6"/>
    <w:rsid w:val="009C7A07"/>
    <w:rsid w:val="009C7ADA"/>
    <w:rsid w:val="009C7EAE"/>
    <w:rsid w:val="009C7F6F"/>
    <w:rsid w:val="009D000A"/>
    <w:rsid w:val="009D0139"/>
    <w:rsid w:val="009D0179"/>
    <w:rsid w:val="009D0457"/>
    <w:rsid w:val="009D05B5"/>
    <w:rsid w:val="009D0635"/>
    <w:rsid w:val="009D0851"/>
    <w:rsid w:val="009D09B6"/>
    <w:rsid w:val="009D09EF"/>
    <w:rsid w:val="009D0B54"/>
    <w:rsid w:val="009D0D5D"/>
    <w:rsid w:val="009D0D6F"/>
    <w:rsid w:val="009D0E62"/>
    <w:rsid w:val="009D12AA"/>
    <w:rsid w:val="009D12BF"/>
    <w:rsid w:val="009D135A"/>
    <w:rsid w:val="009D139A"/>
    <w:rsid w:val="009D1456"/>
    <w:rsid w:val="009D1519"/>
    <w:rsid w:val="009D1534"/>
    <w:rsid w:val="009D158C"/>
    <w:rsid w:val="009D1690"/>
    <w:rsid w:val="009D16B7"/>
    <w:rsid w:val="009D17EE"/>
    <w:rsid w:val="009D1805"/>
    <w:rsid w:val="009D19F2"/>
    <w:rsid w:val="009D1A0A"/>
    <w:rsid w:val="009D1A0C"/>
    <w:rsid w:val="009D1A0E"/>
    <w:rsid w:val="009D1A86"/>
    <w:rsid w:val="009D1AB3"/>
    <w:rsid w:val="009D1B22"/>
    <w:rsid w:val="009D1BA4"/>
    <w:rsid w:val="009D1BBB"/>
    <w:rsid w:val="009D1E12"/>
    <w:rsid w:val="009D1EEF"/>
    <w:rsid w:val="009D2039"/>
    <w:rsid w:val="009D2048"/>
    <w:rsid w:val="009D20AA"/>
    <w:rsid w:val="009D211A"/>
    <w:rsid w:val="009D23CF"/>
    <w:rsid w:val="009D2434"/>
    <w:rsid w:val="009D2461"/>
    <w:rsid w:val="009D24EA"/>
    <w:rsid w:val="009D275C"/>
    <w:rsid w:val="009D283C"/>
    <w:rsid w:val="009D286F"/>
    <w:rsid w:val="009D2979"/>
    <w:rsid w:val="009D2D40"/>
    <w:rsid w:val="009D2D65"/>
    <w:rsid w:val="009D2DA9"/>
    <w:rsid w:val="009D2E0B"/>
    <w:rsid w:val="009D2E46"/>
    <w:rsid w:val="009D2E63"/>
    <w:rsid w:val="009D2E93"/>
    <w:rsid w:val="009D2EA9"/>
    <w:rsid w:val="009D3038"/>
    <w:rsid w:val="009D308F"/>
    <w:rsid w:val="009D314F"/>
    <w:rsid w:val="009D318C"/>
    <w:rsid w:val="009D31B4"/>
    <w:rsid w:val="009D3231"/>
    <w:rsid w:val="009D34C0"/>
    <w:rsid w:val="009D3556"/>
    <w:rsid w:val="009D3580"/>
    <w:rsid w:val="009D35FB"/>
    <w:rsid w:val="009D3644"/>
    <w:rsid w:val="009D3683"/>
    <w:rsid w:val="009D375B"/>
    <w:rsid w:val="009D38F6"/>
    <w:rsid w:val="009D396C"/>
    <w:rsid w:val="009D3B14"/>
    <w:rsid w:val="009D3B4A"/>
    <w:rsid w:val="009D3BBA"/>
    <w:rsid w:val="009D3C3A"/>
    <w:rsid w:val="009D3E0F"/>
    <w:rsid w:val="009D3FAE"/>
    <w:rsid w:val="009D401E"/>
    <w:rsid w:val="009D4092"/>
    <w:rsid w:val="009D4119"/>
    <w:rsid w:val="009D4355"/>
    <w:rsid w:val="009D4435"/>
    <w:rsid w:val="009D44AB"/>
    <w:rsid w:val="009D44FB"/>
    <w:rsid w:val="009D4567"/>
    <w:rsid w:val="009D45B4"/>
    <w:rsid w:val="009D45EA"/>
    <w:rsid w:val="009D4751"/>
    <w:rsid w:val="009D478B"/>
    <w:rsid w:val="009D47AC"/>
    <w:rsid w:val="009D49D9"/>
    <w:rsid w:val="009D4AFD"/>
    <w:rsid w:val="009D4BBE"/>
    <w:rsid w:val="009D4C39"/>
    <w:rsid w:val="009D4C90"/>
    <w:rsid w:val="009D4D90"/>
    <w:rsid w:val="009D4E16"/>
    <w:rsid w:val="009D4FA0"/>
    <w:rsid w:val="009D50A4"/>
    <w:rsid w:val="009D5157"/>
    <w:rsid w:val="009D51FA"/>
    <w:rsid w:val="009D5262"/>
    <w:rsid w:val="009D53A2"/>
    <w:rsid w:val="009D53AE"/>
    <w:rsid w:val="009D53AF"/>
    <w:rsid w:val="009D543F"/>
    <w:rsid w:val="009D547C"/>
    <w:rsid w:val="009D549F"/>
    <w:rsid w:val="009D5574"/>
    <w:rsid w:val="009D567D"/>
    <w:rsid w:val="009D5723"/>
    <w:rsid w:val="009D5893"/>
    <w:rsid w:val="009D58BF"/>
    <w:rsid w:val="009D591A"/>
    <w:rsid w:val="009D59E9"/>
    <w:rsid w:val="009D5A23"/>
    <w:rsid w:val="009D5C19"/>
    <w:rsid w:val="009D5CC1"/>
    <w:rsid w:val="009D5D45"/>
    <w:rsid w:val="009D5D80"/>
    <w:rsid w:val="009D5DCD"/>
    <w:rsid w:val="009D5E23"/>
    <w:rsid w:val="009D5E59"/>
    <w:rsid w:val="009D5F94"/>
    <w:rsid w:val="009D601C"/>
    <w:rsid w:val="009D6129"/>
    <w:rsid w:val="009D637D"/>
    <w:rsid w:val="009D63D7"/>
    <w:rsid w:val="009D63FF"/>
    <w:rsid w:val="009D64B9"/>
    <w:rsid w:val="009D6620"/>
    <w:rsid w:val="009D6658"/>
    <w:rsid w:val="009D67A5"/>
    <w:rsid w:val="009D680B"/>
    <w:rsid w:val="009D680D"/>
    <w:rsid w:val="009D68CB"/>
    <w:rsid w:val="009D6921"/>
    <w:rsid w:val="009D6A4D"/>
    <w:rsid w:val="009D6AB4"/>
    <w:rsid w:val="009D6C3F"/>
    <w:rsid w:val="009D6C54"/>
    <w:rsid w:val="009D6C77"/>
    <w:rsid w:val="009D6C8A"/>
    <w:rsid w:val="009D6CC0"/>
    <w:rsid w:val="009D6E6D"/>
    <w:rsid w:val="009D6FB7"/>
    <w:rsid w:val="009D71DA"/>
    <w:rsid w:val="009D723E"/>
    <w:rsid w:val="009D72B0"/>
    <w:rsid w:val="009D72ED"/>
    <w:rsid w:val="009D73B0"/>
    <w:rsid w:val="009D7437"/>
    <w:rsid w:val="009D7563"/>
    <w:rsid w:val="009D75B0"/>
    <w:rsid w:val="009D76AB"/>
    <w:rsid w:val="009D776D"/>
    <w:rsid w:val="009D77BE"/>
    <w:rsid w:val="009D77CE"/>
    <w:rsid w:val="009D78BE"/>
    <w:rsid w:val="009D7A0A"/>
    <w:rsid w:val="009D7A49"/>
    <w:rsid w:val="009D7ABA"/>
    <w:rsid w:val="009D7CA5"/>
    <w:rsid w:val="009D7DC3"/>
    <w:rsid w:val="009D7DE3"/>
    <w:rsid w:val="009D7F0E"/>
    <w:rsid w:val="009E004A"/>
    <w:rsid w:val="009E0061"/>
    <w:rsid w:val="009E0094"/>
    <w:rsid w:val="009E016A"/>
    <w:rsid w:val="009E020E"/>
    <w:rsid w:val="009E0460"/>
    <w:rsid w:val="009E053D"/>
    <w:rsid w:val="009E0553"/>
    <w:rsid w:val="009E05E6"/>
    <w:rsid w:val="009E066B"/>
    <w:rsid w:val="009E0698"/>
    <w:rsid w:val="009E06C4"/>
    <w:rsid w:val="009E06F2"/>
    <w:rsid w:val="009E09B6"/>
    <w:rsid w:val="009E09E3"/>
    <w:rsid w:val="009E0BAB"/>
    <w:rsid w:val="009E0BC9"/>
    <w:rsid w:val="009E0C88"/>
    <w:rsid w:val="009E0E0D"/>
    <w:rsid w:val="009E0EA0"/>
    <w:rsid w:val="009E0F1E"/>
    <w:rsid w:val="009E1016"/>
    <w:rsid w:val="009E1046"/>
    <w:rsid w:val="009E1050"/>
    <w:rsid w:val="009E1244"/>
    <w:rsid w:val="009E130B"/>
    <w:rsid w:val="009E1371"/>
    <w:rsid w:val="009E1410"/>
    <w:rsid w:val="009E146C"/>
    <w:rsid w:val="009E1515"/>
    <w:rsid w:val="009E16E2"/>
    <w:rsid w:val="009E1703"/>
    <w:rsid w:val="009E17CC"/>
    <w:rsid w:val="009E18AE"/>
    <w:rsid w:val="009E1A12"/>
    <w:rsid w:val="009E1A2D"/>
    <w:rsid w:val="009E1AE9"/>
    <w:rsid w:val="009E1AEB"/>
    <w:rsid w:val="009E1B5A"/>
    <w:rsid w:val="009E1CAE"/>
    <w:rsid w:val="009E1CDB"/>
    <w:rsid w:val="009E1CE3"/>
    <w:rsid w:val="009E1CFF"/>
    <w:rsid w:val="009E1D3C"/>
    <w:rsid w:val="009E1D7B"/>
    <w:rsid w:val="009E1DA7"/>
    <w:rsid w:val="009E1DC5"/>
    <w:rsid w:val="009E1E38"/>
    <w:rsid w:val="009E1E58"/>
    <w:rsid w:val="009E1FEE"/>
    <w:rsid w:val="009E2187"/>
    <w:rsid w:val="009E23A9"/>
    <w:rsid w:val="009E23EA"/>
    <w:rsid w:val="009E242C"/>
    <w:rsid w:val="009E2575"/>
    <w:rsid w:val="009E257B"/>
    <w:rsid w:val="009E281F"/>
    <w:rsid w:val="009E28A5"/>
    <w:rsid w:val="009E29DB"/>
    <w:rsid w:val="009E2D24"/>
    <w:rsid w:val="009E2EA0"/>
    <w:rsid w:val="009E305F"/>
    <w:rsid w:val="009E30F5"/>
    <w:rsid w:val="009E3160"/>
    <w:rsid w:val="009E34A9"/>
    <w:rsid w:val="009E3589"/>
    <w:rsid w:val="009E358B"/>
    <w:rsid w:val="009E36B2"/>
    <w:rsid w:val="009E36FF"/>
    <w:rsid w:val="009E37D3"/>
    <w:rsid w:val="009E37F6"/>
    <w:rsid w:val="009E3817"/>
    <w:rsid w:val="009E3A3A"/>
    <w:rsid w:val="009E3A9A"/>
    <w:rsid w:val="009E3B85"/>
    <w:rsid w:val="009E3D5A"/>
    <w:rsid w:val="009E3D71"/>
    <w:rsid w:val="009E4196"/>
    <w:rsid w:val="009E42F2"/>
    <w:rsid w:val="009E431C"/>
    <w:rsid w:val="009E43C4"/>
    <w:rsid w:val="009E43DD"/>
    <w:rsid w:val="009E45F3"/>
    <w:rsid w:val="009E491A"/>
    <w:rsid w:val="009E4A11"/>
    <w:rsid w:val="009E4B13"/>
    <w:rsid w:val="009E4C03"/>
    <w:rsid w:val="009E4DF2"/>
    <w:rsid w:val="009E4E2E"/>
    <w:rsid w:val="009E4E38"/>
    <w:rsid w:val="009E4F81"/>
    <w:rsid w:val="009E5028"/>
    <w:rsid w:val="009E504D"/>
    <w:rsid w:val="009E50FB"/>
    <w:rsid w:val="009E51BB"/>
    <w:rsid w:val="009E5280"/>
    <w:rsid w:val="009E52A2"/>
    <w:rsid w:val="009E5386"/>
    <w:rsid w:val="009E539F"/>
    <w:rsid w:val="009E5640"/>
    <w:rsid w:val="009E56B6"/>
    <w:rsid w:val="009E56E7"/>
    <w:rsid w:val="009E5769"/>
    <w:rsid w:val="009E5786"/>
    <w:rsid w:val="009E57D4"/>
    <w:rsid w:val="009E5916"/>
    <w:rsid w:val="009E595F"/>
    <w:rsid w:val="009E5A3D"/>
    <w:rsid w:val="009E5B09"/>
    <w:rsid w:val="009E5BA9"/>
    <w:rsid w:val="009E5CB7"/>
    <w:rsid w:val="009E5DD1"/>
    <w:rsid w:val="009E5F6E"/>
    <w:rsid w:val="009E5F92"/>
    <w:rsid w:val="009E5FAE"/>
    <w:rsid w:val="009E6030"/>
    <w:rsid w:val="009E607E"/>
    <w:rsid w:val="009E60AD"/>
    <w:rsid w:val="009E612F"/>
    <w:rsid w:val="009E61A0"/>
    <w:rsid w:val="009E61BA"/>
    <w:rsid w:val="009E6251"/>
    <w:rsid w:val="009E6293"/>
    <w:rsid w:val="009E62B1"/>
    <w:rsid w:val="009E632B"/>
    <w:rsid w:val="009E6478"/>
    <w:rsid w:val="009E6815"/>
    <w:rsid w:val="009E685F"/>
    <w:rsid w:val="009E68C8"/>
    <w:rsid w:val="009E6903"/>
    <w:rsid w:val="009E692A"/>
    <w:rsid w:val="009E6AB5"/>
    <w:rsid w:val="009E6ADF"/>
    <w:rsid w:val="009E6B05"/>
    <w:rsid w:val="009E6B16"/>
    <w:rsid w:val="009E6DAB"/>
    <w:rsid w:val="009E6E70"/>
    <w:rsid w:val="009E6E84"/>
    <w:rsid w:val="009E6E90"/>
    <w:rsid w:val="009E6EEF"/>
    <w:rsid w:val="009E6F2A"/>
    <w:rsid w:val="009E6F4B"/>
    <w:rsid w:val="009E6F9D"/>
    <w:rsid w:val="009E703C"/>
    <w:rsid w:val="009E72E3"/>
    <w:rsid w:val="009E72F9"/>
    <w:rsid w:val="009E7413"/>
    <w:rsid w:val="009E75A6"/>
    <w:rsid w:val="009E7604"/>
    <w:rsid w:val="009E7850"/>
    <w:rsid w:val="009E79E6"/>
    <w:rsid w:val="009E7B26"/>
    <w:rsid w:val="009E7B8F"/>
    <w:rsid w:val="009E7CC6"/>
    <w:rsid w:val="009E7DD2"/>
    <w:rsid w:val="009E7E4C"/>
    <w:rsid w:val="009E7F1C"/>
    <w:rsid w:val="009E7F9B"/>
    <w:rsid w:val="009F025D"/>
    <w:rsid w:val="009F032B"/>
    <w:rsid w:val="009F0418"/>
    <w:rsid w:val="009F0499"/>
    <w:rsid w:val="009F05B1"/>
    <w:rsid w:val="009F065D"/>
    <w:rsid w:val="009F07D1"/>
    <w:rsid w:val="009F08F5"/>
    <w:rsid w:val="009F0956"/>
    <w:rsid w:val="009F0A70"/>
    <w:rsid w:val="009F0BCA"/>
    <w:rsid w:val="009F0D53"/>
    <w:rsid w:val="009F0D68"/>
    <w:rsid w:val="009F0D70"/>
    <w:rsid w:val="009F0E27"/>
    <w:rsid w:val="009F0EE5"/>
    <w:rsid w:val="009F101D"/>
    <w:rsid w:val="009F1264"/>
    <w:rsid w:val="009F12D0"/>
    <w:rsid w:val="009F12DE"/>
    <w:rsid w:val="009F147A"/>
    <w:rsid w:val="009F14AB"/>
    <w:rsid w:val="009F1599"/>
    <w:rsid w:val="009F15B1"/>
    <w:rsid w:val="009F163C"/>
    <w:rsid w:val="009F169E"/>
    <w:rsid w:val="009F16B1"/>
    <w:rsid w:val="009F188A"/>
    <w:rsid w:val="009F194E"/>
    <w:rsid w:val="009F1A79"/>
    <w:rsid w:val="009F1AE2"/>
    <w:rsid w:val="009F1BB0"/>
    <w:rsid w:val="009F1C04"/>
    <w:rsid w:val="009F1CD7"/>
    <w:rsid w:val="009F1D7F"/>
    <w:rsid w:val="009F1E1F"/>
    <w:rsid w:val="009F1FA7"/>
    <w:rsid w:val="009F2133"/>
    <w:rsid w:val="009F21A0"/>
    <w:rsid w:val="009F2225"/>
    <w:rsid w:val="009F22BC"/>
    <w:rsid w:val="009F245B"/>
    <w:rsid w:val="009F2579"/>
    <w:rsid w:val="009F25E6"/>
    <w:rsid w:val="009F27AA"/>
    <w:rsid w:val="009F2829"/>
    <w:rsid w:val="009F2901"/>
    <w:rsid w:val="009F2964"/>
    <w:rsid w:val="009F296B"/>
    <w:rsid w:val="009F29A8"/>
    <w:rsid w:val="009F2BD8"/>
    <w:rsid w:val="009F2BE8"/>
    <w:rsid w:val="009F2EE8"/>
    <w:rsid w:val="009F2F09"/>
    <w:rsid w:val="009F32E9"/>
    <w:rsid w:val="009F3332"/>
    <w:rsid w:val="009F33C6"/>
    <w:rsid w:val="009F3502"/>
    <w:rsid w:val="009F35B5"/>
    <w:rsid w:val="009F35FD"/>
    <w:rsid w:val="009F3746"/>
    <w:rsid w:val="009F37F3"/>
    <w:rsid w:val="009F3947"/>
    <w:rsid w:val="009F39A7"/>
    <w:rsid w:val="009F3BB3"/>
    <w:rsid w:val="009F3C4C"/>
    <w:rsid w:val="009F3EA9"/>
    <w:rsid w:val="009F3EDE"/>
    <w:rsid w:val="009F4004"/>
    <w:rsid w:val="009F4091"/>
    <w:rsid w:val="009F40B7"/>
    <w:rsid w:val="009F4188"/>
    <w:rsid w:val="009F4259"/>
    <w:rsid w:val="009F42F0"/>
    <w:rsid w:val="009F4302"/>
    <w:rsid w:val="009F4393"/>
    <w:rsid w:val="009F43E1"/>
    <w:rsid w:val="009F440E"/>
    <w:rsid w:val="009F4538"/>
    <w:rsid w:val="009F458A"/>
    <w:rsid w:val="009F463E"/>
    <w:rsid w:val="009F464D"/>
    <w:rsid w:val="009F4660"/>
    <w:rsid w:val="009F4664"/>
    <w:rsid w:val="009F4730"/>
    <w:rsid w:val="009F47FA"/>
    <w:rsid w:val="009F4973"/>
    <w:rsid w:val="009F49F0"/>
    <w:rsid w:val="009F49FA"/>
    <w:rsid w:val="009F4B28"/>
    <w:rsid w:val="009F4BA7"/>
    <w:rsid w:val="009F4BE9"/>
    <w:rsid w:val="009F4C70"/>
    <w:rsid w:val="009F4D71"/>
    <w:rsid w:val="009F4E0F"/>
    <w:rsid w:val="009F5093"/>
    <w:rsid w:val="009F51F7"/>
    <w:rsid w:val="009F5380"/>
    <w:rsid w:val="009F5501"/>
    <w:rsid w:val="009F5528"/>
    <w:rsid w:val="009F552C"/>
    <w:rsid w:val="009F56B6"/>
    <w:rsid w:val="009F56C1"/>
    <w:rsid w:val="009F56D9"/>
    <w:rsid w:val="009F57E9"/>
    <w:rsid w:val="009F5841"/>
    <w:rsid w:val="009F5965"/>
    <w:rsid w:val="009F5AE2"/>
    <w:rsid w:val="009F5B2D"/>
    <w:rsid w:val="009F5BBD"/>
    <w:rsid w:val="009F5CA0"/>
    <w:rsid w:val="009F5E33"/>
    <w:rsid w:val="009F5F56"/>
    <w:rsid w:val="009F5FA0"/>
    <w:rsid w:val="009F6057"/>
    <w:rsid w:val="009F62D3"/>
    <w:rsid w:val="009F62DD"/>
    <w:rsid w:val="009F6378"/>
    <w:rsid w:val="009F6631"/>
    <w:rsid w:val="009F668A"/>
    <w:rsid w:val="009F6698"/>
    <w:rsid w:val="009F66F7"/>
    <w:rsid w:val="009F6766"/>
    <w:rsid w:val="009F67D7"/>
    <w:rsid w:val="009F6904"/>
    <w:rsid w:val="009F6932"/>
    <w:rsid w:val="009F69BA"/>
    <w:rsid w:val="009F6A99"/>
    <w:rsid w:val="009F6AC2"/>
    <w:rsid w:val="009F6AFC"/>
    <w:rsid w:val="009F6BAE"/>
    <w:rsid w:val="009F6BB7"/>
    <w:rsid w:val="009F7010"/>
    <w:rsid w:val="009F7219"/>
    <w:rsid w:val="009F7317"/>
    <w:rsid w:val="009F73B6"/>
    <w:rsid w:val="009F7412"/>
    <w:rsid w:val="009F7440"/>
    <w:rsid w:val="009F7602"/>
    <w:rsid w:val="009F77AC"/>
    <w:rsid w:val="009F78F6"/>
    <w:rsid w:val="009F7909"/>
    <w:rsid w:val="009F7912"/>
    <w:rsid w:val="009F7A29"/>
    <w:rsid w:val="009F7D61"/>
    <w:rsid w:val="009F7DFA"/>
    <w:rsid w:val="009F7E7A"/>
    <w:rsid w:val="009F7F5B"/>
    <w:rsid w:val="009F7F96"/>
    <w:rsid w:val="009F7FA5"/>
    <w:rsid w:val="009F7FF4"/>
    <w:rsid w:val="00A0000A"/>
    <w:rsid w:val="00A00112"/>
    <w:rsid w:val="00A00130"/>
    <w:rsid w:val="00A00163"/>
    <w:rsid w:val="00A00274"/>
    <w:rsid w:val="00A00395"/>
    <w:rsid w:val="00A0054F"/>
    <w:rsid w:val="00A005E2"/>
    <w:rsid w:val="00A0070B"/>
    <w:rsid w:val="00A0075A"/>
    <w:rsid w:val="00A0088A"/>
    <w:rsid w:val="00A008B5"/>
    <w:rsid w:val="00A008C2"/>
    <w:rsid w:val="00A009BE"/>
    <w:rsid w:val="00A009EC"/>
    <w:rsid w:val="00A00A61"/>
    <w:rsid w:val="00A00AA7"/>
    <w:rsid w:val="00A00B78"/>
    <w:rsid w:val="00A00BB1"/>
    <w:rsid w:val="00A00BD1"/>
    <w:rsid w:val="00A00BF9"/>
    <w:rsid w:val="00A00F2E"/>
    <w:rsid w:val="00A00F9D"/>
    <w:rsid w:val="00A01005"/>
    <w:rsid w:val="00A01209"/>
    <w:rsid w:val="00A01297"/>
    <w:rsid w:val="00A013C2"/>
    <w:rsid w:val="00A01458"/>
    <w:rsid w:val="00A014B4"/>
    <w:rsid w:val="00A015F6"/>
    <w:rsid w:val="00A0176A"/>
    <w:rsid w:val="00A017B4"/>
    <w:rsid w:val="00A01803"/>
    <w:rsid w:val="00A0186D"/>
    <w:rsid w:val="00A01900"/>
    <w:rsid w:val="00A01B2D"/>
    <w:rsid w:val="00A01BC4"/>
    <w:rsid w:val="00A01C53"/>
    <w:rsid w:val="00A01D38"/>
    <w:rsid w:val="00A01DE3"/>
    <w:rsid w:val="00A01F11"/>
    <w:rsid w:val="00A01F24"/>
    <w:rsid w:val="00A01FAF"/>
    <w:rsid w:val="00A01FF5"/>
    <w:rsid w:val="00A02079"/>
    <w:rsid w:val="00A02139"/>
    <w:rsid w:val="00A02150"/>
    <w:rsid w:val="00A021E2"/>
    <w:rsid w:val="00A02369"/>
    <w:rsid w:val="00A023B6"/>
    <w:rsid w:val="00A02414"/>
    <w:rsid w:val="00A0247E"/>
    <w:rsid w:val="00A0250C"/>
    <w:rsid w:val="00A0255C"/>
    <w:rsid w:val="00A025B9"/>
    <w:rsid w:val="00A025C5"/>
    <w:rsid w:val="00A0268A"/>
    <w:rsid w:val="00A027BD"/>
    <w:rsid w:val="00A0283A"/>
    <w:rsid w:val="00A0294F"/>
    <w:rsid w:val="00A02A2F"/>
    <w:rsid w:val="00A02A59"/>
    <w:rsid w:val="00A02B1C"/>
    <w:rsid w:val="00A02B30"/>
    <w:rsid w:val="00A02C7B"/>
    <w:rsid w:val="00A02E1C"/>
    <w:rsid w:val="00A02EA8"/>
    <w:rsid w:val="00A02EE8"/>
    <w:rsid w:val="00A02F43"/>
    <w:rsid w:val="00A02FD9"/>
    <w:rsid w:val="00A03341"/>
    <w:rsid w:val="00A033E1"/>
    <w:rsid w:val="00A034E4"/>
    <w:rsid w:val="00A0355C"/>
    <w:rsid w:val="00A03A13"/>
    <w:rsid w:val="00A03B6F"/>
    <w:rsid w:val="00A03CFD"/>
    <w:rsid w:val="00A03D87"/>
    <w:rsid w:val="00A03EBE"/>
    <w:rsid w:val="00A03EC2"/>
    <w:rsid w:val="00A03F1C"/>
    <w:rsid w:val="00A040CD"/>
    <w:rsid w:val="00A041A1"/>
    <w:rsid w:val="00A04312"/>
    <w:rsid w:val="00A04429"/>
    <w:rsid w:val="00A04665"/>
    <w:rsid w:val="00A046AE"/>
    <w:rsid w:val="00A0472E"/>
    <w:rsid w:val="00A0487F"/>
    <w:rsid w:val="00A048C0"/>
    <w:rsid w:val="00A048FA"/>
    <w:rsid w:val="00A048FC"/>
    <w:rsid w:val="00A04A45"/>
    <w:rsid w:val="00A04C32"/>
    <w:rsid w:val="00A04C74"/>
    <w:rsid w:val="00A04CAD"/>
    <w:rsid w:val="00A04DD9"/>
    <w:rsid w:val="00A04E59"/>
    <w:rsid w:val="00A04E62"/>
    <w:rsid w:val="00A04EBD"/>
    <w:rsid w:val="00A04ED1"/>
    <w:rsid w:val="00A05218"/>
    <w:rsid w:val="00A0522D"/>
    <w:rsid w:val="00A05505"/>
    <w:rsid w:val="00A0560C"/>
    <w:rsid w:val="00A0572E"/>
    <w:rsid w:val="00A05967"/>
    <w:rsid w:val="00A059F7"/>
    <w:rsid w:val="00A05B92"/>
    <w:rsid w:val="00A05CF7"/>
    <w:rsid w:val="00A05E37"/>
    <w:rsid w:val="00A05E6F"/>
    <w:rsid w:val="00A05EFB"/>
    <w:rsid w:val="00A0608B"/>
    <w:rsid w:val="00A06119"/>
    <w:rsid w:val="00A063B1"/>
    <w:rsid w:val="00A063CC"/>
    <w:rsid w:val="00A06446"/>
    <w:rsid w:val="00A06664"/>
    <w:rsid w:val="00A0668C"/>
    <w:rsid w:val="00A06697"/>
    <w:rsid w:val="00A067EC"/>
    <w:rsid w:val="00A068C9"/>
    <w:rsid w:val="00A06913"/>
    <w:rsid w:val="00A0691B"/>
    <w:rsid w:val="00A069B6"/>
    <w:rsid w:val="00A06B14"/>
    <w:rsid w:val="00A06B8E"/>
    <w:rsid w:val="00A06BF5"/>
    <w:rsid w:val="00A06C1B"/>
    <w:rsid w:val="00A06C40"/>
    <w:rsid w:val="00A06CD5"/>
    <w:rsid w:val="00A06D81"/>
    <w:rsid w:val="00A06FBB"/>
    <w:rsid w:val="00A07151"/>
    <w:rsid w:val="00A0729A"/>
    <w:rsid w:val="00A07407"/>
    <w:rsid w:val="00A074F6"/>
    <w:rsid w:val="00A075A5"/>
    <w:rsid w:val="00A075CE"/>
    <w:rsid w:val="00A07828"/>
    <w:rsid w:val="00A07970"/>
    <w:rsid w:val="00A07BA4"/>
    <w:rsid w:val="00A07BDE"/>
    <w:rsid w:val="00A07EA9"/>
    <w:rsid w:val="00A07F5E"/>
    <w:rsid w:val="00A1019A"/>
    <w:rsid w:val="00A101DF"/>
    <w:rsid w:val="00A101F4"/>
    <w:rsid w:val="00A10309"/>
    <w:rsid w:val="00A104AC"/>
    <w:rsid w:val="00A104D8"/>
    <w:rsid w:val="00A10586"/>
    <w:rsid w:val="00A10706"/>
    <w:rsid w:val="00A1078B"/>
    <w:rsid w:val="00A109D5"/>
    <w:rsid w:val="00A10A46"/>
    <w:rsid w:val="00A10A48"/>
    <w:rsid w:val="00A10C46"/>
    <w:rsid w:val="00A10D16"/>
    <w:rsid w:val="00A10D62"/>
    <w:rsid w:val="00A10F71"/>
    <w:rsid w:val="00A110DA"/>
    <w:rsid w:val="00A1132B"/>
    <w:rsid w:val="00A11459"/>
    <w:rsid w:val="00A114EE"/>
    <w:rsid w:val="00A11548"/>
    <w:rsid w:val="00A115A8"/>
    <w:rsid w:val="00A118F7"/>
    <w:rsid w:val="00A11930"/>
    <w:rsid w:val="00A11A30"/>
    <w:rsid w:val="00A11AC8"/>
    <w:rsid w:val="00A11B54"/>
    <w:rsid w:val="00A11C38"/>
    <w:rsid w:val="00A11CDC"/>
    <w:rsid w:val="00A11D0C"/>
    <w:rsid w:val="00A11F22"/>
    <w:rsid w:val="00A11F3D"/>
    <w:rsid w:val="00A1209C"/>
    <w:rsid w:val="00A1223C"/>
    <w:rsid w:val="00A122D5"/>
    <w:rsid w:val="00A12368"/>
    <w:rsid w:val="00A1238C"/>
    <w:rsid w:val="00A12407"/>
    <w:rsid w:val="00A12451"/>
    <w:rsid w:val="00A124EE"/>
    <w:rsid w:val="00A125A7"/>
    <w:rsid w:val="00A1263D"/>
    <w:rsid w:val="00A1280E"/>
    <w:rsid w:val="00A129F2"/>
    <w:rsid w:val="00A12AF2"/>
    <w:rsid w:val="00A12B50"/>
    <w:rsid w:val="00A12BCB"/>
    <w:rsid w:val="00A12C34"/>
    <w:rsid w:val="00A12D8A"/>
    <w:rsid w:val="00A12DDC"/>
    <w:rsid w:val="00A12E02"/>
    <w:rsid w:val="00A12E44"/>
    <w:rsid w:val="00A12E50"/>
    <w:rsid w:val="00A12E6C"/>
    <w:rsid w:val="00A12F80"/>
    <w:rsid w:val="00A130D1"/>
    <w:rsid w:val="00A130FD"/>
    <w:rsid w:val="00A13216"/>
    <w:rsid w:val="00A13218"/>
    <w:rsid w:val="00A136D0"/>
    <w:rsid w:val="00A138C3"/>
    <w:rsid w:val="00A1397D"/>
    <w:rsid w:val="00A13B00"/>
    <w:rsid w:val="00A13D11"/>
    <w:rsid w:val="00A13D1A"/>
    <w:rsid w:val="00A13D68"/>
    <w:rsid w:val="00A13DA1"/>
    <w:rsid w:val="00A13E7F"/>
    <w:rsid w:val="00A13F53"/>
    <w:rsid w:val="00A13FAC"/>
    <w:rsid w:val="00A13FE5"/>
    <w:rsid w:val="00A1409C"/>
    <w:rsid w:val="00A14105"/>
    <w:rsid w:val="00A1421A"/>
    <w:rsid w:val="00A1422E"/>
    <w:rsid w:val="00A143E7"/>
    <w:rsid w:val="00A14458"/>
    <w:rsid w:val="00A1446D"/>
    <w:rsid w:val="00A144A3"/>
    <w:rsid w:val="00A144B6"/>
    <w:rsid w:val="00A14502"/>
    <w:rsid w:val="00A14642"/>
    <w:rsid w:val="00A14734"/>
    <w:rsid w:val="00A1474B"/>
    <w:rsid w:val="00A147A0"/>
    <w:rsid w:val="00A148F3"/>
    <w:rsid w:val="00A14958"/>
    <w:rsid w:val="00A14D31"/>
    <w:rsid w:val="00A14D96"/>
    <w:rsid w:val="00A14DC2"/>
    <w:rsid w:val="00A14DD6"/>
    <w:rsid w:val="00A14DE1"/>
    <w:rsid w:val="00A14EBD"/>
    <w:rsid w:val="00A151AD"/>
    <w:rsid w:val="00A15371"/>
    <w:rsid w:val="00A154C4"/>
    <w:rsid w:val="00A15527"/>
    <w:rsid w:val="00A15656"/>
    <w:rsid w:val="00A15875"/>
    <w:rsid w:val="00A15884"/>
    <w:rsid w:val="00A159B8"/>
    <w:rsid w:val="00A15B73"/>
    <w:rsid w:val="00A15B9C"/>
    <w:rsid w:val="00A15C37"/>
    <w:rsid w:val="00A15C3B"/>
    <w:rsid w:val="00A15D5E"/>
    <w:rsid w:val="00A16015"/>
    <w:rsid w:val="00A1608B"/>
    <w:rsid w:val="00A161F8"/>
    <w:rsid w:val="00A16257"/>
    <w:rsid w:val="00A162D1"/>
    <w:rsid w:val="00A16355"/>
    <w:rsid w:val="00A1658B"/>
    <w:rsid w:val="00A165DA"/>
    <w:rsid w:val="00A167AA"/>
    <w:rsid w:val="00A168E8"/>
    <w:rsid w:val="00A16978"/>
    <w:rsid w:val="00A169FA"/>
    <w:rsid w:val="00A16B72"/>
    <w:rsid w:val="00A16B78"/>
    <w:rsid w:val="00A16BD6"/>
    <w:rsid w:val="00A16BE9"/>
    <w:rsid w:val="00A16DA8"/>
    <w:rsid w:val="00A16E0D"/>
    <w:rsid w:val="00A16EBB"/>
    <w:rsid w:val="00A16FD9"/>
    <w:rsid w:val="00A171B0"/>
    <w:rsid w:val="00A1720D"/>
    <w:rsid w:val="00A17352"/>
    <w:rsid w:val="00A17436"/>
    <w:rsid w:val="00A1745B"/>
    <w:rsid w:val="00A17621"/>
    <w:rsid w:val="00A1766A"/>
    <w:rsid w:val="00A177B0"/>
    <w:rsid w:val="00A178C1"/>
    <w:rsid w:val="00A178E9"/>
    <w:rsid w:val="00A17919"/>
    <w:rsid w:val="00A179AC"/>
    <w:rsid w:val="00A17A66"/>
    <w:rsid w:val="00A17B71"/>
    <w:rsid w:val="00A17D16"/>
    <w:rsid w:val="00A17D1A"/>
    <w:rsid w:val="00A17D26"/>
    <w:rsid w:val="00A17DED"/>
    <w:rsid w:val="00A17E8C"/>
    <w:rsid w:val="00A200A9"/>
    <w:rsid w:val="00A200F4"/>
    <w:rsid w:val="00A2022F"/>
    <w:rsid w:val="00A202A1"/>
    <w:rsid w:val="00A2043B"/>
    <w:rsid w:val="00A20489"/>
    <w:rsid w:val="00A204AF"/>
    <w:rsid w:val="00A20540"/>
    <w:rsid w:val="00A205DC"/>
    <w:rsid w:val="00A2062A"/>
    <w:rsid w:val="00A20650"/>
    <w:rsid w:val="00A206A1"/>
    <w:rsid w:val="00A206C9"/>
    <w:rsid w:val="00A207F2"/>
    <w:rsid w:val="00A208B2"/>
    <w:rsid w:val="00A209AE"/>
    <w:rsid w:val="00A20A41"/>
    <w:rsid w:val="00A20A6A"/>
    <w:rsid w:val="00A20A7F"/>
    <w:rsid w:val="00A20C27"/>
    <w:rsid w:val="00A20C41"/>
    <w:rsid w:val="00A20CBD"/>
    <w:rsid w:val="00A20D23"/>
    <w:rsid w:val="00A20D38"/>
    <w:rsid w:val="00A20D47"/>
    <w:rsid w:val="00A20DA4"/>
    <w:rsid w:val="00A20E7D"/>
    <w:rsid w:val="00A21061"/>
    <w:rsid w:val="00A211D5"/>
    <w:rsid w:val="00A21280"/>
    <w:rsid w:val="00A213B2"/>
    <w:rsid w:val="00A21447"/>
    <w:rsid w:val="00A21498"/>
    <w:rsid w:val="00A214A1"/>
    <w:rsid w:val="00A214C6"/>
    <w:rsid w:val="00A214E6"/>
    <w:rsid w:val="00A21542"/>
    <w:rsid w:val="00A216BC"/>
    <w:rsid w:val="00A21A06"/>
    <w:rsid w:val="00A21A3E"/>
    <w:rsid w:val="00A21B63"/>
    <w:rsid w:val="00A21C61"/>
    <w:rsid w:val="00A21C63"/>
    <w:rsid w:val="00A21CEE"/>
    <w:rsid w:val="00A21D3E"/>
    <w:rsid w:val="00A21E4F"/>
    <w:rsid w:val="00A21E59"/>
    <w:rsid w:val="00A21EE4"/>
    <w:rsid w:val="00A21F11"/>
    <w:rsid w:val="00A2217F"/>
    <w:rsid w:val="00A221D1"/>
    <w:rsid w:val="00A22209"/>
    <w:rsid w:val="00A22644"/>
    <w:rsid w:val="00A2273C"/>
    <w:rsid w:val="00A22745"/>
    <w:rsid w:val="00A227CC"/>
    <w:rsid w:val="00A2281D"/>
    <w:rsid w:val="00A22922"/>
    <w:rsid w:val="00A22990"/>
    <w:rsid w:val="00A229AF"/>
    <w:rsid w:val="00A229BF"/>
    <w:rsid w:val="00A229D4"/>
    <w:rsid w:val="00A22A0C"/>
    <w:rsid w:val="00A22A62"/>
    <w:rsid w:val="00A22AAC"/>
    <w:rsid w:val="00A22EE7"/>
    <w:rsid w:val="00A22F61"/>
    <w:rsid w:val="00A2300B"/>
    <w:rsid w:val="00A23060"/>
    <w:rsid w:val="00A23091"/>
    <w:rsid w:val="00A231A1"/>
    <w:rsid w:val="00A233DB"/>
    <w:rsid w:val="00A234DD"/>
    <w:rsid w:val="00A2357F"/>
    <w:rsid w:val="00A2363D"/>
    <w:rsid w:val="00A23697"/>
    <w:rsid w:val="00A236FC"/>
    <w:rsid w:val="00A23874"/>
    <w:rsid w:val="00A23883"/>
    <w:rsid w:val="00A23931"/>
    <w:rsid w:val="00A23988"/>
    <w:rsid w:val="00A23A8B"/>
    <w:rsid w:val="00A23C73"/>
    <w:rsid w:val="00A23CDC"/>
    <w:rsid w:val="00A23DCD"/>
    <w:rsid w:val="00A23DF0"/>
    <w:rsid w:val="00A23E00"/>
    <w:rsid w:val="00A23E20"/>
    <w:rsid w:val="00A23E52"/>
    <w:rsid w:val="00A23E6B"/>
    <w:rsid w:val="00A23E99"/>
    <w:rsid w:val="00A23F4E"/>
    <w:rsid w:val="00A23F88"/>
    <w:rsid w:val="00A23FD6"/>
    <w:rsid w:val="00A240D6"/>
    <w:rsid w:val="00A24683"/>
    <w:rsid w:val="00A247F2"/>
    <w:rsid w:val="00A24892"/>
    <w:rsid w:val="00A24DAB"/>
    <w:rsid w:val="00A2508D"/>
    <w:rsid w:val="00A25107"/>
    <w:rsid w:val="00A25128"/>
    <w:rsid w:val="00A2517F"/>
    <w:rsid w:val="00A25317"/>
    <w:rsid w:val="00A2533A"/>
    <w:rsid w:val="00A254B8"/>
    <w:rsid w:val="00A2554E"/>
    <w:rsid w:val="00A25556"/>
    <w:rsid w:val="00A25706"/>
    <w:rsid w:val="00A25895"/>
    <w:rsid w:val="00A25962"/>
    <w:rsid w:val="00A25B1F"/>
    <w:rsid w:val="00A25BDD"/>
    <w:rsid w:val="00A25D84"/>
    <w:rsid w:val="00A25E5C"/>
    <w:rsid w:val="00A25E6E"/>
    <w:rsid w:val="00A25FA1"/>
    <w:rsid w:val="00A26029"/>
    <w:rsid w:val="00A26159"/>
    <w:rsid w:val="00A26175"/>
    <w:rsid w:val="00A26177"/>
    <w:rsid w:val="00A262AF"/>
    <w:rsid w:val="00A262B4"/>
    <w:rsid w:val="00A262E4"/>
    <w:rsid w:val="00A26309"/>
    <w:rsid w:val="00A26449"/>
    <w:rsid w:val="00A26464"/>
    <w:rsid w:val="00A264AB"/>
    <w:rsid w:val="00A2652D"/>
    <w:rsid w:val="00A26554"/>
    <w:rsid w:val="00A26560"/>
    <w:rsid w:val="00A265EC"/>
    <w:rsid w:val="00A266BE"/>
    <w:rsid w:val="00A266D5"/>
    <w:rsid w:val="00A267EF"/>
    <w:rsid w:val="00A26869"/>
    <w:rsid w:val="00A268B4"/>
    <w:rsid w:val="00A268EA"/>
    <w:rsid w:val="00A26906"/>
    <w:rsid w:val="00A2690D"/>
    <w:rsid w:val="00A269BF"/>
    <w:rsid w:val="00A26A9B"/>
    <w:rsid w:val="00A26AD0"/>
    <w:rsid w:val="00A26B0A"/>
    <w:rsid w:val="00A26B61"/>
    <w:rsid w:val="00A26B63"/>
    <w:rsid w:val="00A26C44"/>
    <w:rsid w:val="00A26CB9"/>
    <w:rsid w:val="00A26D1E"/>
    <w:rsid w:val="00A27275"/>
    <w:rsid w:val="00A2727D"/>
    <w:rsid w:val="00A2729C"/>
    <w:rsid w:val="00A27382"/>
    <w:rsid w:val="00A2751B"/>
    <w:rsid w:val="00A276FD"/>
    <w:rsid w:val="00A2775F"/>
    <w:rsid w:val="00A27850"/>
    <w:rsid w:val="00A27890"/>
    <w:rsid w:val="00A2791F"/>
    <w:rsid w:val="00A279A9"/>
    <w:rsid w:val="00A27D44"/>
    <w:rsid w:val="00A3009A"/>
    <w:rsid w:val="00A30153"/>
    <w:rsid w:val="00A301DA"/>
    <w:rsid w:val="00A30237"/>
    <w:rsid w:val="00A30244"/>
    <w:rsid w:val="00A302BA"/>
    <w:rsid w:val="00A302FA"/>
    <w:rsid w:val="00A305C9"/>
    <w:rsid w:val="00A30682"/>
    <w:rsid w:val="00A3074D"/>
    <w:rsid w:val="00A307A0"/>
    <w:rsid w:val="00A30850"/>
    <w:rsid w:val="00A308D3"/>
    <w:rsid w:val="00A30940"/>
    <w:rsid w:val="00A30BAB"/>
    <w:rsid w:val="00A30BC0"/>
    <w:rsid w:val="00A30BC6"/>
    <w:rsid w:val="00A30C65"/>
    <w:rsid w:val="00A30C69"/>
    <w:rsid w:val="00A30C6B"/>
    <w:rsid w:val="00A30D02"/>
    <w:rsid w:val="00A30E79"/>
    <w:rsid w:val="00A310B7"/>
    <w:rsid w:val="00A312D2"/>
    <w:rsid w:val="00A313F4"/>
    <w:rsid w:val="00A314EF"/>
    <w:rsid w:val="00A3156E"/>
    <w:rsid w:val="00A315D6"/>
    <w:rsid w:val="00A31622"/>
    <w:rsid w:val="00A31650"/>
    <w:rsid w:val="00A31677"/>
    <w:rsid w:val="00A316EF"/>
    <w:rsid w:val="00A31828"/>
    <w:rsid w:val="00A31876"/>
    <w:rsid w:val="00A318B4"/>
    <w:rsid w:val="00A31906"/>
    <w:rsid w:val="00A31909"/>
    <w:rsid w:val="00A319A4"/>
    <w:rsid w:val="00A31B46"/>
    <w:rsid w:val="00A31CE0"/>
    <w:rsid w:val="00A31F72"/>
    <w:rsid w:val="00A31FA9"/>
    <w:rsid w:val="00A32004"/>
    <w:rsid w:val="00A32164"/>
    <w:rsid w:val="00A321D8"/>
    <w:rsid w:val="00A3226F"/>
    <w:rsid w:val="00A322EC"/>
    <w:rsid w:val="00A323BC"/>
    <w:rsid w:val="00A324F2"/>
    <w:rsid w:val="00A32671"/>
    <w:rsid w:val="00A326AE"/>
    <w:rsid w:val="00A32891"/>
    <w:rsid w:val="00A32994"/>
    <w:rsid w:val="00A32B5C"/>
    <w:rsid w:val="00A32C4F"/>
    <w:rsid w:val="00A32D2E"/>
    <w:rsid w:val="00A32DF6"/>
    <w:rsid w:val="00A32E05"/>
    <w:rsid w:val="00A32E51"/>
    <w:rsid w:val="00A3300D"/>
    <w:rsid w:val="00A3303B"/>
    <w:rsid w:val="00A33087"/>
    <w:rsid w:val="00A3309B"/>
    <w:rsid w:val="00A33174"/>
    <w:rsid w:val="00A3320C"/>
    <w:rsid w:val="00A333A0"/>
    <w:rsid w:val="00A333BF"/>
    <w:rsid w:val="00A33434"/>
    <w:rsid w:val="00A3343C"/>
    <w:rsid w:val="00A334DD"/>
    <w:rsid w:val="00A3366C"/>
    <w:rsid w:val="00A336B6"/>
    <w:rsid w:val="00A33825"/>
    <w:rsid w:val="00A3387C"/>
    <w:rsid w:val="00A338B9"/>
    <w:rsid w:val="00A338FF"/>
    <w:rsid w:val="00A33906"/>
    <w:rsid w:val="00A3398F"/>
    <w:rsid w:val="00A33AD8"/>
    <w:rsid w:val="00A33BA6"/>
    <w:rsid w:val="00A33D30"/>
    <w:rsid w:val="00A33DA4"/>
    <w:rsid w:val="00A33E0C"/>
    <w:rsid w:val="00A33E4A"/>
    <w:rsid w:val="00A33FEA"/>
    <w:rsid w:val="00A34038"/>
    <w:rsid w:val="00A3426B"/>
    <w:rsid w:val="00A3428A"/>
    <w:rsid w:val="00A34290"/>
    <w:rsid w:val="00A3435E"/>
    <w:rsid w:val="00A34371"/>
    <w:rsid w:val="00A3449D"/>
    <w:rsid w:val="00A3455F"/>
    <w:rsid w:val="00A34607"/>
    <w:rsid w:val="00A346EA"/>
    <w:rsid w:val="00A34945"/>
    <w:rsid w:val="00A34B52"/>
    <w:rsid w:val="00A34B67"/>
    <w:rsid w:val="00A34C63"/>
    <w:rsid w:val="00A35016"/>
    <w:rsid w:val="00A3506B"/>
    <w:rsid w:val="00A351FE"/>
    <w:rsid w:val="00A3525A"/>
    <w:rsid w:val="00A3525C"/>
    <w:rsid w:val="00A3536A"/>
    <w:rsid w:val="00A35583"/>
    <w:rsid w:val="00A35695"/>
    <w:rsid w:val="00A356A1"/>
    <w:rsid w:val="00A35B83"/>
    <w:rsid w:val="00A35B93"/>
    <w:rsid w:val="00A35BBB"/>
    <w:rsid w:val="00A35CE6"/>
    <w:rsid w:val="00A35D46"/>
    <w:rsid w:val="00A35D75"/>
    <w:rsid w:val="00A35EB8"/>
    <w:rsid w:val="00A35F34"/>
    <w:rsid w:val="00A3629B"/>
    <w:rsid w:val="00A36377"/>
    <w:rsid w:val="00A363BB"/>
    <w:rsid w:val="00A363DA"/>
    <w:rsid w:val="00A363EF"/>
    <w:rsid w:val="00A364A4"/>
    <w:rsid w:val="00A36596"/>
    <w:rsid w:val="00A36830"/>
    <w:rsid w:val="00A368C8"/>
    <w:rsid w:val="00A368D5"/>
    <w:rsid w:val="00A36934"/>
    <w:rsid w:val="00A36951"/>
    <w:rsid w:val="00A36952"/>
    <w:rsid w:val="00A36B2B"/>
    <w:rsid w:val="00A36C53"/>
    <w:rsid w:val="00A36DFE"/>
    <w:rsid w:val="00A36F3D"/>
    <w:rsid w:val="00A3703B"/>
    <w:rsid w:val="00A370AF"/>
    <w:rsid w:val="00A370D4"/>
    <w:rsid w:val="00A370FD"/>
    <w:rsid w:val="00A37127"/>
    <w:rsid w:val="00A3739C"/>
    <w:rsid w:val="00A373E7"/>
    <w:rsid w:val="00A37528"/>
    <w:rsid w:val="00A3765C"/>
    <w:rsid w:val="00A3770A"/>
    <w:rsid w:val="00A3774D"/>
    <w:rsid w:val="00A37844"/>
    <w:rsid w:val="00A3798C"/>
    <w:rsid w:val="00A37994"/>
    <w:rsid w:val="00A379CF"/>
    <w:rsid w:val="00A37A13"/>
    <w:rsid w:val="00A37A90"/>
    <w:rsid w:val="00A37ABA"/>
    <w:rsid w:val="00A37AE5"/>
    <w:rsid w:val="00A37B5D"/>
    <w:rsid w:val="00A37CC8"/>
    <w:rsid w:val="00A37DC0"/>
    <w:rsid w:val="00A37DD9"/>
    <w:rsid w:val="00A37E0D"/>
    <w:rsid w:val="00A37EC9"/>
    <w:rsid w:val="00A40070"/>
    <w:rsid w:val="00A40116"/>
    <w:rsid w:val="00A40285"/>
    <w:rsid w:val="00A402B4"/>
    <w:rsid w:val="00A40336"/>
    <w:rsid w:val="00A404A2"/>
    <w:rsid w:val="00A404A6"/>
    <w:rsid w:val="00A405D3"/>
    <w:rsid w:val="00A406C5"/>
    <w:rsid w:val="00A407F1"/>
    <w:rsid w:val="00A40B3F"/>
    <w:rsid w:val="00A40CF4"/>
    <w:rsid w:val="00A40D41"/>
    <w:rsid w:val="00A40E3C"/>
    <w:rsid w:val="00A40ED7"/>
    <w:rsid w:val="00A40F83"/>
    <w:rsid w:val="00A40F89"/>
    <w:rsid w:val="00A40FCB"/>
    <w:rsid w:val="00A410B5"/>
    <w:rsid w:val="00A411CB"/>
    <w:rsid w:val="00A411EE"/>
    <w:rsid w:val="00A412BA"/>
    <w:rsid w:val="00A413A3"/>
    <w:rsid w:val="00A41416"/>
    <w:rsid w:val="00A414E8"/>
    <w:rsid w:val="00A41513"/>
    <w:rsid w:val="00A415C8"/>
    <w:rsid w:val="00A417C9"/>
    <w:rsid w:val="00A418B2"/>
    <w:rsid w:val="00A41972"/>
    <w:rsid w:val="00A41A75"/>
    <w:rsid w:val="00A41AE7"/>
    <w:rsid w:val="00A41BF7"/>
    <w:rsid w:val="00A41D3B"/>
    <w:rsid w:val="00A41D97"/>
    <w:rsid w:val="00A41E1D"/>
    <w:rsid w:val="00A4200D"/>
    <w:rsid w:val="00A4205C"/>
    <w:rsid w:val="00A422AD"/>
    <w:rsid w:val="00A4232C"/>
    <w:rsid w:val="00A423AE"/>
    <w:rsid w:val="00A423DC"/>
    <w:rsid w:val="00A42460"/>
    <w:rsid w:val="00A424BF"/>
    <w:rsid w:val="00A42549"/>
    <w:rsid w:val="00A4258E"/>
    <w:rsid w:val="00A42728"/>
    <w:rsid w:val="00A42769"/>
    <w:rsid w:val="00A427A4"/>
    <w:rsid w:val="00A427BA"/>
    <w:rsid w:val="00A427C1"/>
    <w:rsid w:val="00A427ED"/>
    <w:rsid w:val="00A42822"/>
    <w:rsid w:val="00A4283B"/>
    <w:rsid w:val="00A42A3D"/>
    <w:rsid w:val="00A42A9E"/>
    <w:rsid w:val="00A42BDD"/>
    <w:rsid w:val="00A42BED"/>
    <w:rsid w:val="00A42C2D"/>
    <w:rsid w:val="00A42D52"/>
    <w:rsid w:val="00A43089"/>
    <w:rsid w:val="00A430D5"/>
    <w:rsid w:val="00A4314E"/>
    <w:rsid w:val="00A4316D"/>
    <w:rsid w:val="00A432AC"/>
    <w:rsid w:val="00A432D1"/>
    <w:rsid w:val="00A433F2"/>
    <w:rsid w:val="00A434D7"/>
    <w:rsid w:val="00A43510"/>
    <w:rsid w:val="00A43621"/>
    <w:rsid w:val="00A436BA"/>
    <w:rsid w:val="00A43716"/>
    <w:rsid w:val="00A4382D"/>
    <w:rsid w:val="00A43844"/>
    <w:rsid w:val="00A43870"/>
    <w:rsid w:val="00A438CA"/>
    <w:rsid w:val="00A438CB"/>
    <w:rsid w:val="00A43950"/>
    <w:rsid w:val="00A439F5"/>
    <w:rsid w:val="00A43B8A"/>
    <w:rsid w:val="00A43C3A"/>
    <w:rsid w:val="00A43CDE"/>
    <w:rsid w:val="00A43D41"/>
    <w:rsid w:val="00A43DF0"/>
    <w:rsid w:val="00A43DFA"/>
    <w:rsid w:val="00A43F2F"/>
    <w:rsid w:val="00A43F60"/>
    <w:rsid w:val="00A440C5"/>
    <w:rsid w:val="00A44155"/>
    <w:rsid w:val="00A44241"/>
    <w:rsid w:val="00A442B6"/>
    <w:rsid w:val="00A442C5"/>
    <w:rsid w:val="00A44350"/>
    <w:rsid w:val="00A446DB"/>
    <w:rsid w:val="00A44712"/>
    <w:rsid w:val="00A448E0"/>
    <w:rsid w:val="00A44954"/>
    <w:rsid w:val="00A44A53"/>
    <w:rsid w:val="00A44AED"/>
    <w:rsid w:val="00A44AF5"/>
    <w:rsid w:val="00A44B8B"/>
    <w:rsid w:val="00A44CAF"/>
    <w:rsid w:val="00A44D0D"/>
    <w:rsid w:val="00A44E1A"/>
    <w:rsid w:val="00A45050"/>
    <w:rsid w:val="00A450DF"/>
    <w:rsid w:val="00A450EC"/>
    <w:rsid w:val="00A45135"/>
    <w:rsid w:val="00A453B8"/>
    <w:rsid w:val="00A4555D"/>
    <w:rsid w:val="00A4561C"/>
    <w:rsid w:val="00A45622"/>
    <w:rsid w:val="00A456FA"/>
    <w:rsid w:val="00A458C6"/>
    <w:rsid w:val="00A458DB"/>
    <w:rsid w:val="00A45940"/>
    <w:rsid w:val="00A45B2A"/>
    <w:rsid w:val="00A45C7A"/>
    <w:rsid w:val="00A45C91"/>
    <w:rsid w:val="00A45CB0"/>
    <w:rsid w:val="00A45EC4"/>
    <w:rsid w:val="00A45F4B"/>
    <w:rsid w:val="00A45FC6"/>
    <w:rsid w:val="00A460A5"/>
    <w:rsid w:val="00A4613F"/>
    <w:rsid w:val="00A461D5"/>
    <w:rsid w:val="00A46339"/>
    <w:rsid w:val="00A46369"/>
    <w:rsid w:val="00A463E6"/>
    <w:rsid w:val="00A463F1"/>
    <w:rsid w:val="00A46406"/>
    <w:rsid w:val="00A465BE"/>
    <w:rsid w:val="00A467C5"/>
    <w:rsid w:val="00A46907"/>
    <w:rsid w:val="00A46A34"/>
    <w:rsid w:val="00A46AB0"/>
    <w:rsid w:val="00A46AE3"/>
    <w:rsid w:val="00A46C3E"/>
    <w:rsid w:val="00A46C40"/>
    <w:rsid w:val="00A46C5F"/>
    <w:rsid w:val="00A46C92"/>
    <w:rsid w:val="00A46E54"/>
    <w:rsid w:val="00A46FD7"/>
    <w:rsid w:val="00A47076"/>
    <w:rsid w:val="00A471AE"/>
    <w:rsid w:val="00A471CC"/>
    <w:rsid w:val="00A47212"/>
    <w:rsid w:val="00A4723C"/>
    <w:rsid w:val="00A472FF"/>
    <w:rsid w:val="00A47384"/>
    <w:rsid w:val="00A474AE"/>
    <w:rsid w:val="00A474EA"/>
    <w:rsid w:val="00A47583"/>
    <w:rsid w:val="00A475D0"/>
    <w:rsid w:val="00A4768A"/>
    <w:rsid w:val="00A476FA"/>
    <w:rsid w:val="00A4787D"/>
    <w:rsid w:val="00A47889"/>
    <w:rsid w:val="00A47BB5"/>
    <w:rsid w:val="00A47C50"/>
    <w:rsid w:val="00A47CAA"/>
    <w:rsid w:val="00A47DC6"/>
    <w:rsid w:val="00A47F49"/>
    <w:rsid w:val="00A47FD5"/>
    <w:rsid w:val="00A50109"/>
    <w:rsid w:val="00A50123"/>
    <w:rsid w:val="00A501B2"/>
    <w:rsid w:val="00A5031C"/>
    <w:rsid w:val="00A5034A"/>
    <w:rsid w:val="00A503A5"/>
    <w:rsid w:val="00A503BE"/>
    <w:rsid w:val="00A503E0"/>
    <w:rsid w:val="00A5040E"/>
    <w:rsid w:val="00A50426"/>
    <w:rsid w:val="00A50755"/>
    <w:rsid w:val="00A5092F"/>
    <w:rsid w:val="00A50CB7"/>
    <w:rsid w:val="00A50FFA"/>
    <w:rsid w:val="00A511A3"/>
    <w:rsid w:val="00A5131A"/>
    <w:rsid w:val="00A515C2"/>
    <w:rsid w:val="00A51656"/>
    <w:rsid w:val="00A51776"/>
    <w:rsid w:val="00A51791"/>
    <w:rsid w:val="00A51968"/>
    <w:rsid w:val="00A51976"/>
    <w:rsid w:val="00A5197B"/>
    <w:rsid w:val="00A51997"/>
    <w:rsid w:val="00A51B93"/>
    <w:rsid w:val="00A51BCC"/>
    <w:rsid w:val="00A51DC7"/>
    <w:rsid w:val="00A51DDE"/>
    <w:rsid w:val="00A51DE2"/>
    <w:rsid w:val="00A51DF2"/>
    <w:rsid w:val="00A51EF7"/>
    <w:rsid w:val="00A51FB4"/>
    <w:rsid w:val="00A5209B"/>
    <w:rsid w:val="00A52101"/>
    <w:rsid w:val="00A52106"/>
    <w:rsid w:val="00A52111"/>
    <w:rsid w:val="00A52198"/>
    <w:rsid w:val="00A5227A"/>
    <w:rsid w:val="00A524F2"/>
    <w:rsid w:val="00A52542"/>
    <w:rsid w:val="00A5268D"/>
    <w:rsid w:val="00A526E1"/>
    <w:rsid w:val="00A527A9"/>
    <w:rsid w:val="00A527CD"/>
    <w:rsid w:val="00A52904"/>
    <w:rsid w:val="00A5298B"/>
    <w:rsid w:val="00A52B53"/>
    <w:rsid w:val="00A52C69"/>
    <w:rsid w:val="00A52E09"/>
    <w:rsid w:val="00A52F0C"/>
    <w:rsid w:val="00A52F6E"/>
    <w:rsid w:val="00A52FAE"/>
    <w:rsid w:val="00A52FB3"/>
    <w:rsid w:val="00A530CA"/>
    <w:rsid w:val="00A532E4"/>
    <w:rsid w:val="00A5337D"/>
    <w:rsid w:val="00A5344D"/>
    <w:rsid w:val="00A5345D"/>
    <w:rsid w:val="00A53632"/>
    <w:rsid w:val="00A5368D"/>
    <w:rsid w:val="00A5380A"/>
    <w:rsid w:val="00A538F9"/>
    <w:rsid w:val="00A539D1"/>
    <w:rsid w:val="00A53A92"/>
    <w:rsid w:val="00A53AB0"/>
    <w:rsid w:val="00A53B05"/>
    <w:rsid w:val="00A53B26"/>
    <w:rsid w:val="00A53C3A"/>
    <w:rsid w:val="00A53CF9"/>
    <w:rsid w:val="00A53D20"/>
    <w:rsid w:val="00A53EF5"/>
    <w:rsid w:val="00A53FC1"/>
    <w:rsid w:val="00A54043"/>
    <w:rsid w:val="00A5413D"/>
    <w:rsid w:val="00A542FA"/>
    <w:rsid w:val="00A54326"/>
    <w:rsid w:val="00A54377"/>
    <w:rsid w:val="00A544D0"/>
    <w:rsid w:val="00A5483F"/>
    <w:rsid w:val="00A5489D"/>
    <w:rsid w:val="00A54963"/>
    <w:rsid w:val="00A54B25"/>
    <w:rsid w:val="00A54D70"/>
    <w:rsid w:val="00A54D73"/>
    <w:rsid w:val="00A54D8A"/>
    <w:rsid w:val="00A54DAE"/>
    <w:rsid w:val="00A54F41"/>
    <w:rsid w:val="00A5522F"/>
    <w:rsid w:val="00A55287"/>
    <w:rsid w:val="00A5542E"/>
    <w:rsid w:val="00A5546A"/>
    <w:rsid w:val="00A5552B"/>
    <w:rsid w:val="00A5556A"/>
    <w:rsid w:val="00A555E4"/>
    <w:rsid w:val="00A5564F"/>
    <w:rsid w:val="00A5572C"/>
    <w:rsid w:val="00A557D6"/>
    <w:rsid w:val="00A5589B"/>
    <w:rsid w:val="00A558B8"/>
    <w:rsid w:val="00A559BD"/>
    <w:rsid w:val="00A55A26"/>
    <w:rsid w:val="00A55A3A"/>
    <w:rsid w:val="00A55CA6"/>
    <w:rsid w:val="00A55CFF"/>
    <w:rsid w:val="00A55DF9"/>
    <w:rsid w:val="00A55E3D"/>
    <w:rsid w:val="00A55E53"/>
    <w:rsid w:val="00A56174"/>
    <w:rsid w:val="00A561B8"/>
    <w:rsid w:val="00A56449"/>
    <w:rsid w:val="00A56452"/>
    <w:rsid w:val="00A564CC"/>
    <w:rsid w:val="00A56529"/>
    <w:rsid w:val="00A5656D"/>
    <w:rsid w:val="00A5679D"/>
    <w:rsid w:val="00A56ACF"/>
    <w:rsid w:val="00A56B57"/>
    <w:rsid w:val="00A56D2B"/>
    <w:rsid w:val="00A56D3B"/>
    <w:rsid w:val="00A56DAC"/>
    <w:rsid w:val="00A56E04"/>
    <w:rsid w:val="00A56EDF"/>
    <w:rsid w:val="00A57078"/>
    <w:rsid w:val="00A570BB"/>
    <w:rsid w:val="00A57105"/>
    <w:rsid w:val="00A57279"/>
    <w:rsid w:val="00A572A2"/>
    <w:rsid w:val="00A573F4"/>
    <w:rsid w:val="00A57450"/>
    <w:rsid w:val="00A57479"/>
    <w:rsid w:val="00A57842"/>
    <w:rsid w:val="00A57AAE"/>
    <w:rsid w:val="00A57C08"/>
    <w:rsid w:val="00A57CB3"/>
    <w:rsid w:val="00A57D6E"/>
    <w:rsid w:val="00A60030"/>
    <w:rsid w:val="00A60063"/>
    <w:rsid w:val="00A600AB"/>
    <w:rsid w:val="00A600D9"/>
    <w:rsid w:val="00A60123"/>
    <w:rsid w:val="00A6030C"/>
    <w:rsid w:val="00A604CD"/>
    <w:rsid w:val="00A604D1"/>
    <w:rsid w:val="00A606CC"/>
    <w:rsid w:val="00A607B2"/>
    <w:rsid w:val="00A608C1"/>
    <w:rsid w:val="00A608D3"/>
    <w:rsid w:val="00A60CFC"/>
    <w:rsid w:val="00A60EB9"/>
    <w:rsid w:val="00A60F2C"/>
    <w:rsid w:val="00A60FFA"/>
    <w:rsid w:val="00A61008"/>
    <w:rsid w:val="00A61071"/>
    <w:rsid w:val="00A610A9"/>
    <w:rsid w:val="00A61162"/>
    <w:rsid w:val="00A61217"/>
    <w:rsid w:val="00A613D1"/>
    <w:rsid w:val="00A61489"/>
    <w:rsid w:val="00A614C5"/>
    <w:rsid w:val="00A614DC"/>
    <w:rsid w:val="00A61543"/>
    <w:rsid w:val="00A615B7"/>
    <w:rsid w:val="00A616F8"/>
    <w:rsid w:val="00A61730"/>
    <w:rsid w:val="00A61772"/>
    <w:rsid w:val="00A617F2"/>
    <w:rsid w:val="00A618B2"/>
    <w:rsid w:val="00A618CC"/>
    <w:rsid w:val="00A61930"/>
    <w:rsid w:val="00A61940"/>
    <w:rsid w:val="00A61AED"/>
    <w:rsid w:val="00A61B61"/>
    <w:rsid w:val="00A61C47"/>
    <w:rsid w:val="00A61D65"/>
    <w:rsid w:val="00A61DC6"/>
    <w:rsid w:val="00A61F25"/>
    <w:rsid w:val="00A61F55"/>
    <w:rsid w:val="00A61F7F"/>
    <w:rsid w:val="00A61FD6"/>
    <w:rsid w:val="00A6210C"/>
    <w:rsid w:val="00A623BA"/>
    <w:rsid w:val="00A62449"/>
    <w:rsid w:val="00A6258A"/>
    <w:rsid w:val="00A627A6"/>
    <w:rsid w:val="00A627EC"/>
    <w:rsid w:val="00A62810"/>
    <w:rsid w:val="00A6283F"/>
    <w:rsid w:val="00A6291E"/>
    <w:rsid w:val="00A62BD8"/>
    <w:rsid w:val="00A62C53"/>
    <w:rsid w:val="00A62C5F"/>
    <w:rsid w:val="00A62D4F"/>
    <w:rsid w:val="00A62DB4"/>
    <w:rsid w:val="00A62EB3"/>
    <w:rsid w:val="00A62F36"/>
    <w:rsid w:val="00A63066"/>
    <w:rsid w:val="00A63231"/>
    <w:rsid w:val="00A63244"/>
    <w:rsid w:val="00A633A8"/>
    <w:rsid w:val="00A63503"/>
    <w:rsid w:val="00A63541"/>
    <w:rsid w:val="00A635D9"/>
    <w:rsid w:val="00A6368B"/>
    <w:rsid w:val="00A637A0"/>
    <w:rsid w:val="00A637D8"/>
    <w:rsid w:val="00A63818"/>
    <w:rsid w:val="00A63990"/>
    <w:rsid w:val="00A639A5"/>
    <w:rsid w:val="00A63D40"/>
    <w:rsid w:val="00A63DF4"/>
    <w:rsid w:val="00A63EBE"/>
    <w:rsid w:val="00A63EC9"/>
    <w:rsid w:val="00A63ECD"/>
    <w:rsid w:val="00A63F3B"/>
    <w:rsid w:val="00A64093"/>
    <w:rsid w:val="00A640EB"/>
    <w:rsid w:val="00A64205"/>
    <w:rsid w:val="00A64251"/>
    <w:rsid w:val="00A643E3"/>
    <w:rsid w:val="00A64458"/>
    <w:rsid w:val="00A64511"/>
    <w:rsid w:val="00A64624"/>
    <w:rsid w:val="00A64643"/>
    <w:rsid w:val="00A6470A"/>
    <w:rsid w:val="00A64815"/>
    <w:rsid w:val="00A64831"/>
    <w:rsid w:val="00A64987"/>
    <w:rsid w:val="00A64996"/>
    <w:rsid w:val="00A64A45"/>
    <w:rsid w:val="00A64BEA"/>
    <w:rsid w:val="00A64C3E"/>
    <w:rsid w:val="00A64D71"/>
    <w:rsid w:val="00A64F3C"/>
    <w:rsid w:val="00A64F3E"/>
    <w:rsid w:val="00A64F6B"/>
    <w:rsid w:val="00A65033"/>
    <w:rsid w:val="00A65043"/>
    <w:rsid w:val="00A650C5"/>
    <w:rsid w:val="00A653F1"/>
    <w:rsid w:val="00A65543"/>
    <w:rsid w:val="00A6557B"/>
    <w:rsid w:val="00A65883"/>
    <w:rsid w:val="00A6597C"/>
    <w:rsid w:val="00A65983"/>
    <w:rsid w:val="00A659BE"/>
    <w:rsid w:val="00A65AFC"/>
    <w:rsid w:val="00A65B05"/>
    <w:rsid w:val="00A65B73"/>
    <w:rsid w:val="00A65B8E"/>
    <w:rsid w:val="00A65B99"/>
    <w:rsid w:val="00A65D00"/>
    <w:rsid w:val="00A65E11"/>
    <w:rsid w:val="00A65E1C"/>
    <w:rsid w:val="00A65E6E"/>
    <w:rsid w:val="00A65EFE"/>
    <w:rsid w:val="00A65F02"/>
    <w:rsid w:val="00A65F11"/>
    <w:rsid w:val="00A6605F"/>
    <w:rsid w:val="00A6607C"/>
    <w:rsid w:val="00A6609F"/>
    <w:rsid w:val="00A6612C"/>
    <w:rsid w:val="00A66177"/>
    <w:rsid w:val="00A661B7"/>
    <w:rsid w:val="00A662A6"/>
    <w:rsid w:val="00A662E9"/>
    <w:rsid w:val="00A662EA"/>
    <w:rsid w:val="00A66347"/>
    <w:rsid w:val="00A663BD"/>
    <w:rsid w:val="00A663EF"/>
    <w:rsid w:val="00A6641B"/>
    <w:rsid w:val="00A66446"/>
    <w:rsid w:val="00A665D9"/>
    <w:rsid w:val="00A66733"/>
    <w:rsid w:val="00A667A1"/>
    <w:rsid w:val="00A6685A"/>
    <w:rsid w:val="00A66864"/>
    <w:rsid w:val="00A66881"/>
    <w:rsid w:val="00A668A3"/>
    <w:rsid w:val="00A668FB"/>
    <w:rsid w:val="00A66AC4"/>
    <w:rsid w:val="00A66B1A"/>
    <w:rsid w:val="00A66C15"/>
    <w:rsid w:val="00A66D06"/>
    <w:rsid w:val="00A66D55"/>
    <w:rsid w:val="00A66DF9"/>
    <w:rsid w:val="00A66E18"/>
    <w:rsid w:val="00A66F18"/>
    <w:rsid w:val="00A6706C"/>
    <w:rsid w:val="00A67074"/>
    <w:rsid w:val="00A670D9"/>
    <w:rsid w:val="00A670ED"/>
    <w:rsid w:val="00A6711B"/>
    <w:rsid w:val="00A671A0"/>
    <w:rsid w:val="00A671EA"/>
    <w:rsid w:val="00A67221"/>
    <w:rsid w:val="00A67249"/>
    <w:rsid w:val="00A6739C"/>
    <w:rsid w:val="00A674C9"/>
    <w:rsid w:val="00A677DD"/>
    <w:rsid w:val="00A6788A"/>
    <w:rsid w:val="00A679E5"/>
    <w:rsid w:val="00A679E9"/>
    <w:rsid w:val="00A67EA6"/>
    <w:rsid w:val="00A67EE0"/>
    <w:rsid w:val="00A70081"/>
    <w:rsid w:val="00A70086"/>
    <w:rsid w:val="00A701D4"/>
    <w:rsid w:val="00A702B2"/>
    <w:rsid w:val="00A70486"/>
    <w:rsid w:val="00A704E4"/>
    <w:rsid w:val="00A705B9"/>
    <w:rsid w:val="00A70703"/>
    <w:rsid w:val="00A70809"/>
    <w:rsid w:val="00A70820"/>
    <w:rsid w:val="00A70B86"/>
    <w:rsid w:val="00A70CC8"/>
    <w:rsid w:val="00A70DBB"/>
    <w:rsid w:val="00A70F97"/>
    <w:rsid w:val="00A70FCE"/>
    <w:rsid w:val="00A71015"/>
    <w:rsid w:val="00A711DB"/>
    <w:rsid w:val="00A7120D"/>
    <w:rsid w:val="00A71317"/>
    <w:rsid w:val="00A7133C"/>
    <w:rsid w:val="00A7136A"/>
    <w:rsid w:val="00A71449"/>
    <w:rsid w:val="00A7148F"/>
    <w:rsid w:val="00A71951"/>
    <w:rsid w:val="00A719B1"/>
    <w:rsid w:val="00A719F6"/>
    <w:rsid w:val="00A71BDD"/>
    <w:rsid w:val="00A71C44"/>
    <w:rsid w:val="00A71C57"/>
    <w:rsid w:val="00A71D91"/>
    <w:rsid w:val="00A71E21"/>
    <w:rsid w:val="00A71E25"/>
    <w:rsid w:val="00A71EDF"/>
    <w:rsid w:val="00A71F5B"/>
    <w:rsid w:val="00A71F9D"/>
    <w:rsid w:val="00A71FB2"/>
    <w:rsid w:val="00A72296"/>
    <w:rsid w:val="00A722AD"/>
    <w:rsid w:val="00A722C0"/>
    <w:rsid w:val="00A72329"/>
    <w:rsid w:val="00A72519"/>
    <w:rsid w:val="00A72581"/>
    <w:rsid w:val="00A7263E"/>
    <w:rsid w:val="00A72A9A"/>
    <w:rsid w:val="00A72BD0"/>
    <w:rsid w:val="00A72D09"/>
    <w:rsid w:val="00A72F16"/>
    <w:rsid w:val="00A72F77"/>
    <w:rsid w:val="00A731C7"/>
    <w:rsid w:val="00A732B4"/>
    <w:rsid w:val="00A734C9"/>
    <w:rsid w:val="00A73607"/>
    <w:rsid w:val="00A736A0"/>
    <w:rsid w:val="00A7380F"/>
    <w:rsid w:val="00A7388E"/>
    <w:rsid w:val="00A73A17"/>
    <w:rsid w:val="00A73A96"/>
    <w:rsid w:val="00A73C4B"/>
    <w:rsid w:val="00A73D66"/>
    <w:rsid w:val="00A73E2C"/>
    <w:rsid w:val="00A73E36"/>
    <w:rsid w:val="00A73E82"/>
    <w:rsid w:val="00A73F13"/>
    <w:rsid w:val="00A74088"/>
    <w:rsid w:val="00A74256"/>
    <w:rsid w:val="00A742DE"/>
    <w:rsid w:val="00A7437B"/>
    <w:rsid w:val="00A743A2"/>
    <w:rsid w:val="00A743B2"/>
    <w:rsid w:val="00A74544"/>
    <w:rsid w:val="00A74548"/>
    <w:rsid w:val="00A74635"/>
    <w:rsid w:val="00A7463C"/>
    <w:rsid w:val="00A74673"/>
    <w:rsid w:val="00A74675"/>
    <w:rsid w:val="00A746F1"/>
    <w:rsid w:val="00A747F7"/>
    <w:rsid w:val="00A74911"/>
    <w:rsid w:val="00A749EA"/>
    <w:rsid w:val="00A74AEF"/>
    <w:rsid w:val="00A74BCA"/>
    <w:rsid w:val="00A74DF2"/>
    <w:rsid w:val="00A74E4D"/>
    <w:rsid w:val="00A74F88"/>
    <w:rsid w:val="00A75425"/>
    <w:rsid w:val="00A75450"/>
    <w:rsid w:val="00A75582"/>
    <w:rsid w:val="00A755B1"/>
    <w:rsid w:val="00A7560D"/>
    <w:rsid w:val="00A75633"/>
    <w:rsid w:val="00A75712"/>
    <w:rsid w:val="00A75856"/>
    <w:rsid w:val="00A7585E"/>
    <w:rsid w:val="00A758A3"/>
    <w:rsid w:val="00A7592E"/>
    <w:rsid w:val="00A759CC"/>
    <w:rsid w:val="00A75A64"/>
    <w:rsid w:val="00A75C28"/>
    <w:rsid w:val="00A75C32"/>
    <w:rsid w:val="00A75D93"/>
    <w:rsid w:val="00A75FFF"/>
    <w:rsid w:val="00A76230"/>
    <w:rsid w:val="00A7626F"/>
    <w:rsid w:val="00A7629D"/>
    <w:rsid w:val="00A762B9"/>
    <w:rsid w:val="00A7643C"/>
    <w:rsid w:val="00A76541"/>
    <w:rsid w:val="00A7662C"/>
    <w:rsid w:val="00A76797"/>
    <w:rsid w:val="00A768D1"/>
    <w:rsid w:val="00A76C1F"/>
    <w:rsid w:val="00A76C9D"/>
    <w:rsid w:val="00A76CD7"/>
    <w:rsid w:val="00A76DE6"/>
    <w:rsid w:val="00A76F96"/>
    <w:rsid w:val="00A770BA"/>
    <w:rsid w:val="00A77318"/>
    <w:rsid w:val="00A773C3"/>
    <w:rsid w:val="00A77588"/>
    <w:rsid w:val="00A776B4"/>
    <w:rsid w:val="00A776BA"/>
    <w:rsid w:val="00A776F5"/>
    <w:rsid w:val="00A779BF"/>
    <w:rsid w:val="00A77BE2"/>
    <w:rsid w:val="00A77C49"/>
    <w:rsid w:val="00A77D5D"/>
    <w:rsid w:val="00A77DEE"/>
    <w:rsid w:val="00A77EFE"/>
    <w:rsid w:val="00A77FA3"/>
    <w:rsid w:val="00A80034"/>
    <w:rsid w:val="00A80037"/>
    <w:rsid w:val="00A80223"/>
    <w:rsid w:val="00A802AC"/>
    <w:rsid w:val="00A803FC"/>
    <w:rsid w:val="00A80418"/>
    <w:rsid w:val="00A805F0"/>
    <w:rsid w:val="00A80653"/>
    <w:rsid w:val="00A8071A"/>
    <w:rsid w:val="00A8079F"/>
    <w:rsid w:val="00A80917"/>
    <w:rsid w:val="00A809B9"/>
    <w:rsid w:val="00A80B35"/>
    <w:rsid w:val="00A80B6C"/>
    <w:rsid w:val="00A80DD9"/>
    <w:rsid w:val="00A80F0E"/>
    <w:rsid w:val="00A80FCA"/>
    <w:rsid w:val="00A81077"/>
    <w:rsid w:val="00A81106"/>
    <w:rsid w:val="00A81118"/>
    <w:rsid w:val="00A8154A"/>
    <w:rsid w:val="00A81579"/>
    <w:rsid w:val="00A815AD"/>
    <w:rsid w:val="00A815BE"/>
    <w:rsid w:val="00A817AB"/>
    <w:rsid w:val="00A81830"/>
    <w:rsid w:val="00A8192A"/>
    <w:rsid w:val="00A81A04"/>
    <w:rsid w:val="00A81A51"/>
    <w:rsid w:val="00A81C7B"/>
    <w:rsid w:val="00A81CBC"/>
    <w:rsid w:val="00A81E61"/>
    <w:rsid w:val="00A82075"/>
    <w:rsid w:val="00A82150"/>
    <w:rsid w:val="00A8217D"/>
    <w:rsid w:val="00A822F9"/>
    <w:rsid w:val="00A8239D"/>
    <w:rsid w:val="00A824D9"/>
    <w:rsid w:val="00A82506"/>
    <w:rsid w:val="00A82545"/>
    <w:rsid w:val="00A826D6"/>
    <w:rsid w:val="00A827A2"/>
    <w:rsid w:val="00A827B1"/>
    <w:rsid w:val="00A8282B"/>
    <w:rsid w:val="00A828BA"/>
    <w:rsid w:val="00A8290B"/>
    <w:rsid w:val="00A82A56"/>
    <w:rsid w:val="00A82B0D"/>
    <w:rsid w:val="00A82CDA"/>
    <w:rsid w:val="00A82D12"/>
    <w:rsid w:val="00A82E02"/>
    <w:rsid w:val="00A82FDD"/>
    <w:rsid w:val="00A831BF"/>
    <w:rsid w:val="00A83452"/>
    <w:rsid w:val="00A8362A"/>
    <w:rsid w:val="00A83634"/>
    <w:rsid w:val="00A836EF"/>
    <w:rsid w:val="00A83726"/>
    <w:rsid w:val="00A837CE"/>
    <w:rsid w:val="00A838EF"/>
    <w:rsid w:val="00A83AA0"/>
    <w:rsid w:val="00A83C4D"/>
    <w:rsid w:val="00A83D51"/>
    <w:rsid w:val="00A83D5F"/>
    <w:rsid w:val="00A83DB5"/>
    <w:rsid w:val="00A83E8B"/>
    <w:rsid w:val="00A83F61"/>
    <w:rsid w:val="00A83FBA"/>
    <w:rsid w:val="00A84058"/>
    <w:rsid w:val="00A840BE"/>
    <w:rsid w:val="00A840F7"/>
    <w:rsid w:val="00A84116"/>
    <w:rsid w:val="00A84613"/>
    <w:rsid w:val="00A84636"/>
    <w:rsid w:val="00A847EC"/>
    <w:rsid w:val="00A8488A"/>
    <w:rsid w:val="00A848BB"/>
    <w:rsid w:val="00A84928"/>
    <w:rsid w:val="00A8493E"/>
    <w:rsid w:val="00A849E2"/>
    <w:rsid w:val="00A84ABB"/>
    <w:rsid w:val="00A84DFB"/>
    <w:rsid w:val="00A84EB1"/>
    <w:rsid w:val="00A84EB2"/>
    <w:rsid w:val="00A84F94"/>
    <w:rsid w:val="00A84FE1"/>
    <w:rsid w:val="00A85080"/>
    <w:rsid w:val="00A8517F"/>
    <w:rsid w:val="00A851CA"/>
    <w:rsid w:val="00A852A3"/>
    <w:rsid w:val="00A852BE"/>
    <w:rsid w:val="00A85337"/>
    <w:rsid w:val="00A85369"/>
    <w:rsid w:val="00A8537C"/>
    <w:rsid w:val="00A8547A"/>
    <w:rsid w:val="00A85550"/>
    <w:rsid w:val="00A855E9"/>
    <w:rsid w:val="00A85667"/>
    <w:rsid w:val="00A85675"/>
    <w:rsid w:val="00A856C9"/>
    <w:rsid w:val="00A8578A"/>
    <w:rsid w:val="00A8584C"/>
    <w:rsid w:val="00A859C7"/>
    <w:rsid w:val="00A85A89"/>
    <w:rsid w:val="00A85AB5"/>
    <w:rsid w:val="00A85D0C"/>
    <w:rsid w:val="00A85DEF"/>
    <w:rsid w:val="00A85E23"/>
    <w:rsid w:val="00A85E2D"/>
    <w:rsid w:val="00A85E4B"/>
    <w:rsid w:val="00A86062"/>
    <w:rsid w:val="00A860B5"/>
    <w:rsid w:val="00A861DD"/>
    <w:rsid w:val="00A8626D"/>
    <w:rsid w:val="00A86406"/>
    <w:rsid w:val="00A86495"/>
    <w:rsid w:val="00A865AE"/>
    <w:rsid w:val="00A865C8"/>
    <w:rsid w:val="00A865E6"/>
    <w:rsid w:val="00A867F5"/>
    <w:rsid w:val="00A86853"/>
    <w:rsid w:val="00A86877"/>
    <w:rsid w:val="00A868D5"/>
    <w:rsid w:val="00A86B75"/>
    <w:rsid w:val="00A86C3F"/>
    <w:rsid w:val="00A86CAB"/>
    <w:rsid w:val="00A86D0D"/>
    <w:rsid w:val="00A86D84"/>
    <w:rsid w:val="00A86E75"/>
    <w:rsid w:val="00A86ED8"/>
    <w:rsid w:val="00A86F33"/>
    <w:rsid w:val="00A87085"/>
    <w:rsid w:val="00A87212"/>
    <w:rsid w:val="00A87222"/>
    <w:rsid w:val="00A8733D"/>
    <w:rsid w:val="00A87385"/>
    <w:rsid w:val="00A874B4"/>
    <w:rsid w:val="00A87510"/>
    <w:rsid w:val="00A87577"/>
    <w:rsid w:val="00A87758"/>
    <w:rsid w:val="00A8777B"/>
    <w:rsid w:val="00A87847"/>
    <w:rsid w:val="00A87A16"/>
    <w:rsid w:val="00A87A42"/>
    <w:rsid w:val="00A87A4F"/>
    <w:rsid w:val="00A87A84"/>
    <w:rsid w:val="00A87AF0"/>
    <w:rsid w:val="00A87C21"/>
    <w:rsid w:val="00A87C71"/>
    <w:rsid w:val="00A87E73"/>
    <w:rsid w:val="00A9001F"/>
    <w:rsid w:val="00A901AE"/>
    <w:rsid w:val="00A901C2"/>
    <w:rsid w:val="00A903B2"/>
    <w:rsid w:val="00A90528"/>
    <w:rsid w:val="00A905AD"/>
    <w:rsid w:val="00A9065F"/>
    <w:rsid w:val="00A90664"/>
    <w:rsid w:val="00A90808"/>
    <w:rsid w:val="00A908C0"/>
    <w:rsid w:val="00A908E6"/>
    <w:rsid w:val="00A90ACA"/>
    <w:rsid w:val="00A90B0D"/>
    <w:rsid w:val="00A90B0E"/>
    <w:rsid w:val="00A90B5B"/>
    <w:rsid w:val="00A90C48"/>
    <w:rsid w:val="00A90F98"/>
    <w:rsid w:val="00A9124A"/>
    <w:rsid w:val="00A91269"/>
    <w:rsid w:val="00A91423"/>
    <w:rsid w:val="00A9157E"/>
    <w:rsid w:val="00A91769"/>
    <w:rsid w:val="00A918B9"/>
    <w:rsid w:val="00A918DA"/>
    <w:rsid w:val="00A9191D"/>
    <w:rsid w:val="00A91944"/>
    <w:rsid w:val="00A91A7E"/>
    <w:rsid w:val="00A91AA1"/>
    <w:rsid w:val="00A91B6C"/>
    <w:rsid w:val="00A91B99"/>
    <w:rsid w:val="00A91C3F"/>
    <w:rsid w:val="00A91C8C"/>
    <w:rsid w:val="00A91F0D"/>
    <w:rsid w:val="00A91FB8"/>
    <w:rsid w:val="00A920D5"/>
    <w:rsid w:val="00A9235A"/>
    <w:rsid w:val="00A9244A"/>
    <w:rsid w:val="00A924C4"/>
    <w:rsid w:val="00A92519"/>
    <w:rsid w:val="00A9256A"/>
    <w:rsid w:val="00A9258D"/>
    <w:rsid w:val="00A925CD"/>
    <w:rsid w:val="00A92814"/>
    <w:rsid w:val="00A92841"/>
    <w:rsid w:val="00A92873"/>
    <w:rsid w:val="00A9291C"/>
    <w:rsid w:val="00A92A12"/>
    <w:rsid w:val="00A92A76"/>
    <w:rsid w:val="00A92B71"/>
    <w:rsid w:val="00A92C92"/>
    <w:rsid w:val="00A92D34"/>
    <w:rsid w:val="00A92E1E"/>
    <w:rsid w:val="00A92EA6"/>
    <w:rsid w:val="00A92F34"/>
    <w:rsid w:val="00A92FF7"/>
    <w:rsid w:val="00A93069"/>
    <w:rsid w:val="00A9332B"/>
    <w:rsid w:val="00A93418"/>
    <w:rsid w:val="00A93530"/>
    <w:rsid w:val="00A936AA"/>
    <w:rsid w:val="00A93717"/>
    <w:rsid w:val="00A93792"/>
    <w:rsid w:val="00A93957"/>
    <w:rsid w:val="00A93BA1"/>
    <w:rsid w:val="00A93BDC"/>
    <w:rsid w:val="00A93CF4"/>
    <w:rsid w:val="00A93D08"/>
    <w:rsid w:val="00A93D2F"/>
    <w:rsid w:val="00A93D78"/>
    <w:rsid w:val="00A93E73"/>
    <w:rsid w:val="00A93EF9"/>
    <w:rsid w:val="00A93F08"/>
    <w:rsid w:val="00A93FCB"/>
    <w:rsid w:val="00A9415B"/>
    <w:rsid w:val="00A941AC"/>
    <w:rsid w:val="00A941DF"/>
    <w:rsid w:val="00A94310"/>
    <w:rsid w:val="00A943A9"/>
    <w:rsid w:val="00A9463C"/>
    <w:rsid w:val="00A9468F"/>
    <w:rsid w:val="00A946F1"/>
    <w:rsid w:val="00A94774"/>
    <w:rsid w:val="00A9498D"/>
    <w:rsid w:val="00A949E0"/>
    <w:rsid w:val="00A94A0E"/>
    <w:rsid w:val="00A94B17"/>
    <w:rsid w:val="00A94D68"/>
    <w:rsid w:val="00A94DC0"/>
    <w:rsid w:val="00A94FF0"/>
    <w:rsid w:val="00A9506B"/>
    <w:rsid w:val="00A950D1"/>
    <w:rsid w:val="00A95297"/>
    <w:rsid w:val="00A95335"/>
    <w:rsid w:val="00A95421"/>
    <w:rsid w:val="00A95475"/>
    <w:rsid w:val="00A95519"/>
    <w:rsid w:val="00A9566B"/>
    <w:rsid w:val="00A95704"/>
    <w:rsid w:val="00A95828"/>
    <w:rsid w:val="00A95973"/>
    <w:rsid w:val="00A95A00"/>
    <w:rsid w:val="00A95ACA"/>
    <w:rsid w:val="00A95B70"/>
    <w:rsid w:val="00A95BC1"/>
    <w:rsid w:val="00A95D84"/>
    <w:rsid w:val="00A95DA7"/>
    <w:rsid w:val="00A95E95"/>
    <w:rsid w:val="00A95F3F"/>
    <w:rsid w:val="00A95FE4"/>
    <w:rsid w:val="00A96073"/>
    <w:rsid w:val="00A960F2"/>
    <w:rsid w:val="00A96139"/>
    <w:rsid w:val="00A962E8"/>
    <w:rsid w:val="00A962F0"/>
    <w:rsid w:val="00A9642C"/>
    <w:rsid w:val="00A964DD"/>
    <w:rsid w:val="00A9657F"/>
    <w:rsid w:val="00A96603"/>
    <w:rsid w:val="00A966A2"/>
    <w:rsid w:val="00A966C4"/>
    <w:rsid w:val="00A969A7"/>
    <w:rsid w:val="00A969D5"/>
    <w:rsid w:val="00A96DD7"/>
    <w:rsid w:val="00A96E17"/>
    <w:rsid w:val="00A96E43"/>
    <w:rsid w:val="00A96E54"/>
    <w:rsid w:val="00A9702A"/>
    <w:rsid w:val="00A97298"/>
    <w:rsid w:val="00A975F8"/>
    <w:rsid w:val="00A9780C"/>
    <w:rsid w:val="00A9797D"/>
    <w:rsid w:val="00A97AD2"/>
    <w:rsid w:val="00A97AE7"/>
    <w:rsid w:val="00A97CBD"/>
    <w:rsid w:val="00A97EBB"/>
    <w:rsid w:val="00AA015F"/>
    <w:rsid w:val="00AA0223"/>
    <w:rsid w:val="00AA0356"/>
    <w:rsid w:val="00AA03CF"/>
    <w:rsid w:val="00AA03F9"/>
    <w:rsid w:val="00AA05EE"/>
    <w:rsid w:val="00AA06B1"/>
    <w:rsid w:val="00AA07B7"/>
    <w:rsid w:val="00AA0858"/>
    <w:rsid w:val="00AA09B0"/>
    <w:rsid w:val="00AA0B3B"/>
    <w:rsid w:val="00AA0BA4"/>
    <w:rsid w:val="00AA0C3A"/>
    <w:rsid w:val="00AA0E05"/>
    <w:rsid w:val="00AA0EC6"/>
    <w:rsid w:val="00AA1056"/>
    <w:rsid w:val="00AA10DC"/>
    <w:rsid w:val="00AA10F5"/>
    <w:rsid w:val="00AA1254"/>
    <w:rsid w:val="00AA13DB"/>
    <w:rsid w:val="00AA1439"/>
    <w:rsid w:val="00AA1477"/>
    <w:rsid w:val="00AA153E"/>
    <w:rsid w:val="00AA15D7"/>
    <w:rsid w:val="00AA1685"/>
    <w:rsid w:val="00AA1723"/>
    <w:rsid w:val="00AA1828"/>
    <w:rsid w:val="00AA190D"/>
    <w:rsid w:val="00AA1947"/>
    <w:rsid w:val="00AA1974"/>
    <w:rsid w:val="00AA197F"/>
    <w:rsid w:val="00AA1994"/>
    <w:rsid w:val="00AA1996"/>
    <w:rsid w:val="00AA19C4"/>
    <w:rsid w:val="00AA1C79"/>
    <w:rsid w:val="00AA1CF7"/>
    <w:rsid w:val="00AA1E02"/>
    <w:rsid w:val="00AA1E84"/>
    <w:rsid w:val="00AA1FDD"/>
    <w:rsid w:val="00AA214E"/>
    <w:rsid w:val="00AA2153"/>
    <w:rsid w:val="00AA21E5"/>
    <w:rsid w:val="00AA2288"/>
    <w:rsid w:val="00AA22C3"/>
    <w:rsid w:val="00AA22C7"/>
    <w:rsid w:val="00AA230D"/>
    <w:rsid w:val="00AA2319"/>
    <w:rsid w:val="00AA24E4"/>
    <w:rsid w:val="00AA256A"/>
    <w:rsid w:val="00AA2729"/>
    <w:rsid w:val="00AA2778"/>
    <w:rsid w:val="00AA28D2"/>
    <w:rsid w:val="00AA292C"/>
    <w:rsid w:val="00AA2963"/>
    <w:rsid w:val="00AA29F7"/>
    <w:rsid w:val="00AA2A83"/>
    <w:rsid w:val="00AA2C5F"/>
    <w:rsid w:val="00AA2C75"/>
    <w:rsid w:val="00AA2E69"/>
    <w:rsid w:val="00AA2E78"/>
    <w:rsid w:val="00AA2E94"/>
    <w:rsid w:val="00AA30A6"/>
    <w:rsid w:val="00AA331F"/>
    <w:rsid w:val="00AA338B"/>
    <w:rsid w:val="00AA35AA"/>
    <w:rsid w:val="00AA35E4"/>
    <w:rsid w:val="00AA363C"/>
    <w:rsid w:val="00AA37B4"/>
    <w:rsid w:val="00AA37C4"/>
    <w:rsid w:val="00AA384B"/>
    <w:rsid w:val="00AA3857"/>
    <w:rsid w:val="00AA38DD"/>
    <w:rsid w:val="00AA3948"/>
    <w:rsid w:val="00AA39B8"/>
    <w:rsid w:val="00AA3A8D"/>
    <w:rsid w:val="00AA3A97"/>
    <w:rsid w:val="00AA3AA4"/>
    <w:rsid w:val="00AA3AC8"/>
    <w:rsid w:val="00AA3B16"/>
    <w:rsid w:val="00AA3C16"/>
    <w:rsid w:val="00AA3DC0"/>
    <w:rsid w:val="00AA3E0B"/>
    <w:rsid w:val="00AA3ED1"/>
    <w:rsid w:val="00AA427E"/>
    <w:rsid w:val="00AA42B5"/>
    <w:rsid w:val="00AA43B2"/>
    <w:rsid w:val="00AA4538"/>
    <w:rsid w:val="00AA45B6"/>
    <w:rsid w:val="00AA45CB"/>
    <w:rsid w:val="00AA465D"/>
    <w:rsid w:val="00AA470E"/>
    <w:rsid w:val="00AA479B"/>
    <w:rsid w:val="00AA48A9"/>
    <w:rsid w:val="00AA4905"/>
    <w:rsid w:val="00AA4941"/>
    <w:rsid w:val="00AA49E9"/>
    <w:rsid w:val="00AA4ADA"/>
    <w:rsid w:val="00AA4B75"/>
    <w:rsid w:val="00AA4C69"/>
    <w:rsid w:val="00AA4CD0"/>
    <w:rsid w:val="00AA4E9A"/>
    <w:rsid w:val="00AA4F6F"/>
    <w:rsid w:val="00AA50E6"/>
    <w:rsid w:val="00AA511B"/>
    <w:rsid w:val="00AA521C"/>
    <w:rsid w:val="00AA52F0"/>
    <w:rsid w:val="00AA5475"/>
    <w:rsid w:val="00AA548C"/>
    <w:rsid w:val="00AA55EC"/>
    <w:rsid w:val="00AA5690"/>
    <w:rsid w:val="00AA570A"/>
    <w:rsid w:val="00AA57D3"/>
    <w:rsid w:val="00AA5876"/>
    <w:rsid w:val="00AA58A4"/>
    <w:rsid w:val="00AA5A52"/>
    <w:rsid w:val="00AA5AC8"/>
    <w:rsid w:val="00AA5FF2"/>
    <w:rsid w:val="00AA6075"/>
    <w:rsid w:val="00AA61F0"/>
    <w:rsid w:val="00AA62BB"/>
    <w:rsid w:val="00AA6304"/>
    <w:rsid w:val="00AA63D9"/>
    <w:rsid w:val="00AA64FD"/>
    <w:rsid w:val="00AA6560"/>
    <w:rsid w:val="00AA663B"/>
    <w:rsid w:val="00AA6944"/>
    <w:rsid w:val="00AA69A0"/>
    <w:rsid w:val="00AA69D8"/>
    <w:rsid w:val="00AA6A46"/>
    <w:rsid w:val="00AA6A4C"/>
    <w:rsid w:val="00AA6A8A"/>
    <w:rsid w:val="00AA6CD9"/>
    <w:rsid w:val="00AA6D3C"/>
    <w:rsid w:val="00AA6DD8"/>
    <w:rsid w:val="00AA6FA3"/>
    <w:rsid w:val="00AA6FDC"/>
    <w:rsid w:val="00AA6FE7"/>
    <w:rsid w:val="00AA70BA"/>
    <w:rsid w:val="00AA70BB"/>
    <w:rsid w:val="00AA7297"/>
    <w:rsid w:val="00AA72B4"/>
    <w:rsid w:val="00AA73ED"/>
    <w:rsid w:val="00AA74F5"/>
    <w:rsid w:val="00AA757C"/>
    <w:rsid w:val="00AA7589"/>
    <w:rsid w:val="00AA76FC"/>
    <w:rsid w:val="00AA7764"/>
    <w:rsid w:val="00AA789C"/>
    <w:rsid w:val="00AA7921"/>
    <w:rsid w:val="00AA7977"/>
    <w:rsid w:val="00AA797F"/>
    <w:rsid w:val="00AA7A5D"/>
    <w:rsid w:val="00AA7AEB"/>
    <w:rsid w:val="00AA7E76"/>
    <w:rsid w:val="00AA7F10"/>
    <w:rsid w:val="00AA7F66"/>
    <w:rsid w:val="00AB0127"/>
    <w:rsid w:val="00AB013E"/>
    <w:rsid w:val="00AB01B3"/>
    <w:rsid w:val="00AB0391"/>
    <w:rsid w:val="00AB0461"/>
    <w:rsid w:val="00AB04AD"/>
    <w:rsid w:val="00AB057E"/>
    <w:rsid w:val="00AB05C2"/>
    <w:rsid w:val="00AB05E9"/>
    <w:rsid w:val="00AB05EC"/>
    <w:rsid w:val="00AB07A0"/>
    <w:rsid w:val="00AB07FE"/>
    <w:rsid w:val="00AB091D"/>
    <w:rsid w:val="00AB092D"/>
    <w:rsid w:val="00AB0942"/>
    <w:rsid w:val="00AB0AB7"/>
    <w:rsid w:val="00AB0B4D"/>
    <w:rsid w:val="00AB0C57"/>
    <w:rsid w:val="00AB0C9F"/>
    <w:rsid w:val="00AB0EC6"/>
    <w:rsid w:val="00AB12F3"/>
    <w:rsid w:val="00AB13BC"/>
    <w:rsid w:val="00AB14E5"/>
    <w:rsid w:val="00AB15A6"/>
    <w:rsid w:val="00AB1624"/>
    <w:rsid w:val="00AB163D"/>
    <w:rsid w:val="00AB1679"/>
    <w:rsid w:val="00AB172A"/>
    <w:rsid w:val="00AB18FB"/>
    <w:rsid w:val="00AB1BB7"/>
    <w:rsid w:val="00AB1BF2"/>
    <w:rsid w:val="00AB1C1F"/>
    <w:rsid w:val="00AB1C27"/>
    <w:rsid w:val="00AB1E75"/>
    <w:rsid w:val="00AB1F4D"/>
    <w:rsid w:val="00AB1F80"/>
    <w:rsid w:val="00AB1F97"/>
    <w:rsid w:val="00AB1FBA"/>
    <w:rsid w:val="00AB2022"/>
    <w:rsid w:val="00AB2151"/>
    <w:rsid w:val="00AB21EF"/>
    <w:rsid w:val="00AB22FB"/>
    <w:rsid w:val="00AB2335"/>
    <w:rsid w:val="00AB2491"/>
    <w:rsid w:val="00AB24D2"/>
    <w:rsid w:val="00AB26FA"/>
    <w:rsid w:val="00AB282D"/>
    <w:rsid w:val="00AB293B"/>
    <w:rsid w:val="00AB2A70"/>
    <w:rsid w:val="00AB2A98"/>
    <w:rsid w:val="00AB2C59"/>
    <w:rsid w:val="00AB2C8A"/>
    <w:rsid w:val="00AB2D1D"/>
    <w:rsid w:val="00AB2D45"/>
    <w:rsid w:val="00AB2D61"/>
    <w:rsid w:val="00AB2E33"/>
    <w:rsid w:val="00AB2E86"/>
    <w:rsid w:val="00AB2E97"/>
    <w:rsid w:val="00AB2F57"/>
    <w:rsid w:val="00AB3268"/>
    <w:rsid w:val="00AB3392"/>
    <w:rsid w:val="00AB342E"/>
    <w:rsid w:val="00AB354B"/>
    <w:rsid w:val="00AB35D0"/>
    <w:rsid w:val="00AB39AA"/>
    <w:rsid w:val="00AB3A39"/>
    <w:rsid w:val="00AB3ABE"/>
    <w:rsid w:val="00AB3AC6"/>
    <w:rsid w:val="00AB3B48"/>
    <w:rsid w:val="00AB3BD6"/>
    <w:rsid w:val="00AB3C37"/>
    <w:rsid w:val="00AB3C83"/>
    <w:rsid w:val="00AB3CDB"/>
    <w:rsid w:val="00AB3DDB"/>
    <w:rsid w:val="00AB3F0C"/>
    <w:rsid w:val="00AB4090"/>
    <w:rsid w:val="00AB40B0"/>
    <w:rsid w:val="00AB4166"/>
    <w:rsid w:val="00AB4176"/>
    <w:rsid w:val="00AB4179"/>
    <w:rsid w:val="00AB41EC"/>
    <w:rsid w:val="00AB4262"/>
    <w:rsid w:val="00AB42B6"/>
    <w:rsid w:val="00AB4365"/>
    <w:rsid w:val="00AB43FF"/>
    <w:rsid w:val="00AB4447"/>
    <w:rsid w:val="00AB4679"/>
    <w:rsid w:val="00AB4805"/>
    <w:rsid w:val="00AB495A"/>
    <w:rsid w:val="00AB49AB"/>
    <w:rsid w:val="00AB4AEA"/>
    <w:rsid w:val="00AB4D67"/>
    <w:rsid w:val="00AB4E0D"/>
    <w:rsid w:val="00AB4E57"/>
    <w:rsid w:val="00AB4FFC"/>
    <w:rsid w:val="00AB50B7"/>
    <w:rsid w:val="00AB50DA"/>
    <w:rsid w:val="00AB5133"/>
    <w:rsid w:val="00AB5155"/>
    <w:rsid w:val="00AB5164"/>
    <w:rsid w:val="00AB542F"/>
    <w:rsid w:val="00AB545D"/>
    <w:rsid w:val="00AB54D7"/>
    <w:rsid w:val="00AB55AE"/>
    <w:rsid w:val="00AB56D4"/>
    <w:rsid w:val="00AB57D3"/>
    <w:rsid w:val="00AB581E"/>
    <w:rsid w:val="00AB585F"/>
    <w:rsid w:val="00AB5943"/>
    <w:rsid w:val="00AB5989"/>
    <w:rsid w:val="00AB59A2"/>
    <w:rsid w:val="00AB59BC"/>
    <w:rsid w:val="00AB5A47"/>
    <w:rsid w:val="00AB5B50"/>
    <w:rsid w:val="00AB5D45"/>
    <w:rsid w:val="00AB5E18"/>
    <w:rsid w:val="00AB5F17"/>
    <w:rsid w:val="00AB6100"/>
    <w:rsid w:val="00AB6113"/>
    <w:rsid w:val="00AB61D5"/>
    <w:rsid w:val="00AB6243"/>
    <w:rsid w:val="00AB633F"/>
    <w:rsid w:val="00AB647B"/>
    <w:rsid w:val="00AB65BC"/>
    <w:rsid w:val="00AB66F5"/>
    <w:rsid w:val="00AB6886"/>
    <w:rsid w:val="00AB6A37"/>
    <w:rsid w:val="00AB6AE4"/>
    <w:rsid w:val="00AB6C26"/>
    <w:rsid w:val="00AB6CCC"/>
    <w:rsid w:val="00AB6D34"/>
    <w:rsid w:val="00AB6DFA"/>
    <w:rsid w:val="00AB6E00"/>
    <w:rsid w:val="00AB6F37"/>
    <w:rsid w:val="00AB6F56"/>
    <w:rsid w:val="00AB6F9C"/>
    <w:rsid w:val="00AB7015"/>
    <w:rsid w:val="00AB704B"/>
    <w:rsid w:val="00AB7069"/>
    <w:rsid w:val="00AB717C"/>
    <w:rsid w:val="00AB71F1"/>
    <w:rsid w:val="00AB728A"/>
    <w:rsid w:val="00AB7352"/>
    <w:rsid w:val="00AB741A"/>
    <w:rsid w:val="00AB769E"/>
    <w:rsid w:val="00AB76FD"/>
    <w:rsid w:val="00AB7758"/>
    <w:rsid w:val="00AB77FE"/>
    <w:rsid w:val="00AB788D"/>
    <w:rsid w:val="00AB79AF"/>
    <w:rsid w:val="00AB7B18"/>
    <w:rsid w:val="00AB7C06"/>
    <w:rsid w:val="00AB7C0E"/>
    <w:rsid w:val="00AB7C85"/>
    <w:rsid w:val="00AB7D0B"/>
    <w:rsid w:val="00AB7D55"/>
    <w:rsid w:val="00AB7EB8"/>
    <w:rsid w:val="00AB7EFB"/>
    <w:rsid w:val="00AC00AE"/>
    <w:rsid w:val="00AC014D"/>
    <w:rsid w:val="00AC0181"/>
    <w:rsid w:val="00AC018E"/>
    <w:rsid w:val="00AC0293"/>
    <w:rsid w:val="00AC02AF"/>
    <w:rsid w:val="00AC02B9"/>
    <w:rsid w:val="00AC03A3"/>
    <w:rsid w:val="00AC05D7"/>
    <w:rsid w:val="00AC064F"/>
    <w:rsid w:val="00AC0681"/>
    <w:rsid w:val="00AC0782"/>
    <w:rsid w:val="00AC07B4"/>
    <w:rsid w:val="00AC085E"/>
    <w:rsid w:val="00AC0A14"/>
    <w:rsid w:val="00AC0A3E"/>
    <w:rsid w:val="00AC0A54"/>
    <w:rsid w:val="00AC0C14"/>
    <w:rsid w:val="00AC0ECC"/>
    <w:rsid w:val="00AC0F72"/>
    <w:rsid w:val="00AC0F84"/>
    <w:rsid w:val="00AC1187"/>
    <w:rsid w:val="00AC1199"/>
    <w:rsid w:val="00AC11AA"/>
    <w:rsid w:val="00AC11E1"/>
    <w:rsid w:val="00AC1273"/>
    <w:rsid w:val="00AC1381"/>
    <w:rsid w:val="00AC13BC"/>
    <w:rsid w:val="00AC140A"/>
    <w:rsid w:val="00AC1484"/>
    <w:rsid w:val="00AC154B"/>
    <w:rsid w:val="00AC1B72"/>
    <w:rsid w:val="00AC1C27"/>
    <w:rsid w:val="00AC1C28"/>
    <w:rsid w:val="00AC1D8C"/>
    <w:rsid w:val="00AC1DA4"/>
    <w:rsid w:val="00AC1E2B"/>
    <w:rsid w:val="00AC1F34"/>
    <w:rsid w:val="00AC1F41"/>
    <w:rsid w:val="00AC2157"/>
    <w:rsid w:val="00AC21CB"/>
    <w:rsid w:val="00AC2314"/>
    <w:rsid w:val="00AC232A"/>
    <w:rsid w:val="00AC23A1"/>
    <w:rsid w:val="00AC23AD"/>
    <w:rsid w:val="00AC244F"/>
    <w:rsid w:val="00AC25D0"/>
    <w:rsid w:val="00AC26FE"/>
    <w:rsid w:val="00AC275F"/>
    <w:rsid w:val="00AC2789"/>
    <w:rsid w:val="00AC288A"/>
    <w:rsid w:val="00AC28C0"/>
    <w:rsid w:val="00AC2B17"/>
    <w:rsid w:val="00AC2B40"/>
    <w:rsid w:val="00AC2B68"/>
    <w:rsid w:val="00AC2C78"/>
    <w:rsid w:val="00AC2CD9"/>
    <w:rsid w:val="00AC2E20"/>
    <w:rsid w:val="00AC2E71"/>
    <w:rsid w:val="00AC312B"/>
    <w:rsid w:val="00AC3165"/>
    <w:rsid w:val="00AC31C6"/>
    <w:rsid w:val="00AC3229"/>
    <w:rsid w:val="00AC3259"/>
    <w:rsid w:val="00AC32CD"/>
    <w:rsid w:val="00AC3372"/>
    <w:rsid w:val="00AC33E3"/>
    <w:rsid w:val="00AC350D"/>
    <w:rsid w:val="00AC3568"/>
    <w:rsid w:val="00AC372D"/>
    <w:rsid w:val="00AC381D"/>
    <w:rsid w:val="00AC3A13"/>
    <w:rsid w:val="00AC3AA3"/>
    <w:rsid w:val="00AC3AC0"/>
    <w:rsid w:val="00AC3AD7"/>
    <w:rsid w:val="00AC3B48"/>
    <w:rsid w:val="00AC3B5D"/>
    <w:rsid w:val="00AC3B98"/>
    <w:rsid w:val="00AC3BFA"/>
    <w:rsid w:val="00AC3CD7"/>
    <w:rsid w:val="00AC3CF2"/>
    <w:rsid w:val="00AC3D7D"/>
    <w:rsid w:val="00AC3E2E"/>
    <w:rsid w:val="00AC3EAB"/>
    <w:rsid w:val="00AC4300"/>
    <w:rsid w:val="00AC44F2"/>
    <w:rsid w:val="00AC4540"/>
    <w:rsid w:val="00AC456D"/>
    <w:rsid w:val="00AC46CA"/>
    <w:rsid w:val="00AC4780"/>
    <w:rsid w:val="00AC47EC"/>
    <w:rsid w:val="00AC485B"/>
    <w:rsid w:val="00AC495A"/>
    <w:rsid w:val="00AC4A79"/>
    <w:rsid w:val="00AC4AA7"/>
    <w:rsid w:val="00AC4BE6"/>
    <w:rsid w:val="00AC4C7D"/>
    <w:rsid w:val="00AC4DF5"/>
    <w:rsid w:val="00AC4E5D"/>
    <w:rsid w:val="00AC4EC1"/>
    <w:rsid w:val="00AC4F23"/>
    <w:rsid w:val="00AC4F3F"/>
    <w:rsid w:val="00AC514B"/>
    <w:rsid w:val="00AC5171"/>
    <w:rsid w:val="00AC5373"/>
    <w:rsid w:val="00AC538A"/>
    <w:rsid w:val="00AC55C2"/>
    <w:rsid w:val="00AC56C4"/>
    <w:rsid w:val="00AC5722"/>
    <w:rsid w:val="00AC585B"/>
    <w:rsid w:val="00AC5909"/>
    <w:rsid w:val="00AC5978"/>
    <w:rsid w:val="00AC5A43"/>
    <w:rsid w:val="00AC5BE6"/>
    <w:rsid w:val="00AC5D14"/>
    <w:rsid w:val="00AC5F39"/>
    <w:rsid w:val="00AC5FE9"/>
    <w:rsid w:val="00AC60B3"/>
    <w:rsid w:val="00AC616D"/>
    <w:rsid w:val="00AC622E"/>
    <w:rsid w:val="00AC626F"/>
    <w:rsid w:val="00AC630E"/>
    <w:rsid w:val="00AC63D0"/>
    <w:rsid w:val="00AC63EE"/>
    <w:rsid w:val="00AC6495"/>
    <w:rsid w:val="00AC655E"/>
    <w:rsid w:val="00AC6607"/>
    <w:rsid w:val="00AC674A"/>
    <w:rsid w:val="00AC677E"/>
    <w:rsid w:val="00AC6788"/>
    <w:rsid w:val="00AC67A5"/>
    <w:rsid w:val="00AC684B"/>
    <w:rsid w:val="00AC6874"/>
    <w:rsid w:val="00AC687B"/>
    <w:rsid w:val="00AC68A5"/>
    <w:rsid w:val="00AC693D"/>
    <w:rsid w:val="00AC6AA8"/>
    <w:rsid w:val="00AC6AF5"/>
    <w:rsid w:val="00AC6C53"/>
    <w:rsid w:val="00AC6CF3"/>
    <w:rsid w:val="00AC6DF3"/>
    <w:rsid w:val="00AC6E85"/>
    <w:rsid w:val="00AC7059"/>
    <w:rsid w:val="00AC7284"/>
    <w:rsid w:val="00AC72C5"/>
    <w:rsid w:val="00AC7306"/>
    <w:rsid w:val="00AC73B6"/>
    <w:rsid w:val="00AC7465"/>
    <w:rsid w:val="00AC74E8"/>
    <w:rsid w:val="00AC76E8"/>
    <w:rsid w:val="00AC780D"/>
    <w:rsid w:val="00AC7838"/>
    <w:rsid w:val="00AC7CBF"/>
    <w:rsid w:val="00AC7CE6"/>
    <w:rsid w:val="00AC7DCA"/>
    <w:rsid w:val="00AC7DE3"/>
    <w:rsid w:val="00AC7E0D"/>
    <w:rsid w:val="00AC7FDF"/>
    <w:rsid w:val="00AD01E3"/>
    <w:rsid w:val="00AD0245"/>
    <w:rsid w:val="00AD0255"/>
    <w:rsid w:val="00AD041A"/>
    <w:rsid w:val="00AD04C8"/>
    <w:rsid w:val="00AD060D"/>
    <w:rsid w:val="00AD0828"/>
    <w:rsid w:val="00AD097D"/>
    <w:rsid w:val="00AD09B6"/>
    <w:rsid w:val="00AD0ADF"/>
    <w:rsid w:val="00AD0B13"/>
    <w:rsid w:val="00AD0BD7"/>
    <w:rsid w:val="00AD0C85"/>
    <w:rsid w:val="00AD0CA6"/>
    <w:rsid w:val="00AD0E1B"/>
    <w:rsid w:val="00AD0E69"/>
    <w:rsid w:val="00AD0FB3"/>
    <w:rsid w:val="00AD103D"/>
    <w:rsid w:val="00AD1273"/>
    <w:rsid w:val="00AD12D8"/>
    <w:rsid w:val="00AD13E8"/>
    <w:rsid w:val="00AD159C"/>
    <w:rsid w:val="00AD162C"/>
    <w:rsid w:val="00AD1649"/>
    <w:rsid w:val="00AD17AD"/>
    <w:rsid w:val="00AD17CB"/>
    <w:rsid w:val="00AD17FA"/>
    <w:rsid w:val="00AD1830"/>
    <w:rsid w:val="00AD1908"/>
    <w:rsid w:val="00AD19EC"/>
    <w:rsid w:val="00AD1B3F"/>
    <w:rsid w:val="00AD1C4D"/>
    <w:rsid w:val="00AD1D86"/>
    <w:rsid w:val="00AD1E3D"/>
    <w:rsid w:val="00AD2302"/>
    <w:rsid w:val="00AD2450"/>
    <w:rsid w:val="00AD2548"/>
    <w:rsid w:val="00AD2662"/>
    <w:rsid w:val="00AD2665"/>
    <w:rsid w:val="00AD26FC"/>
    <w:rsid w:val="00AD2717"/>
    <w:rsid w:val="00AD286C"/>
    <w:rsid w:val="00AD28FF"/>
    <w:rsid w:val="00AD290A"/>
    <w:rsid w:val="00AD29A3"/>
    <w:rsid w:val="00AD2B6C"/>
    <w:rsid w:val="00AD2C0B"/>
    <w:rsid w:val="00AD2C72"/>
    <w:rsid w:val="00AD2D0A"/>
    <w:rsid w:val="00AD2DC2"/>
    <w:rsid w:val="00AD2EF7"/>
    <w:rsid w:val="00AD2F9A"/>
    <w:rsid w:val="00AD30A5"/>
    <w:rsid w:val="00AD353C"/>
    <w:rsid w:val="00AD3597"/>
    <w:rsid w:val="00AD36C2"/>
    <w:rsid w:val="00AD3708"/>
    <w:rsid w:val="00AD3739"/>
    <w:rsid w:val="00AD3859"/>
    <w:rsid w:val="00AD3ABF"/>
    <w:rsid w:val="00AD3C03"/>
    <w:rsid w:val="00AD3C41"/>
    <w:rsid w:val="00AD3CAE"/>
    <w:rsid w:val="00AD3D49"/>
    <w:rsid w:val="00AD3DC4"/>
    <w:rsid w:val="00AD40DE"/>
    <w:rsid w:val="00AD433B"/>
    <w:rsid w:val="00AD455B"/>
    <w:rsid w:val="00AD4655"/>
    <w:rsid w:val="00AD4713"/>
    <w:rsid w:val="00AD4777"/>
    <w:rsid w:val="00AD48DE"/>
    <w:rsid w:val="00AD4961"/>
    <w:rsid w:val="00AD4CC1"/>
    <w:rsid w:val="00AD4E0F"/>
    <w:rsid w:val="00AD4E17"/>
    <w:rsid w:val="00AD4E6A"/>
    <w:rsid w:val="00AD4FF4"/>
    <w:rsid w:val="00AD5079"/>
    <w:rsid w:val="00AD50B9"/>
    <w:rsid w:val="00AD5136"/>
    <w:rsid w:val="00AD5209"/>
    <w:rsid w:val="00AD531D"/>
    <w:rsid w:val="00AD5320"/>
    <w:rsid w:val="00AD540D"/>
    <w:rsid w:val="00AD5489"/>
    <w:rsid w:val="00AD54C1"/>
    <w:rsid w:val="00AD552B"/>
    <w:rsid w:val="00AD57EA"/>
    <w:rsid w:val="00AD57FA"/>
    <w:rsid w:val="00AD57FF"/>
    <w:rsid w:val="00AD5B44"/>
    <w:rsid w:val="00AD5F15"/>
    <w:rsid w:val="00AD5FE2"/>
    <w:rsid w:val="00AD5FEF"/>
    <w:rsid w:val="00AD600C"/>
    <w:rsid w:val="00AD6069"/>
    <w:rsid w:val="00AD60C0"/>
    <w:rsid w:val="00AD60E1"/>
    <w:rsid w:val="00AD61A1"/>
    <w:rsid w:val="00AD61E4"/>
    <w:rsid w:val="00AD6239"/>
    <w:rsid w:val="00AD62CC"/>
    <w:rsid w:val="00AD63D6"/>
    <w:rsid w:val="00AD647F"/>
    <w:rsid w:val="00AD651A"/>
    <w:rsid w:val="00AD66D8"/>
    <w:rsid w:val="00AD6892"/>
    <w:rsid w:val="00AD6898"/>
    <w:rsid w:val="00AD68FB"/>
    <w:rsid w:val="00AD69E8"/>
    <w:rsid w:val="00AD6A54"/>
    <w:rsid w:val="00AD6B03"/>
    <w:rsid w:val="00AD6C39"/>
    <w:rsid w:val="00AD6CC3"/>
    <w:rsid w:val="00AD6CD5"/>
    <w:rsid w:val="00AD6CF6"/>
    <w:rsid w:val="00AD6D9C"/>
    <w:rsid w:val="00AD6EC7"/>
    <w:rsid w:val="00AD7116"/>
    <w:rsid w:val="00AD724C"/>
    <w:rsid w:val="00AD72DC"/>
    <w:rsid w:val="00AD733B"/>
    <w:rsid w:val="00AD73F1"/>
    <w:rsid w:val="00AD747F"/>
    <w:rsid w:val="00AD7A28"/>
    <w:rsid w:val="00AD7B0C"/>
    <w:rsid w:val="00AD7B5D"/>
    <w:rsid w:val="00AD7CA7"/>
    <w:rsid w:val="00AE0040"/>
    <w:rsid w:val="00AE01C0"/>
    <w:rsid w:val="00AE022C"/>
    <w:rsid w:val="00AE036E"/>
    <w:rsid w:val="00AE0439"/>
    <w:rsid w:val="00AE04CD"/>
    <w:rsid w:val="00AE073D"/>
    <w:rsid w:val="00AE08B8"/>
    <w:rsid w:val="00AE0A06"/>
    <w:rsid w:val="00AE0B24"/>
    <w:rsid w:val="00AE0C38"/>
    <w:rsid w:val="00AE0C65"/>
    <w:rsid w:val="00AE0C8C"/>
    <w:rsid w:val="00AE0E79"/>
    <w:rsid w:val="00AE0F65"/>
    <w:rsid w:val="00AE109B"/>
    <w:rsid w:val="00AE12D7"/>
    <w:rsid w:val="00AE12DD"/>
    <w:rsid w:val="00AE12FE"/>
    <w:rsid w:val="00AE1456"/>
    <w:rsid w:val="00AE14B5"/>
    <w:rsid w:val="00AE153A"/>
    <w:rsid w:val="00AE15CF"/>
    <w:rsid w:val="00AE161B"/>
    <w:rsid w:val="00AE16D2"/>
    <w:rsid w:val="00AE1756"/>
    <w:rsid w:val="00AE184D"/>
    <w:rsid w:val="00AE1A44"/>
    <w:rsid w:val="00AE1AF2"/>
    <w:rsid w:val="00AE1B5E"/>
    <w:rsid w:val="00AE1C03"/>
    <w:rsid w:val="00AE1CA7"/>
    <w:rsid w:val="00AE1D55"/>
    <w:rsid w:val="00AE1E0A"/>
    <w:rsid w:val="00AE1F31"/>
    <w:rsid w:val="00AE1FBD"/>
    <w:rsid w:val="00AE202A"/>
    <w:rsid w:val="00AE2126"/>
    <w:rsid w:val="00AE2242"/>
    <w:rsid w:val="00AE22F0"/>
    <w:rsid w:val="00AE23E3"/>
    <w:rsid w:val="00AE2487"/>
    <w:rsid w:val="00AE2660"/>
    <w:rsid w:val="00AE2736"/>
    <w:rsid w:val="00AE282B"/>
    <w:rsid w:val="00AE2834"/>
    <w:rsid w:val="00AE29A8"/>
    <w:rsid w:val="00AE29C1"/>
    <w:rsid w:val="00AE2A69"/>
    <w:rsid w:val="00AE2B0D"/>
    <w:rsid w:val="00AE2B82"/>
    <w:rsid w:val="00AE2D0D"/>
    <w:rsid w:val="00AE2D1A"/>
    <w:rsid w:val="00AE2E06"/>
    <w:rsid w:val="00AE2ED2"/>
    <w:rsid w:val="00AE2F05"/>
    <w:rsid w:val="00AE2F65"/>
    <w:rsid w:val="00AE2F75"/>
    <w:rsid w:val="00AE30BD"/>
    <w:rsid w:val="00AE317E"/>
    <w:rsid w:val="00AE3196"/>
    <w:rsid w:val="00AE31B7"/>
    <w:rsid w:val="00AE324E"/>
    <w:rsid w:val="00AE32A3"/>
    <w:rsid w:val="00AE32A7"/>
    <w:rsid w:val="00AE359D"/>
    <w:rsid w:val="00AE35A5"/>
    <w:rsid w:val="00AE36C3"/>
    <w:rsid w:val="00AE37DA"/>
    <w:rsid w:val="00AE3860"/>
    <w:rsid w:val="00AE38FD"/>
    <w:rsid w:val="00AE39BA"/>
    <w:rsid w:val="00AE39DF"/>
    <w:rsid w:val="00AE3A07"/>
    <w:rsid w:val="00AE3A1E"/>
    <w:rsid w:val="00AE3C08"/>
    <w:rsid w:val="00AE3DA1"/>
    <w:rsid w:val="00AE3E26"/>
    <w:rsid w:val="00AE3FCA"/>
    <w:rsid w:val="00AE416C"/>
    <w:rsid w:val="00AE423A"/>
    <w:rsid w:val="00AE4318"/>
    <w:rsid w:val="00AE43D1"/>
    <w:rsid w:val="00AE4408"/>
    <w:rsid w:val="00AE4496"/>
    <w:rsid w:val="00AE452F"/>
    <w:rsid w:val="00AE4651"/>
    <w:rsid w:val="00AE46C6"/>
    <w:rsid w:val="00AE474A"/>
    <w:rsid w:val="00AE474D"/>
    <w:rsid w:val="00AE47B3"/>
    <w:rsid w:val="00AE487D"/>
    <w:rsid w:val="00AE48C2"/>
    <w:rsid w:val="00AE493C"/>
    <w:rsid w:val="00AE4CA2"/>
    <w:rsid w:val="00AE4D78"/>
    <w:rsid w:val="00AE4DAC"/>
    <w:rsid w:val="00AE4E2A"/>
    <w:rsid w:val="00AE5029"/>
    <w:rsid w:val="00AE50AF"/>
    <w:rsid w:val="00AE50E2"/>
    <w:rsid w:val="00AE51F1"/>
    <w:rsid w:val="00AE52C8"/>
    <w:rsid w:val="00AE53FB"/>
    <w:rsid w:val="00AE5589"/>
    <w:rsid w:val="00AE5783"/>
    <w:rsid w:val="00AE57DD"/>
    <w:rsid w:val="00AE5951"/>
    <w:rsid w:val="00AE5ACF"/>
    <w:rsid w:val="00AE5ADC"/>
    <w:rsid w:val="00AE5CF9"/>
    <w:rsid w:val="00AE5D8F"/>
    <w:rsid w:val="00AE5DB6"/>
    <w:rsid w:val="00AE5E5A"/>
    <w:rsid w:val="00AE5EA9"/>
    <w:rsid w:val="00AE5ED8"/>
    <w:rsid w:val="00AE5EDA"/>
    <w:rsid w:val="00AE6039"/>
    <w:rsid w:val="00AE6114"/>
    <w:rsid w:val="00AE61F5"/>
    <w:rsid w:val="00AE639B"/>
    <w:rsid w:val="00AE63D9"/>
    <w:rsid w:val="00AE63E2"/>
    <w:rsid w:val="00AE641E"/>
    <w:rsid w:val="00AE645E"/>
    <w:rsid w:val="00AE68A2"/>
    <w:rsid w:val="00AE6969"/>
    <w:rsid w:val="00AE69CC"/>
    <w:rsid w:val="00AE6A0F"/>
    <w:rsid w:val="00AE6A73"/>
    <w:rsid w:val="00AE6AC3"/>
    <w:rsid w:val="00AE6AE0"/>
    <w:rsid w:val="00AE6AF4"/>
    <w:rsid w:val="00AE6B5C"/>
    <w:rsid w:val="00AE6C3C"/>
    <w:rsid w:val="00AE6CA3"/>
    <w:rsid w:val="00AE6CF9"/>
    <w:rsid w:val="00AE6D06"/>
    <w:rsid w:val="00AE6DF0"/>
    <w:rsid w:val="00AE6EDF"/>
    <w:rsid w:val="00AE6EFE"/>
    <w:rsid w:val="00AE702E"/>
    <w:rsid w:val="00AE71DE"/>
    <w:rsid w:val="00AE72A7"/>
    <w:rsid w:val="00AE734A"/>
    <w:rsid w:val="00AE73E0"/>
    <w:rsid w:val="00AE7606"/>
    <w:rsid w:val="00AE7846"/>
    <w:rsid w:val="00AE787B"/>
    <w:rsid w:val="00AE7A69"/>
    <w:rsid w:val="00AE7AF5"/>
    <w:rsid w:val="00AE7B1E"/>
    <w:rsid w:val="00AE7DEE"/>
    <w:rsid w:val="00AE7E66"/>
    <w:rsid w:val="00AE7E9C"/>
    <w:rsid w:val="00AE7F46"/>
    <w:rsid w:val="00AF0052"/>
    <w:rsid w:val="00AF0107"/>
    <w:rsid w:val="00AF0327"/>
    <w:rsid w:val="00AF03C0"/>
    <w:rsid w:val="00AF04C4"/>
    <w:rsid w:val="00AF055E"/>
    <w:rsid w:val="00AF05A6"/>
    <w:rsid w:val="00AF06BA"/>
    <w:rsid w:val="00AF0755"/>
    <w:rsid w:val="00AF09C9"/>
    <w:rsid w:val="00AF0AEC"/>
    <w:rsid w:val="00AF0AF1"/>
    <w:rsid w:val="00AF0B68"/>
    <w:rsid w:val="00AF0BD0"/>
    <w:rsid w:val="00AF0D31"/>
    <w:rsid w:val="00AF0D93"/>
    <w:rsid w:val="00AF0E0F"/>
    <w:rsid w:val="00AF0E2D"/>
    <w:rsid w:val="00AF0E9C"/>
    <w:rsid w:val="00AF0F3C"/>
    <w:rsid w:val="00AF0F97"/>
    <w:rsid w:val="00AF1075"/>
    <w:rsid w:val="00AF10A0"/>
    <w:rsid w:val="00AF122A"/>
    <w:rsid w:val="00AF13A8"/>
    <w:rsid w:val="00AF14BB"/>
    <w:rsid w:val="00AF14CF"/>
    <w:rsid w:val="00AF166F"/>
    <w:rsid w:val="00AF16C7"/>
    <w:rsid w:val="00AF1821"/>
    <w:rsid w:val="00AF1A39"/>
    <w:rsid w:val="00AF1AD3"/>
    <w:rsid w:val="00AF1B06"/>
    <w:rsid w:val="00AF1BAF"/>
    <w:rsid w:val="00AF1C03"/>
    <w:rsid w:val="00AF1C84"/>
    <w:rsid w:val="00AF1C89"/>
    <w:rsid w:val="00AF1C95"/>
    <w:rsid w:val="00AF1D3A"/>
    <w:rsid w:val="00AF1E1D"/>
    <w:rsid w:val="00AF1F8C"/>
    <w:rsid w:val="00AF2032"/>
    <w:rsid w:val="00AF207D"/>
    <w:rsid w:val="00AF2099"/>
    <w:rsid w:val="00AF216B"/>
    <w:rsid w:val="00AF2197"/>
    <w:rsid w:val="00AF2269"/>
    <w:rsid w:val="00AF22B5"/>
    <w:rsid w:val="00AF2565"/>
    <w:rsid w:val="00AF26FF"/>
    <w:rsid w:val="00AF2A66"/>
    <w:rsid w:val="00AF2B15"/>
    <w:rsid w:val="00AF2BF4"/>
    <w:rsid w:val="00AF2C2D"/>
    <w:rsid w:val="00AF2CAE"/>
    <w:rsid w:val="00AF3036"/>
    <w:rsid w:val="00AF3040"/>
    <w:rsid w:val="00AF307E"/>
    <w:rsid w:val="00AF3336"/>
    <w:rsid w:val="00AF33EC"/>
    <w:rsid w:val="00AF3465"/>
    <w:rsid w:val="00AF3506"/>
    <w:rsid w:val="00AF35C3"/>
    <w:rsid w:val="00AF363C"/>
    <w:rsid w:val="00AF3671"/>
    <w:rsid w:val="00AF3689"/>
    <w:rsid w:val="00AF371C"/>
    <w:rsid w:val="00AF38E8"/>
    <w:rsid w:val="00AF3994"/>
    <w:rsid w:val="00AF39AF"/>
    <w:rsid w:val="00AF39FE"/>
    <w:rsid w:val="00AF3BA9"/>
    <w:rsid w:val="00AF3D2C"/>
    <w:rsid w:val="00AF3DEC"/>
    <w:rsid w:val="00AF3E1C"/>
    <w:rsid w:val="00AF3E3B"/>
    <w:rsid w:val="00AF3E5A"/>
    <w:rsid w:val="00AF3E78"/>
    <w:rsid w:val="00AF3F1D"/>
    <w:rsid w:val="00AF4072"/>
    <w:rsid w:val="00AF41A4"/>
    <w:rsid w:val="00AF41CA"/>
    <w:rsid w:val="00AF4223"/>
    <w:rsid w:val="00AF42A7"/>
    <w:rsid w:val="00AF432A"/>
    <w:rsid w:val="00AF45DE"/>
    <w:rsid w:val="00AF468B"/>
    <w:rsid w:val="00AF46FE"/>
    <w:rsid w:val="00AF4800"/>
    <w:rsid w:val="00AF486F"/>
    <w:rsid w:val="00AF4A1C"/>
    <w:rsid w:val="00AF4A91"/>
    <w:rsid w:val="00AF4A93"/>
    <w:rsid w:val="00AF4B6B"/>
    <w:rsid w:val="00AF4B7C"/>
    <w:rsid w:val="00AF4C6B"/>
    <w:rsid w:val="00AF4C8F"/>
    <w:rsid w:val="00AF4D4E"/>
    <w:rsid w:val="00AF4D52"/>
    <w:rsid w:val="00AF4F6B"/>
    <w:rsid w:val="00AF4F6E"/>
    <w:rsid w:val="00AF5111"/>
    <w:rsid w:val="00AF526B"/>
    <w:rsid w:val="00AF52DC"/>
    <w:rsid w:val="00AF5344"/>
    <w:rsid w:val="00AF53CE"/>
    <w:rsid w:val="00AF548B"/>
    <w:rsid w:val="00AF55E0"/>
    <w:rsid w:val="00AF562F"/>
    <w:rsid w:val="00AF5666"/>
    <w:rsid w:val="00AF57AB"/>
    <w:rsid w:val="00AF5870"/>
    <w:rsid w:val="00AF5A6A"/>
    <w:rsid w:val="00AF5A8F"/>
    <w:rsid w:val="00AF5C56"/>
    <w:rsid w:val="00AF5C79"/>
    <w:rsid w:val="00AF5CE1"/>
    <w:rsid w:val="00AF5CFA"/>
    <w:rsid w:val="00AF5D95"/>
    <w:rsid w:val="00AF5E7E"/>
    <w:rsid w:val="00AF5E8A"/>
    <w:rsid w:val="00AF6003"/>
    <w:rsid w:val="00AF61DE"/>
    <w:rsid w:val="00AF62B3"/>
    <w:rsid w:val="00AF6392"/>
    <w:rsid w:val="00AF63D1"/>
    <w:rsid w:val="00AF6569"/>
    <w:rsid w:val="00AF65F3"/>
    <w:rsid w:val="00AF6619"/>
    <w:rsid w:val="00AF6693"/>
    <w:rsid w:val="00AF67FC"/>
    <w:rsid w:val="00AF694B"/>
    <w:rsid w:val="00AF6A67"/>
    <w:rsid w:val="00AF6C7D"/>
    <w:rsid w:val="00AF6CAF"/>
    <w:rsid w:val="00AF6CFD"/>
    <w:rsid w:val="00AF6DD9"/>
    <w:rsid w:val="00AF6DEE"/>
    <w:rsid w:val="00AF6E6D"/>
    <w:rsid w:val="00AF6EC9"/>
    <w:rsid w:val="00AF6F3D"/>
    <w:rsid w:val="00AF70B9"/>
    <w:rsid w:val="00AF717A"/>
    <w:rsid w:val="00AF7199"/>
    <w:rsid w:val="00AF7327"/>
    <w:rsid w:val="00AF7346"/>
    <w:rsid w:val="00AF7359"/>
    <w:rsid w:val="00AF74D9"/>
    <w:rsid w:val="00AF76D7"/>
    <w:rsid w:val="00AF76FF"/>
    <w:rsid w:val="00AF7877"/>
    <w:rsid w:val="00AF78A2"/>
    <w:rsid w:val="00AF79BF"/>
    <w:rsid w:val="00AF7A58"/>
    <w:rsid w:val="00AF7A93"/>
    <w:rsid w:val="00AF7B36"/>
    <w:rsid w:val="00AF7B77"/>
    <w:rsid w:val="00AF7DC1"/>
    <w:rsid w:val="00AF7F28"/>
    <w:rsid w:val="00AF7FB7"/>
    <w:rsid w:val="00AF7FD4"/>
    <w:rsid w:val="00B000AE"/>
    <w:rsid w:val="00B000D5"/>
    <w:rsid w:val="00B001DC"/>
    <w:rsid w:val="00B001F1"/>
    <w:rsid w:val="00B002E3"/>
    <w:rsid w:val="00B0040B"/>
    <w:rsid w:val="00B00479"/>
    <w:rsid w:val="00B00664"/>
    <w:rsid w:val="00B006FE"/>
    <w:rsid w:val="00B00716"/>
    <w:rsid w:val="00B007AF"/>
    <w:rsid w:val="00B00830"/>
    <w:rsid w:val="00B00A53"/>
    <w:rsid w:val="00B00AB5"/>
    <w:rsid w:val="00B00B03"/>
    <w:rsid w:val="00B00C0E"/>
    <w:rsid w:val="00B00C63"/>
    <w:rsid w:val="00B00CC0"/>
    <w:rsid w:val="00B00D6C"/>
    <w:rsid w:val="00B00F34"/>
    <w:rsid w:val="00B00F5C"/>
    <w:rsid w:val="00B00FF4"/>
    <w:rsid w:val="00B0106C"/>
    <w:rsid w:val="00B011AC"/>
    <w:rsid w:val="00B01292"/>
    <w:rsid w:val="00B013E1"/>
    <w:rsid w:val="00B015DB"/>
    <w:rsid w:val="00B01692"/>
    <w:rsid w:val="00B016D3"/>
    <w:rsid w:val="00B016D7"/>
    <w:rsid w:val="00B0187C"/>
    <w:rsid w:val="00B01880"/>
    <w:rsid w:val="00B019C1"/>
    <w:rsid w:val="00B019F2"/>
    <w:rsid w:val="00B01A3B"/>
    <w:rsid w:val="00B01B14"/>
    <w:rsid w:val="00B01B2D"/>
    <w:rsid w:val="00B01B62"/>
    <w:rsid w:val="00B01BDC"/>
    <w:rsid w:val="00B01C92"/>
    <w:rsid w:val="00B01D9F"/>
    <w:rsid w:val="00B01DF7"/>
    <w:rsid w:val="00B01E0C"/>
    <w:rsid w:val="00B01E33"/>
    <w:rsid w:val="00B01E52"/>
    <w:rsid w:val="00B01F65"/>
    <w:rsid w:val="00B0200D"/>
    <w:rsid w:val="00B02093"/>
    <w:rsid w:val="00B02222"/>
    <w:rsid w:val="00B022EB"/>
    <w:rsid w:val="00B0236E"/>
    <w:rsid w:val="00B024BE"/>
    <w:rsid w:val="00B02506"/>
    <w:rsid w:val="00B02602"/>
    <w:rsid w:val="00B026AD"/>
    <w:rsid w:val="00B027AD"/>
    <w:rsid w:val="00B02946"/>
    <w:rsid w:val="00B0294D"/>
    <w:rsid w:val="00B029BC"/>
    <w:rsid w:val="00B02A12"/>
    <w:rsid w:val="00B02A86"/>
    <w:rsid w:val="00B02AB9"/>
    <w:rsid w:val="00B02ACE"/>
    <w:rsid w:val="00B02B8E"/>
    <w:rsid w:val="00B02C45"/>
    <w:rsid w:val="00B02C4A"/>
    <w:rsid w:val="00B02DC2"/>
    <w:rsid w:val="00B02EEB"/>
    <w:rsid w:val="00B031AE"/>
    <w:rsid w:val="00B0328B"/>
    <w:rsid w:val="00B032ED"/>
    <w:rsid w:val="00B03352"/>
    <w:rsid w:val="00B0351C"/>
    <w:rsid w:val="00B0373A"/>
    <w:rsid w:val="00B03898"/>
    <w:rsid w:val="00B03913"/>
    <w:rsid w:val="00B0394E"/>
    <w:rsid w:val="00B03972"/>
    <w:rsid w:val="00B03AE5"/>
    <w:rsid w:val="00B03BB4"/>
    <w:rsid w:val="00B03D7F"/>
    <w:rsid w:val="00B0402C"/>
    <w:rsid w:val="00B0421B"/>
    <w:rsid w:val="00B0429B"/>
    <w:rsid w:val="00B04396"/>
    <w:rsid w:val="00B045D3"/>
    <w:rsid w:val="00B046B3"/>
    <w:rsid w:val="00B0489D"/>
    <w:rsid w:val="00B04967"/>
    <w:rsid w:val="00B049F5"/>
    <w:rsid w:val="00B04A63"/>
    <w:rsid w:val="00B04A9D"/>
    <w:rsid w:val="00B04B72"/>
    <w:rsid w:val="00B04C63"/>
    <w:rsid w:val="00B04C69"/>
    <w:rsid w:val="00B04C6F"/>
    <w:rsid w:val="00B04CAE"/>
    <w:rsid w:val="00B04CEA"/>
    <w:rsid w:val="00B04D35"/>
    <w:rsid w:val="00B04D8A"/>
    <w:rsid w:val="00B04DB9"/>
    <w:rsid w:val="00B04DF3"/>
    <w:rsid w:val="00B051BB"/>
    <w:rsid w:val="00B05221"/>
    <w:rsid w:val="00B0533E"/>
    <w:rsid w:val="00B053BB"/>
    <w:rsid w:val="00B054EF"/>
    <w:rsid w:val="00B05538"/>
    <w:rsid w:val="00B0553E"/>
    <w:rsid w:val="00B05607"/>
    <w:rsid w:val="00B05633"/>
    <w:rsid w:val="00B05800"/>
    <w:rsid w:val="00B058F2"/>
    <w:rsid w:val="00B05948"/>
    <w:rsid w:val="00B05951"/>
    <w:rsid w:val="00B05A08"/>
    <w:rsid w:val="00B05B84"/>
    <w:rsid w:val="00B05C80"/>
    <w:rsid w:val="00B05DD7"/>
    <w:rsid w:val="00B05F14"/>
    <w:rsid w:val="00B05FC4"/>
    <w:rsid w:val="00B05FD3"/>
    <w:rsid w:val="00B0630F"/>
    <w:rsid w:val="00B06399"/>
    <w:rsid w:val="00B06655"/>
    <w:rsid w:val="00B0668F"/>
    <w:rsid w:val="00B06737"/>
    <w:rsid w:val="00B06760"/>
    <w:rsid w:val="00B06813"/>
    <w:rsid w:val="00B06901"/>
    <w:rsid w:val="00B06972"/>
    <w:rsid w:val="00B069D8"/>
    <w:rsid w:val="00B069FE"/>
    <w:rsid w:val="00B06ABB"/>
    <w:rsid w:val="00B06AE7"/>
    <w:rsid w:val="00B06C2F"/>
    <w:rsid w:val="00B06D25"/>
    <w:rsid w:val="00B06D2A"/>
    <w:rsid w:val="00B06DDC"/>
    <w:rsid w:val="00B06F94"/>
    <w:rsid w:val="00B06FBB"/>
    <w:rsid w:val="00B06FCF"/>
    <w:rsid w:val="00B07030"/>
    <w:rsid w:val="00B07141"/>
    <w:rsid w:val="00B0719A"/>
    <w:rsid w:val="00B072B7"/>
    <w:rsid w:val="00B073E4"/>
    <w:rsid w:val="00B07523"/>
    <w:rsid w:val="00B07620"/>
    <w:rsid w:val="00B0766F"/>
    <w:rsid w:val="00B0784C"/>
    <w:rsid w:val="00B07899"/>
    <w:rsid w:val="00B078E0"/>
    <w:rsid w:val="00B07949"/>
    <w:rsid w:val="00B07972"/>
    <w:rsid w:val="00B079E7"/>
    <w:rsid w:val="00B079F3"/>
    <w:rsid w:val="00B07AC6"/>
    <w:rsid w:val="00B07C66"/>
    <w:rsid w:val="00B07C97"/>
    <w:rsid w:val="00B07CE9"/>
    <w:rsid w:val="00B07E3D"/>
    <w:rsid w:val="00B07EFD"/>
    <w:rsid w:val="00B07F12"/>
    <w:rsid w:val="00B10001"/>
    <w:rsid w:val="00B10022"/>
    <w:rsid w:val="00B100E5"/>
    <w:rsid w:val="00B10129"/>
    <w:rsid w:val="00B10163"/>
    <w:rsid w:val="00B101D5"/>
    <w:rsid w:val="00B1026F"/>
    <w:rsid w:val="00B10280"/>
    <w:rsid w:val="00B1057F"/>
    <w:rsid w:val="00B10633"/>
    <w:rsid w:val="00B10985"/>
    <w:rsid w:val="00B10AD7"/>
    <w:rsid w:val="00B10B08"/>
    <w:rsid w:val="00B10B55"/>
    <w:rsid w:val="00B10B91"/>
    <w:rsid w:val="00B10DC5"/>
    <w:rsid w:val="00B10F27"/>
    <w:rsid w:val="00B10FE1"/>
    <w:rsid w:val="00B11090"/>
    <w:rsid w:val="00B11182"/>
    <w:rsid w:val="00B11184"/>
    <w:rsid w:val="00B111FC"/>
    <w:rsid w:val="00B11327"/>
    <w:rsid w:val="00B113D9"/>
    <w:rsid w:val="00B113EF"/>
    <w:rsid w:val="00B1140F"/>
    <w:rsid w:val="00B1143B"/>
    <w:rsid w:val="00B11644"/>
    <w:rsid w:val="00B116A4"/>
    <w:rsid w:val="00B117E2"/>
    <w:rsid w:val="00B118C6"/>
    <w:rsid w:val="00B11A78"/>
    <w:rsid w:val="00B11C62"/>
    <w:rsid w:val="00B11C7A"/>
    <w:rsid w:val="00B11CCF"/>
    <w:rsid w:val="00B11CFB"/>
    <w:rsid w:val="00B11D07"/>
    <w:rsid w:val="00B11EA8"/>
    <w:rsid w:val="00B11FC9"/>
    <w:rsid w:val="00B12111"/>
    <w:rsid w:val="00B123DE"/>
    <w:rsid w:val="00B1247B"/>
    <w:rsid w:val="00B12512"/>
    <w:rsid w:val="00B12635"/>
    <w:rsid w:val="00B126FC"/>
    <w:rsid w:val="00B1279F"/>
    <w:rsid w:val="00B1282A"/>
    <w:rsid w:val="00B1287D"/>
    <w:rsid w:val="00B1294D"/>
    <w:rsid w:val="00B129C3"/>
    <w:rsid w:val="00B12A0E"/>
    <w:rsid w:val="00B12BA7"/>
    <w:rsid w:val="00B12BD3"/>
    <w:rsid w:val="00B12CDF"/>
    <w:rsid w:val="00B12E73"/>
    <w:rsid w:val="00B12ECB"/>
    <w:rsid w:val="00B12F85"/>
    <w:rsid w:val="00B1305F"/>
    <w:rsid w:val="00B13108"/>
    <w:rsid w:val="00B13147"/>
    <w:rsid w:val="00B131E2"/>
    <w:rsid w:val="00B1323B"/>
    <w:rsid w:val="00B132F9"/>
    <w:rsid w:val="00B1334C"/>
    <w:rsid w:val="00B133D5"/>
    <w:rsid w:val="00B13431"/>
    <w:rsid w:val="00B13589"/>
    <w:rsid w:val="00B135B0"/>
    <w:rsid w:val="00B136BE"/>
    <w:rsid w:val="00B13891"/>
    <w:rsid w:val="00B139DB"/>
    <w:rsid w:val="00B13B51"/>
    <w:rsid w:val="00B13D69"/>
    <w:rsid w:val="00B13E11"/>
    <w:rsid w:val="00B13E16"/>
    <w:rsid w:val="00B13E18"/>
    <w:rsid w:val="00B13E4B"/>
    <w:rsid w:val="00B13EEB"/>
    <w:rsid w:val="00B13EF4"/>
    <w:rsid w:val="00B14109"/>
    <w:rsid w:val="00B142AB"/>
    <w:rsid w:val="00B143ED"/>
    <w:rsid w:val="00B14410"/>
    <w:rsid w:val="00B14443"/>
    <w:rsid w:val="00B14482"/>
    <w:rsid w:val="00B14501"/>
    <w:rsid w:val="00B14626"/>
    <w:rsid w:val="00B14648"/>
    <w:rsid w:val="00B14657"/>
    <w:rsid w:val="00B147C0"/>
    <w:rsid w:val="00B14821"/>
    <w:rsid w:val="00B1486D"/>
    <w:rsid w:val="00B148CA"/>
    <w:rsid w:val="00B148D5"/>
    <w:rsid w:val="00B1492E"/>
    <w:rsid w:val="00B14A32"/>
    <w:rsid w:val="00B14B97"/>
    <w:rsid w:val="00B14BDC"/>
    <w:rsid w:val="00B14EFF"/>
    <w:rsid w:val="00B14FCC"/>
    <w:rsid w:val="00B14FEA"/>
    <w:rsid w:val="00B150C6"/>
    <w:rsid w:val="00B150D6"/>
    <w:rsid w:val="00B15361"/>
    <w:rsid w:val="00B15373"/>
    <w:rsid w:val="00B15639"/>
    <w:rsid w:val="00B1563E"/>
    <w:rsid w:val="00B1595E"/>
    <w:rsid w:val="00B15974"/>
    <w:rsid w:val="00B15B6C"/>
    <w:rsid w:val="00B15C10"/>
    <w:rsid w:val="00B15D15"/>
    <w:rsid w:val="00B15E42"/>
    <w:rsid w:val="00B15ED5"/>
    <w:rsid w:val="00B15EEE"/>
    <w:rsid w:val="00B15F1E"/>
    <w:rsid w:val="00B15F91"/>
    <w:rsid w:val="00B16198"/>
    <w:rsid w:val="00B161C1"/>
    <w:rsid w:val="00B163EA"/>
    <w:rsid w:val="00B164F3"/>
    <w:rsid w:val="00B16592"/>
    <w:rsid w:val="00B16805"/>
    <w:rsid w:val="00B168BA"/>
    <w:rsid w:val="00B1690F"/>
    <w:rsid w:val="00B169CB"/>
    <w:rsid w:val="00B16A2C"/>
    <w:rsid w:val="00B16B3F"/>
    <w:rsid w:val="00B16B42"/>
    <w:rsid w:val="00B16B5A"/>
    <w:rsid w:val="00B16C7A"/>
    <w:rsid w:val="00B16E18"/>
    <w:rsid w:val="00B16EF4"/>
    <w:rsid w:val="00B16F37"/>
    <w:rsid w:val="00B16FB6"/>
    <w:rsid w:val="00B17022"/>
    <w:rsid w:val="00B1707D"/>
    <w:rsid w:val="00B17115"/>
    <w:rsid w:val="00B17399"/>
    <w:rsid w:val="00B17458"/>
    <w:rsid w:val="00B17698"/>
    <w:rsid w:val="00B176EC"/>
    <w:rsid w:val="00B17748"/>
    <w:rsid w:val="00B178B6"/>
    <w:rsid w:val="00B17A84"/>
    <w:rsid w:val="00B17E30"/>
    <w:rsid w:val="00B17F65"/>
    <w:rsid w:val="00B200C0"/>
    <w:rsid w:val="00B20229"/>
    <w:rsid w:val="00B203A2"/>
    <w:rsid w:val="00B203CC"/>
    <w:rsid w:val="00B205D1"/>
    <w:rsid w:val="00B205EC"/>
    <w:rsid w:val="00B206C3"/>
    <w:rsid w:val="00B20774"/>
    <w:rsid w:val="00B207B9"/>
    <w:rsid w:val="00B207DE"/>
    <w:rsid w:val="00B2083A"/>
    <w:rsid w:val="00B2083E"/>
    <w:rsid w:val="00B209AC"/>
    <w:rsid w:val="00B209C1"/>
    <w:rsid w:val="00B209D4"/>
    <w:rsid w:val="00B20A66"/>
    <w:rsid w:val="00B20B23"/>
    <w:rsid w:val="00B20EA3"/>
    <w:rsid w:val="00B2148C"/>
    <w:rsid w:val="00B21535"/>
    <w:rsid w:val="00B21585"/>
    <w:rsid w:val="00B21736"/>
    <w:rsid w:val="00B21854"/>
    <w:rsid w:val="00B2187E"/>
    <w:rsid w:val="00B218B1"/>
    <w:rsid w:val="00B218E6"/>
    <w:rsid w:val="00B219B2"/>
    <w:rsid w:val="00B21A33"/>
    <w:rsid w:val="00B21B4A"/>
    <w:rsid w:val="00B21B88"/>
    <w:rsid w:val="00B21CC9"/>
    <w:rsid w:val="00B21CFF"/>
    <w:rsid w:val="00B21D00"/>
    <w:rsid w:val="00B21E7E"/>
    <w:rsid w:val="00B21F59"/>
    <w:rsid w:val="00B2212D"/>
    <w:rsid w:val="00B2213F"/>
    <w:rsid w:val="00B22272"/>
    <w:rsid w:val="00B22330"/>
    <w:rsid w:val="00B22334"/>
    <w:rsid w:val="00B224AA"/>
    <w:rsid w:val="00B22524"/>
    <w:rsid w:val="00B225D3"/>
    <w:rsid w:val="00B2263C"/>
    <w:rsid w:val="00B22719"/>
    <w:rsid w:val="00B227A9"/>
    <w:rsid w:val="00B227CF"/>
    <w:rsid w:val="00B22998"/>
    <w:rsid w:val="00B229FE"/>
    <w:rsid w:val="00B22C99"/>
    <w:rsid w:val="00B22DCC"/>
    <w:rsid w:val="00B22F72"/>
    <w:rsid w:val="00B22FEB"/>
    <w:rsid w:val="00B23010"/>
    <w:rsid w:val="00B2302B"/>
    <w:rsid w:val="00B23056"/>
    <w:rsid w:val="00B230EB"/>
    <w:rsid w:val="00B230FE"/>
    <w:rsid w:val="00B2325B"/>
    <w:rsid w:val="00B233FD"/>
    <w:rsid w:val="00B23422"/>
    <w:rsid w:val="00B2356F"/>
    <w:rsid w:val="00B235CC"/>
    <w:rsid w:val="00B23647"/>
    <w:rsid w:val="00B23698"/>
    <w:rsid w:val="00B23753"/>
    <w:rsid w:val="00B2386C"/>
    <w:rsid w:val="00B239CA"/>
    <w:rsid w:val="00B23A02"/>
    <w:rsid w:val="00B23B25"/>
    <w:rsid w:val="00B23C27"/>
    <w:rsid w:val="00B23CD9"/>
    <w:rsid w:val="00B23D24"/>
    <w:rsid w:val="00B23D29"/>
    <w:rsid w:val="00B23E64"/>
    <w:rsid w:val="00B23E70"/>
    <w:rsid w:val="00B241B8"/>
    <w:rsid w:val="00B241DA"/>
    <w:rsid w:val="00B241EA"/>
    <w:rsid w:val="00B241EF"/>
    <w:rsid w:val="00B24322"/>
    <w:rsid w:val="00B24363"/>
    <w:rsid w:val="00B243AA"/>
    <w:rsid w:val="00B24431"/>
    <w:rsid w:val="00B24471"/>
    <w:rsid w:val="00B244E7"/>
    <w:rsid w:val="00B2453F"/>
    <w:rsid w:val="00B2456E"/>
    <w:rsid w:val="00B245F4"/>
    <w:rsid w:val="00B245F6"/>
    <w:rsid w:val="00B24653"/>
    <w:rsid w:val="00B24683"/>
    <w:rsid w:val="00B24786"/>
    <w:rsid w:val="00B24846"/>
    <w:rsid w:val="00B24890"/>
    <w:rsid w:val="00B24979"/>
    <w:rsid w:val="00B24CEB"/>
    <w:rsid w:val="00B24D29"/>
    <w:rsid w:val="00B24D6A"/>
    <w:rsid w:val="00B24D81"/>
    <w:rsid w:val="00B24D89"/>
    <w:rsid w:val="00B24D9B"/>
    <w:rsid w:val="00B24E10"/>
    <w:rsid w:val="00B24E16"/>
    <w:rsid w:val="00B24F3B"/>
    <w:rsid w:val="00B250A5"/>
    <w:rsid w:val="00B25216"/>
    <w:rsid w:val="00B25280"/>
    <w:rsid w:val="00B253E3"/>
    <w:rsid w:val="00B2540F"/>
    <w:rsid w:val="00B254B4"/>
    <w:rsid w:val="00B25651"/>
    <w:rsid w:val="00B2571C"/>
    <w:rsid w:val="00B2591C"/>
    <w:rsid w:val="00B2593C"/>
    <w:rsid w:val="00B25A2A"/>
    <w:rsid w:val="00B25AB4"/>
    <w:rsid w:val="00B25ACF"/>
    <w:rsid w:val="00B25BB5"/>
    <w:rsid w:val="00B25EA0"/>
    <w:rsid w:val="00B25F9F"/>
    <w:rsid w:val="00B26309"/>
    <w:rsid w:val="00B26330"/>
    <w:rsid w:val="00B265AA"/>
    <w:rsid w:val="00B2660C"/>
    <w:rsid w:val="00B26715"/>
    <w:rsid w:val="00B26791"/>
    <w:rsid w:val="00B26801"/>
    <w:rsid w:val="00B26937"/>
    <w:rsid w:val="00B2694C"/>
    <w:rsid w:val="00B269DD"/>
    <w:rsid w:val="00B26A9F"/>
    <w:rsid w:val="00B26D4A"/>
    <w:rsid w:val="00B26E52"/>
    <w:rsid w:val="00B26FE5"/>
    <w:rsid w:val="00B27017"/>
    <w:rsid w:val="00B2737E"/>
    <w:rsid w:val="00B273AE"/>
    <w:rsid w:val="00B27493"/>
    <w:rsid w:val="00B27501"/>
    <w:rsid w:val="00B276F7"/>
    <w:rsid w:val="00B277D9"/>
    <w:rsid w:val="00B27904"/>
    <w:rsid w:val="00B27994"/>
    <w:rsid w:val="00B279F1"/>
    <w:rsid w:val="00B27B5B"/>
    <w:rsid w:val="00B27B9B"/>
    <w:rsid w:val="00B27D57"/>
    <w:rsid w:val="00B27EE8"/>
    <w:rsid w:val="00B27F32"/>
    <w:rsid w:val="00B27FE5"/>
    <w:rsid w:val="00B30140"/>
    <w:rsid w:val="00B30243"/>
    <w:rsid w:val="00B3041F"/>
    <w:rsid w:val="00B30421"/>
    <w:rsid w:val="00B30465"/>
    <w:rsid w:val="00B30488"/>
    <w:rsid w:val="00B307F2"/>
    <w:rsid w:val="00B3084E"/>
    <w:rsid w:val="00B30956"/>
    <w:rsid w:val="00B30A22"/>
    <w:rsid w:val="00B30B91"/>
    <w:rsid w:val="00B30C01"/>
    <w:rsid w:val="00B30C04"/>
    <w:rsid w:val="00B30D53"/>
    <w:rsid w:val="00B30D54"/>
    <w:rsid w:val="00B30DBC"/>
    <w:rsid w:val="00B30DC8"/>
    <w:rsid w:val="00B3114B"/>
    <w:rsid w:val="00B311DD"/>
    <w:rsid w:val="00B3136B"/>
    <w:rsid w:val="00B31484"/>
    <w:rsid w:val="00B31532"/>
    <w:rsid w:val="00B315BB"/>
    <w:rsid w:val="00B31687"/>
    <w:rsid w:val="00B31951"/>
    <w:rsid w:val="00B31977"/>
    <w:rsid w:val="00B31996"/>
    <w:rsid w:val="00B31BBD"/>
    <w:rsid w:val="00B31CB4"/>
    <w:rsid w:val="00B31E91"/>
    <w:rsid w:val="00B31E9E"/>
    <w:rsid w:val="00B31FCE"/>
    <w:rsid w:val="00B31FE3"/>
    <w:rsid w:val="00B32293"/>
    <w:rsid w:val="00B322CA"/>
    <w:rsid w:val="00B32337"/>
    <w:rsid w:val="00B3235A"/>
    <w:rsid w:val="00B32497"/>
    <w:rsid w:val="00B324B0"/>
    <w:rsid w:val="00B32557"/>
    <w:rsid w:val="00B325C3"/>
    <w:rsid w:val="00B3269F"/>
    <w:rsid w:val="00B328BF"/>
    <w:rsid w:val="00B32A0F"/>
    <w:rsid w:val="00B32B2C"/>
    <w:rsid w:val="00B32B7D"/>
    <w:rsid w:val="00B32B9A"/>
    <w:rsid w:val="00B32E1A"/>
    <w:rsid w:val="00B32EA0"/>
    <w:rsid w:val="00B33046"/>
    <w:rsid w:val="00B3304B"/>
    <w:rsid w:val="00B3319E"/>
    <w:rsid w:val="00B331E4"/>
    <w:rsid w:val="00B331F5"/>
    <w:rsid w:val="00B3326E"/>
    <w:rsid w:val="00B3332E"/>
    <w:rsid w:val="00B33344"/>
    <w:rsid w:val="00B33380"/>
    <w:rsid w:val="00B333FE"/>
    <w:rsid w:val="00B33477"/>
    <w:rsid w:val="00B3348A"/>
    <w:rsid w:val="00B334AA"/>
    <w:rsid w:val="00B335BC"/>
    <w:rsid w:val="00B33679"/>
    <w:rsid w:val="00B336E0"/>
    <w:rsid w:val="00B3373C"/>
    <w:rsid w:val="00B337B8"/>
    <w:rsid w:val="00B3382B"/>
    <w:rsid w:val="00B3385B"/>
    <w:rsid w:val="00B33B05"/>
    <w:rsid w:val="00B33B30"/>
    <w:rsid w:val="00B33B53"/>
    <w:rsid w:val="00B33B66"/>
    <w:rsid w:val="00B33BF9"/>
    <w:rsid w:val="00B33DC4"/>
    <w:rsid w:val="00B33E1B"/>
    <w:rsid w:val="00B34056"/>
    <w:rsid w:val="00B340B2"/>
    <w:rsid w:val="00B34358"/>
    <w:rsid w:val="00B344D7"/>
    <w:rsid w:val="00B345D8"/>
    <w:rsid w:val="00B34610"/>
    <w:rsid w:val="00B34707"/>
    <w:rsid w:val="00B347D2"/>
    <w:rsid w:val="00B34837"/>
    <w:rsid w:val="00B34957"/>
    <w:rsid w:val="00B349F6"/>
    <w:rsid w:val="00B34A1E"/>
    <w:rsid w:val="00B34CD3"/>
    <w:rsid w:val="00B34DA4"/>
    <w:rsid w:val="00B34DDC"/>
    <w:rsid w:val="00B34E83"/>
    <w:rsid w:val="00B35039"/>
    <w:rsid w:val="00B35094"/>
    <w:rsid w:val="00B350F0"/>
    <w:rsid w:val="00B3511E"/>
    <w:rsid w:val="00B35182"/>
    <w:rsid w:val="00B353A6"/>
    <w:rsid w:val="00B3545B"/>
    <w:rsid w:val="00B3545C"/>
    <w:rsid w:val="00B356FC"/>
    <w:rsid w:val="00B35729"/>
    <w:rsid w:val="00B357AC"/>
    <w:rsid w:val="00B357E8"/>
    <w:rsid w:val="00B358E3"/>
    <w:rsid w:val="00B35992"/>
    <w:rsid w:val="00B359D2"/>
    <w:rsid w:val="00B35A75"/>
    <w:rsid w:val="00B35B8F"/>
    <w:rsid w:val="00B35E4B"/>
    <w:rsid w:val="00B35E6D"/>
    <w:rsid w:val="00B35FCC"/>
    <w:rsid w:val="00B361A5"/>
    <w:rsid w:val="00B363B2"/>
    <w:rsid w:val="00B363D0"/>
    <w:rsid w:val="00B3648E"/>
    <w:rsid w:val="00B364BA"/>
    <w:rsid w:val="00B36518"/>
    <w:rsid w:val="00B365C3"/>
    <w:rsid w:val="00B3662C"/>
    <w:rsid w:val="00B368CB"/>
    <w:rsid w:val="00B36908"/>
    <w:rsid w:val="00B36964"/>
    <w:rsid w:val="00B369F2"/>
    <w:rsid w:val="00B36A81"/>
    <w:rsid w:val="00B36B1B"/>
    <w:rsid w:val="00B36BF0"/>
    <w:rsid w:val="00B36CB7"/>
    <w:rsid w:val="00B36E31"/>
    <w:rsid w:val="00B36E56"/>
    <w:rsid w:val="00B36E83"/>
    <w:rsid w:val="00B36F53"/>
    <w:rsid w:val="00B37049"/>
    <w:rsid w:val="00B3713E"/>
    <w:rsid w:val="00B37188"/>
    <w:rsid w:val="00B372E7"/>
    <w:rsid w:val="00B372F6"/>
    <w:rsid w:val="00B373F0"/>
    <w:rsid w:val="00B374F7"/>
    <w:rsid w:val="00B3750A"/>
    <w:rsid w:val="00B375DA"/>
    <w:rsid w:val="00B37801"/>
    <w:rsid w:val="00B378CC"/>
    <w:rsid w:val="00B379C3"/>
    <w:rsid w:val="00B37A85"/>
    <w:rsid w:val="00B37A8B"/>
    <w:rsid w:val="00B37B5C"/>
    <w:rsid w:val="00B37DC5"/>
    <w:rsid w:val="00B37EF8"/>
    <w:rsid w:val="00B37F97"/>
    <w:rsid w:val="00B40099"/>
    <w:rsid w:val="00B400CA"/>
    <w:rsid w:val="00B400F8"/>
    <w:rsid w:val="00B401D4"/>
    <w:rsid w:val="00B404AD"/>
    <w:rsid w:val="00B4061E"/>
    <w:rsid w:val="00B408CA"/>
    <w:rsid w:val="00B408F4"/>
    <w:rsid w:val="00B40AD0"/>
    <w:rsid w:val="00B40C9E"/>
    <w:rsid w:val="00B40D05"/>
    <w:rsid w:val="00B40D8E"/>
    <w:rsid w:val="00B40EDC"/>
    <w:rsid w:val="00B40F10"/>
    <w:rsid w:val="00B40F93"/>
    <w:rsid w:val="00B40FB5"/>
    <w:rsid w:val="00B40FC0"/>
    <w:rsid w:val="00B40FC7"/>
    <w:rsid w:val="00B4109B"/>
    <w:rsid w:val="00B410FC"/>
    <w:rsid w:val="00B4115C"/>
    <w:rsid w:val="00B412DD"/>
    <w:rsid w:val="00B41351"/>
    <w:rsid w:val="00B4147B"/>
    <w:rsid w:val="00B415EC"/>
    <w:rsid w:val="00B41615"/>
    <w:rsid w:val="00B41776"/>
    <w:rsid w:val="00B417B6"/>
    <w:rsid w:val="00B41817"/>
    <w:rsid w:val="00B418B6"/>
    <w:rsid w:val="00B41936"/>
    <w:rsid w:val="00B41B66"/>
    <w:rsid w:val="00B41BA5"/>
    <w:rsid w:val="00B41BC9"/>
    <w:rsid w:val="00B41C4C"/>
    <w:rsid w:val="00B41D2C"/>
    <w:rsid w:val="00B41D42"/>
    <w:rsid w:val="00B41D70"/>
    <w:rsid w:val="00B41E1C"/>
    <w:rsid w:val="00B41E52"/>
    <w:rsid w:val="00B41E94"/>
    <w:rsid w:val="00B41FD8"/>
    <w:rsid w:val="00B41FF8"/>
    <w:rsid w:val="00B420DF"/>
    <w:rsid w:val="00B42182"/>
    <w:rsid w:val="00B421E8"/>
    <w:rsid w:val="00B422A5"/>
    <w:rsid w:val="00B42344"/>
    <w:rsid w:val="00B42432"/>
    <w:rsid w:val="00B428E2"/>
    <w:rsid w:val="00B42A2C"/>
    <w:rsid w:val="00B42A5C"/>
    <w:rsid w:val="00B42A98"/>
    <w:rsid w:val="00B42BC1"/>
    <w:rsid w:val="00B42C4A"/>
    <w:rsid w:val="00B42C56"/>
    <w:rsid w:val="00B42C64"/>
    <w:rsid w:val="00B4307A"/>
    <w:rsid w:val="00B430E9"/>
    <w:rsid w:val="00B431C8"/>
    <w:rsid w:val="00B4335B"/>
    <w:rsid w:val="00B43362"/>
    <w:rsid w:val="00B433A5"/>
    <w:rsid w:val="00B433C8"/>
    <w:rsid w:val="00B43411"/>
    <w:rsid w:val="00B4367E"/>
    <w:rsid w:val="00B43762"/>
    <w:rsid w:val="00B437CF"/>
    <w:rsid w:val="00B438B9"/>
    <w:rsid w:val="00B438EE"/>
    <w:rsid w:val="00B43901"/>
    <w:rsid w:val="00B43AAA"/>
    <w:rsid w:val="00B43B33"/>
    <w:rsid w:val="00B43B7F"/>
    <w:rsid w:val="00B43FBA"/>
    <w:rsid w:val="00B440FF"/>
    <w:rsid w:val="00B4418C"/>
    <w:rsid w:val="00B44191"/>
    <w:rsid w:val="00B442C1"/>
    <w:rsid w:val="00B443C6"/>
    <w:rsid w:val="00B4444C"/>
    <w:rsid w:val="00B444A1"/>
    <w:rsid w:val="00B444DC"/>
    <w:rsid w:val="00B44586"/>
    <w:rsid w:val="00B446AA"/>
    <w:rsid w:val="00B4478C"/>
    <w:rsid w:val="00B448E5"/>
    <w:rsid w:val="00B448EF"/>
    <w:rsid w:val="00B44D08"/>
    <w:rsid w:val="00B44D70"/>
    <w:rsid w:val="00B44DB7"/>
    <w:rsid w:val="00B44F6B"/>
    <w:rsid w:val="00B45000"/>
    <w:rsid w:val="00B45182"/>
    <w:rsid w:val="00B45244"/>
    <w:rsid w:val="00B45422"/>
    <w:rsid w:val="00B4548E"/>
    <w:rsid w:val="00B45498"/>
    <w:rsid w:val="00B4562C"/>
    <w:rsid w:val="00B4575C"/>
    <w:rsid w:val="00B45832"/>
    <w:rsid w:val="00B45913"/>
    <w:rsid w:val="00B45B8B"/>
    <w:rsid w:val="00B45ED2"/>
    <w:rsid w:val="00B45F68"/>
    <w:rsid w:val="00B46081"/>
    <w:rsid w:val="00B46175"/>
    <w:rsid w:val="00B46256"/>
    <w:rsid w:val="00B46353"/>
    <w:rsid w:val="00B4647A"/>
    <w:rsid w:val="00B464AB"/>
    <w:rsid w:val="00B46596"/>
    <w:rsid w:val="00B465B0"/>
    <w:rsid w:val="00B466CA"/>
    <w:rsid w:val="00B4674D"/>
    <w:rsid w:val="00B467A9"/>
    <w:rsid w:val="00B46B05"/>
    <w:rsid w:val="00B46C26"/>
    <w:rsid w:val="00B46D13"/>
    <w:rsid w:val="00B46D77"/>
    <w:rsid w:val="00B46E63"/>
    <w:rsid w:val="00B46F5C"/>
    <w:rsid w:val="00B47218"/>
    <w:rsid w:val="00B4722B"/>
    <w:rsid w:val="00B472DB"/>
    <w:rsid w:val="00B47360"/>
    <w:rsid w:val="00B47362"/>
    <w:rsid w:val="00B47493"/>
    <w:rsid w:val="00B474C8"/>
    <w:rsid w:val="00B474D8"/>
    <w:rsid w:val="00B474DF"/>
    <w:rsid w:val="00B475D3"/>
    <w:rsid w:val="00B47716"/>
    <w:rsid w:val="00B47849"/>
    <w:rsid w:val="00B4784F"/>
    <w:rsid w:val="00B47856"/>
    <w:rsid w:val="00B47872"/>
    <w:rsid w:val="00B478B9"/>
    <w:rsid w:val="00B478C7"/>
    <w:rsid w:val="00B47915"/>
    <w:rsid w:val="00B47A69"/>
    <w:rsid w:val="00B47CB2"/>
    <w:rsid w:val="00B47D2E"/>
    <w:rsid w:val="00B47D8D"/>
    <w:rsid w:val="00B47FAE"/>
    <w:rsid w:val="00B50476"/>
    <w:rsid w:val="00B504A9"/>
    <w:rsid w:val="00B504DC"/>
    <w:rsid w:val="00B50662"/>
    <w:rsid w:val="00B5069A"/>
    <w:rsid w:val="00B506DA"/>
    <w:rsid w:val="00B50778"/>
    <w:rsid w:val="00B50908"/>
    <w:rsid w:val="00B50B85"/>
    <w:rsid w:val="00B50BA0"/>
    <w:rsid w:val="00B50BA4"/>
    <w:rsid w:val="00B50BDB"/>
    <w:rsid w:val="00B50DB6"/>
    <w:rsid w:val="00B50E18"/>
    <w:rsid w:val="00B50FC9"/>
    <w:rsid w:val="00B512D1"/>
    <w:rsid w:val="00B5139A"/>
    <w:rsid w:val="00B513A9"/>
    <w:rsid w:val="00B514CE"/>
    <w:rsid w:val="00B51556"/>
    <w:rsid w:val="00B51560"/>
    <w:rsid w:val="00B51568"/>
    <w:rsid w:val="00B51610"/>
    <w:rsid w:val="00B5167B"/>
    <w:rsid w:val="00B51768"/>
    <w:rsid w:val="00B51A8A"/>
    <w:rsid w:val="00B51AEE"/>
    <w:rsid w:val="00B51B8A"/>
    <w:rsid w:val="00B51B95"/>
    <w:rsid w:val="00B51BE9"/>
    <w:rsid w:val="00B51C73"/>
    <w:rsid w:val="00B51D35"/>
    <w:rsid w:val="00B51F7B"/>
    <w:rsid w:val="00B51F88"/>
    <w:rsid w:val="00B520E3"/>
    <w:rsid w:val="00B52108"/>
    <w:rsid w:val="00B521F3"/>
    <w:rsid w:val="00B522BB"/>
    <w:rsid w:val="00B52336"/>
    <w:rsid w:val="00B5242B"/>
    <w:rsid w:val="00B524AA"/>
    <w:rsid w:val="00B524FB"/>
    <w:rsid w:val="00B52532"/>
    <w:rsid w:val="00B525BC"/>
    <w:rsid w:val="00B527EF"/>
    <w:rsid w:val="00B52809"/>
    <w:rsid w:val="00B5282C"/>
    <w:rsid w:val="00B5294E"/>
    <w:rsid w:val="00B52AEB"/>
    <w:rsid w:val="00B52AF5"/>
    <w:rsid w:val="00B52BA6"/>
    <w:rsid w:val="00B52CF5"/>
    <w:rsid w:val="00B52D3A"/>
    <w:rsid w:val="00B52D60"/>
    <w:rsid w:val="00B52F3A"/>
    <w:rsid w:val="00B53061"/>
    <w:rsid w:val="00B530E0"/>
    <w:rsid w:val="00B53178"/>
    <w:rsid w:val="00B53450"/>
    <w:rsid w:val="00B53694"/>
    <w:rsid w:val="00B536D0"/>
    <w:rsid w:val="00B537E2"/>
    <w:rsid w:val="00B5388C"/>
    <w:rsid w:val="00B53ADE"/>
    <w:rsid w:val="00B53B9E"/>
    <w:rsid w:val="00B53CDB"/>
    <w:rsid w:val="00B53D5D"/>
    <w:rsid w:val="00B53FBE"/>
    <w:rsid w:val="00B5400B"/>
    <w:rsid w:val="00B5400D"/>
    <w:rsid w:val="00B546D1"/>
    <w:rsid w:val="00B548B0"/>
    <w:rsid w:val="00B54916"/>
    <w:rsid w:val="00B549C3"/>
    <w:rsid w:val="00B54AD2"/>
    <w:rsid w:val="00B54B41"/>
    <w:rsid w:val="00B54B96"/>
    <w:rsid w:val="00B54BE2"/>
    <w:rsid w:val="00B54BFB"/>
    <w:rsid w:val="00B54C2A"/>
    <w:rsid w:val="00B54C65"/>
    <w:rsid w:val="00B54D3E"/>
    <w:rsid w:val="00B54FAA"/>
    <w:rsid w:val="00B54FEB"/>
    <w:rsid w:val="00B550C8"/>
    <w:rsid w:val="00B550E8"/>
    <w:rsid w:val="00B5512E"/>
    <w:rsid w:val="00B5519E"/>
    <w:rsid w:val="00B55216"/>
    <w:rsid w:val="00B5526D"/>
    <w:rsid w:val="00B55370"/>
    <w:rsid w:val="00B553F2"/>
    <w:rsid w:val="00B555CF"/>
    <w:rsid w:val="00B55723"/>
    <w:rsid w:val="00B55783"/>
    <w:rsid w:val="00B557BD"/>
    <w:rsid w:val="00B55871"/>
    <w:rsid w:val="00B55924"/>
    <w:rsid w:val="00B55C34"/>
    <w:rsid w:val="00B55CED"/>
    <w:rsid w:val="00B55D36"/>
    <w:rsid w:val="00B55D57"/>
    <w:rsid w:val="00B55E91"/>
    <w:rsid w:val="00B55E9D"/>
    <w:rsid w:val="00B55EE1"/>
    <w:rsid w:val="00B55F80"/>
    <w:rsid w:val="00B5625E"/>
    <w:rsid w:val="00B56284"/>
    <w:rsid w:val="00B563EE"/>
    <w:rsid w:val="00B56480"/>
    <w:rsid w:val="00B565A9"/>
    <w:rsid w:val="00B565D6"/>
    <w:rsid w:val="00B56600"/>
    <w:rsid w:val="00B56791"/>
    <w:rsid w:val="00B567B8"/>
    <w:rsid w:val="00B5680F"/>
    <w:rsid w:val="00B56862"/>
    <w:rsid w:val="00B56990"/>
    <w:rsid w:val="00B56A3D"/>
    <w:rsid w:val="00B56AD4"/>
    <w:rsid w:val="00B56B67"/>
    <w:rsid w:val="00B56C5D"/>
    <w:rsid w:val="00B56D5C"/>
    <w:rsid w:val="00B56EBB"/>
    <w:rsid w:val="00B56F25"/>
    <w:rsid w:val="00B570D0"/>
    <w:rsid w:val="00B5710B"/>
    <w:rsid w:val="00B57271"/>
    <w:rsid w:val="00B573BE"/>
    <w:rsid w:val="00B573F5"/>
    <w:rsid w:val="00B574B6"/>
    <w:rsid w:val="00B57502"/>
    <w:rsid w:val="00B57571"/>
    <w:rsid w:val="00B5759B"/>
    <w:rsid w:val="00B575A1"/>
    <w:rsid w:val="00B576A4"/>
    <w:rsid w:val="00B57802"/>
    <w:rsid w:val="00B57964"/>
    <w:rsid w:val="00B57967"/>
    <w:rsid w:val="00B57998"/>
    <w:rsid w:val="00B57AE9"/>
    <w:rsid w:val="00B57BF5"/>
    <w:rsid w:val="00B57C67"/>
    <w:rsid w:val="00B57CD0"/>
    <w:rsid w:val="00B57D34"/>
    <w:rsid w:val="00B57DA9"/>
    <w:rsid w:val="00B57DFB"/>
    <w:rsid w:val="00B57F08"/>
    <w:rsid w:val="00B57F43"/>
    <w:rsid w:val="00B57F48"/>
    <w:rsid w:val="00B57FB0"/>
    <w:rsid w:val="00B600D6"/>
    <w:rsid w:val="00B60177"/>
    <w:rsid w:val="00B60234"/>
    <w:rsid w:val="00B6037E"/>
    <w:rsid w:val="00B603A3"/>
    <w:rsid w:val="00B60477"/>
    <w:rsid w:val="00B60530"/>
    <w:rsid w:val="00B60639"/>
    <w:rsid w:val="00B607B2"/>
    <w:rsid w:val="00B60BD6"/>
    <w:rsid w:val="00B60C67"/>
    <w:rsid w:val="00B60D7F"/>
    <w:rsid w:val="00B60EB4"/>
    <w:rsid w:val="00B60F76"/>
    <w:rsid w:val="00B61102"/>
    <w:rsid w:val="00B613C9"/>
    <w:rsid w:val="00B61401"/>
    <w:rsid w:val="00B6141D"/>
    <w:rsid w:val="00B6155E"/>
    <w:rsid w:val="00B616FB"/>
    <w:rsid w:val="00B61709"/>
    <w:rsid w:val="00B61752"/>
    <w:rsid w:val="00B61783"/>
    <w:rsid w:val="00B6193C"/>
    <w:rsid w:val="00B61B1C"/>
    <w:rsid w:val="00B61B80"/>
    <w:rsid w:val="00B61C0F"/>
    <w:rsid w:val="00B61F5E"/>
    <w:rsid w:val="00B61FCD"/>
    <w:rsid w:val="00B61FD2"/>
    <w:rsid w:val="00B62277"/>
    <w:rsid w:val="00B622DE"/>
    <w:rsid w:val="00B622E1"/>
    <w:rsid w:val="00B623C9"/>
    <w:rsid w:val="00B625D2"/>
    <w:rsid w:val="00B6287C"/>
    <w:rsid w:val="00B62B54"/>
    <w:rsid w:val="00B62BB2"/>
    <w:rsid w:val="00B62BDB"/>
    <w:rsid w:val="00B62D67"/>
    <w:rsid w:val="00B62EDF"/>
    <w:rsid w:val="00B6308E"/>
    <w:rsid w:val="00B63160"/>
    <w:rsid w:val="00B63231"/>
    <w:rsid w:val="00B63240"/>
    <w:rsid w:val="00B634E1"/>
    <w:rsid w:val="00B63519"/>
    <w:rsid w:val="00B63520"/>
    <w:rsid w:val="00B6362F"/>
    <w:rsid w:val="00B63663"/>
    <w:rsid w:val="00B636ED"/>
    <w:rsid w:val="00B63742"/>
    <w:rsid w:val="00B63786"/>
    <w:rsid w:val="00B637FA"/>
    <w:rsid w:val="00B6385C"/>
    <w:rsid w:val="00B63A6D"/>
    <w:rsid w:val="00B63D06"/>
    <w:rsid w:val="00B63D58"/>
    <w:rsid w:val="00B63D9C"/>
    <w:rsid w:val="00B63DD6"/>
    <w:rsid w:val="00B63E5E"/>
    <w:rsid w:val="00B63F44"/>
    <w:rsid w:val="00B63FA9"/>
    <w:rsid w:val="00B63FC8"/>
    <w:rsid w:val="00B63FDD"/>
    <w:rsid w:val="00B64071"/>
    <w:rsid w:val="00B640BB"/>
    <w:rsid w:val="00B640C3"/>
    <w:rsid w:val="00B64194"/>
    <w:rsid w:val="00B641FD"/>
    <w:rsid w:val="00B6424A"/>
    <w:rsid w:val="00B643B8"/>
    <w:rsid w:val="00B644EE"/>
    <w:rsid w:val="00B64518"/>
    <w:rsid w:val="00B645EF"/>
    <w:rsid w:val="00B647D5"/>
    <w:rsid w:val="00B64AA1"/>
    <w:rsid w:val="00B64AF8"/>
    <w:rsid w:val="00B64B05"/>
    <w:rsid w:val="00B64BB6"/>
    <w:rsid w:val="00B64E8A"/>
    <w:rsid w:val="00B6520E"/>
    <w:rsid w:val="00B6544A"/>
    <w:rsid w:val="00B654DE"/>
    <w:rsid w:val="00B654E0"/>
    <w:rsid w:val="00B65588"/>
    <w:rsid w:val="00B655BB"/>
    <w:rsid w:val="00B656F4"/>
    <w:rsid w:val="00B657F7"/>
    <w:rsid w:val="00B658C7"/>
    <w:rsid w:val="00B658D1"/>
    <w:rsid w:val="00B658E9"/>
    <w:rsid w:val="00B65A9E"/>
    <w:rsid w:val="00B65B20"/>
    <w:rsid w:val="00B65BD2"/>
    <w:rsid w:val="00B65BD3"/>
    <w:rsid w:val="00B65CFA"/>
    <w:rsid w:val="00B65DAA"/>
    <w:rsid w:val="00B65E0A"/>
    <w:rsid w:val="00B66064"/>
    <w:rsid w:val="00B66137"/>
    <w:rsid w:val="00B66276"/>
    <w:rsid w:val="00B662F5"/>
    <w:rsid w:val="00B66315"/>
    <w:rsid w:val="00B664C8"/>
    <w:rsid w:val="00B664F4"/>
    <w:rsid w:val="00B664FF"/>
    <w:rsid w:val="00B66507"/>
    <w:rsid w:val="00B66662"/>
    <w:rsid w:val="00B66669"/>
    <w:rsid w:val="00B666F2"/>
    <w:rsid w:val="00B66718"/>
    <w:rsid w:val="00B66796"/>
    <w:rsid w:val="00B66873"/>
    <w:rsid w:val="00B668DD"/>
    <w:rsid w:val="00B66931"/>
    <w:rsid w:val="00B6698A"/>
    <w:rsid w:val="00B66995"/>
    <w:rsid w:val="00B66ABF"/>
    <w:rsid w:val="00B66AC2"/>
    <w:rsid w:val="00B66AE4"/>
    <w:rsid w:val="00B66BCD"/>
    <w:rsid w:val="00B66DDC"/>
    <w:rsid w:val="00B66F89"/>
    <w:rsid w:val="00B6703D"/>
    <w:rsid w:val="00B671A1"/>
    <w:rsid w:val="00B671C6"/>
    <w:rsid w:val="00B671CB"/>
    <w:rsid w:val="00B671F1"/>
    <w:rsid w:val="00B672B6"/>
    <w:rsid w:val="00B6742B"/>
    <w:rsid w:val="00B67542"/>
    <w:rsid w:val="00B6754F"/>
    <w:rsid w:val="00B67554"/>
    <w:rsid w:val="00B675A6"/>
    <w:rsid w:val="00B67631"/>
    <w:rsid w:val="00B6764E"/>
    <w:rsid w:val="00B67696"/>
    <w:rsid w:val="00B676F8"/>
    <w:rsid w:val="00B6794D"/>
    <w:rsid w:val="00B679CC"/>
    <w:rsid w:val="00B67A0B"/>
    <w:rsid w:val="00B67B55"/>
    <w:rsid w:val="00B67C6C"/>
    <w:rsid w:val="00B67CCD"/>
    <w:rsid w:val="00B67D17"/>
    <w:rsid w:val="00B67D33"/>
    <w:rsid w:val="00B67EF7"/>
    <w:rsid w:val="00B701BC"/>
    <w:rsid w:val="00B70247"/>
    <w:rsid w:val="00B702B2"/>
    <w:rsid w:val="00B702F0"/>
    <w:rsid w:val="00B702FA"/>
    <w:rsid w:val="00B70436"/>
    <w:rsid w:val="00B70502"/>
    <w:rsid w:val="00B7063A"/>
    <w:rsid w:val="00B7067A"/>
    <w:rsid w:val="00B70772"/>
    <w:rsid w:val="00B709CA"/>
    <w:rsid w:val="00B70A34"/>
    <w:rsid w:val="00B70B63"/>
    <w:rsid w:val="00B70B6C"/>
    <w:rsid w:val="00B70C61"/>
    <w:rsid w:val="00B70CB2"/>
    <w:rsid w:val="00B70DAB"/>
    <w:rsid w:val="00B70E5A"/>
    <w:rsid w:val="00B70F8A"/>
    <w:rsid w:val="00B70FC3"/>
    <w:rsid w:val="00B71021"/>
    <w:rsid w:val="00B710B1"/>
    <w:rsid w:val="00B711AF"/>
    <w:rsid w:val="00B711B0"/>
    <w:rsid w:val="00B714B9"/>
    <w:rsid w:val="00B71576"/>
    <w:rsid w:val="00B715AB"/>
    <w:rsid w:val="00B715BE"/>
    <w:rsid w:val="00B716D4"/>
    <w:rsid w:val="00B7174D"/>
    <w:rsid w:val="00B71799"/>
    <w:rsid w:val="00B7186C"/>
    <w:rsid w:val="00B71A72"/>
    <w:rsid w:val="00B71B49"/>
    <w:rsid w:val="00B71BE0"/>
    <w:rsid w:val="00B71C45"/>
    <w:rsid w:val="00B71C9F"/>
    <w:rsid w:val="00B71CA3"/>
    <w:rsid w:val="00B71DAA"/>
    <w:rsid w:val="00B7212F"/>
    <w:rsid w:val="00B7220D"/>
    <w:rsid w:val="00B7224F"/>
    <w:rsid w:val="00B72379"/>
    <w:rsid w:val="00B72493"/>
    <w:rsid w:val="00B724AA"/>
    <w:rsid w:val="00B727A4"/>
    <w:rsid w:val="00B728E7"/>
    <w:rsid w:val="00B72A26"/>
    <w:rsid w:val="00B72B08"/>
    <w:rsid w:val="00B72B0D"/>
    <w:rsid w:val="00B72F23"/>
    <w:rsid w:val="00B72F64"/>
    <w:rsid w:val="00B73088"/>
    <w:rsid w:val="00B730AA"/>
    <w:rsid w:val="00B730CE"/>
    <w:rsid w:val="00B730FD"/>
    <w:rsid w:val="00B73121"/>
    <w:rsid w:val="00B731EA"/>
    <w:rsid w:val="00B73357"/>
    <w:rsid w:val="00B73403"/>
    <w:rsid w:val="00B7360B"/>
    <w:rsid w:val="00B7375A"/>
    <w:rsid w:val="00B73789"/>
    <w:rsid w:val="00B738FD"/>
    <w:rsid w:val="00B739E0"/>
    <w:rsid w:val="00B73BBE"/>
    <w:rsid w:val="00B73CE5"/>
    <w:rsid w:val="00B73FC0"/>
    <w:rsid w:val="00B7401C"/>
    <w:rsid w:val="00B74045"/>
    <w:rsid w:val="00B740F7"/>
    <w:rsid w:val="00B74147"/>
    <w:rsid w:val="00B742A6"/>
    <w:rsid w:val="00B74420"/>
    <w:rsid w:val="00B74443"/>
    <w:rsid w:val="00B74487"/>
    <w:rsid w:val="00B74651"/>
    <w:rsid w:val="00B7470C"/>
    <w:rsid w:val="00B74815"/>
    <w:rsid w:val="00B74828"/>
    <w:rsid w:val="00B74905"/>
    <w:rsid w:val="00B749B6"/>
    <w:rsid w:val="00B74A63"/>
    <w:rsid w:val="00B74AA0"/>
    <w:rsid w:val="00B74B16"/>
    <w:rsid w:val="00B74BC6"/>
    <w:rsid w:val="00B74DA8"/>
    <w:rsid w:val="00B74DC3"/>
    <w:rsid w:val="00B74DD2"/>
    <w:rsid w:val="00B74F0F"/>
    <w:rsid w:val="00B74FCF"/>
    <w:rsid w:val="00B7501A"/>
    <w:rsid w:val="00B7509A"/>
    <w:rsid w:val="00B7515B"/>
    <w:rsid w:val="00B753C8"/>
    <w:rsid w:val="00B75455"/>
    <w:rsid w:val="00B75456"/>
    <w:rsid w:val="00B75484"/>
    <w:rsid w:val="00B75499"/>
    <w:rsid w:val="00B7556C"/>
    <w:rsid w:val="00B7569B"/>
    <w:rsid w:val="00B756A7"/>
    <w:rsid w:val="00B756CC"/>
    <w:rsid w:val="00B758C1"/>
    <w:rsid w:val="00B758E4"/>
    <w:rsid w:val="00B75944"/>
    <w:rsid w:val="00B759A4"/>
    <w:rsid w:val="00B75B5E"/>
    <w:rsid w:val="00B75BE7"/>
    <w:rsid w:val="00B75C56"/>
    <w:rsid w:val="00B75E68"/>
    <w:rsid w:val="00B75F82"/>
    <w:rsid w:val="00B75FC2"/>
    <w:rsid w:val="00B75FF1"/>
    <w:rsid w:val="00B76070"/>
    <w:rsid w:val="00B7613E"/>
    <w:rsid w:val="00B76187"/>
    <w:rsid w:val="00B761B7"/>
    <w:rsid w:val="00B762D6"/>
    <w:rsid w:val="00B76396"/>
    <w:rsid w:val="00B763BC"/>
    <w:rsid w:val="00B76565"/>
    <w:rsid w:val="00B76650"/>
    <w:rsid w:val="00B766C1"/>
    <w:rsid w:val="00B767C0"/>
    <w:rsid w:val="00B76825"/>
    <w:rsid w:val="00B76944"/>
    <w:rsid w:val="00B76966"/>
    <w:rsid w:val="00B76992"/>
    <w:rsid w:val="00B76AB2"/>
    <w:rsid w:val="00B76B96"/>
    <w:rsid w:val="00B76CB9"/>
    <w:rsid w:val="00B76D40"/>
    <w:rsid w:val="00B76EF4"/>
    <w:rsid w:val="00B76EFB"/>
    <w:rsid w:val="00B7701B"/>
    <w:rsid w:val="00B77129"/>
    <w:rsid w:val="00B772D3"/>
    <w:rsid w:val="00B77441"/>
    <w:rsid w:val="00B7746A"/>
    <w:rsid w:val="00B7754F"/>
    <w:rsid w:val="00B7759B"/>
    <w:rsid w:val="00B775AD"/>
    <w:rsid w:val="00B7766F"/>
    <w:rsid w:val="00B7778A"/>
    <w:rsid w:val="00B777EE"/>
    <w:rsid w:val="00B77872"/>
    <w:rsid w:val="00B778CE"/>
    <w:rsid w:val="00B77A34"/>
    <w:rsid w:val="00B77C37"/>
    <w:rsid w:val="00B77CE7"/>
    <w:rsid w:val="00B77D65"/>
    <w:rsid w:val="00B77DAA"/>
    <w:rsid w:val="00B77E0D"/>
    <w:rsid w:val="00B77FC1"/>
    <w:rsid w:val="00B800A3"/>
    <w:rsid w:val="00B80117"/>
    <w:rsid w:val="00B80147"/>
    <w:rsid w:val="00B80257"/>
    <w:rsid w:val="00B80274"/>
    <w:rsid w:val="00B80296"/>
    <w:rsid w:val="00B802F1"/>
    <w:rsid w:val="00B8034E"/>
    <w:rsid w:val="00B803C1"/>
    <w:rsid w:val="00B804D6"/>
    <w:rsid w:val="00B8052F"/>
    <w:rsid w:val="00B8061B"/>
    <w:rsid w:val="00B807BF"/>
    <w:rsid w:val="00B809B1"/>
    <w:rsid w:val="00B80B85"/>
    <w:rsid w:val="00B80BCF"/>
    <w:rsid w:val="00B80BFB"/>
    <w:rsid w:val="00B80DD7"/>
    <w:rsid w:val="00B80DE2"/>
    <w:rsid w:val="00B80ECE"/>
    <w:rsid w:val="00B811C5"/>
    <w:rsid w:val="00B81350"/>
    <w:rsid w:val="00B813C9"/>
    <w:rsid w:val="00B813F0"/>
    <w:rsid w:val="00B81549"/>
    <w:rsid w:val="00B81796"/>
    <w:rsid w:val="00B81A2B"/>
    <w:rsid w:val="00B81A31"/>
    <w:rsid w:val="00B81AA0"/>
    <w:rsid w:val="00B81B36"/>
    <w:rsid w:val="00B81ED8"/>
    <w:rsid w:val="00B820C3"/>
    <w:rsid w:val="00B82226"/>
    <w:rsid w:val="00B82262"/>
    <w:rsid w:val="00B822E0"/>
    <w:rsid w:val="00B8239C"/>
    <w:rsid w:val="00B8241B"/>
    <w:rsid w:val="00B8241C"/>
    <w:rsid w:val="00B824A3"/>
    <w:rsid w:val="00B82543"/>
    <w:rsid w:val="00B82695"/>
    <w:rsid w:val="00B826CA"/>
    <w:rsid w:val="00B8286F"/>
    <w:rsid w:val="00B82944"/>
    <w:rsid w:val="00B82998"/>
    <w:rsid w:val="00B82A27"/>
    <w:rsid w:val="00B82D12"/>
    <w:rsid w:val="00B82D71"/>
    <w:rsid w:val="00B83004"/>
    <w:rsid w:val="00B8305C"/>
    <w:rsid w:val="00B8318B"/>
    <w:rsid w:val="00B831B4"/>
    <w:rsid w:val="00B831E7"/>
    <w:rsid w:val="00B8326A"/>
    <w:rsid w:val="00B832F4"/>
    <w:rsid w:val="00B83384"/>
    <w:rsid w:val="00B83403"/>
    <w:rsid w:val="00B83488"/>
    <w:rsid w:val="00B834B0"/>
    <w:rsid w:val="00B83516"/>
    <w:rsid w:val="00B837F6"/>
    <w:rsid w:val="00B83809"/>
    <w:rsid w:val="00B83BAB"/>
    <w:rsid w:val="00B83BEF"/>
    <w:rsid w:val="00B83CF2"/>
    <w:rsid w:val="00B83D16"/>
    <w:rsid w:val="00B83DAE"/>
    <w:rsid w:val="00B83DE4"/>
    <w:rsid w:val="00B83E09"/>
    <w:rsid w:val="00B83F17"/>
    <w:rsid w:val="00B83F21"/>
    <w:rsid w:val="00B840FE"/>
    <w:rsid w:val="00B8412F"/>
    <w:rsid w:val="00B84137"/>
    <w:rsid w:val="00B844A0"/>
    <w:rsid w:val="00B844FB"/>
    <w:rsid w:val="00B84567"/>
    <w:rsid w:val="00B846B0"/>
    <w:rsid w:val="00B84741"/>
    <w:rsid w:val="00B8494F"/>
    <w:rsid w:val="00B849AA"/>
    <w:rsid w:val="00B84B30"/>
    <w:rsid w:val="00B84C97"/>
    <w:rsid w:val="00B84D15"/>
    <w:rsid w:val="00B84D5E"/>
    <w:rsid w:val="00B84DA2"/>
    <w:rsid w:val="00B84FB4"/>
    <w:rsid w:val="00B85082"/>
    <w:rsid w:val="00B8509A"/>
    <w:rsid w:val="00B850FF"/>
    <w:rsid w:val="00B851D8"/>
    <w:rsid w:val="00B85262"/>
    <w:rsid w:val="00B85312"/>
    <w:rsid w:val="00B8531F"/>
    <w:rsid w:val="00B853C7"/>
    <w:rsid w:val="00B8543C"/>
    <w:rsid w:val="00B856CE"/>
    <w:rsid w:val="00B857C7"/>
    <w:rsid w:val="00B85861"/>
    <w:rsid w:val="00B85BA5"/>
    <w:rsid w:val="00B85C04"/>
    <w:rsid w:val="00B85C8D"/>
    <w:rsid w:val="00B85DA4"/>
    <w:rsid w:val="00B860E8"/>
    <w:rsid w:val="00B86184"/>
    <w:rsid w:val="00B8637D"/>
    <w:rsid w:val="00B86863"/>
    <w:rsid w:val="00B868EB"/>
    <w:rsid w:val="00B86A1E"/>
    <w:rsid w:val="00B86B0F"/>
    <w:rsid w:val="00B86B1F"/>
    <w:rsid w:val="00B86B5A"/>
    <w:rsid w:val="00B86BB8"/>
    <w:rsid w:val="00B86C96"/>
    <w:rsid w:val="00B86D9A"/>
    <w:rsid w:val="00B86E10"/>
    <w:rsid w:val="00B86EB3"/>
    <w:rsid w:val="00B86F0B"/>
    <w:rsid w:val="00B86F0D"/>
    <w:rsid w:val="00B86F2A"/>
    <w:rsid w:val="00B86FA6"/>
    <w:rsid w:val="00B87020"/>
    <w:rsid w:val="00B871F5"/>
    <w:rsid w:val="00B872E3"/>
    <w:rsid w:val="00B87426"/>
    <w:rsid w:val="00B874A2"/>
    <w:rsid w:val="00B8756E"/>
    <w:rsid w:val="00B875BA"/>
    <w:rsid w:val="00B875FB"/>
    <w:rsid w:val="00B87655"/>
    <w:rsid w:val="00B87675"/>
    <w:rsid w:val="00B877C0"/>
    <w:rsid w:val="00B87801"/>
    <w:rsid w:val="00B8786A"/>
    <w:rsid w:val="00B878B3"/>
    <w:rsid w:val="00B87905"/>
    <w:rsid w:val="00B87A57"/>
    <w:rsid w:val="00B87A91"/>
    <w:rsid w:val="00B87AD7"/>
    <w:rsid w:val="00B87C35"/>
    <w:rsid w:val="00B87C88"/>
    <w:rsid w:val="00B87CE6"/>
    <w:rsid w:val="00B87CEC"/>
    <w:rsid w:val="00B87DE7"/>
    <w:rsid w:val="00B87DF9"/>
    <w:rsid w:val="00B87E0D"/>
    <w:rsid w:val="00B87E50"/>
    <w:rsid w:val="00B87EAA"/>
    <w:rsid w:val="00B87EAD"/>
    <w:rsid w:val="00B87FDE"/>
    <w:rsid w:val="00B9029F"/>
    <w:rsid w:val="00B9042E"/>
    <w:rsid w:val="00B90472"/>
    <w:rsid w:val="00B90497"/>
    <w:rsid w:val="00B90572"/>
    <w:rsid w:val="00B905A2"/>
    <w:rsid w:val="00B905BE"/>
    <w:rsid w:val="00B90648"/>
    <w:rsid w:val="00B90A93"/>
    <w:rsid w:val="00B90BC1"/>
    <w:rsid w:val="00B90C42"/>
    <w:rsid w:val="00B90C45"/>
    <w:rsid w:val="00B90C75"/>
    <w:rsid w:val="00B90EA3"/>
    <w:rsid w:val="00B90F77"/>
    <w:rsid w:val="00B9103A"/>
    <w:rsid w:val="00B91046"/>
    <w:rsid w:val="00B9112C"/>
    <w:rsid w:val="00B911B4"/>
    <w:rsid w:val="00B912E0"/>
    <w:rsid w:val="00B913D3"/>
    <w:rsid w:val="00B9152B"/>
    <w:rsid w:val="00B91832"/>
    <w:rsid w:val="00B918E3"/>
    <w:rsid w:val="00B91951"/>
    <w:rsid w:val="00B91A3C"/>
    <w:rsid w:val="00B91A58"/>
    <w:rsid w:val="00B91AF9"/>
    <w:rsid w:val="00B91D68"/>
    <w:rsid w:val="00B91DA0"/>
    <w:rsid w:val="00B91EAD"/>
    <w:rsid w:val="00B91F41"/>
    <w:rsid w:val="00B91F99"/>
    <w:rsid w:val="00B9207F"/>
    <w:rsid w:val="00B92084"/>
    <w:rsid w:val="00B920B9"/>
    <w:rsid w:val="00B920BC"/>
    <w:rsid w:val="00B920F9"/>
    <w:rsid w:val="00B9220E"/>
    <w:rsid w:val="00B92250"/>
    <w:rsid w:val="00B922E1"/>
    <w:rsid w:val="00B923E7"/>
    <w:rsid w:val="00B924D4"/>
    <w:rsid w:val="00B924D7"/>
    <w:rsid w:val="00B9257B"/>
    <w:rsid w:val="00B9261D"/>
    <w:rsid w:val="00B92689"/>
    <w:rsid w:val="00B9277F"/>
    <w:rsid w:val="00B927DB"/>
    <w:rsid w:val="00B92A45"/>
    <w:rsid w:val="00B92CC3"/>
    <w:rsid w:val="00B92CF6"/>
    <w:rsid w:val="00B92F67"/>
    <w:rsid w:val="00B92FDE"/>
    <w:rsid w:val="00B9305C"/>
    <w:rsid w:val="00B930D2"/>
    <w:rsid w:val="00B93173"/>
    <w:rsid w:val="00B931EB"/>
    <w:rsid w:val="00B9333C"/>
    <w:rsid w:val="00B934FF"/>
    <w:rsid w:val="00B935B8"/>
    <w:rsid w:val="00B935E5"/>
    <w:rsid w:val="00B936EF"/>
    <w:rsid w:val="00B93758"/>
    <w:rsid w:val="00B937CD"/>
    <w:rsid w:val="00B937F7"/>
    <w:rsid w:val="00B9386D"/>
    <w:rsid w:val="00B938BC"/>
    <w:rsid w:val="00B9390C"/>
    <w:rsid w:val="00B9391B"/>
    <w:rsid w:val="00B93997"/>
    <w:rsid w:val="00B939C9"/>
    <w:rsid w:val="00B93A3B"/>
    <w:rsid w:val="00B93A74"/>
    <w:rsid w:val="00B93C49"/>
    <w:rsid w:val="00B93C98"/>
    <w:rsid w:val="00B93CD5"/>
    <w:rsid w:val="00B93D40"/>
    <w:rsid w:val="00B93D91"/>
    <w:rsid w:val="00B93E44"/>
    <w:rsid w:val="00B93F6D"/>
    <w:rsid w:val="00B93FA5"/>
    <w:rsid w:val="00B93FC2"/>
    <w:rsid w:val="00B9409C"/>
    <w:rsid w:val="00B940FA"/>
    <w:rsid w:val="00B94141"/>
    <w:rsid w:val="00B94386"/>
    <w:rsid w:val="00B94393"/>
    <w:rsid w:val="00B943FC"/>
    <w:rsid w:val="00B9448C"/>
    <w:rsid w:val="00B946DB"/>
    <w:rsid w:val="00B946E5"/>
    <w:rsid w:val="00B94706"/>
    <w:rsid w:val="00B94799"/>
    <w:rsid w:val="00B94837"/>
    <w:rsid w:val="00B9484F"/>
    <w:rsid w:val="00B94970"/>
    <w:rsid w:val="00B94A75"/>
    <w:rsid w:val="00B94EA2"/>
    <w:rsid w:val="00B94FC0"/>
    <w:rsid w:val="00B9520D"/>
    <w:rsid w:val="00B95219"/>
    <w:rsid w:val="00B95283"/>
    <w:rsid w:val="00B95315"/>
    <w:rsid w:val="00B9531F"/>
    <w:rsid w:val="00B953FD"/>
    <w:rsid w:val="00B95480"/>
    <w:rsid w:val="00B95610"/>
    <w:rsid w:val="00B956FD"/>
    <w:rsid w:val="00B957DA"/>
    <w:rsid w:val="00B958FE"/>
    <w:rsid w:val="00B95938"/>
    <w:rsid w:val="00B95BA8"/>
    <w:rsid w:val="00B95C27"/>
    <w:rsid w:val="00B95C5C"/>
    <w:rsid w:val="00B95D06"/>
    <w:rsid w:val="00B95E5D"/>
    <w:rsid w:val="00B961D8"/>
    <w:rsid w:val="00B961F2"/>
    <w:rsid w:val="00B96271"/>
    <w:rsid w:val="00B962C1"/>
    <w:rsid w:val="00B964BC"/>
    <w:rsid w:val="00B9657C"/>
    <w:rsid w:val="00B9666B"/>
    <w:rsid w:val="00B96764"/>
    <w:rsid w:val="00B96A39"/>
    <w:rsid w:val="00B96B35"/>
    <w:rsid w:val="00B96B8B"/>
    <w:rsid w:val="00B96D31"/>
    <w:rsid w:val="00B96D8D"/>
    <w:rsid w:val="00B96DC9"/>
    <w:rsid w:val="00B96F28"/>
    <w:rsid w:val="00B96F54"/>
    <w:rsid w:val="00B96F7E"/>
    <w:rsid w:val="00B9709F"/>
    <w:rsid w:val="00B9721E"/>
    <w:rsid w:val="00B972C7"/>
    <w:rsid w:val="00B97342"/>
    <w:rsid w:val="00B9747A"/>
    <w:rsid w:val="00B974C7"/>
    <w:rsid w:val="00B97578"/>
    <w:rsid w:val="00B976BB"/>
    <w:rsid w:val="00B976F5"/>
    <w:rsid w:val="00B97812"/>
    <w:rsid w:val="00B979F7"/>
    <w:rsid w:val="00B97A5E"/>
    <w:rsid w:val="00B97B46"/>
    <w:rsid w:val="00B97C13"/>
    <w:rsid w:val="00B97DD5"/>
    <w:rsid w:val="00B97E2D"/>
    <w:rsid w:val="00B97EAB"/>
    <w:rsid w:val="00B9B066"/>
    <w:rsid w:val="00BA01A7"/>
    <w:rsid w:val="00BA01D0"/>
    <w:rsid w:val="00BA0224"/>
    <w:rsid w:val="00BA041E"/>
    <w:rsid w:val="00BA04D4"/>
    <w:rsid w:val="00BA05C8"/>
    <w:rsid w:val="00BA0620"/>
    <w:rsid w:val="00BA07C4"/>
    <w:rsid w:val="00BA08A2"/>
    <w:rsid w:val="00BA091F"/>
    <w:rsid w:val="00BA093F"/>
    <w:rsid w:val="00BA09AA"/>
    <w:rsid w:val="00BA0A65"/>
    <w:rsid w:val="00BA0AD5"/>
    <w:rsid w:val="00BA0BEF"/>
    <w:rsid w:val="00BA0CA0"/>
    <w:rsid w:val="00BA0CBC"/>
    <w:rsid w:val="00BA0CC0"/>
    <w:rsid w:val="00BA0D47"/>
    <w:rsid w:val="00BA0D4D"/>
    <w:rsid w:val="00BA0E3C"/>
    <w:rsid w:val="00BA0E50"/>
    <w:rsid w:val="00BA0E51"/>
    <w:rsid w:val="00BA0E90"/>
    <w:rsid w:val="00BA0EAB"/>
    <w:rsid w:val="00BA0F1C"/>
    <w:rsid w:val="00BA0F67"/>
    <w:rsid w:val="00BA0FB1"/>
    <w:rsid w:val="00BA10B2"/>
    <w:rsid w:val="00BA1162"/>
    <w:rsid w:val="00BA12D5"/>
    <w:rsid w:val="00BA12E1"/>
    <w:rsid w:val="00BA1481"/>
    <w:rsid w:val="00BA166C"/>
    <w:rsid w:val="00BA18E2"/>
    <w:rsid w:val="00BA1B0B"/>
    <w:rsid w:val="00BA1C9C"/>
    <w:rsid w:val="00BA1DBB"/>
    <w:rsid w:val="00BA1E08"/>
    <w:rsid w:val="00BA1E5F"/>
    <w:rsid w:val="00BA1F74"/>
    <w:rsid w:val="00BA1F8A"/>
    <w:rsid w:val="00BA1FE7"/>
    <w:rsid w:val="00BA1FF1"/>
    <w:rsid w:val="00BA2237"/>
    <w:rsid w:val="00BA229F"/>
    <w:rsid w:val="00BA2392"/>
    <w:rsid w:val="00BA23C0"/>
    <w:rsid w:val="00BA2531"/>
    <w:rsid w:val="00BA2538"/>
    <w:rsid w:val="00BA2650"/>
    <w:rsid w:val="00BA28B6"/>
    <w:rsid w:val="00BA2958"/>
    <w:rsid w:val="00BA2A79"/>
    <w:rsid w:val="00BA2A8E"/>
    <w:rsid w:val="00BA2AE9"/>
    <w:rsid w:val="00BA2B1D"/>
    <w:rsid w:val="00BA2B51"/>
    <w:rsid w:val="00BA2C1F"/>
    <w:rsid w:val="00BA2CBD"/>
    <w:rsid w:val="00BA2D5A"/>
    <w:rsid w:val="00BA2E6A"/>
    <w:rsid w:val="00BA3258"/>
    <w:rsid w:val="00BA32C5"/>
    <w:rsid w:val="00BA3344"/>
    <w:rsid w:val="00BA34C6"/>
    <w:rsid w:val="00BA34F3"/>
    <w:rsid w:val="00BA35F1"/>
    <w:rsid w:val="00BA38F6"/>
    <w:rsid w:val="00BA396F"/>
    <w:rsid w:val="00BA39B4"/>
    <w:rsid w:val="00BA39F8"/>
    <w:rsid w:val="00BA3A49"/>
    <w:rsid w:val="00BA3A76"/>
    <w:rsid w:val="00BA3D14"/>
    <w:rsid w:val="00BA3D29"/>
    <w:rsid w:val="00BA3D88"/>
    <w:rsid w:val="00BA3E96"/>
    <w:rsid w:val="00BA3EF0"/>
    <w:rsid w:val="00BA405F"/>
    <w:rsid w:val="00BA4061"/>
    <w:rsid w:val="00BA40CC"/>
    <w:rsid w:val="00BA415E"/>
    <w:rsid w:val="00BA41C0"/>
    <w:rsid w:val="00BA430E"/>
    <w:rsid w:val="00BA435A"/>
    <w:rsid w:val="00BA439E"/>
    <w:rsid w:val="00BA4425"/>
    <w:rsid w:val="00BA44A4"/>
    <w:rsid w:val="00BA4560"/>
    <w:rsid w:val="00BA45D5"/>
    <w:rsid w:val="00BA45E6"/>
    <w:rsid w:val="00BA4735"/>
    <w:rsid w:val="00BA4806"/>
    <w:rsid w:val="00BA4B4B"/>
    <w:rsid w:val="00BA4BC1"/>
    <w:rsid w:val="00BA4BC5"/>
    <w:rsid w:val="00BA4D1A"/>
    <w:rsid w:val="00BA4D46"/>
    <w:rsid w:val="00BA4DDC"/>
    <w:rsid w:val="00BA4DF1"/>
    <w:rsid w:val="00BA4ED8"/>
    <w:rsid w:val="00BA5048"/>
    <w:rsid w:val="00BA5186"/>
    <w:rsid w:val="00BA51C9"/>
    <w:rsid w:val="00BA5262"/>
    <w:rsid w:val="00BA5359"/>
    <w:rsid w:val="00BA548D"/>
    <w:rsid w:val="00BA54BA"/>
    <w:rsid w:val="00BA5603"/>
    <w:rsid w:val="00BA56D9"/>
    <w:rsid w:val="00BA5714"/>
    <w:rsid w:val="00BA5731"/>
    <w:rsid w:val="00BA573A"/>
    <w:rsid w:val="00BA5800"/>
    <w:rsid w:val="00BA5948"/>
    <w:rsid w:val="00BA595A"/>
    <w:rsid w:val="00BA5A92"/>
    <w:rsid w:val="00BA5AB8"/>
    <w:rsid w:val="00BA5ABA"/>
    <w:rsid w:val="00BA5B15"/>
    <w:rsid w:val="00BA5B43"/>
    <w:rsid w:val="00BA5B58"/>
    <w:rsid w:val="00BA5CCD"/>
    <w:rsid w:val="00BA5CF0"/>
    <w:rsid w:val="00BA5D65"/>
    <w:rsid w:val="00BA5DB3"/>
    <w:rsid w:val="00BA5E0D"/>
    <w:rsid w:val="00BA5FC1"/>
    <w:rsid w:val="00BA60B2"/>
    <w:rsid w:val="00BA613B"/>
    <w:rsid w:val="00BA617F"/>
    <w:rsid w:val="00BA6194"/>
    <w:rsid w:val="00BA6247"/>
    <w:rsid w:val="00BA62C6"/>
    <w:rsid w:val="00BA62E9"/>
    <w:rsid w:val="00BA63CE"/>
    <w:rsid w:val="00BA6415"/>
    <w:rsid w:val="00BA643D"/>
    <w:rsid w:val="00BA658D"/>
    <w:rsid w:val="00BA670B"/>
    <w:rsid w:val="00BA679D"/>
    <w:rsid w:val="00BA67EA"/>
    <w:rsid w:val="00BA6817"/>
    <w:rsid w:val="00BA6897"/>
    <w:rsid w:val="00BA6911"/>
    <w:rsid w:val="00BA6AA2"/>
    <w:rsid w:val="00BA6B9E"/>
    <w:rsid w:val="00BA6C7D"/>
    <w:rsid w:val="00BA6C82"/>
    <w:rsid w:val="00BA6CDD"/>
    <w:rsid w:val="00BA6D20"/>
    <w:rsid w:val="00BA6D95"/>
    <w:rsid w:val="00BA6E91"/>
    <w:rsid w:val="00BA7113"/>
    <w:rsid w:val="00BA7163"/>
    <w:rsid w:val="00BA7246"/>
    <w:rsid w:val="00BA72A0"/>
    <w:rsid w:val="00BA73C5"/>
    <w:rsid w:val="00BA7448"/>
    <w:rsid w:val="00BA7519"/>
    <w:rsid w:val="00BA756E"/>
    <w:rsid w:val="00BA7621"/>
    <w:rsid w:val="00BA77AA"/>
    <w:rsid w:val="00BA783C"/>
    <w:rsid w:val="00BA7844"/>
    <w:rsid w:val="00BA7859"/>
    <w:rsid w:val="00BA78B0"/>
    <w:rsid w:val="00BA796E"/>
    <w:rsid w:val="00BA7978"/>
    <w:rsid w:val="00BA79B9"/>
    <w:rsid w:val="00BA7B38"/>
    <w:rsid w:val="00BA7E09"/>
    <w:rsid w:val="00BA7EEE"/>
    <w:rsid w:val="00BA7F27"/>
    <w:rsid w:val="00BA7F67"/>
    <w:rsid w:val="00BA7FD2"/>
    <w:rsid w:val="00BB03BD"/>
    <w:rsid w:val="00BB04A7"/>
    <w:rsid w:val="00BB050F"/>
    <w:rsid w:val="00BB05AE"/>
    <w:rsid w:val="00BB05D9"/>
    <w:rsid w:val="00BB074D"/>
    <w:rsid w:val="00BB0767"/>
    <w:rsid w:val="00BB092D"/>
    <w:rsid w:val="00BB0A2A"/>
    <w:rsid w:val="00BB0B46"/>
    <w:rsid w:val="00BB0BE9"/>
    <w:rsid w:val="00BB0C4B"/>
    <w:rsid w:val="00BB0D5D"/>
    <w:rsid w:val="00BB0EFF"/>
    <w:rsid w:val="00BB0FEF"/>
    <w:rsid w:val="00BB1004"/>
    <w:rsid w:val="00BB103A"/>
    <w:rsid w:val="00BB11AB"/>
    <w:rsid w:val="00BB1462"/>
    <w:rsid w:val="00BB149A"/>
    <w:rsid w:val="00BB1533"/>
    <w:rsid w:val="00BB1584"/>
    <w:rsid w:val="00BB1613"/>
    <w:rsid w:val="00BB162D"/>
    <w:rsid w:val="00BB1839"/>
    <w:rsid w:val="00BB18A0"/>
    <w:rsid w:val="00BB1918"/>
    <w:rsid w:val="00BB19CA"/>
    <w:rsid w:val="00BB1BAD"/>
    <w:rsid w:val="00BB1BDC"/>
    <w:rsid w:val="00BB1CE4"/>
    <w:rsid w:val="00BB1D51"/>
    <w:rsid w:val="00BB1E04"/>
    <w:rsid w:val="00BB1E75"/>
    <w:rsid w:val="00BB2008"/>
    <w:rsid w:val="00BB21DB"/>
    <w:rsid w:val="00BB2294"/>
    <w:rsid w:val="00BB246A"/>
    <w:rsid w:val="00BB24A4"/>
    <w:rsid w:val="00BB24CB"/>
    <w:rsid w:val="00BB25A2"/>
    <w:rsid w:val="00BB2722"/>
    <w:rsid w:val="00BB2885"/>
    <w:rsid w:val="00BB28E7"/>
    <w:rsid w:val="00BB291E"/>
    <w:rsid w:val="00BB2924"/>
    <w:rsid w:val="00BB29DF"/>
    <w:rsid w:val="00BB2A5B"/>
    <w:rsid w:val="00BB2AF1"/>
    <w:rsid w:val="00BB2B19"/>
    <w:rsid w:val="00BB2B7A"/>
    <w:rsid w:val="00BB2B8D"/>
    <w:rsid w:val="00BB2CBF"/>
    <w:rsid w:val="00BB2CCF"/>
    <w:rsid w:val="00BB2CFC"/>
    <w:rsid w:val="00BB2DB9"/>
    <w:rsid w:val="00BB2E1A"/>
    <w:rsid w:val="00BB2F01"/>
    <w:rsid w:val="00BB2F60"/>
    <w:rsid w:val="00BB2FD5"/>
    <w:rsid w:val="00BB306E"/>
    <w:rsid w:val="00BB3083"/>
    <w:rsid w:val="00BB30AE"/>
    <w:rsid w:val="00BB3181"/>
    <w:rsid w:val="00BB3287"/>
    <w:rsid w:val="00BB34DC"/>
    <w:rsid w:val="00BB34FC"/>
    <w:rsid w:val="00BB35D0"/>
    <w:rsid w:val="00BB36BA"/>
    <w:rsid w:val="00BB38C5"/>
    <w:rsid w:val="00BB38C7"/>
    <w:rsid w:val="00BB38E8"/>
    <w:rsid w:val="00BB3976"/>
    <w:rsid w:val="00BB3AC4"/>
    <w:rsid w:val="00BB3BEA"/>
    <w:rsid w:val="00BB3C0F"/>
    <w:rsid w:val="00BB3C24"/>
    <w:rsid w:val="00BB3CEA"/>
    <w:rsid w:val="00BB3CEE"/>
    <w:rsid w:val="00BB3DBA"/>
    <w:rsid w:val="00BB3EC3"/>
    <w:rsid w:val="00BB3EF9"/>
    <w:rsid w:val="00BB4014"/>
    <w:rsid w:val="00BB4028"/>
    <w:rsid w:val="00BB407B"/>
    <w:rsid w:val="00BB40A4"/>
    <w:rsid w:val="00BB4318"/>
    <w:rsid w:val="00BB437F"/>
    <w:rsid w:val="00BB43B7"/>
    <w:rsid w:val="00BB445C"/>
    <w:rsid w:val="00BB45E6"/>
    <w:rsid w:val="00BB483F"/>
    <w:rsid w:val="00BB4896"/>
    <w:rsid w:val="00BB48EB"/>
    <w:rsid w:val="00BB4969"/>
    <w:rsid w:val="00BB4999"/>
    <w:rsid w:val="00BB4A6D"/>
    <w:rsid w:val="00BB4B22"/>
    <w:rsid w:val="00BB4B2B"/>
    <w:rsid w:val="00BB4B3A"/>
    <w:rsid w:val="00BB4BCD"/>
    <w:rsid w:val="00BB4C13"/>
    <w:rsid w:val="00BB4EA9"/>
    <w:rsid w:val="00BB4F7B"/>
    <w:rsid w:val="00BB503C"/>
    <w:rsid w:val="00BB51E8"/>
    <w:rsid w:val="00BB5278"/>
    <w:rsid w:val="00BB52EB"/>
    <w:rsid w:val="00BB530F"/>
    <w:rsid w:val="00BB545E"/>
    <w:rsid w:val="00BB54DC"/>
    <w:rsid w:val="00BB553D"/>
    <w:rsid w:val="00BB5615"/>
    <w:rsid w:val="00BB56C1"/>
    <w:rsid w:val="00BB56C7"/>
    <w:rsid w:val="00BB592C"/>
    <w:rsid w:val="00BB5A81"/>
    <w:rsid w:val="00BB5B3A"/>
    <w:rsid w:val="00BB5B62"/>
    <w:rsid w:val="00BB5C3F"/>
    <w:rsid w:val="00BB5E58"/>
    <w:rsid w:val="00BB5E65"/>
    <w:rsid w:val="00BB5F79"/>
    <w:rsid w:val="00BB5FAB"/>
    <w:rsid w:val="00BB6098"/>
    <w:rsid w:val="00BB60FB"/>
    <w:rsid w:val="00BB6180"/>
    <w:rsid w:val="00BB6264"/>
    <w:rsid w:val="00BB6332"/>
    <w:rsid w:val="00BB6371"/>
    <w:rsid w:val="00BB647F"/>
    <w:rsid w:val="00BB6502"/>
    <w:rsid w:val="00BB687C"/>
    <w:rsid w:val="00BB6990"/>
    <w:rsid w:val="00BB69C9"/>
    <w:rsid w:val="00BB6BCD"/>
    <w:rsid w:val="00BB6CD7"/>
    <w:rsid w:val="00BB6D08"/>
    <w:rsid w:val="00BB6D2E"/>
    <w:rsid w:val="00BB6D30"/>
    <w:rsid w:val="00BB6D47"/>
    <w:rsid w:val="00BB6E16"/>
    <w:rsid w:val="00BB6E60"/>
    <w:rsid w:val="00BB6F28"/>
    <w:rsid w:val="00BB7037"/>
    <w:rsid w:val="00BB705C"/>
    <w:rsid w:val="00BB70C0"/>
    <w:rsid w:val="00BB70C3"/>
    <w:rsid w:val="00BB70F9"/>
    <w:rsid w:val="00BB712E"/>
    <w:rsid w:val="00BB7156"/>
    <w:rsid w:val="00BB7271"/>
    <w:rsid w:val="00BB7306"/>
    <w:rsid w:val="00BB734C"/>
    <w:rsid w:val="00BB73F8"/>
    <w:rsid w:val="00BB74A4"/>
    <w:rsid w:val="00BB7618"/>
    <w:rsid w:val="00BB7631"/>
    <w:rsid w:val="00BB7651"/>
    <w:rsid w:val="00BB7691"/>
    <w:rsid w:val="00BB79C5"/>
    <w:rsid w:val="00BB7A15"/>
    <w:rsid w:val="00BB7B1A"/>
    <w:rsid w:val="00BB7C04"/>
    <w:rsid w:val="00BB7C9B"/>
    <w:rsid w:val="00BB7CAA"/>
    <w:rsid w:val="00BB7D56"/>
    <w:rsid w:val="00BB7E47"/>
    <w:rsid w:val="00BC00F1"/>
    <w:rsid w:val="00BC015F"/>
    <w:rsid w:val="00BC0176"/>
    <w:rsid w:val="00BC0529"/>
    <w:rsid w:val="00BC053B"/>
    <w:rsid w:val="00BC0552"/>
    <w:rsid w:val="00BC09BF"/>
    <w:rsid w:val="00BC09E5"/>
    <w:rsid w:val="00BC0ABA"/>
    <w:rsid w:val="00BC0B56"/>
    <w:rsid w:val="00BC0BDA"/>
    <w:rsid w:val="00BC0BEE"/>
    <w:rsid w:val="00BC0D0F"/>
    <w:rsid w:val="00BC0E07"/>
    <w:rsid w:val="00BC0EF4"/>
    <w:rsid w:val="00BC0F4B"/>
    <w:rsid w:val="00BC0FA1"/>
    <w:rsid w:val="00BC0FBC"/>
    <w:rsid w:val="00BC1091"/>
    <w:rsid w:val="00BC1314"/>
    <w:rsid w:val="00BC133B"/>
    <w:rsid w:val="00BC145A"/>
    <w:rsid w:val="00BC1527"/>
    <w:rsid w:val="00BC17AD"/>
    <w:rsid w:val="00BC18DB"/>
    <w:rsid w:val="00BC18EC"/>
    <w:rsid w:val="00BC1950"/>
    <w:rsid w:val="00BC1B29"/>
    <w:rsid w:val="00BC1CC7"/>
    <w:rsid w:val="00BC1D14"/>
    <w:rsid w:val="00BC1FDE"/>
    <w:rsid w:val="00BC2142"/>
    <w:rsid w:val="00BC2306"/>
    <w:rsid w:val="00BC2317"/>
    <w:rsid w:val="00BC2564"/>
    <w:rsid w:val="00BC267E"/>
    <w:rsid w:val="00BC2722"/>
    <w:rsid w:val="00BC2783"/>
    <w:rsid w:val="00BC2AA9"/>
    <w:rsid w:val="00BC2B2A"/>
    <w:rsid w:val="00BC2B65"/>
    <w:rsid w:val="00BC2BFA"/>
    <w:rsid w:val="00BC2C44"/>
    <w:rsid w:val="00BC2E69"/>
    <w:rsid w:val="00BC2F19"/>
    <w:rsid w:val="00BC2F31"/>
    <w:rsid w:val="00BC2F6B"/>
    <w:rsid w:val="00BC2FE1"/>
    <w:rsid w:val="00BC3096"/>
    <w:rsid w:val="00BC3206"/>
    <w:rsid w:val="00BC335F"/>
    <w:rsid w:val="00BC343B"/>
    <w:rsid w:val="00BC3707"/>
    <w:rsid w:val="00BC374F"/>
    <w:rsid w:val="00BC3A45"/>
    <w:rsid w:val="00BC3AA5"/>
    <w:rsid w:val="00BC3ABE"/>
    <w:rsid w:val="00BC3AFC"/>
    <w:rsid w:val="00BC3BCA"/>
    <w:rsid w:val="00BC3C8E"/>
    <w:rsid w:val="00BC3F2F"/>
    <w:rsid w:val="00BC3F32"/>
    <w:rsid w:val="00BC4036"/>
    <w:rsid w:val="00BC43F3"/>
    <w:rsid w:val="00BC447B"/>
    <w:rsid w:val="00BC45ED"/>
    <w:rsid w:val="00BC47E4"/>
    <w:rsid w:val="00BC481F"/>
    <w:rsid w:val="00BC48E3"/>
    <w:rsid w:val="00BC4907"/>
    <w:rsid w:val="00BC4A86"/>
    <w:rsid w:val="00BC4B4B"/>
    <w:rsid w:val="00BC4C5B"/>
    <w:rsid w:val="00BC4E78"/>
    <w:rsid w:val="00BC4F0A"/>
    <w:rsid w:val="00BC4F4F"/>
    <w:rsid w:val="00BC4FA4"/>
    <w:rsid w:val="00BC509F"/>
    <w:rsid w:val="00BC50A1"/>
    <w:rsid w:val="00BC50E1"/>
    <w:rsid w:val="00BC519B"/>
    <w:rsid w:val="00BC51D2"/>
    <w:rsid w:val="00BC5266"/>
    <w:rsid w:val="00BC53FB"/>
    <w:rsid w:val="00BC5731"/>
    <w:rsid w:val="00BC5794"/>
    <w:rsid w:val="00BC5876"/>
    <w:rsid w:val="00BC5A10"/>
    <w:rsid w:val="00BC5AAE"/>
    <w:rsid w:val="00BC5AB0"/>
    <w:rsid w:val="00BC5C07"/>
    <w:rsid w:val="00BC5F4E"/>
    <w:rsid w:val="00BC604B"/>
    <w:rsid w:val="00BC6120"/>
    <w:rsid w:val="00BC6137"/>
    <w:rsid w:val="00BC614D"/>
    <w:rsid w:val="00BC61CE"/>
    <w:rsid w:val="00BC62D9"/>
    <w:rsid w:val="00BC64BE"/>
    <w:rsid w:val="00BC654C"/>
    <w:rsid w:val="00BC657E"/>
    <w:rsid w:val="00BC6584"/>
    <w:rsid w:val="00BC6633"/>
    <w:rsid w:val="00BC66F9"/>
    <w:rsid w:val="00BC6763"/>
    <w:rsid w:val="00BC67ED"/>
    <w:rsid w:val="00BC689D"/>
    <w:rsid w:val="00BC6A10"/>
    <w:rsid w:val="00BC6D5A"/>
    <w:rsid w:val="00BC6E99"/>
    <w:rsid w:val="00BC7009"/>
    <w:rsid w:val="00BC706A"/>
    <w:rsid w:val="00BC7094"/>
    <w:rsid w:val="00BC70A0"/>
    <w:rsid w:val="00BC7155"/>
    <w:rsid w:val="00BC7279"/>
    <w:rsid w:val="00BC72BF"/>
    <w:rsid w:val="00BC7388"/>
    <w:rsid w:val="00BC73BD"/>
    <w:rsid w:val="00BC73E8"/>
    <w:rsid w:val="00BC74C4"/>
    <w:rsid w:val="00BC7550"/>
    <w:rsid w:val="00BC770C"/>
    <w:rsid w:val="00BC790A"/>
    <w:rsid w:val="00BC79C0"/>
    <w:rsid w:val="00BC7AE2"/>
    <w:rsid w:val="00BC7B5F"/>
    <w:rsid w:val="00BC7C43"/>
    <w:rsid w:val="00BC7CF8"/>
    <w:rsid w:val="00BC7CFC"/>
    <w:rsid w:val="00BC7D0C"/>
    <w:rsid w:val="00BC7EE7"/>
    <w:rsid w:val="00BD004E"/>
    <w:rsid w:val="00BD006D"/>
    <w:rsid w:val="00BD00F4"/>
    <w:rsid w:val="00BD01CB"/>
    <w:rsid w:val="00BD0206"/>
    <w:rsid w:val="00BD022C"/>
    <w:rsid w:val="00BD02A0"/>
    <w:rsid w:val="00BD0310"/>
    <w:rsid w:val="00BD03E8"/>
    <w:rsid w:val="00BD03F3"/>
    <w:rsid w:val="00BD060A"/>
    <w:rsid w:val="00BD063E"/>
    <w:rsid w:val="00BD071A"/>
    <w:rsid w:val="00BD07A7"/>
    <w:rsid w:val="00BD08B1"/>
    <w:rsid w:val="00BD08B5"/>
    <w:rsid w:val="00BD0B1D"/>
    <w:rsid w:val="00BD0B72"/>
    <w:rsid w:val="00BD0C74"/>
    <w:rsid w:val="00BD0D43"/>
    <w:rsid w:val="00BD0D48"/>
    <w:rsid w:val="00BD0F9D"/>
    <w:rsid w:val="00BD110D"/>
    <w:rsid w:val="00BD13A4"/>
    <w:rsid w:val="00BD13AD"/>
    <w:rsid w:val="00BD13D6"/>
    <w:rsid w:val="00BD1445"/>
    <w:rsid w:val="00BD1459"/>
    <w:rsid w:val="00BD14C6"/>
    <w:rsid w:val="00BD1533"/>
    <w:rsid w:val="00BD153B"/>
    <w:rsid w:val="00BD158D"/>
    <w:rsid w:val="00BD1718"/>
    <w:rsid w:val="00BD18DD"/>
    <w:rsid w:val="00BD1CDB"/>
    <w:rsid w:val="00BD1EC7"/>
    <w:rsid w:val="00BD1EFE"/>
    <w:rsid w:val="00BD1F09"/>
    <w:rsid w:val="00BD213D"/>
    <w:rsid w:val="00BD22BC"/>
    <w:rsid w:val="00BD234A"/>
    <w:rsid w:val="00BD2668"/>
    <w:rsid w:val="00BD2A02"/>
    <w:rsid w:val="00BD2A7E"/>
    <w:rsid w:val="00BD2B97"/>
    <w:rsid w:val="00BD2E23"/>
    <w:rsid w:val="00BD2FBD"/>
    <w:rsid w:val="00BD3116"/>
    <w:rsid w:val="00BD31AE"/>
    <w:rsid w:val="00BD3393"/>
    <w:rsid w:val="00BD33C0"/>
    <w:rsid w:val="00BD351D"/>
    <w:rsid w:val="00BD3529"/>
    <w:rsid w:val="00BD3822"/>
    <w:rsid w:val="00BD383F"/>
    <w:rsid w:val="00BD3887"/>
    <w:rsid w:val="00BD389B"/>
    <w:rsid w:val="00BD3924"/>
    <w:rsid w:val="00BD394C"/>
    <w:rsid w:val="00BD3C4D"/>
    <w:rsid w:val="00BD3CA0"/>
    <w:rsid w:val="00BD3CB4"/>
    <w:rsid w:val="00BD3CD1"/>
    <w:rsid w:val="00BD3DB7"/>
    <w:rsid w:val="00BD3EEB"/>
    <w:rsid w:val="00BD3F93"/>
    <w:rsid w:val="00BD401C"/>
    <w:rsid w:val="00BD4114"/>
    <w:rsid w:val="00BD4315"/>
    <w:rsid w:val="00BD4333"/>
    <w:rsid w:val="00BD4378"/>
    <w:rsid w:val="00BD450F"/>
    <w:rsid w:val="00BD4512"/>
    <w:rsid w:val="00BD454A"/>
    <w:rsid w:val="00BD462F"/>
    <w:rsid w:val="00BD4824"/>
    <w:rsid w:val="00BD48D5"/>
    <w:rsid w:val="00BD49D9"/>
    <w:rsid w:val="00BD49E5"/>
    <w:rsid w:val="00BD4A36"/>
    <w:rsid w:val="00BD4BAD"/>
    <w:rsid w:val="00BD4D31"/>
    <w:rsid w:val="00BD4DD1"/>
    <w:rsid w:val="00BD4EBB"/>
    <w:rsid w:val="00BD4EC4"/>
    <w:rsid w:val="00BD4F10"/>
    <w:rsid w:val="00BD50FC"/>
    <w:rsid w:val="00BD5133"/>
    <w:rsid w:val="00BD51EE"/>
    <w:rsid w:val="00BD521F"/>
    <w:rsid w:val="00BD52AA"/>
    <w:rsid w:val="00BD52BA"/>
    <w:rsid w:val="00BD5401"/>
    <w:rsid w:val="00BD555C"/>
    <w:rsid w:val="00BD55A4"/>
    <w:rsid w:val="00BD5673"/>
    <w:rsid w:val="00BD571A"/>
    <w:rsid w:val="00BD577A"/>
    <w:rsid w:val="00BD57C0"/>
    <w:rsid w:val="00BD58FA"/>
    <w:rsid w:val="00BD5A6F"/>
    <w:rsid w:val="00BD5B1B"/>
    <w:rsid w:val="00BD5BB9"/>
    <w:rsid w:val="00BD5DC8"/>
    <w:rsid w:val="00BD5EE2"/>
    <w:rsid w:val="00BD5FBC"/>
    <w:rsid w:val="00BD5FE7"/>
    <w:rsid w:val="00BD6069"/>
    <w:rsid w:val="00BD6108"/>
    <w:rsid w:val="00BD6343"/>
    <w:rsid w:val="00BD63B2"/>
    <w:rsid w:val="00BD6564"/>
    <w:rsid w:val="00BD657B"/>
    <w:rsid w:val="00BD65D4"/>
    <w:rsid w:val="00BD66CE"/>
    <w:rsid w:val="00BD66F6"/>
    <w:rsid w:val="00BD670B"/>
    <w:rsid w:val="00BD6A48"/>
    <w:rsid w:val="00BD6ADD"/>
    <w:rsid w:val="00BD6B69"/>
    <w:rsid w:val="00BD6C0C"/>
    <w:rsid w:val="00BD6E21"/>
    <w:rsid w:val="00BD6E6F"/>
    <w:rsid w:val="00BD6EB8"/>
    <w:rsid w:val="00BD6EF4"/>
    <w:rsid w:val="00BD6EF8"/>
    <w:rsid w:val="00BD6EFA"/>
    <w:rsid w:val="00BD6F35"/>
    <w:rsid w:val="00BD704B"/>
    <w:rsid w:val="00BD70D9"/>
    <w:rsid w:val="00BD70EE"/>
    <w:rsid w:val="00BD712D"/>
    <w:rsid w:val="00BD7189"/>
    <w:rsid w:val="00BD725E"/>
    <w:rsid w:val="00BD7397"/>
    <w:rsid w:val="00BD7686"/>
    <w:rsid w:val="00BD76D7"/>
    <w:rsid w:val="00BD76F6"/>
    <w:rsid w:val="00BD7795"/>
    <w:rsid w:val="00BD77AB"/>
    <w:rsid w:val="00BD781C"/>
    <w:rsid w:val="00BD78BD"/>
    <w:rsid w:val="00BD7B96"/>
    <w:rsid w:val="00BD7CD1"/>
    <w:rsid w:val="00BD7E01"/>
    <w:rsid w:val="00BD7E4E"/>
    <w:rsid w:val="00BD7FF4"/>
    <w:rsid w:val="00BE00E2"/>
    <w:rsid w:val="00BE014A"/>
    <w:rsid w:val="00BE024E"/>
    <w:rsid w:val="00BE0277"/>
    <w:rsid w:val="00BE0293"/>
    <w:rsid w:val="00BE035E"/>
    <w:rsid w:val="00BE03E4"/>
    <w:rsid w:val="00BE03FB"/>
    <w:rsid w:val="00BE0458"/>
    <w:rsid w:val="00BE04E1"/>
    <w:rsid w:val="00BE059C"/>
    <w:rsid w:val="00BE0797"/>
    <w:rsid w:val="00BE0860"/>
    <w:rsid w:val="00BE0889"/>
    <w:rsid w:val="00BE0A00"/>
    <w:rsid w:val="00BE0A65"/>
    <w:rsid w:val="00BE0B7B"/>
    <w:rsid w:val="00BE0BB6"/>
    <w:rsid w:val="00BE0BC1"/>
    <w:rsid w:val="00BE0CB4"/>
    <w:rsid w:val="00BE0EB1"/>
    <w:rsid w:val="00BE0F3C"/>
    <w:rsid w:val="00BE1061"/>
    <w:rsid w:val="00BE10C7"/>
    <w:rsid w:val="00BE10D6"/>
    <w:rsid w:val="00BE1122"/>
    <w:rsid w:val="00BE1189"/>
    <w:rsid w:val="00BE11A7"/>
    <w:rsid w:val="00BE1281"/>
    <w:rsid w:val="00BE1321"/>
    <w:rsid w:val="00BE134E"/>
    <w:rsid w:val="00BE1371"/>
    <w:rsid w:val="00BE13DA"/>
    <w:rsid w:val="00BE1494"/>
    <w:rsid w:val="00BE15E0"/>
    <w:rsid w:val="00BE16FB"/>
    <w:rsid w:val="00BE1713"/>
    <w:rsid w:val="00BE198E"/>
    <w:rsid w:val="00BE19C2"/>
    <w:rsid w:val="00BE1D90"/>
    <w:rsid w:val="00BE2698"/>
    <w:rsid w:val="00BE26F4"/>
    <w:rsid w:val="00BE2774"/>
    <w:rsid w:val="00BE2867"/>
    <w:rsid w:val="00BE287A"/>
    <w:rsid w:val="00BE2893"/>
    <w:rsid w:val="00BE2909"/>
    <w:rsid w:val="00BE291B"/>
    <w:rsid w:val="00BE2929"/>
    <w:rsid w:val="00BE2978"/>
    <w:rsid w:val="00BE2A69"/>
    <w:rsid w:val="00BE2A95"/>
    <w:rsid w:val="00BE2B69"/>
    <w:rsid w:val="00BE2B76"/>
    <w:rsid w:val="00BE2BC0"/>
    <w:rsid w:val="00BE2C0E"/>
    <w:rsid w:val="00BE2CDC"/>
    <w:rsid w:val="00BE2DD6"/>
    <w:rsid w:val="00BE2EB4"/>
    <w:rsid w:val="00BE2ECC"/>
    <w:rsid w:val="00BE2F5A"/>
    <w:rsid w:val="00BE305E"/>
    <w:rsid w:val="00BE3124"/>
    <w:rsid w:val="00BE318E"/>
    <w:rsid w:val="00BE31DC"/>
    <w:rsid w:val="00BE34D4"/>
    <w:rsid w:val="00BE3522"/>
    <w:rsid w:val="00BE3595"/>
    <w:rsid w:val="00BE3714"/>
    <w:rsid w:val="00BE37D3"/>
    <w:rsid w:val="00BE37D5"/>
    <w:rsid w:val="00BE37F4"/>
    <w:rsid w:val="00BE3986"/>
    <w:rsid w:val="00BE3B81"/>
    <w:rsid w:val="00BE3CB8"/>
    <w:rsid w:val="00BE3DED"/>
    <w:rsid w:val="00BE3E07"/>
    <w:rsid w:val="00BE3F04"/>
    <w:rsid w:val="00BE4247"/>
    <w:rsid w:val="00BE42CC"/>
    <w:rsid w:val="00BE4348"/>
    <w:rsid w:val="00BE451B"/>
    <w:rsid w:val="00BE453F"/>
    <w:rsid w:val="00BE454F"/>
    <w:rsid w:val="00BE45A1"/>
    <w:rsid w:val="00BE4695"/>
    <w:rsid w:val="00BE48E4"/>
    <w:rsid w:val="00BE4A8E"/>
    <w:rsid w:val="00BE4BA1"/>
    <w:rsid w:val="00BE4C1D"/>
    <w:rsid w:val="00BE4C56"/>
    <w:rsid w:val="00BE4CFF"/>
    <w:rsid w:val="00BE4D19"/>
    <w:rsid w:val="00BE4D4D"/>
    <w:rsid w:val="00BE4DF9"/>
    <w:rsid w:val="00BE522A"/>
    <w:rsid w:val="00BE5464"/>
    <w:rsid w:val="00BE54E7"/>
    <w:rsid w:val="00BE54E8"/>
    <w:rsid w:val="00BE5621"/>
    <w:rsid w:val="00BE573B"/>
    <w:rsid w:val="00BE57B5"/>
    <w:rsid w:val="00BE5807"/>
    <w:rsid w:val="00BE5913"/>
    <w:rsid w:val="00BE5943"/>
    <w:rsid w:val="00BE5990"/>
    <w:rsid w:val="00BE59BA"/>
    <w:rsid w:val="00BE59F5"/>
    <w:rsid w:val="00BE5A1D"/>
    <w:rsid w:val="00BE5ABE"/>
    <w:rsid w:val="00BE5AFE"/>
    <w:rsid w:val="00BE5B63"/>
    <w:rsid w:val="00BE5C34"/>
    <w:rsid w:val="00BE5D53"/>
    <w:rsid w:val="00BE5DC9"/>
    <w:rsid w:val="00BE5DD8"/>
    <w:rsid w:val="00BE5EBD"/>
    <w:rsid w:val="00BE5F6D"/>
    <w:rsid w:val="00BE5FF0"/>
    <w:rsid w:val="00BE6088"/>
    <w:rsid w:val="00BE61AC"/>
    <w:rsid w:val="00BE6285"/>
    <w:rsid w:val="00BE632B"/>
    <w:rsid w:val="00BE6372"/>
    <w:rsid w:val="00BE63D9"/>
    <w:rsid w:val="00BE64CE"/>
    <w:rsid w:val="00BE6612"/>
    <w:rsid w:val="00BE663E"/>
    <w:rsid w:val="00BE67A6"/>
    <w:rsid w:val="00BE68C7"/>
    <w:rsid w:val="00BE6917"/>
    <w:rsid w:val="00BE6A23"/>
    <w:rsid w:val="00BE6C1F"/>
    <w:rsid w:val="00BE6D31"/>
    <w:rsid w:val="00BE6D46"/>
    <w:rsid w:val="00BE6D8A"/>
    <w:rsid w:val="00BE6DCC"/>
    <w:rsid w:val="00BE6EA4"/>
    <w:rsid w:val="00BE6EAA"/>
    <w:rsid w:val="00BE7011"/>
    <w:rsid w:val="00BE70F0"/>
    <w:rsid w:val="00BE71FD"/>
    <w:rsid w:val="00BE73FC"/>
    <w:rsid w:val="00BE75D3"/>
    <w:rsid w:val="00BE7629"/>
    <w:rsid w:val="00BE762A"/>
    <w:rsid w:val="00BE76B3"/>
    <w:rsid w:val="00BE774E"/>
    <w:rsid w:val="00BE778B"/>
    <w:rsid w:val="00BE780B"/>
    <w:rsid w:val="00BE7A0A"/>
    <w:rsid w:val="00BE7A7C"/>
    <w:rsid w:val="00BE7CAE"/>
    <w:rsid w:val="00BE7CE7"/>
    <w:rsid w:val="00BE7E87"/>
    <w:rsid w:val="00BE7ED8"/>
    <w:rsid w:val="00BE7F6E"/>
    <w:rsid w:val="00BF00D2"/>
    <w:rsid w:val="00BF016A"/>
    <w:rsid w:val="00BF01A3"/>
    <w:rsid w:val="00BF01BC"/>
    <w:rsid w:val="00BF021A"/>
    <w:rsid w:val="00BF0224"/>
    <w:rsid w:val="00BF02F7"/>
    <w:rsid w:val="00BF03FC"/>
    <w:rsid w:val="00BF043B"/>
    <w:rsid w:val="00BF0504"/>
    <w:rsid w:val="00BF053E"/>
    <w:rsid w:val="00BF0760"/>
    <w:rsid w:val="00BF0793"/>
    <w:rsid w:val="00BF09AB"/>
    <w:rsid w:val="00BF0A44"/>
    <w:rsid w:val="00BF0AB5"/>
    <w:rsid w:val="00BF0B7C"/>
    <w:rsid w:val="00BF0B90"/>
    <w:rsid w:val="00BF0BFE"/>
    <w:rsid w:val="00BF0BFF"/>
    <w:rsid w:val="00BF0C1F"/>
    <w:rsid w:val="00BF0C74"/>
    <w:rsid w:val="00BF0CBA"/>
    <w:rsid w:val="00BF0CCD"/>
    <w:rsid w:val="00BF0CEC"/>
    <w:rsid w:val="00BF1293"/>
    <w:rsid w:val="00BF134E"/>
    <w:rsid w:val="00BF135F"/>
    <w:rsid w:val="00BF148A"/>
    <w:rsid w:val="00BF1595"/>
    <w:rsid w:val="00BF1724"/>
    <w:rsid w:val="00BF1806"/>
    <w:rsid w:val="00BF1854"/>
    <w:rsid w:val="00BF1924"/>
    <w:rsid w:val="00BF1992"/>
    <w:rsid w:val="00BF1A44"/>
    <w:rsid w:val="00BF1A72"/>
    <w:rsid w:val="00BF1B75"/>
    <w:rsid w:val="00BF1CED"/>
    <w:rsid w:val="00BF1D62"/>
    <w:rsid w:val="00BF1DC6"/>
    <w:rsid w:val="00BF1EDE"/>
    <w:rsid w:val="00BF1EDF"/>
    <w:rsid w:val="00BF214E"/>
    <w:rsid w:val="00BF21F4"/>
    <w:rsid w:val="00BF226D"/>
    <w:rsid w:val="00BF22A9"/>
    <w:rsid w:val="00BF22DB"/>
    <w:rsid w:val="00BF233E"/>
    <w:rsid w:val="00BF236E"/>
    <w:rsid w:val="00BF237B"/>
    <w:rsid w:val="00BF2410"/>
    <w:rsid w:val="00BF260F"/>
    <w:rsid w:val="00BF26D6"/>
    <w:rsid w:val="00BF2888"/>
    <w:rsid w:val="00BF28DD"/>
    <w:rsid w:val="00BF29EF"/>
    <w:rsid w:val="00BF2AB3"/>
    <w:rsid w:val="00BF2AEF"/>
    <w:rsid w:val="00BF2B31"/>
    <w:rsid w:val="00BF2C90"/>
    <w:rsid w:val="00BF2D09"/>
    <w:rsid w:val="00BF2D59"/>
    <w:rsid w:val="00BF2DD4"/>
    <w:rsid w:val="00BF2E8A"/>
    <w:rsid w:val="00BF2F07"/>
    <w:rsid w:val="00BF306B"/>
    <w:rsid w:val="00BF30A7"/>
    <w:rsid w:val="00BF3323"/>
    <w:rsid w:val="00BF338A"/>
    <w:rsid w:val="00BF33A6"/>
    <w:rsid w:val="00BF34B8"/>
    <w:rsid w:val="00BF34BC"/>
    <w:rsid w:val="00BF350A"/>
    <w:rsid w:val="00BF3570"/>
    <w:rsid w:val="00BF35FE"/>
    <w:rsid w:val="00BF372D"/>
    <w:rsid w:val="00BF375D"/>
    <w:rsid w:val="00BF37CF"/>
    <w:rsid w:val="00BF3812"/>
    <w:rsid w:val="00BF3ADA"/>
    <w:rsid w:val="00BF3CF7"/>
    <w:rsid w:val="00BF3E13"/>
    <w:rsid w:val="00BF3F22"/>
    <w:rsid w:val="00BF3FA2"/>
    <w:rsid w:val="00BF4015"/>
    <w:rsid w:val="00BF40F0"/>
    <w:rsid w:val="00BF446A"/>
    <w:rsid w:val="00BF4524"/>
    <w:rsid w:val="00BF4550"/>
    <w:rsid w:val="00BF45EB"/>
    <w:rsid w:val="00BF47D1"/>
    <w:rsid w:val="00BF483D"/>
    <w:rsid w:val="00BF487A"/>
    <w:rsid w:val="00BF48D9"/>
    <w:rsid w:val="00BF4A58"/>
    <w:rsid w:val="00BF4B48"/>
    <w:rsid w:val="00BF4B4E"/>
    <w:rsid w:val="00BF4B94"/>
    <w:rsid w:val="00BF4BEB"/>
    <w:rsid w:val="00BF4C06"/>
    <w:rsid w:val="00BF4C29"/>
    <w:rsid w:val="00BF4D20"/>
    <w:rsid w:val="00BF4D3D"/>
    <w:rsid w:val="00BF4E3A"/>
    <w:rsid w:val="00BF541E"/>
    <w:rsid w:val="00BF541F"/>
    <w:rsid w:val="00BF55E9"/>
    <w:rsid w:val="00BF574E"/>
    <w:rsid w:val="00BF582C"/>
    <w:rsid w:val="00BF583C"/>
    <w:rsid w:val="00BF597C"/>
    <w:rsid w:val="00BF59AF"/>
    <w:rsid w:val="00BF5B0D"/>
    <w:rsid w:val="00BF5B1E"/>
    <w:rsid w:val="00BF5B8C"/>
    <w:rsid w:val="00BF5BFE"/>
    <w:rsid w:val="00BF5C1B"/>
    <w:rsid w:val="00BF5C84"/>
    <w:rsid w:val="00BF5CF1"/>
    <w:rsid w:val="00BF5F06"/>
    <w:rsid w:val="00BF6083"/>
    <w:rsid w:val="00BF6146"/>
    <w:rsid w:val="00BF6279"/>
    <w:rsid w:val="00BF62C6"/>
    <w:rsid w:val="00BF6342"/>
    <w:rsid w:val="00BF6359"/>
    <w:rsid w:val="00BF63AF"/>
    <w:rsid w:val="00BF64F7"/>
    <w:rsid w:val="00BF653F"/>
    <w:rsid w:val="00BF657B"/>
    <w:rsid w:val="00BF65DA"/>
    <w:rsid w:val="00BF662C"/>
    <w:rsid w:val="00BF66B7"/>
    <w:rsid w:val="00BF66DF"/>
    <w:rsid w:val="00BF6704"/>
    <w:rsid w:val="00BF672D"/>
    <w:rsid w:val="00BF6803"/>
    <w:rsid w:val="00BF6984"/>
    <w:rsid w:val="00BF698A"/>
    <w:rsid w:val="00BF69A5"/>
    <w:rsid w:val="00BF6A08"/>
    <w:rsid w:val="00BF6A24"/>
    <w:rsid w:val="00BF6A68"/>
    <w:rsid w:val="00BF6B55"/>
    <w:rsid w:val="00BF6B9F"/>
    <w:rsid w:val="00BF6C63"/>
    <w:rsid w:val="00BF6CA5"/>
    <w:rsid w:val="00BF6D7B"/>
    <w:rsid w:val="00BF6DA8"/>
    <w:rsid w:val="00BF6E1C"/>
    <w:rsid w:val="00BF6EE5"/>
    <w:rsid w:val="00BF6FC6"/>
    <w:rsid w:val="00BF708D"/>
    <w:rsid w:val="00BF7091"/>
    <w:rsid w:val="00BF7152"/>
    <w:rsid w:val="00BF73F0"/>
    <w:rsid w:val="00BF7412"/>
    <w:rsid w:val="00BF749D"/>
    <w:rsid w:val="00BF7576"/>
    <w:rsid w:val="00BF75B1"/>
    <w:rsid w:val="00BF75C9"/>
    <w:rsid w:val="00BF781F"/>
    <w:rsid w:val="00BF7918"/>
    <w:rsid w:val="00BF796B"/>
    <w:rsid w:val="00BF7A49"/>
    <w:rsid w:val="00BF7A9A"/>
    <w:rsid w:val="00BF7B29"/>
    <w:rsid w:val="00BF7B6D"/>
    <w:rsid w:val="00BF7BD3"/>
    <w:rsid w:val="00BF7D0E"/>
    <w:rsid w:val="00BF7D30"/>
    <w:rsid w:val="00C0000A"/>
    <w:rsid w:val="00C00093"/>
    <w:rsid w:val="00C000E8"/>
    <w:rsid w:val="00C00293"/>
    <w:rsid w:val="00C002B9"/>
    <w:rsid w:val="00C002BB"/>
    <w:rsid w:val="00C00321"/>
    <w:rsid w:val="00C00352"/>
    <w:rsid w:val="00C003F7"/>
    <w:rsid w:val="00C00425"/>
    <w:rsid w:val="00C00544"/>
    <w:rsid w:val="00C00729"/>
    <w:rsid w:val="00C00762"/>
    <w:rsid w:val="00C007A5"/>
    <w:rsid w:val="00C007CE"/>
    <w:rsid w:val="00C00810"/>
    <w:rsid w:val="00C00A22"/>
    <w:rsid w:val="00C00BF6"/>
    <w:rsid w:val="00C00D5A"/>
    <w:rsid w:val="00C00F18"/>
    <w:rsid w:val="00C00F9E"/>
    <w:rsid w:val="00C00FF4"/>
    <w:rsid w:val="00C0110E"/>
    <w:rsid w:val="00C0129E"/>
    <w:rsid w:val="00C01453"/>
    <w:rsid w:val="00C014C7"/>
    <w:rsid w:val="00C01526"/>
    <w:rsid w:val="00C01675"/>
    <w:rsid w:val="00C01740"/>
    <w:rsid w:val="00C0191A"/>
    <w:rsid w:val="00C01BAC"/>
    <w:rsid w:val="00C01BC8"/>
    <w:rsid w:val="00C01CDC"/>
    <w:rsid w:val="00C01CE4"/>
    <w:rsid w:val="00C01D0B"/>
    <w:rsid w:val="00C01D39"/>
    <w:rsid w:val="00C01FF9"/>
    <w:rsid w:val="00C0200C"/>
    <w:rsid w:val="00C02027"/>
    <w:rsid w:val="00C020A8"/>
    <w:rsid w:val="00C02182"/>
    <w:rsid w:val="00C022E1"/>
    <w:rsid w:val="00C022F6"/>
    <w:rsid w:val="00C023B1"/>
    <w:rsid w:val="00C02437"/>
    <w:rsid w:val="00C02512"/>
    <w:rsid w:val="00C0251C"/>
    <w:rsid w:val="00C02780"/>
    <w:rsid w:val="00C027B9"/>
    <w:rsid w:val="00C0288C"/>
    <w:rsid w:val="00C028F0"/>
    <w:rsid w:val="00C02938"/>
    <w:rsid w:val="00C02973"/>
    <w:rsid w:val="00C02A92"/>
    <w:rsid w:val="00C02ABC"/>
    <w:rsid w:val="00C02BA4"/>
    <w:rsid w:val="00C02CC7"/>
    <w:rsid w:val="00C02DB1"/>
    <w:rsid w:val="00C02E74"/>
    <w:rsid w:val="00C02FB0"/>
    <w:rsid w:val="00C0310C"/>
    <w:rsid w:val="00C032B4"/>
    <w:rsid w:val="00C034A4"/>
    <w:rsid w:val="00C0384F"/>
    <w:rsid w:val="00C0394B"/>
    <w:rsid w:val="00C03BAC"/>
    <w:rsid w:val="00C03BB4"/>
    <w:rsid w:val="00C03D40"/>
    <w:rsid w:val="00C03DD0"/>
    <w:rsid w:val="00C03E0F"/>
    <w:rsid w:val="00C03E6D"/>
    <w:rsid w:val="00C04140"/>
    <w:rsid w:val="00C04292"/>
    <w:rsid w:val="00C04445"/>
    <w:rsid w:val="00C04479"/>
    <w:rsid w:val="00C04500"/>
    <w:rsid w:val="00C0458C"/>
    <w:rsid w:val="00C04705"/>
    <w:rsid w:val="00C049AA"/>
    <w:rsid w:val="00C049CA"/>
    <w:rsid w:val="00C04A7F"/>
    <w:rsid w:val="00C04B02"/>
    <w:rsid w:val="00C04B81"/>
    <w:rsid w:val="00C04C4D"/>
    <w:rsid w:val="00C04C92"/>
    <w:rsid w:val="00C04CB9"/>
    <w:rsid w:val="00C04CFE"/>
    <w:rsid w:val="00C04E2B"/>
    <w:rsid w:val="00C05055"/>
    <w:rsid w:val="00C05081"/>
    <w:rsid w:val="00C050DC"/>
    <w:rsid w:val="00C051AA"/>
    <w:rsid w:val="00C051DF"/>
    <w:rsid w:val="00C0527B"/>
    <w:rsid w:val="00C052AC"/>
    <w:rsid w:val="00C0535E"/>
    <w:rsid w:val="00C05362"/>
    <w:rsid w:val="00C055C2"/>
    <w:rsid w:val="00C055CD"/>
    <w:rsid w:val="00C05701"/>
    <w:rsid w:val="00C059C6"/>
    <w:rsid w:val="00C05A14"/>
    <w:rsid w:val="00C05AAD"/>
    <w:rsid w:val="00C05BA9"/>
    <w:rsid w:val="00C05BBB"/>
    <w:rsid w:val="00C05BDA"/>
    <w:rsid w:val="00C05CB1"/>
    <w:rsid w:val="00C05D1B"/>
    <w:rsid w:val="00C05E6C"/>
    <w:rsid w:val="00C05FE7"/>
    <w:rsid w:val="00C06012"/>
    <w:rsid w:val="00C06071"/>
    <w:rsid w:val="00C060A0"/>
    <w:rsid w:val="00C060F8"/>
    <w:rsid w:val="00C062BC"/>
    <w:rsid w:val="00C06360"/>
    <w:rsid w:val="00C06486"/>
    <w:rsid w:val="00C064FE"/>
    <w:rsid w:val="00C06696"/>
    <w:rsid w:val="00C06767"/>
    <w:rsid w:val="00C06790"/>
    <w:rsid w:val="00C068CD"/>
    <w:rsid w:val="00C068D3"/>
    <w:rsid w:val="00C06ABD"/>
    <w:rsid w:val="00C06B5A"/>
    <w:rsid w:val="00C06B96"/>
    <w:rsid w:val="00C06BA3"/>
    <w:rsid w:val="00C06E4D"/>
    <w:rsid w:val="00C06FAB"/>
    <w:rsid w:val="00C06FC1"/>
    <w:rsid w:val="00C07187"/>
    <w:rsid w:val="00C0721D"/>
    <w:rsid w:val="00C07478"/>
    <w:rsid w:val="00C075C9"/>
    <w:rsid w:val="00C075D4"/>
    <w:rsid w:val="00C0761A"/>
    <w:rsid w:val="00C076BD"/>
    <w:rsid w:val="00C07732"/>
    <w:rsid w:val="00C07B58"/>
    <w:rsid w:val="00C07B6F"/>
    <w:rsid w:val="00C07B76"/>
    <w:rsid w:val="00C07C0B"/>
    <w:rsid w:val="00C07C57"/>
    <w:rsid w:val="00C07ECF"/>
    <w:rsid w:val="00C07FAD"/>
    <w:rsid w:val="00C09C57"/>
    <w:rsid w:val="00C10000"/>
    <w:rsid w:val="00C1004C"/>
    <w:rsid w:val="00C100B4"/>
    <w:rsid w:val="00C101B2"/>
    <w:rsid w:val="00C102AF"/>
    <w:rsid w:val="00C102B2"/>
    <w:rsid w:val="00C102E3"/>
    <w:rsid w:val="00C10458"/>
    <w:rsid w:val="00C10463"/>
    <w:rsid w:val="00C10583"/>
    <w:rsid w:val="00C106C4"/>
    <w:rsid w:val="00C10893"/>
    <w:rsid w:val="00C109A7"/>
    <w:rsid w:val="00C109F2"/>
    <w:rsid w:val="00C10CAB"/>
    <w:rsid w:val="00C10CBF"/>
    <w:rsid w:val="00C10CF2"/>
    <w:rsid w:val="00C10EC5"/>
    <w:rsid w:val="00C10ECC"/>
    <w:rsid w:val="00C10F07"/>
    <w:rsid w:val="00C10FE9"/>
    <w:rsid w:val="00C111D6"/>
    <w:rsid w:val="00C111EA"/>
    <w:rsid w:val="00C11244"/>
    <w:rsid w:val="00C11311"/>
    <w:rsid w:val="00C11749"/>
    <w:rsid w:val="00C118AD"/>
    <w:rsid w:val="00C1196C"/>
    <w:rsid w:val="00C11978"/>
    <w:rsid w:val="00C119A3"/>
    <w:rsid w:val="00C119AD"/>
    <w:rsid w:val="00C119AE"/>
    <w:rsid w:val="00C119D7"/>
    <w:rsid w:val="00C11B8A"/>
    <w:rsid w:val="00C11BB6"/>
    <w:rsid w:val="00C11BE0"/>
    <w:rsid w:val="00C11BE3"/>
    <w:rsid w:val="00C11CD3"/>
    <w:rsid w:val="00C11D25"/>
    <w:rsid w:val="00C11E94"/>
    <w:rsid w:val="00C11EBA"/>
    <w:rsid w:val="00C11F6B"/>
    <w:rsid w:val="00C11FA0"/>
    <w:rsid w:val="00C1228D"/>
    <w:rsid w:val="00C12317"/>
    <w:rsid w:val="00C12493"/>
    <w:rsid w:val="00C12604"/>
    <w:rsid w:val="00C127BC"/>
    <w:rsid w:val="00C127BE"/>
    <w:rsid w:val="00C1283A"/>
    <w:rsid w:val="00C12974"/>
    <w:rsid w:val="00C129AA"/>
    <w:rsid w:val="00C129D0"/>
    <w:rsid w:val="00C12CC7"/>
    <w:rsid w:val="00C12EFF"/>
    <w:rsid w:val="00C12F3B"/>
    <w:rsid w:val="00C12FF1"/>
    <w:rsid w:val="00C130CC"/>
    <w:rsid w:val="00C130E6"/>
    <w:rsid w:val="00C13108"/>
    <w:rsid w:val="00C131B9"/>
    <w:rsid w:val="00C132D3"/>
    <w:rsid w:val="00C1330A"/>
    <w:rsid w:val="00C134F2"/>
    <w:rsid w:val="00C13615"/>
    <w:rsid w:val="00C13696"/>
    <w:rsid w:val="00C13736"/>
    <w:rsid w:val="00C13741"/>
    <w:rsid w:val="00C137A0"/>
    <w:rsid w:val="00C137ED"/>
    <w:rsid w:val="00C138B7"/>
    <w:rsid w:val="00C13ACA"/>
    <w:rsid w:val="00C13C58"/>
    <w:rsid w:val="00C13C6B"/>
    <w:rsid w:val="00C13DE0"/>
    <w:rsid w:val="00C13E92"/>
    <w:rsid w:val="00C13FBC"/>
    <w:rsid w:val="00C13FED"/>
    <w:rsid w:val="00C14115"/>
    <w:rsid w:val="00C14232"/>
    <w:rsid w:val="00C1452F"/>
    <w:rsid w:val="00C14561"/>
    <w:rsid w:val="00C145B3"/>
    <w:rsid w:val="00C145F4"/>
    <w:rsid w:val="00C146CC"/>
    <w:rsid w:val="00C14701"/>
    <w:rsid w:val="00C14804"/>
    <w:rsid w:val="00C14839"/>
    <w:rsid w:val="00C149B6"/>
    <w:rsid w:val="00C14A96"/>
    <w:rsid w:val="00C14BD6"/>
    <w:rsid w:val="00C14BE7"/>
    <w:rsid w:val="00C14C66"/>
    <w:rsid w:val="00C14DE3"/>
    <w:rsid w:val="00C14E7D"/>
    <w:rsid w:val="00C14F5C"/>
    <w:rsid w:val="00C14F9B"/>
    <w:rsid w:val="00C1507F"/>
    <w:rsid w:val="00C15089"/>
    <w:rsid w:val="00C151A0"/>
    <w:rsid w:val="00C151A8"/>
    <w:rsid w:val="00C15279"/>
    <w:rsid w:val="00C153B7"/>
    <w:rsid w:val="00C1550E"/>
    <w:rsid w:val="00C15516"/>
    <w:rsid w:val="00C15554"/>
    <w:rsid w:val="00C1559F"/>
    <w:rsid w:val="00C15607"/>
    <w:rsid w:val="00C15671"/>
    <w:rsid w:val="00C15722"/>
    <w:rsid w:val="00C15735"/>
    <w:rsid w:val="00C15791"/>
    <w:rsid w:val="00C157E9"/>
    <w:rsid w:val="00C15866"/>
    <w:rsid w:val="00C1588E"/>
    <w:rsid w:val="00C159A6"/>
    <w:rsid w:val="00C15B83"/>
    <w:rsid w:val="00C15B9D"/>
    <w:rsid w:val="00C15C09"/>
    <w:rsid w:val="00C15C3B"/>
    <w:rsid w:val="00C15CBA"/>
    <w:rsid w:val="00C15CC3"/>
    <w:rsid w:val="00C15EE0"/>
    <w:rsid w:val="00C15FE9"/>
    <w:rsid w:val="00C161EA"/>
    <w:rsid w:val="00C1655A"/>
    <w:rsid w:val="00C16566"/>
    <w:rsid w:val="00C16832"/>
    <w:rsid w:val="00C16897"/>
    <w:rsid w:val="00C16A3B"/>
    <w:rsid w:val="00C16AC5"/>
    <w:rsid w:val="00C16CF9"/>
    <w:rsid w:val="00C16D03"/>
    <w:rsid w:val="00C16D50"/>
    <w:rsid w:val="00C16D58"/>
    <w:rsid w:val="00C16DFC"/>
    <w:rsid w:val="00C16EED"/>
    <w:rsid w:val="00C1714A"/>
    <w:rsid w:val="00C17156"/>
    <w:rsid w:val="00C171EB"/>
    <w:rsid w:val="00C17243"/>
    <w:rsid w:val="00C172BF"/>
    <w:rsid w:val="00C1739A"/>
    <w:rsid w:val="00C173D2"/>
    <w:rsid w:val="00C1757A"/>
    <w:rsid w:val="00C17639"/>
    <w:rsid w:val="00C17697"/>
    <w:rsid w:val="00C177BA"/>
    <w:rsid w:val="00C17A95"/>
    <w:rsid w:val="00C17B2C"/>
    <w:rsid w:val="00C17C6D"/>
    <w:rsid w:val="00C17CB4"/>
    <w:rsid w:val="00C17D59"/>
    <w:rsid w:val="00C17D85"/>
    <w:rsid w:val="00C20046"/>
    <w:rsid w:val="00C2009D"/>
    <w:rsid w:val="00C200C9"/>
    <w:rsid w:val="00C200CC"/>
    <w:rsid w:val="00C20161"/>
    <w:rsid w:val="00C2019A"/>
    <w:rsid w:val="00C20263"/>
    <w:rsid w:val="00C2032F"/>
    <w:rsid w:val="00C205C0"/>
    <w:rsid w:val="00C205C5"/>
    <w:rsid w:val="00C205FB"/>
    <w:rsid w:val="00C20673"/>
    <w:rsid w:val="00C206D9"/>
    <w:rsid w:val="00C206E3"/>
    <w:rsid w:val="00C2074A"/>
    <w:rsid w:val="00C20878"/>
    <w:rsid w:val="00C209EE"/>
    <w:rsid w:val="00C20A06"/>
    <w:rsid w:val="00C20B75"/>
    <w:rsid w:val="00C20C56"/>
    <w:rsid w:val="00C20F6B"/>
    <w:rsid w:val="00C21050"/>
    <w:rsid w:val="00C2105C"/>
    <w:rsid w:val="00C21083"/>
    <w:rsid w:val="00C210C4"/>
    <w:rsid w:val="00C213F4"/>
    <w:rsid w:val="00C21401"/>
    <w:rsid w:val="00C214B3"/>
    <w:rsid w:val="00C21632"/>
    <w:rsid w:val="00C21724"/>
    <w:rsid w:val="00C21885"/>
    <w:rsid w:val="00C218FD"/>
    <w:rsid w:val="00C21AD5"/>
    <w:rsid w:val="00C21C5E"/>
    <w:rsid w:val="00C21C67"/>
    <w:rsid w:val="00C21CBD"/>
    <w:rsid w:val="00C21D8E"/>
    <w:rsid w:val="00C21FFC"/>
    <w:rsid w:val="00C221A0"/>
    <w:rsid w:val="00C2221C"/>
    <w:rsid w:val="00C2224A"/>
    <w:rsid w:val="00C22398"/>
    <w:rsid w:val="00C223C3"/>
    <w:rsid w:val="00C2246A"/>
    <w:rsid w:val="00C22480"/>
    <w:rsid w:val="00C22525"/>
    <w:rsid w:val="00C225E7"/>
    <w:rsid w:val="00C22688"/>
    <w:rsid w:val="00C22721"/>
    <w:rsid w:val="00C22930"/>
    <w:rsid w:val="00C22944"/>
    <w:rsid w:val="00C22996"/>
    <w:rsid w:val="00C229E2"/>
    <w:rsid w:val="00C22A07"/>
    <w:rsid w:val="00C22ABD"/>
    <w:rsid w:val="00C22C92"/>
    <w:rsid w:val="00C22CC2"/>
    <w:rsid w:val="00C22D8F"/>
    <w:rsid w:val="00C22FFD"/>
    <w:rsid w:val="00C23403"/>
    <w:rsid w:val="00C2340B"/>
    <w:rsid w:val="00C237BB"/>
    <w:rsid w:val="00C23966"/>
    <w:rsid w:val="00C2397A"/>
    <w:rsid w:val="00C23A83"/>
    <w:rsid w:val="00C23AC3"/>
    <w:rsid w:val="00C23B0B"/>
    <w:rsid w:val="00C23B79"/>
    <w:rsid w:val="00C23BDB"/>
    <w:rsid w:val="00C23D18"/>
    <w:rsid w:val="00C23D90"/>
    <w:rsid w:val="00C23DBB"/>
    <w:rsid w:val="00C23FE1"/>
    <w:rsid w:val="00C24076"/>
    <w:rsid w:val="00C2408F"/>
    <w:rsid w:val="00C2410D"/>
    <w:rsid w:val="00C24217"/>
    <w:rsid w:val="00C242A7"/>
    <w:rsid w:val="00C2459E"/>
    <w:rsid w:val="00C245CC"/>
    <w:rsid w:val="00C24685"/>
    <w:rsid w:val="00C24765"/>
    <w:rsid w:val="00C24837"/>
    <w:rsid w:val="00C2487D"/>
    <w:rsid w:val="00C24900"/>
    <w:rsid w:val="00C2491D"/>
    <w:rsid w:val="00C24941"/>
    <w:rsid w:val="00C24A24"/>
    <w:rsid w:val="00C24A50"/>
    <w:rsid w:val="00C24B1C"/>
    <w:rsid w:val="00C24BAF"/>
    <w:rsid w:val="00C24C1F"/>
    <w:rsid w:val="00C24CBB"/>
    <w:rsid w:val="00C24DAC"/>
    <w:rsid w:val="00C24F4C"/>
    <w:rsid w:val="00C24F71"/>
    <w:rsid w:val="00C24FA7"/>
    <w:rsid w:val="00C25106"/>
    <w:rsid w:val="00C2514B"/>
    <w:rsid w:val="00C251B6"/>
    <w:rsid w:val="00C252C8"/>
    <w:rsid w:val="00C25517"/>
    <w:rsid w:val="00C255E0"/>
    <w:rsid w:val="00C25624"/>
    <w:rsid w:val="00C25771"/>
    <w:rsid w:val="00C25900"/>
    <w:rsid w:val="00C2595D"/>
    <w:rsid w:val="00C25B26"/>
    <w:rsid w:val="00C25D07"/>
    <w:rsid w:val="00C25D20"/>
    <w:rsid w:val="00C25D4D"/>
    <w:rsid w:val="00C25F8B"/>
    <w:rsid w:val="00C25FB5"/>
    <w:rsid w:val="00C26062"/>
    <w:rsid w:val="00C2618B"/>
    <w:rsid w:val="00C26267"/>
    <w:rsid w:val="00C26353"/>
    <w:rsid w:val="00C26510"/>
    <w:rsid w:val="00C26526"/>
    <w:rsid w:val="00C265C0"/>
    <w:rsid w:val="00C265EC"/>
    <w:rsid w:val="00C2669C"/>
    <w:rsid w:val="00C266AE"/>
    <w:rsid w:val="00C26A4B"/>
    <w:rsid w:val="00C26AC5"/>
    <w:rsid w:val="00C26B26"/>
    <w:rsid w:val="00C26B9E"/>
    <w:rsid w:val="00C26C14"/>
    <w:rsid w:val="00C26C32"/>
    <w:rsid w:val="00C26CDE"/>
    <w:rsid w:val="00C26FE9"/>
    <w:rsid w:val="00C27069"/>
    <w:rsid w:val="00C2712A"/>
    <w:rsid w:val="00C2723B"/>
    <w:rsid w:val="00C27244"/>
    <w:rsid w:val="00C272EF"/>
    <w:rsid w:val="00C2732B"/>
    <w:rsid w:val="00C2738D"/>
    <w:rsid w:val="00C273C5"/>
    <w:rsid w:val="00C2743F"/>
    <w:rsid w:val="00C2753F"/>
    <w:rsid w:val="00C27540"/>
    <w:rsid w:val="00C27593"/>
    <w:rsid w:val="00C2762B"/>
    <w:rsid w:val="00C276A8"/>
    <w:rsid w:val="00C27776"/>
    <w:rsid w:val="00C2783E"/>
    <w:rsid w:val="00C2785E"/>
    <w:rsid w:val="00C27975"/>
    <w:rsid w:val="00C27AC0"/>
    <w:rsid w:val="00C27AF9"/>
    <w:rsid w:val="00C27B20"/>
    <w:rsid w:val="00C27C13"/>
    <w:rsid w:val="00C27E5C"/>
    <w:rsid w:val="00C27EE1"/>
    <w:rsid w:val="00C27EED"/>
    <w:rsid w:val="00C27F30"/>
    <w:rsid w:val="00C3000B"/>
    <w:rsid w:val="00C30034"/>
    <w:rsid w:val="00C3003A"/>
    <w:rsid w:val="00C300BC"/>
    <w:rsid w:val="00C30127"/>
    <w:rsid w:val="00C301CF"/>
    <w:rsid w:val="00C30204"/>
    <w:rsid w:val="00C303ED"/>
    <w:rsid w:val="00C3047B"/>
    <w:rsid w:val="00C304E4"/>
    <w:rsid w:val="00C30573"/>
    <w:rsid w:val="00C30811"/>
    <w:rsid w:val="00C308F7"/>
    <w:rsid w:val="00C30936"/>
    <w:rsid w:val="00C309FB"/>
    <w:rsid w:val="00C30AF3"/>
    <w:rsid w:val="00C30B32"/>
    <w:rsid w:val="00C30D2A"/>
    <w:rsid w:val="00C30D2F"/>
    <w:rsid w:val="00C30D59"/>
    <w:rsid w:val="00C30ED2"/>
    <w:rsid w:val="00C311BF"/>
    <w:rsid w:val="00C313B1"/>
    <w:rsid w:val="00C318F7"/>
    <w:rsid w:val="00C3198A"/>
    <w:rsid w:val="00C319C6"/>
    <w:rsid w:val="00C319D2"/>
    <w:rsid w:val="00C31B07"/>
    <w:rsid w:val="00C31BA3"/>
    <w:rsid w:val="00C31BBE"/>
    <w:rsid w:val="00C31C4C"/>
    <w:rsid w:val="00C31C7E"/>
    <w:rsid w:val="00C31E23"/>
    <w:rsid w:val="00C31F85"/>
    <w:rsid w:val="00C31FEA"/>
    <w:rsid w:val="00C32239"/>
    <w:rsid w:val="00C32534"/>
    <w:rsid w:val="00C325C0"/>
    <w:rsid w:val="00C3262F"/>
    <w:rsid w:val="00C326EE"/>
    <w:rsid w:val="00C3284A"/>
    <w:rsid w:val="00C32854"/>
    <w:rsid w:val="00C32873"/>
    <w:rsid w:val="00C328E3"/>
    <w:rsid w:val="00C32951"/>
    <w:rsid w:val="00C32A34"/>
    <w:rsid w:val="00C32BA4"/>
    <w:rsid w:val="00C32BD9"/>
    <w:rsid w:val="00C32C02"/>
    <w:rsid w:val="00C32D36"/>
    <w:rsid w:val="00C32DF5"/>
    <w:rsid w:val="00C32E41"/>
    <w:rsid w:val="00C32EAE"/>
    <w:rsid w:val="00C33092"/>
    <w:rsid w:val="00C3319A"/>
    <w:rsid w:val="00C33235"/>
    <w:rsid w:val="00C33349"/>
    <w:rsid w:val="00C33364"/>
    <w:rsid w:val="00C33395"/>
    <w:rsid w:val="00C33612"/>
    <w:rsid w:val="00C33653"/>
    <w:rsid w:val="00C33677"/>
    <w:rsid w:val="00C33898"/>
    <w:rsid w:val="00C3395A"/>
    <w:rsid w:val="00C33B28"/>
    <w:rsid w:val="00C33F38"/>
    <w:rsid w:val="00C3402A"/>
    <w:rsid w:val="00C34137"/>
    <w:rsid w:val="00C341EB"/>
    <w:rsid w:val="00C3421B"/>
    <w:rsid w:val="00C3421C"/>
    <w:rsid w:val="00C3421F"/>
    <w:rsid w:val="00C34302"/>
    <w:rsid w:val="00C343A7"/>
    <w:rsid w:val="00C34532"/>
    <w:rsid w:val="00C345E1"/>
    <w:rsid w:val="00C34635"/>
    <w:rsid w:val="00C3476B"/>
    <w:rsid w:val="00C3490D"/>
    <w:rsid w:val="00C34A68"/>
    <w:rsid w:val="00C34AAC"/>
    <w:rsid w:val="00C34B31"/>
    <w:rsid w:val="00C34BC7"/>
    <w:rsid w:val="00C34CC0"/>
    <w:rsid w:val="00C34DDF"/>
    <w:rsid w:val="00C34E9F"/>
    <w:rsid w:val="00C34F4A"/>
    <w:rsid w:val="00C35087"/>
    <w:rsid w:val="00C35240"/>
    <w:rsid w:val="00C352FB"/>
    <w:rsid w:val="00C353DC"/>
    <w:rsid w:val="00C35484"/>
    <w:rsid w:val="00C35490"/>
    <w:rsid w:val="00C354F3"/>
    <w:rsid w:val="00C354FD"/>
    <w:rsid w:val="00C357F0"/>
    <w:rsid w:val="00C35897"/>
    <w:rsid w:val="00C35969"/>
    <w:rsid w:val="00C35BE4"/>
    <w:rsid w:val="00C35C6F"/>
    <w:rsid w:val="00C35DBF"/>
    <w:rsid w:val="00C35DC7"/>
    <w:rsid w:val="00C36162"/>
    <w:rsid w:val="00C36174"/>
    <w:rsid w:val="00C3636D"/>
    <w:rsid w:val="00C363CD"/>
    <w:rsid w:val="00C3647E"/>
    <w:rsid w:val="00C364DF"/>
    <w:rsid w:val="00C365DD"/>
    <w:rsid w:val="00C366C1"/>
    <w:rsid w:val="00C36798"/>
    <w:rsid w:val="00C36817"/>
    <w:rsid w:val="00C368B3"/>
    <w:rsid w:val="00C3690C"/>
    <w:rsid w:val="00C36B42"/>
    <w:rsid w:val="00C36F07"/>
    <w:rsid w:val="00C37173"/>
    <w:rsid w:val="00C37214"/>
    <w:rsid w:val="00C372E8"/>
    <w:rsid w:val="00C37493"/>
    <w:rsid w:val="00C374A2"/>
    <w:rsid w:val="00C374A5"/>
    <w:rsid w:val="00C37522"/>
    <w:rsid w:val="00C3796D"/>
    <w:rsid w:val="00C37A3A"/>
    <w:rsid w:val="00C37AB5"/>
    <w:rsid w:val="00C37ADF"/>
    <w:rsid w:val="00C37B69"/>
    <w:rsid w:val="00C37BD3"/>
    <w:rsid w:val="00C37C2B"/>
    <w:rsid w:val="00C37CFC"/>
    <w:rsid w:val="00C40032"/>
    <w:rsid w:val="00C4055E"/>
    <w:rsid w:val="00C40570"/>
    <w:rsid w:val="00C40572"/>
    <w:rsid w:val="00C40619"/>
    <w:rsid w:val="00C4083B"/>
    <w:rsid w:val="00C409DC"/>
    <w:rsid w:val="00C40A55"/>
    <w:rsid w:val="00C40B1B"/>
    <w:rsid w:val="00C40B22"/>
    <w:rsid w:val="00C40E88"/>
    <w:rsid w:val="00C40EC5"/>
    <w:rsid w:val="00C4124E"/>
    <w:rsid w:val="00C41299"/>
    <w:rsid w:val="00C41307"/>
    <w:rsid w:val="00C4141C"/>
    <w:rsid w:val="00C4148E"/>
    <w:rsid w:val="00C414D1"/>
    <w:rsid w:val="00C4156D"/>
    <w:rsid w:val="00C416A3"/>
    <w:rsid w:val="00C4173D"/>
    <w:rsid w:val="00C41785"/>
    <w:rsid w:val="00C41802"/>
    <w:rsid w:val="00C4181C"/>
    <w:rsid w:val="00C41847"/>
    <w:rsid w:val="00C4194F"/>
    <w:rsid w:val="00C41957"/>
    <w:rsid w:val="00C41A27"/>
    <w:rsid w:val="00C41D52"/>
    <w:rsid w:val="00C41DE0"/>
    <w:rsid w:val="00C41E68"/>
    <w:rsid w:val="00C41FC1"/>
    <w:rsid w:val="00C42118"/>
    <w:rsid w:val="00C421D2"/>
    <w:rsid w:val="00C4226D"/>
    <w:rsid w:val="00C422BB"/>
    <w:rsid w:val="00C42352"/>
    <w:rsid w:val="00C42389"/>
    <w:rsid w:val="00C423BA"/>
    <w:rsid w:val="00C423F9"/>
    <w:rsid w:val="00C42551"/>
    <w:rsid w:val="00C42658"/>
    <w:rsid w:val="00C42711"/>
    <w:rsid w:val="00C42727"/>
    <w:rsid w:val="00C4291A"/>
    <w:rsid w:val="00C42B98"/>
    <w:rsid w:val="00C42C55"/>
    <w:rsid w:val="00C42DF1"/>
    <w:rsid w:val="00C42EE1"/>
    <w:rsid w:val="00C42EEA"/>
    <w:rsid w:val="00C4301D"/>
    <w:rsid w:val="00C431FC"/>
    <w:rsid w:val="00C43248"/>
    <w:rsid w:val="00C43392"/>
    <w:rsid w:val="00C433B8"/>
    <w:rsid w:val="00C43407"/>
    <w:rsid w:val="00C434B1"/>
    <w:rsid w:val="00C434C2"/>
    <w:rsid w:val="00C43539"/>
    <w:rsid w:val="00C43666"/>
    <w:rsid w:val="00C437F4"/>
    <w:rsid w:val="00C43833"/>
    <w:rsid w:val="00C43940"/>
    <w:rsid w:val="00C43A39"/>
    <w:rsid w:val="00C43AB8"/>
    <w:rsid w:val="00C43B63"/>
    <w:rsid w:val="00C43C95"/>
    <w:rsid w:val="00C43D4E"/>
    <w:rsid w:val="00C43E02"/>
    <w:rsid w:val="00C43E40"/>
    <w:rsid w:val="00C43EB6"/>
    <w:rsid w:val="00C43F47"/>
    <w:rsid w:val="00C44093"/>
    <w:rsid w:val="00C440FD"/>
    <w:rsid w:val="00C44111"/>
    <w:rsid w:val="00C441AF"/>
    <w:rsid w:val="00C441C3"/>
    <w:rsid w:val="00C44238"/>
    <w:rsid w:val="00C44342"/>
    <w:rsid w:val="00C44431"/>
    <w:rsid w:val="00C44477"/>
    <w:rsid w:val="00C44516"/>
    <w:rsid w:val="00C44694"/>
    <w:rsid w:val="00C44744"/>
    <w:rsid w:val="00C44891"/>
    <w:rsid w:val="00C448D8"/>
    <w:rsid w:val="00C4492C"/>
    <w:rsid w:val="00C4493F"/>
    <w:rsid w:val="00C44A12"/>
    <w:rsid w:val="00C44AFB"/>
    <w:rsid w:val="00C44B4F"/>
    <w:rsid w:val="00C44ED3"/>
    <w:rsid w:val="00C44F6C"/>
    <w:rsid w:val="00C44FA2"/>
    <w:rsid w:val="00C45042"/>
    <w:rsid w:val="00C450BB"/>
    <w:rsid w:val="00C45294"/>
    <w:rsid w:val="00C453C6"/>
    <w:rsid w:val="00C4541F"/>
    <w:rsid w:val="00C4544A"/>
    <w:rsid w:val="00C4554E"/>
    <w:rsid w:val="00C455B0"/>
    <w:rsid w:val="00C4562A"/>
    <w:rsid w:val="00C457C1"/>
    <w:rsid w:val="00C45869"/>
    <w:rsid w:val="00C459D4"/>
    <w:rsid w:val="00C45A74"/>
    <w:rsid w:val="00C45C60"/>
    <w:rsid w:val="00C45E5A"/>
    <w:rsid w:val="00C462C7"/>
    <w:rsid w:val="00C46458"/>
    <w:rsid w:val="00C46473"/>
    <w:rsid w:val="00C4649D"/>
    <w:rsid w:val="00C46543"/>
    <w:rsid w:val="00C46625"/>
    <w:rsid w:val="00C46665"/>
    <w:rsid w:val="00C46703"/>
    <w:rsid w:val="00C46837"/>
    <w:rsid w:val="00C46870"/>
    <w:rsid w:val="00C4698B"/>
    <w:rsid w:val="00C46B57"/>
    <w:rsid w:val="00C46BC6"/>
    <w:rsid w:val="00C46C05"/>
    <w:rsid w:val="00C46D1C"/>
    <w:rsid w:val="00C47003"/>
    <w:rsid w:val="00C470AB"/>
    <w:rsid w:val="00C47170"/>
    <w:rsid w:val="00C472A3"/>
    <w:rsid w:val="00C4733E"/>
    <w:rsid w:val="00C473ED"/>
    <w:rsid w:val="00C47545"/>
    <w:rsid w:val="00C4755A"/>
    <w:rsid w:val="00C47593"/>
    <w:rsid w:val="00C475A3"/>
    <w:rsid w:val="00C47639"/>
    <w:rsid w:val="00C47686"/>
    <w:rsid w:val="00C47697"/>
    <w:rsid w:val="00C476F0"/>
    <w:rsid w:val="00C47748"/>
    <w:rsid w:val="00C478CD"/>
    <w:rsid w:val="00C478F5"/>
    <w:rsid w:val="00C47939"/>
    <w:rsid w:val="00C47BEF"/>
    <w:rsid w:val="00C47C17"/>
    <w:rsid w:val="00C47C72"/>
    <w:rsid w:val="00C47D3E"/>
    <w:rsid w:val="00C47E24"/>
    <w:rsid w:val="00C47F66"/>
    <w:rsid w:val="00C50015"/>
    <w:rsid w:val="00C50110"/>
    <w:rsid w:val="00C5029D"/>
    <w:rsid w:val="00C50308"/>
    <w:rsid w:val="00C5044B"/>
    <w:rsid w:val="00C5048D"/>
    <w:rsid w:val="00C504D0"/>
    <w:rsid w:val="00C506BD"/>
    <w:rsid w:val="00C509CE"/>
    <w:rsid w:val="00C50AC7"/>
    <w:rsid w:val="00C50AD4"/>
    <w:rsid w:val="00C50C05"/>
    <w:rsid w:val="00C50C1A"/>
    <w:rsid w:val="00C50CC0"/>
    <w:rsid w:val="00C50D1B"/>
    <w:rsid w:val="00C50E55"/>
    <w:rsid w:val="00C50E7E"/>
    <w:rsid w:val="00C50E89"/>
    <w:rsid w:val="00C50F41"/>
    <w:rsid w:val="00C50F9E"/>
    <w:rsid w:val="00C511FC"/>
    <w:rsid w:val="00C512DE"/>
    <w:rsid w:val="00C512FC"/>
    <w:rsid w:val="00C51426"/>
    <w:rsid w:val="00C515E6"/>
    <w:rsid w:val="00C51622"/>
    <w:rsid w:val="00C519A2"/>
    <w:rsid w:val="00C51B20"/>
    <w:rsid w:val="00C51B89"/>
    <w:rsid w:val="00C51BF9"/>
    <w:rsid w:val="00C51CAC"/>
    <w:rsid w:val="00C51D14"/>
    <w:rsid w:val="00C51FB3"/>
    <w:rsid w:val="00C5208C"/>
    <w:rsid w:val="00C52092"/>
    <w:rsid w:val="00C520A3"/>
    <w:rsid w:val="00C521E5"/>
    <w:rsid w:val="00C5223C"/>
    <w:rsid w:val="00C522A7"/>
    <w:rsid w:val="00C52594"/>
    <w:rsid w:val="00C525EC"/>
    <w:rsid w:val="00C525EE"/>
    <w:rsid w:val="00C52655"/>
    <w:rsid w:val="00C526E3"/>
    <w:rsid w:val="00C526E7"/>
    <w:rsid w:val="00C5277B"/>
    <w:rsid w:val="00C52A35"/>
    <w:rsid w:val="00C52B6C"/>
    <w:rsid w:val="00C52D6D"/>
    <w:rsid w:val="00C52D6F"/>
    <w:rsid w:val="00C52E88"/>
    <w:rsid w:val="00C52EFB"/>
    <w:rsid w:val="00C52F64"/>
    <w:rsid w:val="00C52F70"/>
    <w:rsid w:val="00C52F9E"/>
    <w:rsid w:val="00C53052"/>
    <w:rsid w:val="00C530BE"/>
    <w:rsid w:val="00C53213"/>
    <w:rsid w:val="00C53334"/>
    <w:rsid w:val="00C5335E"/>
    <w:rsid w:val="00C53440"/>
    <w:rsid w:val="00C535F8"/>
    <w:rsid w:val="00C5360F"/>
    <w:rsid w:val="00C53917"/>
    <w:rsid w:val="00C5392E"/>
    <w:rsid w:val="00C539A2"/>
    <w:rsid w:val="00C539F5"/>
    <w:rsid w:val="00C53A12"/>
    <w:rsid w:val="00C53A4C"/>
    <w:rsid w:val="00C53B13"/>
    <w:rsid w:val="00C53B65"/>
    <w:rsid w:val="00C53C0E"/>
    <w:rsid w:val="00C53CA8"/>
    <w:rsid w:val="00C53EFB"/>
    <w:rsid w:val="00C53FA8"/>
    <w:rsid w:val="00C53FF9"/>
    <w:rsid w:val="00C540D5"/>
    <w:rsid w:val="00C5417F"/>
    <w:rsid w:val="00C541DE"/>
    <w:rsid w:val="00C54210"/>
    <w:rsid w:val="00C54271"/>
    <w:rsid w:val="00C5427E"/>
    <w:rsid w:val="00C542ED"/>
    <w:rsid w:val="00C5447E"/>
    <w:rsid w:val="00C544AF"/>
    <w:rsid w:val="00C54527"/>
    <w:rsid w:val="00C54548"/>
    <w:rsid w:val="00C54886"/>
    <w:rsid w:val="00C5489F"/>
    <w:rsid w:val="00C54B59"/>
    <w:rsid w:val="00C54C11"/>
    <w:rsid w:val="00C54C67"/>
    <w:rsid w:val="00C54CF7"/>
    <w:rsid w:val="00C54E4A"/>
    <w:rsid w:val="00C54E65"/>
    <w:rsid w:val="00C5505C"/>
    <w:rsid w:val="00C553CE"/>
    <w:rsid w:val="00C5555C"/>
    <w:rsid w:val="00C557C8"/>
    <w:rsid w:val="00C5586B"/>
    <w:rsid w:val="00C55982"/>
    <w:rsid w:val="00C55C65"/>
    <w:rsid w:val="00C55C78"/>
    <w:rsid w:val="00C56126"/>
    <w:rsid w:val="00C5617B"/>
    <w:rsid w:val="00C5624A"/>
    <w:rsid w:val="00C56324"/>
    <w:rsid w:val="00C56462"/>
    <w:rsid w:val="00C56469"/>
    <w:rsid w:val="00C5653B"/>
    <w:rsid w:val="00C565A3"/>
    <w:rsid w:val="00C565BD"/>
    <w:rsid w:val="00C566FA"/>
    <w:rsid w:val="00C56788"/>
    <w:rsid w:val="00C568F3"/>
    <w:rsid w:val="00C56A97"/>
    <w:rsid w:val="00C56D30"/>
    <w:rsid w:val="00C56D71"/>
    <w:rsid w:val="00C56D8D"/>
    <w:rsid w:val="00C56DEE"/>
    <w:rsid w:val="00C56EDB"/>
    <w:rsid w:val="00C56F50"/>
    <w:rsid w:val="00C56FCE"/>
    <w:rsid w:val="00C56FD7"/>
    <w:rsid w:val="00C57072"/>
    <w:rsid w:val="00C57088"/>
    <w:rsid w:val="00C5713D"/>
    <w:rsid w:val="00C57145"/>
    <w:rsid w:val="00C5725F"/>
    <w:rsid w:val="00C572CC"/>
    <w:rsid w:val="00C5738F"/>
    <w:rsid w:val="00C574CF"/>
    <w:rsid w:val="00C5760F"/>
    <w:rsid w:val="00C576BE"/>
    <w:rsid w:val="00C57704"/>
    <w:rsid w:val="00C577EE"/>
    <w:rsid w:val="00C577F7"/>
    <w:rsid w:val="00C57878"/>
    <w:rsid w:val="00C57BF3"/>
    <w:rsid w:val="00C57C8C"/>
    <w:rsid w:val="00C57D12"/>
    <w:rsid w:val="00C57D79"/>
    <w:rsid w:val="00C57E21"/>
    <w:rsid w:val="00C57E71"/>
    <w:rsid w:val="00C57E79"/>
    <w:rsid w:val="00C57FCF"/>
    <w:rsid w:val="00C601F7"/>
    <w:rsid w:val="00C60280"/>
    <w:rsid w:val="00C60296"/>
    <w:rsid w:val="00C602FF"/>
    <w:rsid w:val="00C60332"/>
    <w:rsid w:val="00C60342"/>
    <w:rsid w:val="00C604FF"/>
    <w:rsid w:val="00C605D4"/>
    <w:rsid w:val="00C60667"/>
    <w:rsid w:val="00C607E4"/>
    <w:rsid w:val="00C60805"/>
    <w:rsid w:val="00C608F5"/>
    <w:rsid w:val="00C6095B"/>
    <w:rsid w:val="00C60A18"/>
    <w:rsid w:val="00C60DBB"/>
    <w:rsid w:val="00C60DD7"/>
    <w:rsid w:val="00C60F19"/>
    <w:rsid w:val="00C60F1C"/>
    <w:rsid w:val="00C610CD"/>
    <w:rsid w:val="00C61108"/>
    <w:rsid w:val="00C612D8"/>
    <w:rsid w:val="00C61360"/>
    <w:rsid w:val="00C6142C"/>
    <w:rsid w:val="00C6153C"/>
    <w:rsid w:val="00C61559"/>
    <w:rsid w:val="00C615C7"/>
    <w:rsid w:val="00C61763"/>
    <w:rsid w:val="00C6178C"/>
    <w:rsid w:val="00C61842"/>
    <w:rsid w:val="00C6197E"/>
    <w:rsid w:val="00C6199F"/>
    <w:rsid w:val="00C61AB9"/>
    <w:rsid w:val="00C61B5F"/>
    <w:rsid w:val="00C61C27"/>
    <w:rsid w:val="00C61D10"/>
    <w:rsid w:val="00C61D54"/>
    <w:rsid w:val="00C61F18"/>
    <w:rsid w:val="00C61F84"/>
    <w:rsid w:val="00C6203B"/>
    <w:rsid w:val="00C6220D"/>
    <w:rsid w:val="00C62225"/>
    <w:rsid w:val="00C6237C"/>
    <w:rsid w:val="00C62381"/>
    <w:rsid w:val="00C62689"/>
    <w:rsid w:val="00C62A9D"/>
    <w:rsid w:val="00C62AA8"/>
    <w:rsid w:val="00C62AF8"/>
    <w:rsid w:val="00C62CE7"/>
    <w:rsid w:val="00C62CF5"/>
    <w:rsid w:val="00C62DFA"/>
    <w:rsid w:val="00C62E57"/>
    <w:rsid w:val="00C62E74"/>
    <w:rsid w:val="00C62F3A"/>
    <w:rsid w:val="00C62F8F"/>
    <w:rsid w:val="00C62FF7"/>
    <w:rsid w:val="00C630B9"/>
    <w:rsid w:val="00C630FD"/>
    <w:rsid w:val="00C63135"/>
    <w:rsid w:val="00C63355"/>
    <w:rsid w:val="00C63392"/>
    <w:rsid w:val="00C633B8"/>
    <w:rsid w:val="00C63621"/>
    <w:rsid w:val="00C63797"/>
    <w:rsid w:val="00C637DC"/>
    <w:rsid w:val="00C63870"/>
    <w:rsid w:val="00C639FA"/>
    <w:rsid w:val="00C63AE6"/>
    <w:rsid w:val="00C63B28"/>
    <w:rsid w:val="00C63BE1"/>
    <w:rsid w:val="00C63CF1"/>
    <w:rsid w:val="00C63D4E"/>
    <w:rsid w:val="00C63D9F"/>
    <w:rsid w:val="00C63DFC"/>
    <w:rsid w:val="00C63EE8"/>
    <w:rsid w:val="00C63F19"/>
    <w:rsid w:val="00C63F59"/>
    <w:rsid w:val="00C640F8"/>
    <w:rsid w:val="00C642BC"/>
    <w:rsid w:val="00C6430F"/>
    <w:rsid w:val="00C6432E"/>
    <w:rsid w:val="00C6446F"/>
    <w:rsid w:val="00C644CE"/>
    <w:rsid w:val="00C64848"/>
    <w:rsid w:val="00C6484C"/>
    <w:rsid w:val="00C649D5"/>
    <w:rsid w:val="00C649F8"/>
    <w:rsid w:val="00C64AB6"/>
    <w:rsid w:val="00C64ADF"/>
    <w:rsid w:val="00C64B35"/>
    <w:rsid w:val="00C64B62"/>
    <w:rsid w:val="00C64C39"/>
    <w:rsid w:val="00C64E10"/>
    <w:rsid w:val="00C64FD0"/>
    <w:rsid w:val="00C6503A"/>
    <w:rsid w:val="00C65080"/>
    <w:rsid w:val="00C650EF"/>
    <w:rsid w:val="00C6535D"/>
    <w:rsid w:val="00C65491"/>
    <w:rsid w:val="00C655F2"/>
    <w:rsid w:val="00C656E2"/>
    <w:rsid w:val="00C65718"/>
    <w:rsid w:val="00C657E5"/>
    <w:rsid w:val="00C65A3F"/>
    <w:rsid w:val="00C65B5C"/>
    <w:rsid w:val="00C65C81"/>
    <w:rsid w:val="00C65D03"/>
    <w:rsid w:val="00C65D82"/>
    <w:rsid w:val="00C65D8E"/>
    <w:rsid w:val="00C65E17"/>
    <w:rsid w:val="00C66004"/>
    <w:rsid w:val="00C662DB"/>
    <w:rsid w:val="00C66318"/>
    <w:rsid w:val="00C664F4"/>
    <w:rsid w:val="00C664FE"/>
    <w:rsid w:val="00C66692"/>
    <w:rsid w:val="00C666DE"/>
    <w:rsid w:val="00C66772"/>
    <w:rsid w:val="00C66808"/>
    <w:rsid w:val="00C668D8"/>
    <w:rsid w:val="00C668FB"/>
    <w:rsid w:val="00C66A61"/>
    <w:rsid w:val="00C66B31"/>
    <w:rsid w:val="00C66B9E"/>
    <w:rsid w:val="00C66C25"/>
    <w:rsid w:val="00C66CB2"/>
    <w:rsid w:val="00C66D12"/>
    <w:rsid w:val="00C66D2B"/>
    <w:rsid w:val="00C66E6F"/>
    <w:rsid w:val="00C66FC8"/>
    <w:rsid w:val="00C67044"/>
    <w:rsid w:val="00C671E1"/>
    <w:rsid w:val="00C67254"/>
    <w:rsid w:val="00C67483"/>
    <w:rsid w:val="00C67580"/>
    <w:rsid w:val="00C675CC"/>
    <w:rsid w:val="00C676A3"/>
    <w:rsid w:val="00C6781C"/>
    <w:rsid w:val="00C67851"/>
    <w:rsid w:val="00C6788D"/>
    <w:rsid w:val="00C67970"/>
    <w:rsid w:val="00C679A2"/>
    <w:rsid w:val="00C679E8"/>
    <w:rsid w:val="00C67C8F"/>
    <w:rsid w:val="00C67CDA"/>
    <w:rsid w:val="00C67D0A"/>
    <w:rsid w:val="00C67E26"/>
    <w:rsid w:val="00C67E66"/>
    <w:rsid w:val="00C67E80"/>
    <w:rsid w:val="00C67EA1"/>
    <w:rsid w:val="00C67FEC"/>
    <w:rsid w:val="00C70125"/>
    <w:rsid w:val="00C70344"/>
    <w:rsid w:val="00C7043C"/>
    <w:rsid w:val="00C7064B"/>
    <w:rsid w:val="00C706F8"/>
    <w:rsid w:val="00C7074E"/>
    <w:rsid w:val="00C707D6"/>
    <w:rsid w:val="00C7080C"/>
    <w:rsid w:val="00C708A0"/>
    <w:rsid w:val="00C70AEE"/>
    <w:rsid w:val="00C70D0C"/>
    <w:rsid w:val="00C70D17"/>
    <w:rsid w:val="00C70D58"/>
    <w:rsid w:val="00C70F56"/>
    <w:rsid w:val="00C712AD"/>
    <w:rsid w:val="00C713C2"/>
    <w:rsid w:val="00C713D7"/>
    <w:rsid w:val="00C7141D"/>
    <w:rsid w:val="00C714AA"/>
    <w:rsid w:val="00C7159F"/>
    <w:rsid w:val="00C715E5"/>
    <w:rsid w:val="00C71614"/>
    <w:rsid w:val="00C716FF"/>
    <w:rsid w:val="00C7194E"/>
    <w:rsid w:val="00C71A22"/>
    <w:rsid w:val="00C71AFB"/>
    <w:rsid w:val="00C71B2A"/>
    <w:rsid w:val="00C71B4B"/>
    <w:rsid w:val="00C71B62"/>
    <w:rsid w:val="00C71BBD"/>
    <w:rsid w:val="00C71D15"/>
    <w:rsid w:val="00C71D78"/>
    <w:rsid w:val="00C71DF7"/>
    <w:rsid w:val="00C71E15"/>
    <w:rsid w:val="00C71ED4"/>
    <w:rsid w:val="00C71FE0"/>
    <w:rsid w:val="00C720D1"/>
    <w:rsid w:val="00C72328"/>
    <w:rsid w:val="00C7234D"/>
    <w:rsid w:val="00C7244E"/>
    <w:rsid w:val="00C724A8"/>
    <w:rsid w:val="00C7264E"/>
    <w:rsid w:val="00C726C9"/>
    <w:rsid w:val="00C727BB"/>
    <w:rsid w:val="00C727BF"/>
    <w:rsid w:val="00C727FE"/>
    <w:rsid w:val="00C72801"/>
    <w:rsid w:val="00C7287E"/>
    <w:rsid w:val="00C72A4A"/>
    <w:rsid w:val="00C72C0A"/>
    <w:rsid w:val="00C72C0D"/>
    <w:rsid w:val="00C72C36"/>
    <w:rsid w:val="00C72C4A"/>
    <w:rsid w:val="00C72D8B"/>
    <w:rsid w:val="00C72F06"/>
    <w:rsid w:val="00C73011"/>
    <w:rsid w:val="00C7308D"/>
    <w:rsid w:val="00C7329E"/>
    <w:rsid w:val="00C734D7"/>
    <w:rsid w:val="00C73526"/>
    <w:rsid w:val="00C73588"/>
    <w:rsid w:val="00C73704"/>
    <w:rsid w:val="00C73734"/>
    <w:rsid w:val="00C7375A"/>
    <w:rsid w:val="00C73A04"/>
    <w:rsid w:val="00C73A9B"/>
    <w:rsid w:val="00C73C14"/>
    <w:rsid w:val="00C73C9B"/>
    <w:rsid w:val="00C73D3F"/>
    <w:rsid w:val="00C73E67"/>
    <w:rsid w:val="00C73E8E"/>
    <w:rsid w:val="00C73F31"/>
    <w:rsid w:val="00C73FAD"/>
    <w:rsid w:val="00C7413F"/>
    <w:rsid w:val="00C742D6"/>
    <w:rsid w:val="00C74559"/>
    <w:rsid w:val="00C745E8"/>
    <w:rsid w:val="00C74692"/>
    <w:rsid w:val="00C74773"/>
    <w:rsid w:val="00C7479C"/>
    <w:rsid w:val="00C74869"/>
    <w:rsid w:val="00C74930"/>
    <w:rsid w:val="00C74A34"/>
    <w:rsid w:val="00C74A40"/>
    <w:rsid w:val="00C74A86"/>
    <w:rsid w:val="00C74AE1"/>
    <w:rsid w:val="00C74AFF"/>
    <w:rsid w:val="00C74B64"/>
    <w:rsid w:val="00C74B81"/>
    <w:rsid w:val="00C74C15"/>
    <w:rsid w:val="00C74E6C"/>
    <w:rsid w:val="00C7505C"/>
    <w:rsid w:val="00C7518C"/>
    <w:rsid w:val="00C75220"/>
    <w:rsid w:val="00C7546E"/>
    <w:rsid w:val="00C75486"/>
    <w:rsid w:val="00C75541"/>
    <w:rsid w:val="00C75752"/>
    <w:rsid w:val="00C7577A"/>
    <w:rsid w:val="00C757B8"/>
    <w:rsid w:val="00C75936"/>
    <w:rsid w:val="00C75BF6"/>
    <w:rsid w:val="00C75ED7"/>
    <w:rsid w:val="00C76029"/>
    <w:rsid w:val="00C7607C"/>
    <w:rsid w:val="00C760F1"/>
    <w:rsid w:val="00C76128"/>
    <w:rsid w:val="00C764B8"/>
    <w:rsid w:val="00C7658B"/>
    <w:rsid w:val="00C76906"/>
    <w:rsid w:val="00C76A0A"/>
    <w:rsid w:val="00C76A29"/>
    <w:rsid w:val="00C76B7C"/>
    <w:rsid w:val="00C76C38"/>
    <w:rsid w:val="00C76CC7"/>
    <w:rsid w:val="00C76E27"/>
    <w:rsid w:val="00C76E3E"/>
    <w:rsid w:val="00C76EFF"/>
    <w:rsid w:val="00C76F81"/>
    <w:rsid w:val="00C76FD2"/>
    <w:rsid w:val="00C7709E"/>
    <w:rsid w:val="00C770D9"/>
    <w:rsid w:val="00C770FD"/>
    <w:rsid w:val="00C7717A"/>
    <w:rsid w:val="00C77417"/>
    <w:rsid w:val="00C7743D"/>
    <w:rsid w:val="00C774E9"/>
    <w:rsid w:val="00C776A4"/>
    <w:rsid w:val="00C77740"/>
    <w:rsid w:val="00C777AD"/>
    <w:rsid w:val="00C77800"/>
    <w:rsid w:val="00C77892"/>
    <w:rsid w:val="00C77AE9"/>
    <w:rsid w:val="00C77B2B"/>
    <w:rsid w:val="00C77BE4"/>
    <w:rsid w:val="00C77D50"/>
    <w:rsid w:val="00C77DB0"/>
    <w:rsid w:val="00C77EB9"/>
    <w:rsid w:val="00C800C3"/>
    <w:rsid w:val="00C800DD"/>
    <w:rsid w:val="00C80331"/>
    <w:rsid w:val="00C804BD"/>
    <w:rsid w:val="00C805B6"/>
    <w:rsid w:val="00C80920"/>
    <w:rsid w:val="00C809DD"/>
    <w:rsid w:val="00C80AC1"/>
    <w:rsid w:val="00C80B03"/>
    <w:rsid w:val="00C80B7B"/>
    <w:rsid w:val="00C80B9A"/>
    <w:rsid w:val="00C80BE7"/>
    <w:rsid w:val="00C80C3C"/>
    <w:rsid w:val="00C80D76"/>
    <w:rsid w:val="00C80DB6"/>
    <w:rsid w:val="00C80DCD"/>
    <w:rsid w:val="00C80E1C"/>
    <w:rsid w:val="00C80F2B"/>
    <w:rsid w:val="00C80F71"/>
    <w:rsid w:val="00C81003"/>
    <w:rsid w:val="00C8111A"/>
    <w:rsid w:val="00C81229"/>
    <w:rsid w:val="00C812F4"/>
    <w:rsid w:val="00C81309"/>
    <w:rsid w:val="00C81315"/>
    <w:rsid w:val="00C8141A"/>
    <w:rsid w:val="00C814BD"/>
    <w:rsid w:val="00C815BC"/>
    <w:rsid w:val="00C815D3"/>
    <w:rsid w:val="00C81644"/>
    <w:rsid w:val="00C8185D"/>
    <w:rsid w:val="00C81965"/>
    <w:rsid w:val="00C819D7"/>
    <w:rsid w:val="00C81AC8"/>
    <w:rsid w:val="00C81B8A"/>
    <w:rsid w:val="00C81C7F"/>
    <w:rsid w:val="00C81DA5"/>
    <w:rsid w:val="00C81DDB"/>
    <w:rsid w:val="00C81E00"/>
    <w:rsid w:val="00C81E12"/>
    <w:rsid w:val="00C821D5"/>
    <w:rsid w:val="00C82299"/>
    <w:rsid w:val="00C822FD"/>
    <w:rsid w:val="00C8243F"/>
    <w:rsid w:val="00C824E6"/>
    <w:rsid w:val="00C82569"/>
    <w:rsid w:val="00C82592"/>
    <w:rsid w:val="00C8262B"/>
    <w:rsid w:val="00C826A4"/>
    <w:rsid w:val="00C8289B"/>
    <w:rsid w:val="00C829E6"/>
    <w:rsid w:val="00C82A9E"/>
    <w:rsid w:val="00C82B50"/>
    <w:rsid w:val="00C82D54"/>
    <w:rsid w:val="00C82EFA"/>
    <w:rsid w:val="00C82F3B"/>
    <w:rsid w:val="00C82FBB"/>
    <w:rsid w:val="00C82FBF"/>
    <w:rsid w:val="00C83226"/>
    <w:rsid w:val="00C832C5"/>
    <w:rsid w:val="00C83348"/>
    <w:rsid w:val="00C83525"/>
    <w:rsid w:val="00C835E5"/>
    <w:rsid w:val="00C83602"/>
    <w:rsid w:val="00C8365F"/>
    <w:rsid w:val="00C837C4"/>
    <w:rsid w:val="00C83829"/>
    <w:rsid w:val="00C838A4"/>
    <w:rsid w:val="00C838DC"/>
    <w:rsid w:val="00C83940"/>
    <w:rsid w:val="00C839FB"/>
    <w:rsid w:val="00C83A46"/>
    <w:rsid w:val="00C83AC0"/>
    <w:rsid w:val="00C83B4F"/>
    <w:rsid w:val="00C83E1D"/>
    <w:rsid w:val="00C83EDD"/>
    <w:rsid w:val="00C84134"/>
    <w:rsid w:val="00C84146"/>
    <w:rsid w:val="00C8422E"/>
    <w:rsid w:val="00C84325"/>
    <w:rsid w:val="00C8435B"/>
    <w:rsid w:val="00C844BA"/>
    <w:rsid w:val="00C84706"/>
    <w:rsid w:val="00C84B05"/>
    <w:rsid w:val="00C84B3A"/>
    <w:rsid w:val="00C84B53"/>
    <w:rsid w:val="00C84B83"/>
    <w:rsid w:val="00C84BF1"/>
    <w:rsid w:val="00C84CA2"/>
    <w:rsid w:val="00C84CDC"/>
    <w:rsid w:val="00C84D3A"/>
    <w:rsid w:val="00C84DBF"/>
    <w:rsid w:val="00C8501B"/>
    <w:rsid w:val="00C850A4"/>
    <w:rsid w:val="00C850B2"/>
    <w:rsid w:val="00C851B1"/>
    <w:rsid w:val="00C85299"/>
    <w:rsid w:val="00C85380"/>
    <w:rsid w:val="00C853F3"/>
    <w:rsid w:val="00C853FD"/>
    <w:rsid w:val="00C8543D"/>
    <w:rsid w:val="00C85513"/>
    <w:rsid w:val="00C85609"/>
    <w:rsid w:val="00C856B8"/>
    <w:rsid w:val="00C859C3"/>
    <w:rsid w:val="00C85A36"/>
    <w:rsid w:val="00C85B0B"/>
    <w:rsid w:val="00C85B1A"/>
    <w:rsid w:val="00C85CD1"/>
    <w:rsid w:val="00C85F0A"/>
    <w:rsid w:val="00C85F41"/>
    <w:rsid w:val="00C85F75"/>
    <w:rsid w:val="00C86072"/>
    <w:rsid w:val="00C86172"/>
    <w:rsid w:val="00C86174"/>
    <w:rsid w:val="00C861C7"/>
    <w:rsid w:val="00C862AA"/>
    <w:rsid w:val="00C86320"/>
    <w:rsid w:val="00C86332"/>
    <w:rsid w:val="00C86383"/>
    <w:rsid w:val="00C86437"/>
    <w:rsid w:val="00C8657C"/>
    <w:rsid w:val="00C865AC"/>
    <w:rsid w:val="00C86601"/>
    <w:rsid w:val="00C8666C"/>
    <w:rsid w:val="00C868CA"/>
    <w:rsid w:val="00C8692E"/>
    <w:rsid w:val="00C86B51"/>
    <w:rsid w:val="00C86B7F"/>
    <w:rsid w:val="00C86C56"/>
    <w:rsid w:val="00C86C5B"/>
    <w:rsid w:val="00C86CC4"/>
    <w:rsid w:val="00C86CF4"/>
    <w:rsid w:val="00C86DA3"/>
    <w:rsid w:val="00C86E9A"/>
    <w:rsid w:val="00C86F97"/>
    <w:rsid w:val="00C86FB1"/>
    <w:rsid w:val="00C86FD8"/>
    <w:rsid w:val="00C87019"/>
    <w:rsid w:val="00C87047"/>
    <w:rsid w:val="00C87176"/>
    <w:rsid w:val="00C872C9"/>
    <w:rsid w:val="00C874D4"/>
    <w:rsid w:val="00C875BB"/>
    <w:rsid w:val="00C875C1"/>
    <w:rsid w:val="00C875F2"/>
    <w:rsid w:val="00C87630"/>
    <w:rsid w:val="00C876F9"/>
    <w:rsid w:val="00C8773E"/>
    <w:rsid w:val="00C8776D"/>
    <w:rsid w:val="00C87879"/>
    <w:rsid w:val="00C8787E"/>
    <w:rsid w:val="00C87B8E"/>
    <w:rsid w:val="00C87C99"/>
    <w:rsid w:val="00C87C9E"/>
    <w:rsid w:val="00C87CC8"/>
    <w:rsid w:val="00C87D2D"/>
    <w:rsid w:val="00C87EDA"/>
    <w:rsid w:val="00C87EE8"/>
    <w:rsid w:val="00C90233"/>
    <w:rsid w:val="00C9024A"/>
    <w:rsid w:val="00C9049E"/>
    <w:rsid w:val="00C905A4"/>
    <w:rsid w:val="00C90601"/>
    <w:rsid w:val="00C90715"/>
    <w:rsid w:val="00C90824"/>
    <w:rsid w:val="00C908FC"/>
    <w:rsid w:val="00C90B38"/>
    <w:rsid w:val="00C90B71"/>
    <w:rsid w:val="00C90C1E"/>
    <w:rsid w:val="00C90C9A"/>
    <w:rsid w:val="00C90D16"/>
    <w:rsid w:val="00C90EEA"/>
    <w:rsid w:val="00C90F12"/>
    <w:rsid w:val="00C90F75"/>
    <w:rsid w:val="00C91068"/>
    <w:rsid w:val="00C9116A"/>
    <w:rsid w:val="00C912A8"/>
    <w:rsid w:val="00C914B1"/>
    <w:rsid w:val="00C91542"/>
    <w:rsid w:val="00C915D7"/>
    <w:rsid w:val="00C91633"/>
    <w:rsid w:val="00C9176A"/>
    <w:rsid w:val="00C91786"/>
    <w:rsid w:val="00C9188D"/>
    <w:rsid w:val="00C91895"/>
    <w:rsid w:val="00C9199C"/>
    <w:rsid w:val="00C91A1E"/>
    <w:rsid w:val="00C91A2D"/>
    <w:rsid w:val="00C91AF2"/>
    <w:rsid w:val="00C91B0F"/>
    <w:rsid w:val="00C91BCD"/>
    <w:rsid w:val="00C91BFB"/>
    <w:rsid w:val="00C91C22"/>
    <w:rsid w:val="00C91C54"/>
    <w:rsid w:val="00C91D70"/>
    <w:rsid w:val="00C91D7E"/>
    <w:rsid w:val="00C91F0B"/>
    <w:rsid w:val="00C91F3B"/>
    <w:rsid w:val="00C91F3F"/>
    <w:rsid w:val="00C9217B"/>
    <w:rsid w:val="00C921EB"/>
    <w:rsid w:val="00C92207"/>
    <w:rsid w:val="00C9222F"/>
    <w:rsid w:val="00C9241A"/>
    <w:rsid w:val="00C9265D"/>
    <w:rsid w:val="00C926A9"/>
    <w:rsid w:val="00C926FF"/>
    <w:rsid w:val="00C9274D"/>
    <w:rsid w:val="00C927E8"/>
    <w:rsid w:val="00C92819"/>
    <w:rsid w:val="00C92824"/>
    <w:rsid w:val="00C92844"/>
    <w:rsid w:val="00C9285C"/>
    <w:rsid w:val="00C92872"/>
    <w:rsid w:val="00C92D9A"/>
    <w:rsid w:val="00C92F55"/>
    <w:rsid w:val="00C93194"/>
    <w:rsid w:val="00C931E4"/>
    <w:rsid w:val="00C93205"/>
    <w:rsid w:val="00C93264"/>
    <w:rsid w:val="00C93316"/>
    <w:rsid w:val="00C93358"/>
    <w:rsid w:val="00C93394"/>
    <w:rsid w:val="00C9351E"/>
    <w:rsid w:val="00C9361F"/>
    <w:rsid w:val="00C93644"/>
    <w:rsid w:val="00C937BA"/>
    <w:rsid w:val="00C939C7"/>
    <w:rsid w:val="00C93A0B"/>
    <w:rsid w:val="00C93A5B"/>
    <w:rsid w:val="00C93C25"/>
    <w:rsid w:val="00C93D07"/>
    <w:rsid w:val="00C93D27"/>
    <w:rsid w:val="00C93D39"/>
    <w:rsid w:val="00C93D45"/>
    <w:rsid w:val="00C93F94"/>
    <w:rsid w:val="00C93FBE"/>
    <w:rsid w:val="00C93FEC"/>
    <w:rsid w:val="00C94001"/>
    <w:rsid w:val="00C94004"/>
    <w:rsid w:val="00C9404D"/>
    <w:rsid w:val="00C94074"/>
    <w:rsid w:val="00C941C2"/>
    <w:rsid w:val="00C9426B"/>
    <w:rsid w:val="00C94280"/>
    <w:rsid w:val="00C9436E"/>
    <w:rsid w:val="00C943BD"/>
    <w:rsid w:val="00C943E5"/>
    <w:rsid w:val="00C943EE"/>
    <w:rsid w:val="00C9452A"/>
    <w:rsid w:val="00C9455E"/>
    <w:rsid w:val="00C948F1"/>
    <w:rsid w:val="00C94914"/>
    <w:rsid w:val="00C949B1"/>
    <w:rsid w:val="00C949BE"/>
    <w:rsid w:val="00C949E4"/>
    <w:rsid w:val="00C949FC"/>
    <w:rsid w:val="00C94AE2"/>
    <w:rsid w:val="00C94C53"/>
    <w:rsid w:val="00C94C87"/>
    <w:rsid w:val="00C95043"/>
    <w:rsid w:val="00C950A1"/>
    <w:rsid w:val="00C952B4"/>
    <w:rsid w:val="00C954A3"/>
    <w:rsid w:val="00C9561E"/>
    <w:rsid w:val="00C95666"/>
    <w:rsid w:val="00C95759"/>
    <w:rsid w:val="00C958A0"/>
    <w:rsid w:val="00C9590F"/>
    <w:rsid w:val="00C95A5E"/>
    <w:rsid w:val="00C95A7C"/>
    <w:rsid w:val="00C95B01"/>
    <w:rsid w:val="00C95B35"/>
    <w:rsid w:val="00C95C16"/>
    <w:rsid w:val="00C95C59"/>
    <w:rsid w:val="00C95C61"/>
    <w:rsid w:val="00C95E1B"/>
    <w:rsid w:val="00C960CF"/>
    <w:rsid w:val="00C9612A"/>
    <w:rsid w:val="00C9624C"/>
    <w:rsid w:val="00C96287"/>
    <w:rsid w:val="00C96672"/>
    <w:rsid w:val="00C96678"/>
    <w:rsid w:val="00C96768"/>
    <w:rsid w:val="00C96772"/>
    <w:rsid w:val="00C9693E"/>
    <w:rsid w:val="00C96ABD"/>
    <w:rsid w:val="00C96B95"/>
    <w:rsid w:val="00C96C4E"/>
    <w:rsid w:val="00C96C92"/>
    <w:rsid w:val="00C96CFA"/>
    <w:rsid w:val="00C96D49"/>
    <w:rsid w:val="00C96DFF"/>
    <w:rsid w:val="00C96E5A"/>
    <w:rsid w:val="00C96EB5"/>
    <w:rsid w:val="00C97006"/>
    <w:rsid w:val="00C972B4"/>
    <w:rsid w:val="00C972BD"/>
    <w:rsid w:val="00C973A4"/>
    <w:rsid w:val="00C9742F"/>
    <w:rsid w:val="00C97461"/>
    <w:rsid w:val="00C9746B"/>
    <w:rsid w:val="00C976CD"/>
    <w:rsid w:val="00C9779D"/>
    <w:rsid w:val="00C97829"/>
    <w:rsid w:val="00C9784B"/>
    <w:rsid w:val="00C97913"/>
    <w:rsid w:val="00C97940"/>
    <w:rsid w:val="00C97A05"/>
    <w:rsid w:val="00C97A92"/>
    <w:rsid w:val="00C97ABC"/>
    <w:rsid w:val="00C97AC5"/>
    <w:rsid w:val="00C97B35"/>
    <w:rsid w:val="00C97C59"/>
    <w:rsid w:val="00C97D9F"/>
    <w:rsid w:val="00C97E26"/>
    <w:rsid w:val="00C97E31"/>
    <w:rsid w:val="00CA016D"/>
    <w:rsid w:val="00CA0257"/>
    <w:rsid w:val="00CA036A"/>
    <w:rsid w:val="00CA044A"/>
    <w:rsid w:val="00CA0546"/>
    <w:rsid w:val="00CA0731"/>
    <w:rsid w:val="00CA0917"/>
    <w:rsid w:val="00CA0A61"/>
    <w:rsid w:val="00CA0AD0"/>
    <w:rsid w:val="00CA0AD1"/>
    <w:rsid w:val="00CA0F08"/>
    <w:rsid w:val="00CA0F56"/>
    <w:rsid w:val="00CA102B"/>
    <w:rsid w:val="00CA1176"/>
    <w:rsid w:val="00CA117F"/>
    <w:rsid w:val="00CA11F6"/>
    <w:rsid w:val="00CA120B"/>
    <w:rsid w:val="00CA1261"/>
    <w:rsid w:val="00CA1290"/>
    <w:rsid w:val="00CA1295"/>
    <w:rsid w:val="00CA130F"/>
    <w:rsid w:val="00CA131D"/>
    <w:rsid w:val="00CA136D"/>
    <w:rsid w:val="00CA13B8"/>
    <w:rsid w:val="00CA17A8"/>
    <w:rsid w:val="00CA182F"/>
    <w:rsid w:val="00CA1855"/>
    <w:rsid w:val="00CA1A8B"/>
    <w:rsid w:val="00CA1B94"/>
    <w:rsid w:val="00CA1C21"/>
    <w:rsid w:val="00CA1E2F"/>
    <w:rsid w:val="00CA1F63"/>
    <w:rsid w:val="00CA1FDF"/>
    <w:rsid w:val="00CA2108"/>
    <w:rsid w:val="00CA211F"/>
    <w:rsid w:val="00CA2246"/>
    <w:rsid w:val="00CA246F"/>
    <w:rsid w:val="00CA2490"/>
    <w:rsid w:val="00CA26AD"/>
    <w:rsid w:val="00CA26D3"/>
    <w:rsid w:val="00CA27BD"/>
    <w:rsid w:val="00CA280C"/>
    <w:rsid w:val="00CA283D"/>
    <w:rsid w:val="00CA2951"/>
    <w:rsid w:val="00CA29D1"/>
    <w:rsid w:val="00CA2A20"/>
    <w:rsid w:val="00CA2AD6"/>
    <w:rsid w:val="00CA2B8C"/>
    <w:rsid w:val="00CA2D9D"/>
    <w:rsid w:val="00CA2DD6"/>
    <w:rsid w:val="00CA2FD5"/>
    <w:rsid w:val="00CA3038"/>
    <w:rsid w:val="00CA3117"/>
    <w:rsid w:val="00CA3247"/>
    <w:rsid w:val="00CA3261"/>
    <w:rsid w:val="00CA32A6"/>
    <w:rsid w:val="00CA3357"/>
    <w:rsid w:val="00CA337D"/>
    <w:rsid w:val="00CA33D0"/>
    <w:rsid w:val="00CA3528"/>
    <w:rsid w:val="00CA3606"/>
    <w:rsid w:val="00CA3630"/>
    <w:rsid w:val="00CA370D"/>
    <w:rsid w:val="00CA3752"/>
    <w:rsid w:val="00CA37BA"/>
    <w:rsid w:val="00CA37BC"/>
    <w:rsid w:val="00CA37F5"/>
    <w:rsid w:val="00CA3881"/>
    <w:rsid w:val="00CA38DE"/>
    <w:rsid w:val="00CA38E0"/>
    <w:rsid w:val="00CA3999"/>
    <w:rsid w:val="00CA39C0"/>
    <w:rsid w:val="00CA3C56"/>
    <w:rsid w:val="00CA3CB3"/>
    <w:rsid w:val="00CA3D2F"/>
    <w:rsid w:val="00CA3D8F"/>
    <w:rsid w:val="00CA3F60"/>
    <w:rsid w:val="00CA3F78"/>
    <w:rsid w:val="00CA4129"/>
    <w:rsid w:val="00CA41E2"/>
    <w:rsid w:val="00CA428E"/>
    <w:rsid w:val="00CA4389"/>
    <w:rsid w:val="00CA43E4"/>
    <w:rsid w:val="00CA4496"/>
    <w:rsid w:val="00CA456C"/>
    <w:rsid w:val="00CA4695"/>
    <w:rsid w:val="00CA4857"/>
    <w:rsid w:val="00CA4905"/>
    <w:rsid w:val="00CA4B5E"/>
    <w:rsid w:val="00CA4C10"/>
    <w:rsid w:val="00CA4CAC"/>
    <w:rsid w:val="00CA4D85"/>
    <w:rsid w:val="00CA4E4F"/>
    <w:rsid w:val="00CA4F20"/>
    <w:rsid w:val="00CA51C5"/>
    <w:rsid w:val="00CA524B"/>
    <w:rsid w:val="00CA52C0"/>
    <w:rsid w:val="00CA5439"/>
    <w:rsid w:val="00CA5464"/>
    <w:rsid w:val="00CA54B9"/>
    <w:rsid w:val="00CA55A2"/>
    <w:rsid w:val="00CA55FB"/>
    <w:rsid w:val="00CA56A3"/>
    <w:rsid w:val="00CA5706"/>
    <w:rsid w:val="00CA5775"/>
    <w:rsid w:val="00CA57CE"/>
    <w:rsid w:val="00CA57F0"/>
    <w:rsid w:val="00CA59FA"/>
    <w:rsid w:val="00CA5A71"/>
    <w:rsid w:val="00CA5AD3"/>
    <w:rsid w:val="00CA5AE9"/>
    <w:rsid w:val="00CA5AFB"/>
    <w:rsid w:val="00CA5C5A"/>
    <w:rsid w:val="00CA5D64"/>
    <w:rsid w:val="00CA5E0C"/>
    <w:rsid w:val="00CA5E5F"/>
    <w:rsid w:val="00CA5E89"/>
    <w:rsid w:val="00CA5E9C"/>
    <w:rsid w:val="00CA5FAE"/>
    <w:rsid w:val="00CA62DD"/>
    <w:rsid w:val="00CA6559"/>
    <w:rsid w:val="00CA65A8"/>
    <w:rsid w:val="00CA65F4"/>
    <w:rsid w:val="00CA6670"/>
    <w:rsid w:val="00CA66DA"/>
    <w:rsid w:val="00CA66E6"/>
    <w:rsid w:val="00CA67C6"/>
    <w:rsid w:val="00CA6823"/>
    <w:rsid w:val="00CA687F"/>
    <w:rsid w:val="00CA69BA"/>
    <w:rsid w:val="00CA6E76"/>
    <w:rsid w:val="00CA6F6C"/>
    <w:rsid w:val="00CA70C9"/>
    <w:rsid w:val="00CA73B1"/>
    <w:rsid w:val="00CA745D"/>
    <w:rsid w:val="00CA7506"/>
    <w:rsid w:val="00CA7514"/>
    <w:rsid w:val="00CA7596"/>
    <w:rsid w:val="00CA76E3"/>
    <w:rsid w:val="00CA790A"/>
    <w:rsid w:val="00CA797F"/>
    <w:rsid w:val="00CA7A29"/>
    <w:rsid w:val="00CA7A63"/>
    <w:rsid w:val="00CA7CD0"/>
    <w:rsid w:val="00CA7D29"/>
    <w:rsid w:val="00CA7DE6"/>
    <w:rsid w:val="00CA7DE9"/>
    <w:rsid w:val="00CA7F28"/>
    <w:rsid w:val="00CA7F95"/>
    <w:rsid w:val="00CB0195"/>
    <w:rsid w:val="00CB023C"/>
    <w:rsid w:val="00CB0243"/>
    <w:rsid w:val="00CB028B"/>
    <w:rsid w:val="00CB02F7"/>
    <w:rsid w:val="00CB0339"/>
    <w:rsid w:val="00CB0424"/>
    <w:rsid w:val="00CB04CE"/>
    <w:rsid w:val="00CB05A2"/>
    <w:rsid w:val="00CB0955"/>
    <w:rsid w:val="00CB09D9"/>
    <w:rsid w:val="00CB0AB1"/>
    <w:rsid w:val="00CB0B63"/>
    <w:rsid w:val="00CB0BD7"/>
    <w:rsid w:val="00CB0E26"/>
    <w:rsid w:val="00CB110E"/>
    <w:rsid w:val="00CB11F8"/>
    <w:rsid w:val="00CB1256"/>
    <w:rsid w:val="00CB13B4"/>
    <w:rsid w:val="00CB1443"/>
    <w:rsid w:val="00CB1505"/>
    <w:rsid w:val="00CB1703"/>
    <w:rsid w:val="00CB17CF"/>
    <w:rsid w:val="00CB18CA"/>
    <w:rsid w:val="00CB1972"/>
    <w:rsid w:val="00CB19A7"/>
    <w:rsid w:val="00CB1AFB"/>
    <w:rsid w:val="00CB1C62"/>
    <w:rsid w:val="00CB1CEA"/>
    <w:rsid w:val="00CB1D79"/>
    <w:rsid w:val="00CB2081"/>
    <w:rsid w:val="00CB2113"/>
    <w:rsid w:val="00CB2193"/>
    <w:rsid w:val="00CB21DA"/>
    <w:rsid w:val="00CB2219"/>
    <w:rsid w:val="00CB225B"/>
    <w:rsid w:val="00CB2525"/>
    <w:rsid w:val="00CB26BE"/>
    <w:rsid w:val="00CB26D8"/>
    <w:rsid w:val="00CB2890"/>
    <w:rsid w:val="00CB2932"/>
    <w:rsid w:val="00CB29D4"/>
    <w:rsid w:val="00CB2AF4"/>
    <w:rsid w:val="00CB2B75"/>
    <w:rsid w:val="00CB2E93"/>
    <w:rsid w:val="00CB2EF5"/>
    <w:rsid w:val="00CB2F15"/>
    <w:rsid w:val="00CB2F1A"/>
    <w:rsid w:val="00CB335F"/>
    <w:rsid w:val="00CB33E4"/>
    <w:rsid w:val="00CB3502"/>
    <w:rsid w:val="00CB3760"/>
    <w:rsid w:val="00CB3849"/>
    <w:rsid w:val="00CB395F"/>
    <w:rsid w:val="00CB3987"/>
    <w:rsid w:val="00CB3A0A"/>
    <w:rsid w:val="00CB3A22"/>
    <w:rsid w:val="00CB3B39"/>
    <w:rsid w:val="00CB4125"/>
    <w:rsid w:val="00CB413F"/>
    <w:rsid w:val="00CB4169"/>
    <w:rsid w:val="00CB41B7"/>
    <w:rsid w:val="00CB41D4"/>
    <w:rsid w:val="00CB422A"/>
    <w:rsid w:val="00CB4230"/>
    <w:rsid w:val="00CB42EF"/>
    <w:rsid w:val="00CB42F4"/>
    <w:rsid w:val="00CB42FC"/>
    <w:rsid w:val="00CB431B"/>
    <w:rsid w:val="00CB43DC"/>
    <w:rsid w:val="00CB4451"/>
    <w:rsid w:val="00CB4504"/>
    <w:rsid w:val="00CB4626"/>
    <w:rsid w:val="00CB46F8"/>
    <w:rsid w:val="00CB474B"/>
    <w:rsid w:val="00CB4897"/>
    <w:rsid w:val="00CB4A77"/>
    <w:rsid w:val="00CB4A78"/>
    <w:rsid w:val="00CB4A7F"/>
    <w:rsid w:val="00CB4CBF"/>
    <w:rsid w:val="00CB4D80"/>
    <w:rsid w:val="00CB4EA5"/>
    <w:rsid w:val="00CB4ECB"/>
    <w:rsid w:val="00CB4F1A"/>
    <w:rsid w:val="00CB4F7E"/>
    <w:rsid w:val="00CB50EB"/>
    <w:rsid w:val="00CB51D8"/>
    <w:rsid w:val="00CB51DD"/>
    <w:rsid w:val="00CB54B8"/>
    <w:rsid w:val="00CB5505"/>
    <w:rsid w:val="00CB557F"/>
    <w:rsid w:val="00CB55EA"/>
    <w:rsid w:val="00CB561A"/>
    <w:rsid w:val="00CB5727"/>
    <w:rsid w:val="00CB579F"/>
    <w:rsid w:val="00CB5912"/>
    <w:rsid w:val="00CB592B"/>
    <w:rsid w:val="00CB5B3F"/>
    <w:rsid w:val="00CB5C5F"/>
    <w:rsid w:val="00CB5C61"/>
    <w:rsid w:val="00CB600E"/>
    <w:rsid w:val="00CB6019"/>
    <w:rsid w:val="00CB613B"/>
    <w:rsid w:val="00CB61B6"/>
    <w:rsid w:val="00CB62B9"/>
    <w:rsid w:val="00CB6353"/>
    <w:rsid w:val="00CB63A9"/>
    <w:rsid w:val="00CB64F6"/>
    <w:rsid w:val="00CB65B8"/>
    <w:rsid w:val="00CB664A"/>
    <w:rsid w:val="00CB67EA"/>
    <w:rsid w:val="00CB680D"/>
    <w:rsid w:val="00CB69AD"/>
    <w:rsid w:val="00CB6BF8"/>
    <w:rsid w:val="00CB6C24"/>
    <w:rsid w:val="00CB6C46"/>
    <w:rsid w:val="00CB6CDF"/>
    <w:rsid w:val="00CB71C4"/>
    <w:rsid w:val="00CB7264"/>
    <w:rsid w:val="00CB730F"/>
    <w:rsid w:val="00CB7321"/>
    <w:rsid w:val="00CB7431"/>
    <w:rsid w:val="00CB751C"/>
    <w:rsid w:val="00CB75CB"/>
    <w:rsid w:val="00CB761C"/>
    <w:rsid w:val="00CB76B5"/>
    <w:rsid w:val="00CB76E7"/>
    <w:rsid w:val="00CB7857"/>
    <w:rsid w:val="00CB7A01"/>
    <w:rsid w:val="00CB7AD6"/>
    <w:rsid w:val="00CB7D8F"/>
    <w:rsid w:val="00CB7E67"/>
    <w:rsid w:val="00CB7F7C"/>
    <w:rsid w:val="00CC006D"/>
    <w:rsid w:val="00CC0406"/>
    <w:rsid w:val="00CC0435"/>
    <w:rsid w:val="00CC048F"/>
    <w:rsid w:val="00CC0495"/>
    <w:rsid w:val="00CC0505"/>
    <w:rsid w:val="00CC053C"/>
    <w:rsid w:val="00CC061D"/>
    <w:rsid w:val="00CC0626"/>
    <w:rsid w:val="00CC07B8"/>
    <w:rsid w:val="00CC0AF4"/>
    <w:rsid w:val="00CC0E3C"/>
    <w:rsid w:val="00CC0E5C"/>
    <w:rsid w:val="00CC0EEE"/>
    <w:rsid w:val="00CC0F28"/>
    <w:rsid w:val="00CC0F69"/>
    <w:rsid w:val="00CC10FB"/>
    <w:rsid w:val="00CC110F"/>
    <w:rsid w:val="00CC119F"/>
    <w:rsid w:val="00CC11B8"/>
    <w:rsid w:val="00CC1220"/>
    <w:rsid w:val="00CC12B9"/>
    <w:rsid w:val="00CC136F"/>
    <w:rsid w:val="00CC13B0"/>
    <w:rsid w:val="00CC1420"/>
    <w:rsid w:val="00CC143B"/>
    <w:rsid w:val="00CC152B"/>
    <w:rsid w:val="00CC175D"/>
    <w:rsid w:val="00CC18CA"/>
    <w:rsid w:val="00CC197A"/>
    <w:rsid w:val="00CC1AC8"/>
    <w:rsid w:val="00CC1AF9"/>
    <w:rsid w:val="00CC1B11"/>
    <w:rsid w:val="00CC1D13"/>
    <w:rsid w:val="00CC1EF1"/>
    <w:rsid w:val="00CC20E0"/>
    <w:rsid w:val="00CC2105"/>
    <w:rsid w:val="00CC2161"/>
    <w:rsid w:val="00CC21A7"/>
    <w:rsid w:val="00CC24AB"/>
    <w:rsid w:val="00CC2730"/>
    <w:rsid w:val="00CC2818"/>
    <w:rsid w:val="00CC2AB0"/>
    <w:rsid w:val="00CC2CE4"/>
    <w:rsid w:val="00CC2E2C"/>
    <w:rsid w:val="00CC2E6E"/>
    <w:rsid w:val="00CC2E86"/>
    <w:rsid w:val="00CC2F4C"/>
    <w:rsid w:val="00CC2F7A"/>
    <w:rsid w:val="00CC2FFB"/>
    <w:rsid w:val="00CC326E"/>
    <w:rsid w:val="00CC32A9"/>
    <w:rsid w:val="00CC3324"/>
    <w:rsid w:val="00CC33B2"/>
    <w:rsid w:val="00CC33EB"/>
    <w:rsid w:val="00CC340B"/>
    <w:rsid w:val="00CC3411"/>
    <w:rsid w:val="00CC36CF"/>
    <w:rsid w:val="00CC3875"/>
    <w:rsid w:val="00CC3917"/>
    <w:rsid w:val="00CC39F8"/>
    <w:rsid w:val="00CC3A1E"/>
    <w:rsid w:val="00CC3A70"/>
    <w:rsid w:val="00CC3A93"/>
    <w:rsid w:val="00CC3B00"/>
    <w:rsid w:val="00CC3DA9"/>
    <w:rsid w:val="00CC3EC0"/>
    <w:rsid w:val="00CC3F30"/>
    <w:rsid w:val="00CC3F6E"/>
    <w:rsid w:val="00CC4033"/>
    <w:rsid w:val="00CC406D"/>
    <w:rsid w:val="00CC4085"/>
    <w:rsid w:val="00CC40A6"/>
    <w:rsid w:val="00CC40B8"/>
    <w:rsid w:val="00CC4134"/>
    <w:rsid w:val="00CC41AC"/>
    <w:rsid w:val="00CC42E5"/>
    <w:rsid w:val="00CC4302"/>
    <w:rsid w:val="00CC4388"/>
    <w:rsid w:val="00CC43D6"/>
    <w:rsid w:val="00CC44E6"/>
    <w:rsid w:val="00CC4635"/>
    <w:rsid w:val="00CC478E"/>
    <w:rsid w:val="00CC4838"/>
    <w:rsid w:val="00CC486B"/>
    <w:rsid w:val="00CC4882"/>
    <w:rsid w:val="00CC496E"/>
    <w:rsid w:val="00CC4A96"/>
    <w:rsid w:val="00CC4C31"/>
    <w:rsid w:val="00CC4E70"/>
    <w:rsid w:val="00CC4E77"/>
    <w:rsid w:val="00CC4E97"/>
    <w:rsid w:val="00CC5045"/>
    <w:rsid w:val="00CC5056"/>
    <w:rsid w:val="00CC5139"/>
    <w:rsid w:val="00CC5276"/>
    <w:rsid w:val="00CC532F"/>
    <w:rsid w:val="00CC53DE"/>
    <w:rsid w:val="00CC5444"/>
    <w:rsid w:val="00CC54A2"/>
    <w:rsid w:val="00CC54C4"/>
    <w:rsid w:val="00CC555B"/>
    <w:rsid w:val="00CC55A1"/>
    <w:rsid w:val="00CC5631"/>
    <w:rsid w:val="00CC5665"/>
    <w:rsid w:val="00CC5913"/>
    <w:rsid w:val="00CC5A7B"/>
    <w:rsid w:val="00CC5C19"/>
    <w:rsid w:val="00CC5CE6"/>
    <w:rsid w:val="00CC6182"/>
    <w:rsid w:val="00CC623A"/>
    <w:rsid w:val="00CC62A6"/>
    <w:rsid w:val="00CC62B6"/>
    <w:rsid w:val="00CC63EA"/>
    <w:rsid w:val="00CC6414"/>
    <w:rsid w:val="00CC6605"/>
    <w:rsid w:val="00CC671D"/>
    <w:rsid w:val="00CC676C"/>
    <w:rsid w:val="00CC6B97"/>
    <w:rsid w:val="00CC6B9B"/>
    <w:rsid w:val="00CC6BA0"/>
    <w:rsid w:val="00CC6BE9"/>
    <w:rsid w:val="00CC6C03"/>
    <w:rsid w:val="00CC6D43"/>
    <w:rsid w:val="00CC6DC8"/>
    <w:rsid w:val="00CC6DD9"/>
    <w:rsid w:val="00CC6F8C"/>
    <w:rsid w:val="00CC6F8D"/>
    <w:rsid w:val="00CC7040"/>
    <w:rsid w:val="00CC709D"/>
    <w:rsid w:val="00CC715A"/>
    <w:rsid w:val="00CC7179"/>
    <w:rsid w:val="00CC7200"/>
    <w:rsid w:val="00CC724C"/>
    <w:rsid w:val="00CC7349"/>
    <w:rsid w:val="00CC7447"/>
    <w:rsid w:val="00CC758D"/>
    <w:rsid w:val="00CC7772"/>
    <w:rsid w:val="00CC786E"/>
    <w:rsid w:val="00CC7875"/>
    <w:rsid w:val="00CC7935"/>
    <w:rsid w:val="00CC7948"/>
    <w:rsid w:val="00CC79DF"/>
    <w:rsid w:val="00CC7A11"/>
    <w:rsid w:val="00CC7B27"/>
    <w:rsid w:val="00CC7BC2"/>
    <w:rsid w:val="00CC7C23"/>
    <w:rsid w:val="00CC7D02"/>
    <w:rsid w:val="00CC7DAD"/>
    <w:rsid w:val="00CC7E5F"/>
    <w:rsid w:val="00CD0073"/>
    <w:rsid w:val="00CD009D"/>
    <w:rsid w:val="00CD027C"/>
    <w:rsid w:val="00CD02D8"/>
    <w:rsid w:val="00CD0447"/>
    <w:rsid w:val="00CD049A"/>
    <w:rsid w:val="00CD04A8"/>
    <w:rsid w:val="00CD051B"/>
    <w:rsid w:val="00CD0603"/>
    <w:rsid w:val="00CD0727"/>
    <w:rsid w:val="00CD0746"/>
    <w:rsid w:val="00CD079A"/>
    <w:rsid w:val="00CD092A"/>
    <w:rsid w:val="00CD096D"/>
    <w:rsid w:val="00CD0A90"/>
    <w:rsid w:val="00CD0AB3"/>
    <w:rsid w:val="00CD0D5E"/>
    <w:rsid w:val="00CD0DA1"/>
    <w:rsid w:val="00CD0E3F"/>
    <w:rsid w:val="00CD0F0D"/>
    <w:rsid w:val="00CD0F27"/>
    <w:rsid w:val="00CD0F4C"/>
    <w:rsid w:val="00CD0FFA"/>
    <w:rsid w:val="00CD1067"/>
    <w:rsid w:val="00CD11A7"/>
    <w:rsid w:val="00CD1237"/>
    <w:rsid w:val="00CD1251"/>
    <w:rsid w:val="00CD1269"/>
    <w:rsid w:val="00CD12C7"/>
    <w:rsid w:val="00CD1321"/>
    <w:rsid w:val="00CD138F"/>
    <w:rsid w:val="00CD13E7"/>
    <w:rsid w:val="00CD1459"/>
    <w:rsid w:val="00CD14D3"/>
    <w:rsid w:val="00CD164E"/>
    <w:rsid w:val="00CD16BE"/>
    <w:rsid w:val="00CD17A4"/>
    <w:rsid w:val="00CD18D7"/>
    <w:rsid w:val="00CD19FD"/>
    <w:rsid w:val="00CD1B32"/>
    <w:rsid w:val="00CD1BD4"/>
    <w:rsid w:val="00CD1C52"/>
    <w:rsid w:val="00CD1D9E"/>
    <w:rsid w:val="00CD1DB1"/>
    <w:rsid w:val="00CD1DC1"/>
    <w:rsid w:val="00CD1F2B"/>
    <w:rsid w:val="00CD2049"/>
    <w:rsid w:val="00CD2156"/>
    <w:rsid w:val="00CD22B5"/>
    <w:rsid w:val="00CD22EF"/>
    <w:rsid w:val="00CD22F4"/>
    <w:rsid w:val="00CD23CD"/>
    <w:rsid w:val="00CD25A0"/>
    <w:rsid w:val="00CD25E1"/>
    <w:rsid w:val="00CD25F1"/>
    <w:rsid w:val="00CD2868"/>
    <w:rsid w:val="00CD2A1E"/>
    <w:rsid w:val="00CD2A42"/>
    <w:rsid w:val="00CD2B81"/>
    <w:rsid w:val="00CD2C8B"/>
    <w:rsid w:val="00CD2ED8"/>
    <w:rsid w:val="00CD2F9D"/>
    <w:rsid w:val="00CD3028"/>
    <w:rsid w:val="00CD3139"/>
    <w:rsid w:val="00CD3389"/>
    <w:rsid w:val="00CD34A7"/>
    <w:rsid w:val="00CD34DF"/>
    <w:rsid w:val="00CD35E2"/>
    <w:rsid w:val="00CD35E5"/>
    <w:rsid w:val="00CD3662"/>
    <w:rsid w:val="00CD367C"/>
    <w:rsid w:val="00CD36C2"/>
    <w:rsid w:val="00CD36FA"/>
    <w:rsid w:val="00CD37FB"/>
    <w:rsid w:val="00CD3849"/>
    <w:rsid w:val="00CD388F"/>
    <w:rsid w:val="00CD3AC5"/>
    <w:rsid w:val="00CD3AFF"/>
    <w:rsid w:val="00CD3B18"/>
    <w:rsid w:val="00CD3BFE"/>
    <w:rsid w:val="00CD3C9F"/>
    <w:rsid w:val="00CD3D5F"/>
    <w:rsid w:val="00CD3DEF"/>
    <w:rsid w:val="00CD3F05"/>
    <w:rsid w:val="00CD3F59"/>
    <w:rsid w:val="00CD4196"/>
    <w:rsid w:val="00CD41AD"/>
    <w:rsid w:val="00CD41E7"/>
    <w:rsid w:val="00CD423E"/>
    <w:rsid w:val="00CD4457"/>
    <w:rsid w:val="00CD454A"/>
    <w:rsid w:val="00CD481E"/>
    <w:rsid w:val="00CD487B"/>
    <w:rsid w:val="00CD48AF"/>
    <w:rsid w:val="00CD49B8"/>
    <w:rsid w:val="00CD4B0C"/>
    <w:rsid w:val="00CD4B9E"/>
    <w:rsid w:val="00CD4C9A"/>
    <w:rsid w:val="00CD4DF6"/>
    <w:rsid w:val="00CD4F54"/>
    <w:rsid w:val="00CD4FFE"/>
    <w:rsid w:val="00CD501A"/>
    <w:rsid w:val="00CD5237"/>
    <w:rsid w:val="00CD5386"/>
    <w:rsid w:val="00CD5486"/>
    <w:rsid w:val="00CD5502"/>
    <w:rsid w:val="00CD5552"/>
    <w:rsid w:val="00CD567B"/>
    <w:rsid w:val="00CD56B1"/>
    <w:rsid w:val="00CD57FA"/>
    <w:rsid w:val="00CD57FB"/>
    <w:rsid w:val="00CD5926"/>
    <w:rsid w:val="00CD593B"/>
    <w:rsid w:val="00CD5A6E"/>
    <w:rsid w:val="00CD5BA3"/>
    <w:rsid w:val="00CD5C4E"/>
    <w:rsid w:val="00CD5D03"/>
    <w:rsid w:val="00CD5DA0"/>
    <w:rsid w:val="00CD5F7A"/>
    <w:rsid w:val="00CD5FE9"/>
    <w:rsid w:val="00CD6055"/>
    <w:rsid w:val="00CD6305"/>
    <w:rsid w:val="00CD63C3"/>
    <w:rsid w:val="00CD6557"/>
    <w:rsid w:val="00CD66D9"/>
    <w:rsid w:val="00CD68BA"/>
    <w:rsid w:val="00CD69F3"/>
    <w:rsid w:val="00CD6B10"/>
    <w:rsid w:val="00CD6D7C"/>
    <w:rsid w:val="00CD6D7E"/>
    <w:rsid w:val="00CD6F29"/>
    <w:rsid w:val="00CD7088"/>
    <w:rsid w:val="00CD70C0"/>
    <w:rsid w:val="00CD711F"/>
    <w:rsid w:val="00CD713F"/>
    <w:rsid w:val="00CD71D2"/>
    <w:rsid w:val="00CD72FC"/>
    <w:rsid w:val="00CD7311"/>
    <w:rsid w:val="00CD7356"/>
    <w:rsid w:val="00CD74A7"/>
    <w:rsid w:val="00CD7777"/>
    <w:rsid w:val="00CD7867"/>
    <w:rsid w:val="00CD79B2"/>
    <w:rsid w:val="00CD7AB9"/>
    <w:rsid w:val="00CD7D8C"/>
    <w:rsid w:val="00CD7ED4"/>
    <w:rsid w:val="00CD7EEE"/>
    <w:rsid w:val="00CD7F0F"/>
    <w:rsid w:val="00CD7FBC"/>
    <w:rsid w:val="00CE0064"/>
    <w:rsid w:val="00CE00B5"/>
    <w:rsid w:val="00CE01BE"/>
    <w:rsid w:val="00CE01C3"/>
    <w:rsid w:val="00CE01F3"/>
    <w:rsid w:val="00CE02C9"/>
    <w:rsid w:val="00CE0314"/>
    <w:rsid w:val="00CE03B8"/>
    <w:rsid w:val="00CE05DD"/>
    <w:rsid w:val="00CE06A4"/>
    <w:rsid w:val="00CE06A9"/>
    <w:rsid w:val="00CE06ED"/>
    <w:rsid w:val="00CE0733"/>
    <w:rsid w:val="00CE0772"/>
    <w:rsid w:val="00CE077F"/>
    <w:rsid w:val="00CE07F3"/>
    <w:rsid w:val="00CE08D5"/>
    <w:rsid w:val="00CE094B"/>
    <w:rsid w:val="00CE0961"/>
    <w:rsid w:val="00CE0978"/>
    <w:rsid w:val="00CE099C"/>
    <w:rsid w:val="00CE09E6"/>
    <w:rsid w:val="00CE09F3"/>
    <w:rsid w:val="00CE09F9"/>
    <w:rsid w:val="00CE0AB6"/>
    <w:rsid w:val="00CE0ACC"/>
    <w:rsid w:val="00CE0ADA"/>
    <w:rsid w:val="00CE0C4A"/>
    <w:rsid w:val="00CE0DEA"/>
    <w:rsid w:val="00CE0F65"/>
    <w:rsid w:val="00CE12C6"/>
    <w:rsid w:val="00CE137A"/>
    <w:rsid w:val="00CE1382"/>
    <w:rsid w:val="00CE13D1"/>
    <w:rsid w:val="00CE1468"/>
    <w:rsid w:val="00CE1560"/>
    <w:rsid w:val="00CE157C"/>
    <w:rsid w:val="00CE1586"/>
    <w:rsid w:val="00CE16B6"/>
    <w:rsid w:val="00CE1894"/>
    <w:rsid w:val="00CE18B6"/>
    <w:rsid w:val="00CE1A18"/>
    <w:rsid w:val="00CE1A72"/>
    <w:rsid w:val="00CE1AF6"/>
    <w:rsid w:val="00CE1D90"/>
    <w:rsid w:val="00CE2298"/>
    <w:rsid w:val="00CE23F0"/>
    <w:rsid w:val="00CE2421"/>
    <w:rsid w:val="00CE255A"/>
    <w:rsid w:val="00CE25E3"/>
    <w:rsid w:val="00CE2686"/>
    <w:rsid w:val="00CE26F0"/>
    <w:rsid w:val="00CE2704"/>
    <w:rsid w:val="00CE2753"/>
    <w:rsid w:val="00CE2B8A"/>
    <w:rsid w:val="00CE2C08"/>
    <w:rsid w:val="00CE2CCC"/>
    <w:rsid w:val="00CE2D7A"/>
    <w:rsid w:val="00CE2EFD"/>
    <w:rsid w:val="00CE2F1A"/>
    <w:rsid w:val="00CE3064"/>
    <w:rsid w:val="00CE3200"/>
    <w:rsid w:val="00CE3227"/>
    <w:rsid w:val="00CE324A"/>
    <w:rsid w:val="00CE348B"/>
    <w:rsid w:val="00CE34BB"/>
    <w:rsid w:val="00CE34C6"/>
    <w:rsid w:val="00CE35C8"/>
    <w:rsid w:val="00CE3736"/>
    <w:rsid w:val="00CE383A"/>
    <w:rsid w:val="00CE3925"/>
    <w:rsid w:val="00CE394C"/>
    <w:rsid w:val="00CE39E4"/>
    <w:rsid w:val="00CE3A70"/>
    <w:rsid w:val="00CE3AB5"/>
    <w:rsid w:val="00CE3B1C"/>
    <w:rsid w:val="00CE3B7F"/>
    <w:rsid w:val="00CE3BAB"/>
    <w:rsid w:val="00CE3C82"/>
    <w:rsid w:val="00CE3D95"/>
    <w:rsid w:val="00CE3E0F"/>
    <w:rsid w:val="00CE3E21"/>
    <w:rsid w:val="00CE3EBC"/>
    <w:rsid w:val="00CE3FF7"/>
    <w:rsid w:val="00CE415E"/>
    <w:rsid w:val="00CE41E0"/>
    <w:rsid w:val="00CE4282"/>
    <w:rsid w:val="00CE4329"/>
    <w:rsid w:val="00CE4509"/>
    <w:rsid w:val="00CE4548"/>
    <w:rsid w:val="00CE4755"/>
    <w:rsid w:val="00CE481B"/>
    <w:rsid w:val="00CE48FD"/>
    <w:rsid w:val="00CE4917"/>
    <w:rsid w:val="00CE49F6"/>
    <w:rsid w:val="00CE4AD9"/>
    <w:rsid w:val="00CE4B1C"/>
    <w:rsid w:val="00CE4D00"/>
    <w:rsid w:val="00CE4EC2"/>
    <w:rsid w:val="00CE4EF0"/>
    <w:rsid w:val="00CE4F93"/>
    <w:rsid w:val="00CE4FD4"/>
    <w:rsid w:val="00CE50F2"/>
    <w:rsid w:val="00CE5128"/>
    <w:rsid w:val="00CE513D"/>
    <w:rsid w:val="00CE52BB"/>
    <w:rsid w:val="00CE5473"/>
    <w:rsid w:val="00CE54E1"/>
    <w:rsid w:val="00CE55B6"/>
    <w:rsid w:val="00CE5779"/>
    <w:rsid w:val="00CE5830"/>
    <w:rsid w:val="00CE5856"/>
    <w:rsid w:val="00CE5A7E"/>
    <w:rsid w:val="00CE5AC3"/>
    <w:rsid w:val="00CE5B24"/>
    <w:rsid w:val="00CE5BDE"/>
    <w:rsid w:val="00CE5C4E"/>
    <w:rsid w:val="00CE5CF6"/>
    <w:rsid w:val="00CE5D13"/>
    <w:rsid w:val="00CE5D22"/>
    <w:rsid w:val="00CE5E13"/>
    <w:rsid w:val="00CE5E67"/>
    <w:rsid w:val="00CE625D"/>
    <w:rsid w:val="00CE62E2"/>
    <w:rsid w:val="00CE63C2"/>
    <w:rsid w:val="00CE6446"/>
    <w:rsid w:val="00CE64B1"/>
    <w:rsid w:val="00CE64CB"/>
    <w:rsid w:val="00CE64F0"/>
    <w:rsid w:val="00CE65D1"/>
    <w:rsid w:val="00CE664F"/>
    <w:rsid w:val="00CE6882"/>
    <w:rsid w:val="00CE68E0"/>
    <w:rsid w:val="00CE6A4B"/>
    <w:rsid w:val="00CE6A6D"/>
    <w:rsid w:val="00CE6B54"/>
    <w:rsid w:val="00CE6CDC"/>
    <w:rsid w:val="00CE6D05"/>
    <w:rsid w:val="00CE6D73"/>
    <w:rsid w:val="00CE6E4A"/>
    <w:rsid w:val="00CE6E6B"/>
    <w:rsid w:val="00CE6EAE"/>
    <w:rsid w:val="00CE6F21"/>
    <w:rsid w:val="00CE6F79"/>
    <w:rsid w:val="00CE6F7B"/>
    <w:rsid w:val="00CE6FDE"/>
    <w:rsid w:val="00CE7061"/>
    <w:rsid w:val="00CE7236"/>
    <w:rsid w:val="00CE724A"/>
    <w:rsid w:val="00CE7291"/>
    <w:rsid w:val="00CE72BF"/>
    <w:rsid w:val="00CE75BE"/>
    <w:rsid w:val="00CE76E1"/>
    <w:rsid w:val="00CE774C"/>
    <w:rsid w:val="00CE77DC"/>
    <w:rsid w:val="00CE78E8"/>
    <w:rsid w:val="00CE7929"/>
    <w:rsid w:val="00CE79DC"/>
    <w:rsid w:val="00CE7A44"/>
    <w:rsid w:val="00CE7BD9"/>
    <w:rsid w:val="00CE7DF7"/>
    <w:rsid w:val="00CF0035"/>
    <w:rsid w:val="00CF012E"/>
    <w:rsid w:val="00CF026A"/>
    <w:rsid w:val="00CF0304"/>
    <w:rsid w:val="00CF0314"/>
    <w:rsid w:val="00CF034C"/>
    <w:rsid w:val="00CF035E"/>
    <w:rsid w:val="00CF0474"/>
    <w:rsid w:val="00CF04D4"/>
    <w:rsid w:val="00CF0570"/>
    <w:rsid w:val="00CF0596"/>
    <w:rsid w:val="00CF0710"/>
    <w:rsid w:val="00CF0735"/>
    <w:rsid w:val="00CF0892"/>
    <w:rsid w:val="00CF08F9"/>
    <w:rsid w:val="00CF0943"/>
    <w:rsid w:val="00CF0945"/>
    <w:rsid w:val="00CF0A6E"/>
    <w:rsid w:val="00CF0A92"/>
    <w:rsid w:val="00CF0A93"/>
    <w:rsid w:val="00CF0B3B"/>
    <w:rsid w:val="00CF0B4C"/>
    <w:rsid w:val="00CF0BE8"/>
    <w:rsid w:val="00CF0C28"/>
    <w:rsid w:val="00CF0C44"/>
    <w:rsid w:val="00CF0EB9"/>
    <w:rsid w:val="00CF0F06"/>
    <w:rsid w:val="00CF102B"/>
    <w:rsid w:val="00CF10A2"/>
    <w:rsid w:val="00CF1194"/>
    <w:rsid w:val="00CF12BD"/>
    <w:rsid w:val="00CF132E"/>
    <w:rsid w:val="00CF132F"/>
    <w:rsid w:val="00CF14BC"/>
    <w:rsid w:val="00CF1680"/>
    <w:rsid w:val="00CF1736"/>
    <w:rsid w:val="00CF1761"/>
    <w:rsid w:val="00CF17D8"/>
    <w:rsid w:val="00CF18F3"/>
    <w:rsid w:val="00CF1936"/>
    <w:rsid w:val="00CF195F"/>
    <w:rsid w:val="00CF1BD7"/>
    <w:rsid w:val="00CF1E17"/>
    <w:rsid w:val="00CF1EA6"/>
    <w:rsid w:val="00CF1EDD"/>
    <w:rsid w:val="00CF1F18"/>
    <w:rsid w:val="00CF1F5B"/>
    <w:rsid w:val="00CF21A5"/>
    <w:rsid w:val="00CF21AC"/>
    <w:rsid w:val="00CF21C4"/>
    <w:rsid w:val="00CF2364"/>
    <w:rsid w:val="00CF24AB"/>
    <w:rsid w:val="00CF24FC"/>
    <w:rsid w:val="00CF2518"/>
    <w:rsid w:val="00CF253E"/>
    <w:rsid w:val="00CF278E"/>
    <w:rsid w:val="00CF2855"/>
    <w:rsid w:val="00CF2907"/>
    <w:rsid w:val="00CF298B"/>
    <w:rsid w:val="00CF2AC9"/>
    <w:rsid w:val="00CF2BD2"/>
    <w:rsid w:val="00CF2C69"/>
    <w:rsid w:val="00CF2DDE"/>
    <w:rsid w:val="00CF2E56"/>
    <w:rsid w:val="00CF2FB1"/>
    <w:rsid w:val="00CF3006"/>
    <w:rsid w:val="00CF3022"/>
    <w:rsid w:val="00CF306C"/>
    <w:rsid w:val="00CF30F1"/>
    <w:rsid w:val="00CF3263"/>
    <w:rsid w:val="00CF344A"/>
    <w:rsid w:val="00CF34B0"/>
    <w:rsid w:val="00CF36A0"/>
    <w:rsid w:val="00CF37AC"/>
    <w:rsid w:val="00CF3815"/>
    <w:rsid w:val="00CF3992"/>
    <w:rsid w:val="00CF39A0"/>
    <w:rsid w:val="00CF3CC7"/>
    <w:rsid w:val="00CF3D1C"/>
    <w:rsid w:val="00CF3D3C"/>
    <w:rsid w:val="00CF3D72"/>
    <w:rsid w:val="00CF3FE8"/>
    <w:rsid w:val="00CF4270"/>
    <w:rsid w:val="00CF42AE"/>
    <w:rsid w:val="00CF4301"/>
    <w:rsid w:val="00CF43A5"/>
    <w:rsid w:val="00CF44D2"/>
    <w:rsid w:val="00CF44E2"/>
    <w:rsid w:val="00CF453C"/>
    <w:rsid w:val="00CF460B"/>
    <w:rsid w:val="00CF4713"/>
    <w:rsid w:val="00CF4714"/>
    <w:rsid w:val="00CF4863"/>
    <w:rsid w:val="00CF4940"/>
    <w:rsid w:val="00CF4A1D"/>
    <w:rsid w:val="00CF4AE1"/>
    <w:rsid w:val="00CF4B12"/>
    <w:rsid w:val="00CF4CD2"/>
    <w:rsid w:val="00CF4D05"/>
    <w:rsid w:val="00CF4DE9"/>
    <w:rsid w:val="00CF4E59"/>
    <w:rsid w:val="00CF4F1E"/>
    <w:rsid w:val="00CF4F79"/>
    <w:rsid w:val="00CF5010"/>
    <w:rsid w:val="00CF5155"/>
    <w:rsid w:val="00CF52D3"/>
    <w:rsid w:val="00CF53D6"/>
    <w:rsid w:val="00CF545F"/>
    <w:rsid w:val="00CF5511"/>
    <w:rsid w:val="00CF5567"/>
    <w:rsid w:val="00CF562B"/>
    <w:rsid w:val="00CF56AD"/>
    <w:rsid w:val="00CF57E6"/>
    <w:rsid w:val="00CF58FE"/>
    <w:rsid w:val="00CF5A30"/>
    <w:rsid w:val="00CF5A91"/>
    <w:rsid w:val="00CF5AF8"/>
    <w:rsid w:val="00CF5B54"/>
    <w:rsid w:val="00CF5B75"/>
    <w:rsid w:val="00CF5CA0"/>
    <w:rsid w:val="00CF5D88"/>
    <w:rsid w:val="00CF5DFD"/>
    <w:rsid w:val="00CF5E18"/>
    <w:rsid w:val="00CF5E5A"/>
    <w:rsid w:val="00CF5EBE"/>
    <w:rsid w:val="00CF5FBB"/>
    <w:rsid w:val="00CF60EE"/>
    <w:rsid w:val="00CF619E"/>
    <w:rsid w:val="00CF6374"/>
    <w:rsid w:val="00CF64EF"/>
    <w:rsid w:val="00CF64F6"/>
    <w:rsid w:val="00CF655F"/>
    <w:rsid w:val="00CF6581"/>
    <w:rsid w:val="00CF6673"/>
    <w:rsid w:val="00CF6857"/>
    <w:rsid w:val="00CF6890"/>
    <w:rsid w:val="00CF6992"/>
    <w:rsid w:val="00CF69BF"/>
    <w:rsid w:val="00CF6B7E"/>
    <w:rsid w:val="00CF6C85"/>
    <w:rsid w:val="00CF6E8F"/>
    <w:rsid w:val="00CF6EB4"/>
    <w:rsid w:val="00CF6F1B"/>
    <w:rsid w:val="00CF702A"/>
    <w:rsid w:val="00CF7115"/>
    <w:rsid w:val="00CF7121"/>
    <w:rsid w:val="00CF72C2"/>
    <w:rsid w:val="00CF72C6"/>
    <w:rsid w:val="00CF73AA"/>
    <w:rsid w:val="00CF742D"/>
    <w:rsid w:val="00CF74A2"/>
    <w:rsid w:val="00CF764C"/>
    <w:rsid w:val="00CF7651"/>
    <w:rsid w:val="00CF7673"/>
    <w:rsid w:val="00CF76A7"/>
    <w:rsid w:val="00CF774C"/>
    <w:rsid w:val="00CF77CC"/>
    <w:rsid w:val="00CF781D"/>
    <w:rsid w:val="00CF783B"/>
    <w:rsid w:val="00CF788F"/>
    <w:rsid w:val="00CF7A4F"/>
    <w:rsid w:val="00CF7B75"/>
    <w:rsid w:val="00CF7C98"/>
    <w:rsid w:val="00CF7CE6"/>
    <w:rsid w:val="00CF7D97"/>
    <w:rsid w:val="00CF7DFF"/>
    <w:rsid w:val="00CF7EEC"/>
    <w:rsid w:val="00CF7FA2"/>
    <w:rsid w:val="00CF7FA6"/>
    <w:rsid w:val="00D00159"/>
    <w:rsid w:val="00D00187"/>
    <w:rsid w:val="00D001C2"/>
    <w:rsid w:val="00D0022B"/>
    <w:rsid w:val="00D0022F"/>
    <w:rsid w:val="00D002B8"/>
    <w:rsid w:val="00D002FB"/>
    <w:rsid w:val="00D00474"/>
    <w:rsid w:val="00D0058A"/>
    <w:rsid w:val="00D00779"/>
    <w:rsid w:val="00D009D8"/>
    <w:rsid w:val="00D00DAE"/>
    <w:rsid w:val="00D00F2B"/>
    <w:rsid w:val="00D010AE"/>
    <w:rsid w:val="00D010B0"/>
    <w:rsid w:val="00D012E1"/>
    <w:rsid w:val="00D01318"/>
    <w:rsid w:val="00D0135F"/>
    <w:rsid w:val="00D013C1"/>
    <w:rsid w:val="00D01490"/>
    <w:rsid w:val="00D014E5"/>
    <w:rsid w:val="00D01580"/>
    <w:rsid w:val="00D01665"/>
    <w:rsid w:val="00D017D9"/>
    <w:rsid w:val="00D01881"/>
    <w:rsid w:val="00D018B8"/>
    <w:rsid w:val="00D01956"/>
    <w:rsid w:val="00D019B4"/>
    <w:rsid w:val="00D01B5A"/>
    <w:rsid w:val="00D01C6C"/>
    <w:rsid w:val="00D01D1E"/>
    <w:rsid w:val="00D01D90"/>
    <w:rsid w:val="00D01DD6"/>
    <w:rsid w:val="00D01E28"/>
    <w:rsid w:val="00D01E8A"/>
    <w:rsid w:val="00D01EA7"/>
    <w:rsid w:val="00D01F3B"/>
    <w:rsid w:val="00D01F84"/>
    <w:rsid w:val="00D01F9D"/>
    <w:rsid w:val="00D020BA"/>
    <w:rsid w:val="00D02161"/>
    <w:rsid w:val="00D0221C"/>
    <w:rsid w:val="00D02225"/>
    <w:rsid w:val="00D0236B"/>
    <w:rsid w:val="00D02375"/>
    <w:rsid w:val="00D0237A"/>
    <w:rsid w:val="00D0253D"/>
    <w:rsid w:val="00D02580"/>
    <w:rsid w:val="00D025CF"/>
    <w:rsid w:val="00D0261A"/>
    <w:rsid w:val="00D0266A"/>
    <w:rsid w:val="00D027C8"/>
    <w:rsid w:val="00D02801"/>
    <w:rsid w:val="00D02954"/>
    <w:rsid w:val="00D02A77"/>
    <w:rsid w:val="00D02B05"/>
    <w:rsid w:val="00D02D4A"/>
    <w:rsid w:val="00D02E2E"/>
    <w:rsid w:val="00D0317F"/>
    <w:rsid w:val="00D0321C"/>
    <w:rsid w:val="00D032A4"/>
    <w:rsid w:val="00D032A9"/>
    <w:rsid w:val="00D032D1"/>
    <w:rsid w:val="00D034B4"/>
    <w:rsid w:val="00D036D7"/>
    <w:rsid w:val="00D036F2"/>
    <w:rsid w:val="00D0377B"/>
    <w:rsid w:val="00D03897"/>
    <w:rsid w:val="00D03955"/>
    <w:rsid w:val="00D03A7A"/>
    <w:rsid w:val="00D03B5F"/>
    <w:rsid w:val="00D03B84"/>
    <w:rsid w:val="00D03BF7"/>
    <w:rsid w:val="00D03C80"/>
    <w:rsid w:val="00D03C8D"/>
    <w:rsid w:val="00D03D8C"/>
    <w:rsid w:val="00D03E35"/>
    <w:rsid w:val="00D03E95"/>
    <w:rsid w:val="00D03EA7"/>
    <w:rsid w:val="00D03F0B"/>
    <w:rsid w:val="00D03F1E"/>
    <w:rsid w:val="00D03FB6"/>
    <w:rsid w:val="00D04007"/>
    <w:rsid w:val="00D0412E"/>
    <w:rsid w:val="00D041AB"/>
    <w:rsid w:val="00D0420D"/>
    <w:rsid w:val="00D04266"/>
    <w:rsid w:val="00D0428E"/>
    <w:rsid w:val="00D04290"/>
    <w:rsid w:val="00D04426"/>
    <w:rsid w:val="00D0457D"/>
    <w:rsid w:val="00D04721"/>
    <w:rsid w:val="00D0482F"/>
    <w:rsid w:val="00D04902"/>
    <w:rsid w:val="00D0490B"/>
    <w:rsid w:val="00D04942"/>
    <w:rsid w:val="00D04960"/>
    <w:rsid w:val="00D04A33"/>
    <w:rsid w:val="00D04C27"/>
    <w:rsid w:val="00D04D4E"/>
    <w:rsid w:val="00D04F46"/>
    <w:rsid w:val="00D04FAE"/>
    <w:rsid w:val="00D0503F"/>
    <w:rsid w:val="00D05075"/>
    <w:rsid w:val="00D05091"/>
    <w:rsid w:val="00D0514E"/>
    <w:rsid w:val="00D05221"/>
    <w:rsid w:val="00D0524B"/>
    <w:rsid w:val="00D05299"/>
    <w:rsid w:val="00D052E4"/>
    <w:rsid w:val="00D05349"/>
    <w:rsid w:val="00D053FC"/>
    <w:rsid w:val="00D05550"/>
    <w:rsid w:val="00D05675"/>
    <w:rsid w:val="00D0573A"/>
    <w:rsid w:val="00D05759"/>
    <w:rsid w:val="00D057E4"/>
    <w:rsid w:val="00D05892"/>
    <w:rsid w:val="00D05A21"/>
    <w:rsid w:val="00D05AFA"/>
    <w:rsid w:val="00D05BD8"/>
    <w:rsid w:val="00D05BDC"/>
    <w:rsid w:val="00D05C4B"/>
    <w:rsid w:val="00D05DCE"/>
    <w:rsid w:val="00D05E67"/>
    <w:rsid w:val="00D05F01"/>
    <w:rsid w:val="00D05FDD"/>
    <w:rsid w:val="00D06535"/>
    <w:rsid w:val="00D065CF"/>
    <w:rsid w:val="00D0660F"/>
    <w:rsid w:val="00D06714"/>
    <w:rsid w:val="00D06824"/>
    <w:rsid w:val="00D06845"/>
    <w:rsid w:val="00D068A2"/>
    <w:rsid w:val="00D06B03"/>
    <w:rsid w:val="00D06C03"/>
    <w:rsid w:val="00D06CB2"/>
    <w:rsid w:val="00D06DE9"/>
    <w:rsid w:val="00D06E4D"/>
    <w:rsid w:val="00D06F8F"/>
    <w:rsid w:val="00D0708C"/>
    <w:rsid w:val="00D071AD"/>
    <w:rsid w:val="00D0720C"/>
    <w:rsid w:val="00D073D0"/>
    <w:rsid w:val="00D07407"/>
    <w:rsid w:val="00D074B6"/>
    <w:rsid w:val="00D0756E"/>
    <w:rsid w:val="00D075E2"/>
    <w:rsid w:val="00D07657"/>
    <w:rsid w:val="00D076A5"/>
    <w:rsid w:val="00D07784"/>
    <w:rsid w:val="00D077D7"/>
    <w:rsid w:val="00D077E8"/>
    <w:rsid w:val="00D07815"/>
    <w:rsid w:val="00D0792E"/>
    <w:rsid w:val="00D07A21"/>
    <w:rsid w:val="00D07A5D"/>
    <w:rsid w:val="00D07C9C"/>
    <w:rsid w:val="00D07CAF"/>
    <w:rsid w:val="00D07CFF"/>
    <w:rsid w:val="00D07D51"/>
    <w:rsid w:val="00D07D53"/>
    <w:rsid w:val="00D07E4F"/>
    <w:rsid w:val="00D100A8"/>
    <w:rsid w:val="00D10178"/>
    <w:rsid w:val="00D101AA"/>
    <w:rsid w:val="00D101FF"/>
    <w:rsid w:val="00D10374"/>
    <w:rsid w:val="00D1037A"/>
    <w:rsid w:val="00D1082B"/>
    <w:rsid w:val="00D10926"/>
    <w:rsid w:val="00D10AFF"/>
    <w:rsid w:val="00D10C1E"/>
    <w:rsid w:val="00D10C8F"/>
    <w:rsid w:val="00D10C94"/>
    <w:rsid w:val="00D10D09"/>
    <w:rsid w:val="00D10D34"/>
    <w:rsid w:val="00D10DEA"/>
    <w:rsid w:val="00D10FA5"/>
    <w:rsid w:val="00D1106D"/>
    <w:rsid w:val="00D1113D"/>
    <w:rsid w:val="00D11253"/>
    <w:rsid w:val="00D11278"/>
    <w:rsid w:val="00D11286"/>
    <w:rsid w:val="00D11287"/>
    <w:rsid w:val="00D113F6"/>
    <w:rsid w:val="00D1163E"/>
    <w:rsid w:val="00D11665"/>
    <w:rsid w:val="00D11672"/>
    <w:rsid w:val="00D11738"/>
    <w:rsid w:val="00D11805"/>
    <w:rsid w:val="00D1188B"/>
    <w:rsid w:val="00D11924"/>
    <w:rsid w:val="00D11A1C"/>
    <w:rsid w:val="00D11A5A"/>
    <w:rsid w:val="00D11B04"/>
    <w:rsid w:val="00D11B2F"/>
    <w:rsid w:val="00D11BCD"/>
    <w:rsid w:val="00D11D5F"/>
    <w:rsid w:val="00D11DC9"/>
    <w:rsid w:val="00D11E37"/>
    <w:rsid w:val="00D11F96"/>
    <w:rsid w:val="00D1210D"/>
    <w:rsid w:val="00D12188"/>
    <w:rsid w:val="00D12287"/>
    <w:rsid w:val="00D12362"/>
    <w:rsid w:val="00D123E4"/>
    <w:rsid w:val="00D1242F"/>
    <w:rsid w:val="00D124F6"/>
    <w:rsid w:val="00D12698"/>
    <w:rsid w:val="00D12767"/>
    <w:rsid w:val="00D12769"/>
    <w:rsid w:val="00D127B8"/>
    <w:rsid w:val="00D129BF"/>
    <w:rsid w:val="00D12A16"/>
    <w:rsid w:val="00D12A4F"/>
    <w:rsid w:val="00D12AE9"/>
    <w:rsid w:val="00D12D60"/>
    <w:rsid w:val="00D12EA8"/>
    <w:rsid w:val="00D12F3F"/>
    <w:rsid w:val="00D12F4C"/>
    <w:rsid w:val="00D12F6E"/>
    <w:rsid w:val="00D131F6"/>
    <w:rsid w:val="00D134B0"/>
    <w:rsid w:val="00D134F0"/>
    <w:rsid w:val="00D13584"/>
    <w:rsid w:val="00D13590"/>
    <w:rsid w:val="00D135D9"/>
    <w:rsid w:val="00D13618"/>
    <w:rsid w:val="00D13647"/>
    <w:rsid w:val="00D1368A"/>
    <w:rsid w:val="00D1370E"/>
    <w:rsid w:val="00D139F4"/>
    <w:rsid w:val="00D13A92"/>
    <w:rsid w:val="00D13AA1"/>
    <w:rsid w:val="00D13B6E"/>
    <w:rsid w:val="00D13C1B"/>
    <w:rsid w:val="00D13D04"/>
    <w:rsid w:val="00D13D25"/>
    <w:rsid w:val="00D14148"/>
    <w:rsid w:val="00D14219"/>
    <w:rsid w:val="00D14546"/>
    <w:rsid w:val="00D145D9"/>
    <w:rsid w:val="00D146EB"/>
    <w:rsid w:val="00D1472B"/>
    <w:rsid w:val="00D147F9"/>
    <w:rsid w:val="00D1483D"/>
    <w:rsid w:val="00D14964"/>
    <w:rsid w:val="00D1498F"/>
    <w:rsid w:val="00D149D4"/>
    <w:rsid w:val="00D14A72"/>
    <w:rsid w:val="00D14B09"/>
    <w:rsid w:val="00D14B67"/>
    <w:rsid w:val="00D14C15"/>
    <w:rsid w:val="00D14C61"/>
    <w:rsid w:val="00D14CAF"/>
    <w:rsid w:val="00D14ECB"/>
    <w:rsid w:val="00D14F3A"/>
    <w:rsid w:val="00D1501E"/>
    <w:rsid w:val="00D15153"/>
    <w:rsid w:val="00D152B1"/>
    <w:rsid w:val="00D152D8"/>
    <w:rsid w:val="00D15480"/>
    <w:rsid w:val="00D15667"/>
    <w:rsid w:val="00D156DF"/>
    <w:rsid w:val="00D1573D"/>
    <w:rsid w:val="00D1585A"/>
    <w:rsid w:val="00D15884"/>
    <w:rsid w:val="00D1592C"/>
    <w:rsid w:val="00D1594A"/>
    <w:rsid w:val="00D15981"/>
    <w:rsid w:val="00D15985"/>
    <w:rsid w:val="00D15AEE"/>
    <w:rsid w:val="00D15AF4"/>
    <w:rsid w:val="00D15CB3"/>
    <w:rsid w:val="00D15E25"/>
    <w:rsid w:val="00D15E84"/>
    <w:rsid w:val="00D15ECD"/>
    <w:rsid w:val="00D15F51"/>
    <w:rsid w:val="00D162BA"/>
    <w:rsid w:val="00D1637D"/>
    <w:rsid w:val="00D1637F"/>
    <w:rsid w:val="00D1650B"/>
    <w:rsid w:val="00D16734"/>
    <w:rsid w:val="00D167BD"/>
    <w:rsid w:val="00D16947"/>
    <w:rsid w:val="00D16967"/>
    <w:rsid w:val="00D16991"/>
    <w:rsid w:val="00D16B58"/>
    <w:rsid w:val="00D16B9D"/>
    <w:rsid w:val="00D16BD6"/>
    <w:rsid w:val="00D16C51"/>
    <w:rsid w:val="00D16D32"/>
    <w:rsid w:val="00D16E90"/>
    <w:rsid w:val="00D16EB8"/>
    <w:rsid w:val="00D16ED5"/>
    <w:rsid w:val="00D16EFD"/>
    <w:rsid w:val="00D17225"/>
    <w:rsid w:val="00D1749E"/>
    <w:rsid w:val="00D1759D"/>
    <w:rsid w:val="00D17878"/>
    <w:rsid w:val="00D17884"/>
    <w:rsid w:val="00D179D0"/>
    <w:rsid w:val="00D17A15"/>
    <w:rsid w:val="00D17A9B"/>
    <w:rsid w:val="00D17ABE"/>
    <w:rsid w:val="00D17B27"/>
    <w:rsid w:val="00D17C1D"/>
    <w:rsid w:val="00D17E90"/>
    <w:rsid w:val="00D17F5E"/>
    <w:rsid w:val="00D2003E"/>
    <w:rsid w:val="00D2005B"/>
    <w:rsid w:val="00D20090"/>
    <w:rsid w:val="00D20180"/>
    <w:rsid w:val="00D202A6"/>
    <w:rsid w:val="00D202AB"/>
    <w:rsid w:val="00D202B1"/>
    <w:rsid w:val="00D202DC"/>
    <w:rsid w:val="00D20334"/>
    <w:rsid w:val="00D2035D"/>
    <w:rsid w:val="00D20615"/>
    <w:rsid w:val="00D20662"/>
    <w:rsid w:val="00D2068E"/>
    <w:rsid w:val="00D20711"/>
    <w:rsid w:val="00D2074D"/>
    <w:rsid w:val="00D20A7F"/>
    <w:rsid w:val="00D20B61"/>
    <w:rsid w:val="00D20BA6"/>
    <w:rsid w:val="00D20BE8"/>
    <w:rsid w:val="00D20C71"/>
    <w:rsid w:val="00D20CEB"/>
    <w:rsid w:val="00D20D45"/>
    <w:rsid w:val="00D20F73"/>
    <w:rsid w:val="00D20F96"/>
    <w:rsid w:val="00D210C6"/>
    <w:rsid w:val="00D2114B"/>
    <w:rsid w:val="00D2116A"/>
    <w:rsid w:val="00D21291"/>
    <w:rsid w:val="00D212A5"/>
    <w:rsid w:val="00D21480"/>
    <w:rsid w:val="00D214D4"/>
    <w:rsid w:val="00D2150F"/>
    <w:rsid w:val="00D2158A"/>
    <w:rsid w:val="00D215DB"/>
    <w:rsid w:val="00D216BA"/>
    <w:rsid w:val="00D2178B"/>
    <w:rsid w:val="00D217D8"/>
    <w:rsid w:val="00D217F6"/>
    <w:rsid w:val="00D21820"/>
    <w:rsid w:val="00D21829"/>
    <w:rsid w:val="00D21915"/>
    <w:rsid w:val="00D21C8A"/>
    <w:rsid w:val="00D21D23"/>
    <w:rsid w:val="00D21DBE"/>
    <w:rsid w:val="00D21E41"/>
    <w:rsid w:val="00D21EBF"/>
    <w:rsid w:val="00D22159"/>
    <w:rsid w:val="00D222AF"/>
    <w:rsid w:val="00D2231B"/>
    <w:rsid w:val="00D226D8"/>
    <w:rsid w:val="00D2271F"/>
    <w:rsid w:val="00D2279E"/>
    <w:rsid w:val="00D22812"/>
    <w:rsid w:val="00D228F8"/>
    <w:rsid w:val="00D2291C"/>
    <w:rsid w:val="00D2297E"/>
    <w:rsid w:val="00D2297F"/>
    <w:rsid w:val="00D22A83"/>
    <w:rsid w:val="00D22B67"/>
    <w:rsid w:val="00D22C2E"/>
    <w:rsid w:val="00D22CDD"/>
    <w:rsid w:val="00D22DE5"/>
    <w:rsid w:val="00D22F7B"/>
    <w:rsid w:val="00D23058"/>
    <w:rsid w:val="00D23145"/>
    <w:rsid w:val="00D23183"/>
    <w:rsid w:val="00D23209"/>
    <w:rsid w:val="00D232A0"/>
    <w:rsid w:val="00D232A3"/>
    <w:rsid w:val="00D233A2"/>
    <w:rsid w:val="00D233BD"/>
    <w:rsid w:val="00D233D7"/>
    <w:rsid w:val="00D23462"/>
    <w:rsid w:val="00D23510"/>
    <w:rsid w:val="00D2358C"/>
    <w:rsid w:val="00D239CA"/>
    <w:rsid w:val="00D23A17"/>
    <w:rsid w:val="00D23BE9"/>
    <w:rsid w:val="00D23BEA"/>
    <w:rsid w:val="00D23CBB"/>
    <w:rsid w:val="00D23CE8"/>
    <w:rsid w:val="00D23E1C"/>
    <w:rsid w:val="00D23E53"/>
    <w:rsid w:val="00D23EE0"/>
    <w:rsid w:val="00D23FB0"/>
    <w:rsid w:val="00D24032"/>
    <w:rsid w:val="00D2411D"/>
    <w:rsid w:val="00D24305"/>
    <w:rsid w:val="00D24378"/>
    <w:rsid w:val="00D245A9"/>
    <w:rsid w:val="00D24608"/>
    <w:rsid w:val="00D2464C"/>
    <w:rsid w:val="00D24780"/>
    <w:rsid w:val="00D249EE"/>
    <w:rsid w:val="00D249F1"/>
    <w:rsid w:val="00D24B27"/>
    <w:rsid w:val="00D24B9E"/>
    <w:rsid w:val="00D24DB4"/>
    <w:rsid w:val="00D24F20"/>
    <w:rsid w:val="00D24F84"/>
    <w:rsid w:val="00D24FCF"/>
    <w:rsid w:val="00D2523E"/>
    <w:rsid w:val="00D2528F"/>
    <w:rsid w:val="00D25411"/>
    <w:rsid w:val="00D254F6"/>
    <w:rsid w:val="00D2554A"/>
    <w:rsid w:val="00D256DE"/>
    <w:rsid w:val="00D25736"/>
    <w:rsid w:val="00D25806"/>
    <w:rsid w:val="00D2580C"/>
    <w:rsid w:val="00D258F5"/>
    <w:rsid w:val="00D25ADD"/>
    <w:rsid w:val="00D25B87"/>
    <w:rsid w:val="00D25E14"/>
    <w:rsid w:val="00D25E9D"/>
    <w:rsid w:val="00D25EC6"/>
    <w:rsid w:val="00D25F1C"/>
    <w:rsid w:val="00D25F3E"/>
    <w:rsid w:val="00D26211"/>
    <w:rsid w:val="00D26346"/>
    <w:rsid w:val="00D26406"/>
    <w:rsid w:val="00D26487"/>
    <w:rsid w:val="00D2649D"/>
    <w:rsid w:val="00D2656F"/>
    <w:rsid w:val="00D265D7"/>
    <w:rsid w:val="00D26611"/>
    <w:rsid w:val="00D26632"/>
    <w:rsid w:val="00D2665F"/>
    <w:rsid w:val="00D266C9"/>
    <w:rsid w:val="00D2689C"/>
    <w:rsid w:val="00D26DE6"/>
    <w:rsid w:val="00D26E48"/>
    <w:rsid w:val="00D26EAF"/>
    <w:rsid w:val="00D26EE7"/>
    <w:rsid w:val="00D26FA4"/>
    <w:rsid w:val="00D27051"/>
    <w:rsid w:val="00D27331"/>
    <w:rsid w:val="00D2748A"/>
    <w:rsid w:val="00D2748D"/>
    <w:rsid w:val="00D2753D"/>
    <w:rsid w:val="00D275A5"/>
    <w:rsid w:val="00D2765E"/>
    <w:rsid w:val="00D27668"/>
    <w:rsid w:val="00D27681"/>
    <w:rsid w:val="00D276D4"/>
    <w:rsid w:val="00D27721"/>
    <w:rsid w:val="00D2776C"/>
    <w:rsid w:val="00D27924"/>
    <w:rsid w:val="00D27959"/>
    <w:rsid w:val="00D27A7A"/>
    <w:rsid w:val="00D27B06"/>
    <w:rsid w:val="00D27B1E"/>
    <w:rsid w:val="00D27B8E"/>
    <w:rsid w:val="00D27C2D"/>
    <w:rsid w:val="00D27D0F"/>
    <w:rsid w:val="00D27DB8"/>
    <w:rsid w:val="00D27EC5"/>
    <w:rsid w:val="00D30018"/>
    <w:rsid w:val="00D30086"/>
    <w:rsid w:val="00D301C0"/>
    <w:rsid w:val="00D30686"/>
    <w:rsid w:val="00D30718"/>
    <w:rsid w:val="00D30880"/>
    <w:rsid w:val="00D308D0"/>
    <w:rsid w:val="00D3092A"/>
    <w:rsid w:val="00D30A08"/>
    <w:rsid w:val="00D30A37"/>
    <w:rsid w:val="00D30AAD"/>
    <w:rsid w:val="00D30AC5"/>
    <w:rsid w:val="00D30BF0"/>
    <w:rsid w:val="00D30C05"/>
    <w:rsid w:val="00D30C87"/>
    <w:rsid w:val="00D31063"/>
    <w:rsid w:val="00D310D7"/>
    <w:rsid w:val="00D310FB"/>
    <w:rsid w:val="00D31127"/>
    <w:rsid w:val="00D3116B"/>
    <w:rsid w:val="00D31516"/>
    <w:rsid w:val="00D31519"/>
    <w:rsid w:val="00D315DC"/>
    <w:rsid w:val="00D315E1"/>
    <w:rsid w:val="00D31769"/>
    <w:rsid w:val="00D317E8"/>
    <w:rsid w:val="00D31896"/>
    <w:rsid w:val="00D318F8"/>
    <w:rsid w:val="00D31A05"/>
    <w:rsid w:val="00D31B74"/>
    <w:rsid w:val="00D31C46"/>
    <w:rsid w:val="00D31CDC"/>
    <w:rsid w:val="00D31D18"/>
    <w:rsid w:val="00D31E71"/>
    <w:rsid w:val="00D31E7D"/>
    <w:rsid w:val="00D31EBF"/>
    <w:rsid w:val="00D31F89"/>
    <w:rsid w:val="00D3200C"/>
    <w:rsid w:val="00D32145"/>
    <w:rsid w:val="00D321B7"/>
    <w:rsid w:val="00D322FB"/>
    <w:rsid w:val="00D323FD"/>
    <w:rsid w:val="00D32475"/>
    <w:rsid w:val="00D3261B"/>
    <w:rsid w:val="00D3271D"/>
    <w:rsid w:val="00D327C7"/>
    <w:rsid w:val="00D327D9"/>
    <w:rsid w:val="00D32D26"/>
    <w:rsid w:val="00D32D9C"/>
    <w:rsid w:val="00D32EF4"/>
    <w:rsid w:val="00D33003"/>
    <w:rsid w:val="00D33075"/>
    <w:rsid w:val="00D3320C"/>
    <w:rsid w:val="00D3325C"/>
    <w:rsid w:val="00D33274"/>
    <w:rsid w:val="00D33508"/>
    <w:rsid w:val="00D3351D"/>
    <w:rsid w:val="00D3367A"/>
    <w:rsid w:val="00D3382A"/>
    <w:rsid w:val="00D338BF"/>
    <w:rsid w:val="00D3394C"/>
    <w:rsid w:val="00D339A0"/>
    <w:rsid w:val="00D339BD"/>
    <w:rsid w:val="00D339C0"/>
    <w:rsid w:val="00D33CCC"/>
    <w:rsid w:val="00D33D73"/>
    <w:rsid w:val="00D33E06"/>
    <w:rsid w:val="00D33F81"/>
    <w:rsid w:val="00D33FAB"/>
    <w:rsid w:val="00D34221"/>
    <w:rsid w:val="00D34262"/>
    <w:rsid w:val="00D34264"/>
    <w:rsid w:val="00D3440A"/>
    <w:rsid w:val="00D34496"/>
    <w:rsid w:val="00D3458E"/>
    <w:rsid w:val="00D346C7"/>
    <w:rsid w:val="00D34720"/>
    <w:rsid w:val="00D3481B"/>
    <w:rsid w:val="00D34850"/>
    <w:rsid w:val="00D34878"/>
    <w:rsid w:val="00D348A7"/>
    <w:rsid w:val="00D3493E"/>
    <w:rsid w:val="00D34D1F"/>
    <w:rsid w:val="00D34D82"/>
    <w:rsid w:val="00D34DFE"/>
    <w:rsid w:val="00D34FBA"/>
    <w:rsid w:val="00D35010"/>
    <w:rsid w:val="00D35060"/>
    <w:rsid w:val="00D35086"/>
    <w:rsid w:val="00D35119"/>
    <w:rsid w:val="00D3522B"/>
    <w:rsid w:val="00D35254"/>
    <w:rsid w:val="00D352C6"/>
    <w:rsid w:val="00D3539A"/>
    <w:rsid w:val="00D354E7"/>
    <w:rsid w:val="00D3550D"/>
    <w:rsid w:val="00D3583A"/>
    <w:rsid w:val="00D359A5"/>
    <w:rsid w:val="00D35A93"/>
    <w:rsid w:val="00D35ADE"/>
    <w:rsid w:val="00D35BAF"/>
    <w:rsid w:val="00D35D6D"/>
    <w:rsid w:val="00D35D82"/>
    <w:rsid w:val="00D35FB6"/>
    <w:rsid w:val="00D35FFA"/>
    <w:rsid w:val="00D36048"/>
    <w:rsid w:val="00D3609A"/>
    <w:rsid w:val="00D36262"/>
    <w:rsid w:val="00D3643D"/>
    <w:rsid w:val="00D36502"/>
    <w:rsid w:val="00D366EE"/>
    <w:rsid w:val="00D3676C"/>
    <w:rsid w:val="00D369D4"/>
    <w:rsid w:val="00D36A98"/>
    <w:rsid w:val="00D36AD7"/>
    <w:rsid w:val="00D36CB3"/>
    <w:rsid w:val="00D36D4B"/>
    <w:rsid w:val="00D36E14"/>
    <w:rsid w:val="00D36F96"/>
    <w:rsid w:val="00D37083"/>
    <w:rsid w:val="00D370F4"/>
    <w:rsid w:val="00D373E9"/>
    <w:rsid w:val="00D374C5"/>
    <w:rsid w:val="00D375E3"/>
    <w:rsid w:val="00D3763E"/>
    <w:rsid w:val="00D376F8"/>
    <w:rsid w:val="00D378B0"/>
    <w:rsid w:val="00D378D1"/>
    <w:rsid w:val="00D37964"/>
    <w:rsid w:val="00D379F6"/>
    <w:rsid w:val="00D37A39"/>
    <w:rsid w:val="00D37C61"/>
    <w:rsid w:val="00D37D03"/>
    <w:rsid w:val="00D37DF2"/>
    <w:rsid w:val="00D37E71"/>
    <w:rsid w:val="00D401D9"/>
    <w:rsid w:val="00D40215"/>
    <w:rsid w:val="00D40279"/>
    <w:rsid w:val="00D4029B"/>
    <w:rsid w:val="00D403FF"/>
    <w:rsid w:val="00D40488"/>
    <w:rsid w:val="00D404C4"/>
    <w:rsid w:val="00D404F6"/>
    <w:rsid w:val="00D4060D"/>
    <w:rsid w:val="00D40BCB"/>
    <w:rsid w:val="00D40C02"/>
    <w:rsid w:val="00D40CE9"/>
    <w:rsid w:val="00D40D21"/>
    <w:rsid w:val="00D40D68"/>
    <w:rsid w:val="00D40DA9"/>
    <w:rsid w:val="00D40E47"/>
    <w:rsid w:val="00D40F6D"/>
    <w:rsid w:val="00D40FB5"/>
    <w:rsid w:val="00D40FBB"/>
    <w:rsid w:val="00D4102C"/>
    <w:rsid w:val="00D410D9"/>
    <w:rsid w:val="00D411B6"/>
    <w:rsid w:val="00D41442"/>
    <w:rsid w:val="00D41495"/>
    <w:rsid w:val="00D414E1"/>
    <w:rsid w:val="00D4168C"/>
    <w:rsid w:val="00D418B2"/>
    <w:rsid w:val="00D4190D"/>
    <w:rsid w:val="00D41991"/>
    <w:rsid w:val="00D41AA1"/>
    <w:rsid w:val="00D41D66"/>
    <w:rsid w:val="00D41E18"/>
    <w:rsid w:val="00D41EF8"/>
    <w:rsid w:val="00D420E0"/>
    <w:rsid w:val="00D42115"/>
    <w:rsid w:val="00D422F3"/>
    <w:rsid w:val="00D4256B"/>
    <w:rsid w:val="00D42672"/>
    <w:rsid w:val="00D4270A"/>
    <w:rsid w:val="00D42770"/>
    <w:rsid w:val="00D4279F"/>
    <w:rsid w:val="00D427C4"/>
    <w:rsid w:val="00D42829"/>
    <w:rsid w:val="00D42869"/>
    <w:rsid w:val="00D42989"/>
    <w:rsid w:val="00D42B0F"/>
    <w:rsid w:val="00D42B61"/>
    <w:rsid w:val="00D42B84"/>
    <w:rsid w:val="00D42BD5"/>
    <w:rsid w:val="00D42CF6"/>
    <w:rsid w:val="00D42DDF"/>
    <w:rsid w:val="00D42E16"/>
    <w:rsid w:val="00D42E9A"/>
    <w:rsid w:val="00D42EEB"/>
    <w:rsid w:val="00D42EFD"/>
    <w:rsid w:val="00D42F2A"/>
    <w:rsid w:val="00D43080"/>
    <w:rsid w:val="00D431BD"/>
    <w:rsid w:val="00D431D1"/>
    <w:rsid w:val="00D4339D"/>
    <w:rsid w:val="00D43475"/>
    <w:rsid w:val="00D434D5"/>
    <w:rsid w:val="00D4350C"/>
    <w:rsid w:val="00D4356C"/>
    <w:rsid w:val="00D435C9"/>
    <w:rsid w:val="00D4362E"/>
    <w:rsid w:val="00D4368F"/>
    <w:rsid w:val="00D43696"/>
    <w:rsid w:val="00D43A31"/>
    <w:rsid w:val="00D43A4C"/>
    <w:rsid w:val="00D43CB1"/>
    <w:rsid w:val="00D43D4D"/>
    <w:rsid w:val="00D43F0C"/>
    <w:rsid w:val="00D44176"/>
    <w:rsid w:val="00D44283"/>
    <w:rsid w:val="00D4438A"/>
    <w:rsid w:val="00D443DD"/>
    <w:rsid w:val="00D443DF"/>
    <w:rsid w:val="00D44446"/>
    <w:rsid w:val="00D44498"/>
    <w:rsid w:val="00D4449F"/>
    <w:rsid w:val="00D4455A"/>
    <w:rsid w:val="00D44660"/>
    <w:rsid w:val="00D44683"/>
    <w:rsid w:val="00D447CD"/>
    <w:rsid w:val="00D44B77"/>
    <w:rsid w:val="00D44DAA"/>
    <w:rsid w:val="00D44E1D"/>
    <w:rsid w:val="00D44EFE"/>
    <w:rsid w:val="00D44F92"/>
    <w:rsid w:val="00D45194"/>
    <w:rsid w:val="00D455B1"/>
    <w:rsid w:val="00D4574B"/>
    <w:rsid w:val="00D457D1"/>
    <w:rsid w:val="00D458AA"/>
    <w:rsid w:val="00D459C4"/>
    <w:rsid w:val="00D45B8A"/>
    <w:rsid w:val="00D45BEC"/>
    <w:rsid w:val="00D46083"/>
    <w:rsid w:val="00D460FB"/>
    <w:rsid w:val="00D4610F"/>
    <w:rsid w:val="00D462AC"/>
    <w:rsid w:val="00D46300"/>
    <w:rsid w:val="00D46338"/>
    <w:rsid w:val="00D4646D"/>
    <w:rsid w:val="00D4652D"/>
    <w:rsid w:val="00D4656C"/>
    <w:rsid w:val="00D46580"/>
    <w:rsid w:val="00D4668F"/>
    <w:rsid w:val="00D4677E"/>
    <w:rsid w:val="00D4684C"/>
    <w:rsid w:val="00D468CA"/>
    <w:rsid w:val="00D46955"/>
    <w:rsid w:val="00D46972"/>
    <w:rsid w:val="00D46A64"/>
    <w:rsid w:val="00D46B92"/>
    <w:rsid w:val="00D46BA2"/>
    <w:rsid w:val="00D46D7A"/>
    <w:rsid w:val="00D46E9A"/>
    <w:rsid w:val="00D46F37"/>
    <w:rsid w:val="00D46FF6"/>
    <w:rsid w:val="00D46FF7"/>
    <w:rsid w:val="00D47151"/>
    <w:rsid w:val="00D47217"/>
    <w:rsid w:val="00D47234"/>
    <w:rsid w:val="00D47281"/>
    <w:rsid w:val="00D4730C"/>
    <w:rsid w:val="00D4732B"/>
    <w:rsid w:val="00D47358"/>
    <w:rsid w:val="00D47426"/>
    <w:rsid w:val="00D47581"/>
    <w:rsid w:val="00D475B1"/>
    <w:rsid w:val="00D4779D"/>
    <w:rsid w:val="00D47828"/>
    <w:rsid w:val="00D479D7"/>
    <w:rsid w:val="00D47A39"/>
    <w:rsid w:val="00D47B03"/>
    <w:rsid w:val="00D47CF0"/>
    <w:rsid w:val="00D47DD3"/>
    <w:rsid w:val="00D47DDA"/>
    <w:rsid w:val="00D47E16"/>
    <w:rsid w:val="00D5005F"/>
    <w:rsid w:val="00D500F8"/>
    <w:rsid w:val="00D500FB"/>
    <w:rsid w:val="00D50141"/>
    <w:rsid w:val="00D501CC"/>
    <w:rsid w:val="00D50295"/>
    <w:rsid w:val="00D502CD"/>
    <w:rsid w:val="00D5069A"/>
    <w:rsid w:val="00D50C13"/>
    <w:rsid w:val="00D50CAF"/>
    <w:rsid w:val="00D50E43"/>
    <w:rsid w:val="00D50E79"/>
    <w:rsid w:val="00D50EA6"/>
    <w:rsid w:val="00D50FBD"/>
    <w:rsid w:val="00D51287"/>
    <w:rsid w:val="00D51399"/>
    <w:rsid w:val="00D51469"/>
    <w:rsid w:val="00D51473"/>
    <w:rsid w:val="00D514F7"/>
    <w:rsid w:val="00D5157B"/>
    <w:rsid w:val="00D51612"/>
    <w:rsid w:val="00D51739"/>
    <w:rsid w:val="00D5187D"/>
    <w:rsid w:val="00D51901"/>
    <w:rsid w:val="00D51B05"/>
    <w:rsid w:val="00D51C36"/>
    <w:rsid w:val="00D51D67"/>
    <w:rsid w:val="00D521A6"/>
    <w:rsid w:val="00D52308"/>
    <w:rsid w:val="00D52349"/>
    <w:rsid w:val="00D52494"/>
    <w:rsid w:val="00D5251B"/>
    <w:rsid w:val="00D52578"/>
    <w:rsid w:val="00D52638"/>
    <w:rsid w:val="00D528B9"/>
    <w:rsid w:val="00D52AD9"/>
    <w:rsid w:val="00D52B45"/>
    <w:rsid w:val="00D52BE8"/>
    <w:rsid w:val="00D52BEC"/>
    <w:rsid w:val="00D52D8C"/>
    <w:rsid w:val="00D52FC5"/>
    <w:rsid w:val="00D530AB"/>
    <w:rsid w:val="00D530EB"/>
    <w:rsid w:val="00D531C8"/>
    <w:rsid w:val="00D531EE"/>
    <w:rsid w:val="00D53393"/>
    <w:rsid w:val="00D533CA"/>
    <w:rsid w:val="00D53560"/>
    <w:rsid w:val="00D535B6"/>
    <w:rsid w:val="00D535F9"/>
    <w:rsid w:val="00D53654"/>
    <w:rsid w:val="00D53772"/>
    <w:rsid w:val="00D53837"/>
    <w:rsid w:val="00D53872"/>
    <w:rsid w:val="00D53905"/>
    <w:rsid w:val="00D53B18"/>
    <w:rsid w:val="00D53BAB"/>
    <w:rsid w:val="00D53BC6"/>
    <w:rsid w:val="00D53C67"/>
    <w:rsid w:val="00D53C95"/>
    <w:rsid w:val="00D53CE9"/>
    <w:rsid w:val="00D53E0F"/>
    <w:rsid w:val="00D53F30"/>
    <w:rsid w:val="00D53F40"/>
    <w:rsid w:val="00D5406E"/>
    <w:rsid w:val="00D541AD"/>
    <w:rsid w:val="00D54255"/>
    <w:rsid w:val="00D542C9"/>
    <w:rsid w:val="00D542E7"/>
    <w:rsid w:val="00D543FE"/>
    <w:rsid w:val="00D54408"/>
    <w:rsid w:val="00D54435"/>
    <w:rsid w:val="00D54502"/>
    <w:rsid w:val="00D54765"/>
    <w:rsid w:val="00D54A01"/>
    <w:rsid w:val="00D54AAF"/>
    <w:rsid w:val="00D54B3A"/>
    <w:rsid w:val="00D54BEE"/>
    <w:rsid w:val="00D54C9A"/>
    <w:rsid w:val="00D54CDB"/>
    <w:rsid w:val="00D54D15"/>
    <w:rsid w:val="00D55069"/>
    <w:rsid w:val="00D55235"/>
    <w:rsid w:val="00D55753"/>
    <w:rsid w:val="00D557C9"/>
    <w:rsid w:val="00D55849"/>
    <w:rsid w:val="00D5591E"/>
    <w:rsid w:val="00D55B4A"/>
    <w:rsid w:val="00D55BA3"/>
    <w:rsid w:val="00D55D78"/>
    <w:rsid w:val="00D55EED"/>
    <w:rsid w:val="00D55F0B"/>
    <w:rsid w:val="00D56169"/>
    <w:rsid w:val="00D56204"/>
    <w:rsid w:val="00D56205"/>
    <w:rsid w:val="00D56905"/>
    <w:rsid w:val="00D56916"/>
    <w:rsid w:val="00D5694B"/>
    <w:rsid w:val="00D569BF"/>
    <w:rsid w:val="00D56B15"/>
    <w:rsid w:val="00D56B47"/>
    <w:rsid w:val="00D56B52"/>
    <w:rsid w:val="00D56BBC"/>
    <w:rsid w:val="00D56BF5"/>
    <w:rsid w:val="00D56DA9"/>
    <w:rsid w:val="00D56DDE"/>
    <w:rsid w:val="00D56E00"/>
    <w:rsid w:val="00D56E88"/>
    <w:rsid w:val="00D56E93"/>
    <w:rsid w:val="00D56F99"/>
    <w:rsid w:val="00D56FC8"/>
    <w:rsid w:val="00D572B2"/>
    <w:rsid w:val="00D5740E"/>
    <w:rsid w:val="00D57452"/>
    <w:rsid w:val="00D57534"/>
    <w:rsid w:val="00D57833"/>
    <w:rsid w:val="00D57B68"/>
    <w:rsid w:val="00D57DE2"/>
    <w:rsid w:val="00D57DF3"/>
    <w:rsid w:val="00D57ECD"/>
    <w:rsid w:val="00D57F29"/>
    <w:rsid w:val="00D57F3B"/>
    <w:rsid w:val="00D57F53"/>
    <w:rsid w:val="00D57F7D"/>
    <w:rsid w:val="00D6004B"/>
    <w:rsid w:val="00D60080"/>
    <w:rsid w:val="00D6016C"/>
    <w:rsid w:val="00D603E9"/>
    <w:rsid w:val="00D606C1"/>
    <w:rsid w:val="00D6079E"/>
    <w:rsid w:val="00D608A7"/>
    <w:rsid w:val="00D608E6"/>
    <w:rsid w:val="00D60954"/>
    <w:rsid w:val="00D609BF"/>
    <w:rsid w:val="00D60AAF"/>
    <w:rsid w:val="00D60BE3"/>
    <w:rsid w:val="00D60C52"/>
    <w:rsid w:val="00D60C66"/>
    <w:rsid w:val="00D60CAB"/>
    <w:rsid w:val="00D60D6F"/>
    <w:rsid w:val="00D61052"/>
    <w:rsid w:val="00D610FD"/>
    <w:rsid w:val="00D6112D"/>
    <w:rsid w:val="00D611B9"/>
    <w:rsid w:val="00D61249"/>
    <w:rsid w:val="00D612AF"/>
    <w:rsid w:val="00D61311"/>
    <w:rsid w:val="00D61384"/>
    <w:rsid w:val="00D6159C"/>
    <w:rsid w:val="00D61922"/>
    <w:rsid w:val="00D619F3"/>
    <w:rsid w:val="00D61A1E"/>
    <w:rsid w:val="00D61A8E"/>
    <w:rsid w:val="00D61D26"/>
    <w:rsid w:val="00D61E66"/>
    <w:rsid w:val="00D61F4C"/>
    <w:rsid w:val="00D61F94"/>
    <w:rsid w:val="00D6205B"/>
    <w:rsid w:val="00D621B7"/>
    <w:rsid w:val="00D62274"/>
    <w:rsid w:val="00D622A1"/>
    <w:rsid w:val="00D622C5"/>
    <w:rsid w:val="00D622C8"/>
    <w:rsid w:val="00D6238B"/>
    <w:rsid w:val="00D62709"/>
    <w:rsid w:val="00D62961"/>
    <w:rsid w:val="00D62A5B"/>
    <w:rsid w:val="00D62B43"/>
    <w:rsid w:val="00D62C7F"/>
    <w:rsid w:val="00D62E26"/>
    <w:rsid w:val="00D62ECD"/>
    <w:rsid w:val="00D63002"/>
    <w:rsid w:val="00D63014"/>
    <w:rsid w:val="00D63285"/>
    <w:rsid w:val="00D6332E"/>
    <w:rsid w:val="00D63344"/>
    <w:rsid w:val="00D6338D"/>
    <w:rsid w:val="00D6367D"/>
    <w:rsid w:val="00D63748"/>
    <w:rsid w:val="00D6378F"/>
    <w:rsid w:val="00D637B5"/>
    <w:rsid w:val="00D63821"/>
    <w:rsid w:val="00D639F0"/>
    <w:rsid w:val="00D63ABC"/>
    <w:rsid w:val="00D63AC5"/>
    <w:rsid w:val="00D63B70"/>
    <w:rsid w:val="00D63B89"/>
    <w:rsid w:val="00D63C1B"/>
    <w:rsid w:val="00D63D70"/>
    <w:rsid w:val="00D63D76"/>
    <w:rsid w:val="00D63E07"/>
    <w:rsid w:val="00D63F55"/>
    <w:rsid w:val="00D63F9F"/>
    <w:rsid w:val="00D6404E"/>
    <w:rsid w:val="00D64346"/>
    <w:rsid w:val="00D6437C"/>
    <w:rsid w:val="00D643A8"/>
    <w:rsid w:val="00D643D3"/>
    <w:rsid w:val="00D64520"/>
    <w:rsid w:val="00D646B6"/>
    <w:rsid w:val="00D6475B"/>
    <w:rsid w:val="00D64765"/>
    <w:rsid w:val="00D6485F"/>
    <w:rsid w:val="00D6495D"/>
    <w:rsid w:val="00D64965"/>
    <w:rsid w:val="00D64A38"/>
    <w:rsid w:val="00D64BF5"/>
    <w:rsid w:val="00D64BFF"/>
    <w:rsid w:val="00D64CC0"/>
    <w:rsid w:val="00D64CC3"/>
    <w:rsid w:val="00D64CDA"/>
    <w:rsid w:val="00D64D62"/>
    <w:rsid w:val="00D64DA2"/>
    <w:rsid w:val="00D64DE1"/>
    <w:rsid w:val="00D64E3F"/>
    <w:rsid w:val="00D64E98"/>
    <w:rsid w:val="00D64EAC"/>
    <w:rsid w:val="00D64F8E"/>
    <w:rsid w:val="00D6524A"/>
    <w:rsid w:val="00D65270"/>
    <w:rsid w:val="00D653D0"/>
    <w:rsid w:val="00D65406"/>
    <w:rsid w:val="00D6557B"/>
    <w:rsid w:val="00D655FE"/>
    <w:rsid w:val="00D6573F"/>
    <w:rsid w:val="00D6579D"/>
    <w:rsid w:val="00D6595E"/>
    <w:rsid w:val="00D65962"/>
    <w:rsid w:val="00D659B3"/>
    <w:rsid w:val="00D65AED"/>
    <w:rsid w:val="00D65B6C"/>
    <w:rsid w:val="00D65BB8"/>
    <w:rsid w:val="00D65C32"/>
    <w:rsid w:val="00D65CBF"/>
    <w:rsid w:val="00D65FA7"/>
    <w:rsid w:val="00D66108"/>
    <w:rsid w:val="00D66190"/>
    <w:rsid w:val="00D66295"/>
    <w:rsid w:val="00D66467"/>
    <w:rsid w:val="00D6651B"/>
    <w:rsid w:val="00D665E1"/>
    <w:rsid w:val="00D66788"/>
    <w:rsid w:val="00D6692A"/>
    <w:rsid w:val="00D669FF"/>
    <w:rsid w:val="00D66C91"/>
    <w:rsid w:val="00D66E1F"/>
    <w:rsid w:val="00D66E55"/>
    <w:rsid w:val="00D66F84"/>
    <w:rsid w:val="00D66FA2"/>
    <w:rsid w:val="00D6701A"/>
    <w:rsid w:val="00D67040"/>
    <w:rsid w:val="00D67069"/>
    <w:rsid w:val="00D6716C"/>
    <w:rsid w:val="00D671B7"/>
    <w:rsid w:val="00D671F7"/>
    <w:rsid w:val="00D672DD"/>
    <w:rsid w:val="00D673CB"/>
    <w:rsid w:val="00D674E9"/>
    <w:rsid w:val="00D674F7"/>
    <w:rsid w:val="00D67605"/>
    <w:rsid w:val="00D6760F"/>
    <w:rsid w:val="00D67661"/>
    <w:rsid w:val="00D67678"/>
    <w:rsid w:val="00D676AD"/>
    <w:rsid w:val="00D6778C"/>
    <w:rsid w:val="00D677F0"/>
    <w:rsid w:val="00D6799A"/>
    <w:rsid w:val="00D679DD"/>
    <w:rsid w:val="00D67AC4"/>
    <w:rsid w:val="00D67B56"/>
    <w:rsid w:val="00D67CE3"/>
    <w:rsid w:val="00D67D1A"/>
    <w:rsid w:val="00D67D72"/>
    <w:rsid w:val="00D67ECE"/>
    <w:rsid w:val="00D67F03"/>
    <w:rsid w:val="00D7009C"/>
    <w:rsid w:val="00D701C5"/>
    <w:rsid w:val="00D7023F"/>
    <w:rsid w:val="00D70325"/>
    <w:rsid w:val="00D7047B"/>
    <w:rsid w:val="00D70835"/>
    <w:rsid w:val="00D708A3"/>
    <w:rsid w:val="00D708F3"/>
    <w:rsid w:val="00D70909"/>
    <w:rsid w:val="00D7092E"/>
    <w:rsid w:val="00D7095B"/>
    <w:rsid w:val="00D70D0F"/>
    <w:rsid w:val="00D70E54"/>
    <w:rsid w:val="00D70E8D"/>
    <w:rsid w:val="00D70ED0"/>
    <w:rsid w:val="00D70F17"/>
    <w:rsid w:val="00D70F20"/>
    <w:rsid w:val="00D70F41"/>
    <w:rsid w:val="00D70F78"/>
    <w:rsid w:val="00D711D1"/>
    <w:rsid w:val="00D71259"/>
    <w:rsid w:val="00D71264"/>
    <w:rsid w:val="00D712AF"/>
    <w:rsid w:val="00D712DA"/>
    <w:rsid w:val="00D71312"/>
    <w:rsid w:val="00D71383"/>
    <w:rsid w:val="00D713E0"/>
    <w:rsid w:val="00D713F4"/>
    <w:rsid w:val="00D71435"/>
    <w:rsid w:val="00D714F0"/>
    <w:rsid w:val="00D7163D"/>
    <w:rsid w:val="00D716A5"/>
    <w:rsid w:val="00D7171F"/>
    <w:rsid w:val="00D71940"/>
    <w:rsid w:val="00D719EF"/>
    <w:rsid w:val="00D71AB8"/>
    <w:rsid w:val="00D71B97"/>
    <w:rsid w:val="00D71D4E"/>
    <w:rsid w:val="00D71D7E"/>
    <w:rsid w:val="00D72053"/>
    <w:rsid w:val="00D7210D"/>
    <w:rsid w:val="00D721C4"/>
    <w:rsid w:val="00D721E6"/>
    <w:rsid w:val="00D72327"/>
    <w:rsid w:val="00D7232F"/>
    <w:rsid w:val="00D7267B"/>
    <w:rsid w:val="00D7277A"/>
    <w:rsid w:val="00D72792"/>
    <w:rsid w:val="00D727E0"/>
    <w:rsid w:val="00D72880"/>
    <w:rsid w:val="00D72895"/>
    <w:rsid w:val="00D72980"/>
    <w:rsid w:val="00D729BC"/>
    <w:rsid w:val="00D72B2A"/>
    <w:rsid w:val="00D72B87"/>
    <w:rsid w:val="00D72C72"/>
    <w:rsid w:val="00D72DA1"/>
    <w:rsid w:val="00D72DBE"/>
    <w:rsid w:val="00D73231"/>
    <w:rsid w:val="00D732AC"/>
    <w:rsid w:val="00D732D3"/>
    <w:rsid w:val="00D734F2"/>
    <w:rsid w:val="00D735C3"/>
    <w:rsid w:val="00D73620"/>
    <w:rsid w:val="00D736EF"/>
    <w:rsid w:val="00D7370C"/>
    <w:rsid w:val="00D7374A"/>
    <w:rsid w:val="00D737C7"/>
    <w:rsid w:val="00D737DC"/>
    <w:rsid w:val="00D7397E"/>
    <w:rsid w:val="00D73999"/>
    <w:rsid w:val="00D73A3D"/>
    <w:rsid w:val="00D73ABE"/>
    <w:rsid w:val="00D73ACD"/>
    <w:rsid w:val="00D73EFF"/>
    <w:rsid w:val="00D73F32"/>
    <w:rsid w:val="00D73FE7"/>
    <w:rsid w:val="00D74093"/>
    <w:rsid w:val="00D74160"/>
    <w:rsid w:val="00D74249"/>
    <w:rsid w:val="00D74288"/>
    <w:rsid w:val="00D74329"/>
    <w:rsid w:val="00D743E8"/>
    <w:rsid w:val="00D744B8"/>
    <w:rsid w:val="00D746B4"/>
    <w:rsid w:val="00D747F1"/>
    <w:rsid w:val="00D7482B"/>
    <w:rsid w:val="00D74893"/>
    <w:rsid w:val="00D74973"/>
    <w:rsid w:val="00D74994"/>
    <w:rsid w:val="00D749E9"/>
    <w:rsid w:val="00D74AEE"/>
    <w:rsid w:val="00D74B14"/>
    <w:rsid w:val="00D74CF6"/>
    <w:rsid w:val="00D74F65"/>
    <w:rsid w:val="00D75057"/>
    <w:rsid w:val="00D75071"/>
    <w:rsid w:val="00D7534D"/>
    <w:rsid w:val="00D753C4"/>
    <w:rsid w:val="00D75472"/>
    <w:rsid w:val="00D75531"/>
    <w:rsid w:val="00D7558A"/>
    <w:rsid w:val="00D755BD"/>
    <w:rsid w:val="00D7566C"/>
    <w:rsid w:val="00D75806"/>
    <w:rsid w:val="00D75ABF"/>
    <w:rsid w:val="00D75B6A"/>
    <w:rsid w:val="00D75BAE"/>
    <w:rsid w:val="00D75C51"/>
    <w:rsid w:val="00D75CDE"/>
    <w:rsid w:val="00D75D22"/>
    <w:rsid w:val="00D75D53"/>
    <w:rsid w:val="00D75DA5"/>
    <w:rsid w:val="00D75E15"/>
    <w:rsid w:val="00D75E45"/>
    <w:rsid w:val="00D75EE3"/>
    <w:rsid w:val="00D75F2A"/>
    <w:rsid w:val="00D76039"/>
    <w:rsid w:val="00D76108"/>
    <w:rsid w:val="00D7617E"/>
    <w:rsid w:val="00D761DA"/>
    <w:rsid w:val="00D76289"/>
    <w:rsid w:val="00D76374"/>
    <w:rsid w:val="00D76450"/>
    <w:rsid w:val="00D764FE"/>
    <w:rsid w:val="00D765E3"/>
    <w:rsid w:val="00D769AB"/>
    <w:rsid w:val="00D769BE"/>
    <w:rsid w:val="00D76A95"/>
    <w:rsid w:val="00D76ADB"/>
    <w:rsid w:val="00D76AEB"/>
    <w:rsid w:val="00D76B4F"/>
    <w:rsid w:val="00D76B78"/>
    <w:rsid w:val="00D76C58"/>
    <w:rsid w:val="00D76CF2"/>
    <w:rsid w:val="00D76E2A"/>
    <w:rsid w:val="00D76E63"/>
    <w:rsid w:val="00D76E7C"/>
    <w:rsid w:val="00D76E81"/>
    <w:rsid w:val="00D76EBC"/>
    <w:rsid w:val="00D76EF6"/>
    <w:rsid w:val="00D76F29"/>
    <w:rsid w:val="00D770F2"/>
    <w:rsid w:val="00D7715C"/>
    <w:rsid w:val="00D77338"/>
    <w:rsid w:val="00D776F3"/>
    <w:rsid w:val="00D77806"/>
    <w:rsid w:val="00D77921"/>
    <w:rsid w:val="00D7794A"/>
    <w:rsid w:val="00D77B19"/>
    <w:rsid w:val="00D77C0E"/>
    <w:rsid w:val="00D77C2F"/>
    <w:rsid w:val="00D77CDE"/>
    <w:rsid w:val="00D77D66"/>
    <w:rsid w:val="00D77E33"/>
    <w:rsid w:val="00D77EB4"/>
    <w:rsid w:val="00D8010A"/>
    <w:rsid w:val="00D80160"/>
    <w:rsid w:val="00D801E6"/>
    <w:rsid w:val="00D8031E"/>
    <w:rsid w:val="00D805DF"/>
    <w:rsid w:val="00D80693"/>
    <w:rsid w:val="00D8081F"/>
    <w:rsid w:val="00D809C1"/>
    <w:rsid w:val="00D80B40"/>
    <w:rsid w:val="00D80B53"/>
    <w:rsid w:val="00D80C99"/>
    <w:rsid w:val="00D80DFA"/>
    <w:rsid w:val="00D8105D"/>
    <w:rsid w:val="00D812B0"/>
    <w:rsid w:val="00D812B2"/>
    <w:rsid w:val="00D8130C"/>
    <w:rsid w:val="00D81459"/>
    <w:rsid w:val="00D8154D"/>
    <w:rsid w:val="00D8155B"/>
    <w:rsid w:val="00D815D6"/>
    <w:rsid w:val="00D815E9"/>
    <w:rsid w:val="00D816D5"/>
    <w:rsid w:val="00D81721"/>
    <w:rsid w:val="00D8199B"/>
    <w:rsid w:val="00D81ADA"/>
    <w:rsid w:val="00D81B7A"/>
    <w:rsid w:val="00D81BFB"/>
    <w:rsid w:val="00D81C00"/>
    <w:rsid w:val="00D81CAC"/>
    <w:rsid w:val="00D81D0B"/>
    <w:rsid w:val="00D81D2C"/>
    <w:rsid w:val="00D81E79"/>
    <w:rsid w:val="00D81F8B"/>
    <w:rsid w:val="00D81FEA"/>
    <w:rsid w:val="00D82066"/>
    <w:rsid w:val="00D82190"/>
    <w:rsid w:val="00D8236A"/>
    <w:rsid w:val="00D8248A"/>
    <w:rsid w:val="00D825A5"/>
    <w:rsid w:val="00D825B7"/>
    <w:rsid w:val="00D827E9"/>
    <w:rsid w:val="00D8286D"/>
    <w:rsid w:val="00D8290E"/>
    <w:rsid w:val="00D829F9"/>
    <w:rsid w:val="00D82AD1"/>
    <w:rsid w:val="00D82BF0"/>
    <w:rsid w:val="00D82E6E"/>
    <w:rsid w:val="00D82FB4"/>
    <w:rsid w:val="00D82FFF"/>
    <w:rsid w:val="00D83040"/>
    <w:rsid w:val="00D8311D"/>
    <w:rsid w:val="00D8323B"/>
    <w:rsid w:val="00D83462"/>
    <w:rsid w:val="00D83489"/>
    <w:rsid w:val="00D836B7"/>
    <w:rsid w:val="00D836CB"/>
    <w:rsid w:val="00D8375F"/>
    <w:rsid w:val="00D838FF"/>
    <w:rsid w:val="00D83A19"/>
    <w:rsid w:val="00D83A73"/>
    <w:rsid w:val="00D83AD2"/>
    <w:rsid w:val="00D83BE6"/>
    <w:rsid w:val="00D83D13"/>
    <w:rsid w:val="00D83D60"/>
    <w:rsid w:val="00D83D71"/>
    <w:rsid w:val="00D83FB5"/>
    <w:rsid w:val="00D841AC"/>
    <w:rsid w:val="00D841AF"/>
    <w:rsid w:val="00D8424B"/>
    <w:rsid w:val="00D842C1"/>
    <w:rsid w:val="00D842CA"/>
    <w:rsid w:val="00D842F6"/>
    <w:rsid w:val="00D8438A"/>
    <w:rsid w:val="00D84390"/>
    <w:rsid w:val="00D845C6"/>
    <w:rsid w:val="00D845C7"/>
    <w:rsid w:val="00D847CC"/>
    <w:rsid w:val="00D84870"/>
    <w:rsid w:val="00D84A26"/>
    <w:rsid w:val="00D84A59"/>
    <w:rsid w:val="00D84A96"/>
    <w:rsid w:val="00D84B16"/>
    <w:rsid w:val="00D84B22"/>
    <w:rsid w:val="00D84BBC"/>
    <w:rsid w:val="00D84D1E"/>
    <w:rsid w:val="00D84F55"/>
    <w:rsid w:val="00D84F80"/>
    <w:rsid w:val="00D8522D"/>
    <w:rsid w:val="00D85299"/>
    <w:rsid w:val="00D853AC"/>
    <w:rsid w:val="00D853D4"/>
    <w:rsid w:val="00D854DE"/>
    <w:rsid w:val="00D85559"/>
    <w:rsid w:val="00D85670"/>
    <w:rsid w:val="00D8589D"/>
    <w:rsid w:val="00D85995"/>
    <w:rsid w:val="00D859FA"/>
    <w:rsid w:val="00D85A2B"/>
    <w:rsid w:val="00D85A81"/>
    <w:rsid w:val="00D85B32"/>
    <w:rsid w:val="00D85BA5"/>
    <w:rsid w:val="00D85BCE"/>
    <w:rsid w:val="00D85BF4"/>
    <w:rsid w:val="00D85CAB"/>
    <w:rsid w:val="00D85D56"/>
    <w:rsid w:val="00D85D7A"/>
    <w:rsid w:val="00D85E1D"/>
    <w:rsid w:val="00D85E75"/>
    <w:rsid w:val="00D85E84"/>
    <w:rsid w:val="00D85F0A"/>
    <w:rsid w:val="00D85F69"/>
    <w:rsid w:val="00D85FB6"/>
    <w:rsid w:val="00D85FFC"/>
    <w:rsid w:val="00D86058"/>
    <w:rsid w:val="00D8605B"/>
    <w:rsid w:val="00D86150"/>
    <w:rsid w:val="00D861C4"/>
    <w:rsid w:val="00D86316"/>
    <w:rsid w:val="00D86385"/>
    <w:rsid w:val="00D86466"/>
    <w:rsid w:val="00D864AD"/>
    <w:rsid w:val="00D8659B"/>
    <w:rsid w:val="00D86650"/>
    <w:rsid w:val="00D866D0"/>
    <w:rsid w:val="00D86702"/>
    <w:rsid w:val="00D86739"/>
    <w:rsid w:val="00D86800"/>
    <w:rsid w:val="00D86954"/>
    <w:rsid w:val="00D86997"/>
    <w:rsid w:val="00D86AFC"/>
    <w:rsid w:val="00D86B27"/>
    <w:rsid w:val="00D86BF1"/>
    <w:rsid w:val="00D86C53"/>
    <w:rsid w:val="00D86CA8"/>
    <w:rsid w:val="00D86CBC"/>
    <w:rsid w:val="00D86E9F"/>
    <w:rsid w:val="00D86F32"/>
    <w:rsid w:val="00D86F95"/>
    <w:rsid w:val="00D86FDD"/>
    <w:rsid w:val="00D870E8"/>
    <w:rsid w:val="00D871B5"/>
    <w:rsid w:val="00D873B9"/>
    <w:rsid w:val="00D87423"/>
    <w:rsid w:val="00D87452"/>
    <w:rsid w:val="00D87485"/>
    <w:rsid w:val="00D87550"/>
    <w:rsid w:val="00D87622"/>
    <w:rsid w:val="00D87785"/>
    <w:rsid w:val="00D87812"/>
    <w:rsid w:val="00D87907"/>
    <w:rsid w:val="00D87945"/>
    <w:rsid w:val="00D87947"/>
    <w:rsid w:val="00D879FE"/>
    <w:rsid w:val="00D87A2F"/>
    <w:rsid w:val="00D87A31"/>
    <w:rsid w:val="00D87A8D"/>
    <w:rsid w:val="00D87BA0"/>
    <w:rsid w:val="00D87CAF"/>
    <w:rsid w:val="00D87CFC"/>
    <w:rsid w:val="00D87DFB"/>
    <w:rsid w:val="00D87E48"/>
    <w:rsid w:val="00D87F6C"/>
    <w:rsid w:val="00D87F87"/>
    <w:rsid w:val="00D901F3"/>
    <w:rsid w:val="00D903C3"/>
    <w:rsid w:val="00D9048E"/>
    <w:rsid w:val="00D9050A"/>
    <w:rsid w:val="00D9059D"/>
    <w:rsid w:val="00D90627"/>
    <w:rsid w:val="00D9064B"/>
    <w:rsid w:val="00D906CA"/>
    <w:rsid w:val="00D9078A"/>
    <w:rsid w:val="00D907CB"/>
    <w:rsid w:val="00D90810"/>
    <w:rsid w:val="00D908BD"/>
    <w:rsid w:val="00D908C8"/>
    <w:rsid w:val="00D90ADE"/>
    <w:rsid w:val="00D90AEB"/>
    <w:rsid w:val="00D90B5C"/>
    <w:rsid w:val="00D90BBB"/>
    <w:rsid w:val="00D90BCD"/>
    <w:rsid w:val="00D90C3C"/>
    <w:rsid w:val="00D90D32"/>
    <w:rsid w:val="00D90DB2"/>
    <w:rsid w:val="00D90E86"/>
    <w:rsid w:val="00D90E9A"/>
    <w:rsid w:val="00D90ECD"/>
    <w:rsid w:val="00D90ECE"/>
    <w:rsid w:val="00D90F9D"/>
    <w:rsid w:val="00D91020"/>
    <w:rsid w:val="00D9111A"/>
    <w:rsid w:val="00D911AD"/>
    <w:rsid w:val="00D9134F"/>
    <w:rsid w:val="00D91462"/>
    <w:rsid w:val="00D91477"/>
    <w:rsid w:val="00D9152C"/>
    <w:rsid w:val="00D9157C"/>
    <w:rsid w:val="00D9166E"/>
    <w:rsid w:val="00D9173D"/>
    <w:rsid w:val="00D91862"/>
    <w:rsid w:val="00D91982"/>
    <w:rsid w:val="00D91A22"/>
    <w:rsid w:val="00D91A3D"/>
    <w:rsid w:val="00D91B06"/>
    <w:rsid w:val="00D91B41"/>
    <w:rsid w:val="00D91BF2"/>
    <w:rsid w:val="00D91C99"/>
    <w:rsid w:val="00D91E04"/>
    <w:rsid w:val="00D91F23"/>
    <w:rsid w:val="00D91FC5"/>
    <w:rsid w:val="00D91FFC"/>
    <w:rsid w:val="00D9210E"/>
    <w:rsid w:val="00D9220F"/>
    <w:rsid w:val="00D922CE"/>
    <w:rsid w:val="00D92457"/>
    <w:rsid w:val="00D924ED"/>
    <w:rsid w:val="00D9250F"/>
    <w:rsid w:val="00D92629"/>
    <w:rsid w:val="00D9264F"/>
    <w:rsid w:val="00D926DA"/>
    <w:rsid w:val="00D926DC"/>
    <w:rsid w:val="00D927BA"/>
    <w:rsid w:val="00D92B3B"/>
    <w:rsid w:val="00D92BDA"/>
    <w:rsid w:val="00D92C5C"/>
    <w:rsid w:val="00D92D41"/>
    <w:rsid w:val="00D92DA1"/>
    <w:rsid w:val="00D92ECD"/>
    <w:rsid w:val="00D93077"/>
    <w:rsid w:val="00D930B5"/>
    <w:rsid w:val="00D930EE"/>
    <w:rsid w:val="00D93109"/>
    <w:rsid w:val="00D93286"/>
    <w:rsid w:val="00D932A3"/>
    <w:rsid w:val="00D93322"/>
    <w:rsid w:val="00D9332D"/>
    <w:rsid w:val="00D93543"/>
    <w:rsid w:val="00D93614"/>
    <w:rsid w:val="00D9365E"/>
    <w:rsid w:val="00D9376D"/>
    <w:rsid w:val="00D93848"/>
    <w:rsid w:val="00D938DD"/>
    <w:rsid w:val="00D93909"/>
    <w:rsid w:val="00D9390D"/>
    <w:rsid w:val="00D93A1B"/>
    <w:rsid w:val="00D93B2A"/>
    <w:rsid w:val="00D93B32"/>
    <w:rsid w:val="00D93C1C"/>
    <w:rsid w:val="00D93C68"/>
    <w:rsid w:val="00D93DC3"/>
    <w:rsid w:val="00D93E31"/>
    <w:rsid w:val="00D93FFB"/>
    <w:rsid w:val="00D94026"/>
    <w:rsid w:val="00D94120"/>
    <w:rsid w:val="00D9416D"/>
    <w:rsid w:val="00D941B0"/>
    <w:rsid w:val="00D942AC"/>
    <w:rsid w:val="00D945CF"/>
    <w:rsid w:val="00D947B7"/>
    <w:rsid w:val="00D94A99"/>
    <w:rsid w:val="00D94AEC"/>
    <w:rsid w:val="00D94C5F"/>
    <w:rsid w:val="00D94CA1"/>
    <w:rsid w:val="00D94D3B"/>
    <w:rsid w:val="00D94EDF"/>
    <w:rsid w:val="00D94F85"/>
    <w:rsid w:val="00D951DD"/>
    <w:rsid w:val="00D95217"/>
    <w:rsid w:val="00D95247"/>
    <w:rsid w:val="00D952ED"/>
    <w:rsid w:val="00D952EF"/>
    <w:rsid w:val="00D9538A"/>
    <w:rsid w:val="00D9542A"/>
    <w:rsid w:val="00D95482"/>
    <w:rsid w:val="00D956C5"/>
    <w:rsid w:val="00D956E9"/>
    <w:rsid w:val="00D95788"/>
    <w:rsid w:val="00D957BA"/>
    <w:rsid w:val="00D957FA"/>
    <w:rsid w:val="00D95915"/>
    <w:rsid w:val="00D95AD1"/>
    <w:rsid w:val="00D95C63"/>
    <w:rsid w:val="00D95C8D"/>
    <w:rsid w:val="00D95D30"/>
    <w:rsid w:val="00D95DF3"/>
    <w:rsid w:val="00D95E0C"/>
    <w:rsid w:val="00D95F00"/>
    <w:rsid w:val="00D960C1"/>
    <w:rsid w:val="00D96115"/>
    <w:rsid w:val="00D96183"/>
    <w:rsid w:val="00D963A3"/>
    <w:rsid w:val="00D963E2"/>
    <w:rsid w:val="00D9664C"/>
    <w:rsid w:val="00D96689"/>
    <w:rsid w:val="00D969F3"/>
    <w:rsid w:val="00D96A83"/>
    <w:rsid w:val="00D96AE1"/>
    <w:rsid w:val="00D96AF5"/>
    <w:rsid w:val="00D96BB7"/>
    <w:rsid w:val="00D96C23"/>
    <w:rsid w:val="00D96CB3"/>
    <w:rsid w:val="00D96D91"/>
    <w:rsid w:val="00D96DE4"/>
    <w:rsid w:val="00D96E26"/>
    <w:rsid w:val="00D96E71"/>
    <w:rsid w:val="00D97050"/>
    <w:rsid w:val="00D97154"/>
    <w:rsid w:val="00D97382"/>
    <w:rsid w:val="00D97403"/>
    <w:rsid w:val="00D97404"/>
    <w:rsid w:val="00D97514"/>
    <w:rsid w:val="00D975A3"/>
    <w:rsid w:val="00D975AF"/>
    <w:rsid w:val="00D977E3"/>
    <w:rsid w:val="00D97849"/>
    <w:rsid w:val="00D9788D"/>
    <w:rsid w:val="00D97899"/>
    <w:rsid w:val="00D979D0"/>
    <w:rsid w:val="00D97AB3"/>
    <w:rsid w:val="00D97BFB"/>
    <w:rsid w:val="00D97C7F"/>
    <w:rsid w:val="00D97CC5"/>
    <w:rsid w:val="00D97D62"/>
    <w:rsid w:val="00D97FEB"/>
    <w:rsid w:val="00DA007B"/>
    <w:rsid w:val="00DA0235"/>
    <w:rsid w:val="00DA02C1"/>
    <w:rsid w:val="00DA0335"/>
    <w:rsid w:val="00DA040A"/>
    <w:rsid w:val="00DA0540"/>
    <w:rsid w:val="00DA057A"/>
    <w:rsid w:val="00DA06BA"/>
    <w:rsid w:val="00DA0708"/>
    <w:rsid w:val="00DA0711"/>
    <w:rsid w:val="00DA083D"/>
    <w:rsid w:val="00DA08CA"/>
    <w:rsid w:val="00DA09D4"/>
    <w:rsid w:val="00DA0B3D"/>
    <w:rsid w:val="00DA0B43"/>
    <w:rsid w:val="00DA0F27"/>
    <w:rsid w:val="00DA0F37"/>
    <w:rsid w:val="00DA101A"/>
    <w:rsid w:val="00DA10AB"/>
    <w:rsid w:val="00DA111B"/>
    <w:rsid w:val="00DA1139"/>
    <w:rsid w:val="00DA116B"/>
    <w:rsid w:val="00DA122C"/>
    <w:rsid w:val="00DA1234"/>
    <w:rsid w:val="00DA1260"/>
    <w:rsid w:val="00DA1655"/>
    <w:rsid w:val="00DA1795"/>
    <w:rsid w:val="00DA17B2"/>
    <w:rsid w:val="00DA18B4"/>
    <w:rsid w:val="00DA18BC"/>
    <w:rsid w:val="00DA1A06"/>
    <w:rsid w:val="00DA1A69"/>
    <w:rsid w:val="00DA1C76"/>
    <w:rsid w:val="00DA1C83"/>
    <w:rsid w:val="00DA1C97"/>
    <w:rsid w:val="00DA1D2D"/>
    <w:rsid w:val="00DA1DAA"/>
    <w:rsid w:val="00DA1EEA"/>
    <w:rsid w:val="00DA2020"/>
    <w:rsid w:val="00DA210B"/>
    <w:rsid w:val="00DA22A5"/>
    <w:rsid w:val="00DA2301"/>
    <w:rsid w:val="00DA2402"/>
    <w:rsid w:val="00DA2432"/>
    <w:rsid w:val="00DA24CB"/>
    <w:rsid w:val="00DA2517"/>
    <w:rsid w:val="00DA2631"/>
    <w:rsid w:val="00DA2667"/>
    <w:rsid w:val="00DA2668"/>
    <w:rsid w:val="00DA26BF"/>
    <w:rsid w:val="00DA29A4"/>
    <w:rsid w:val="00DA29D1"/>
    <w:rsid w:val="00DA2C6B"/>
    <w:rsid w:val="00DA2CBF"/>
    <w:rsid w:val="00DA2DDA"/>
    <w:rsid w:val="00DA2F42"/>
    <w:rsid w:val="00DA2FD5"/>
    <w:rsid w:val="00DA30AF"/>
    <w:rsid w:val="00DA3116"/>
    <w:rsid w:val="00DA3201"/>
    <w:rsid w:val="00DA32AA"/>
    <w:rsid w:val="00DA3341"/>
    <w:rsid w:val="00DA342B"/>
    <w:rsid w:val="00DA34AD"/>
    <w:rsid w:val="00DA3698"/>
    <w:rsid w:val="00DA382F"/>
    <w:rsid w:val="00DA3853"/>
    <w:rsid w:val="00DA38B8"/>
    <w:rsid w:val="00DA39DE"/>
    <w:rsid w:val="00DA3B1C"/>
    <w:rsid w:val="00DA3BDA"/>
    <w:rsid w:val="00DA3CD8"/>
    <w:rsid w:val="00DA3DA4"/>
    <w:rsid w:val="00DA3DBB"/>
    <w:rsid w:val="00DA3F4B"/>
    <w:rsid w:val="00DA3F4C"/>
    <w:rsid w:val="00DA3F5E"/>
    <w:rsid w:val="00DA3FD1"/>
    <w:rsid w:val="00DA41DA"/>
    <w:rsid w:val="00DA42AB"/>
    <w:rsid w:val="00DA4351"/>
    <w:rsid w:val="00DA4359"/>
    <w:rsid w:val="00DA4381"/>
    <w:rsid w:val="00DA4387"/>
    <w:rsid w:val="00DA4610"/>
    <w:rsid w:val="00DA4623"/>
    <w:rsid w:val="00DA4639"/>
    <w:rsid w:val="00DA4778"/>
    <w:rsid w:val="00DA47C6"/>
    <w:rsid w:val="00DA47FB"/>
    <w:rsid w:val="00DA4838"/>
    <w:rsid w:val="00DA483F"/>
    <w:rsid w:val="00DA484E"/>
    <w:rsid w:val="00DA48E1"/>
    <w:rsid w:val="00DA4989"/>
    <w:rsid w:val="00DA4A62"/>
    <w:rsid w:val="00DA4D0B"/>
    <w:rsid w:val="00DA4E12"/>
    <w:rsid w:val="00DA51E7"/>
    <w:rsid w:val="00DA52B2"/>
    <w:rsid w:val="00DA54B7"/>
    <w:rsid w:val="00DA5577"/>
    <w:rsid w:val="00DA5721"/>
    <w:rsid w:val="00DA59E5"/>
    <w:rsid w:val="00DA5B79"/>
    <w:rsid w:val="00DA5D36"/>
    <w:rsid w:val="00DA5E15"/>
    <w:rsid w:val="00DA5E46"/>
    <w:rsid w:val="00DA5E95"/>
    <w:rsid w:val="00DA5EF8"/>
    <w:rsid w:val="00DA6015"/>
    <w:rsid w:val="00DA6173"/>
    <w:rsid w:val="00DA6504"/>
    <w:rsid w:val="00DA6563"/>
    <w:rsid w:val="00DA6693"/>
    <w:rsid w:val="00DA66FA"/>
    <w:rsid w:val="00DA673B"/>
    <w:rsid w:val="00DA6C0E"/>
    <w:rsid w:val="00DA6C2E"/>
    <w:rsid w:val="00DA6C6A"/>
    <w:rsid w:val="00DA6DBA"/>
    <w:rsid w:val="00DA6DFE"/>
    <w:rsid w:val="00DA6E0A"/>
    <w:rsid w:val="00DA6E98"/>
    <w:rsid w:val="00DA6ED7"/>
    <w:rsid w:val="00DA702C"/>
    <w:rsid w:val="00DA7283"/>
    <w:rsid w:val="00DA7477"/>
    <w:rsid w:val="00DA7564"/>
    <w:rsid w:val="00DA7573"/>
    <w:rsid w:val="00DA757F"/>
    <w:rsid w:val="00DA75EC"/>
    <w:rsid w:val="00DA76D4"/>
    <w:rsid w:val="00DA78DA"/>
    <w:rsid w:val="00DA78EB"/>
    <w:rsid w:val="00DA7BD4"/>
    <w:rsid w:val="00DA7DA9"/>
    <w:rsid w:val="00DA7EA5"/>
    <w:rsid w:val="00DA7FA2"/>
    <w:rsid w:val="00DB003A"/>
    <w:rsid w:val="00DB0191"/>
    <w:rsid w:val="00DB02B4"/>
    <w:rsid w:val="00DB0359"/>
    <w:rsid w:val="00DB03D9"/>
    <w:rsid w:val="00DB0432"/>
    <w:rsid w:val="00DB04CB"/>
    <w:rsid w:val="00DB0536"/>
    <w:rsid w:val="00DB0577"/>
    <w:rsid w:val="00DB05E1"/>
    <w:rsid w:val="00DB064C"/>
    <w:rsid w:val="00DB068B"/>
    <w:rsid w:val="00DB06F4"/>
    <w:rsid w:val="00DB0717"/>
    <w:rsid w:val="00DB074C"/>
    <w:rsid w:val="00DB0764"/>
    <w:rsid w:val="00DB0807"/>
    <w:rsid w:val="00DB080B"/>
    <w:rsid w:val="00DB0848"/>
    <w:rsid w:val="00DB08A5"/>
    <w:rsid w:val="00DB0968"/>
    <w:rsid w:val="00DB0983"/>
    <w:rsid w:val="00DB0A09"/>
    <w:rsid w:val="00DB0A29"/>
    <w:rsid w:val="00DB0C49"/>
    <w:rsid w:val="00DB0D6D"/>
    <w:rsid w:val="00DB0D8A"/>
    <w:rsid w:val="00DB0E49"/>
    <w:rsid w:val="00DB0E93"/>
    <w:rsid w:val="00DB0ED7"/>
    <w:rsid w:val="00DB0EF6"/>
    <w:rsid w:val="00DB0F8A"/>
    <w:rsid w:val="00DB0FB2"/>
    <w:rsid w:val="00DB0FD5"/>
    <w:rsid w:val="00DB0FF6"/>
    <w:rsid w:val="00DB132F"/>
    <w:rsid w:val="00DB1372"/>
    <w:rsid w:val="00DB140A"/>
    <w:rsid w:val="00DB1515"/>
    <w:rsid w:val="00DB155E"/>
    <w:rsid w:val="00DB16F1"/>
    <w:rsid w:val="00DB1A48"/>
    <w:rsid w:val="00DB1BCB"/>
    <w:rsid w:val="00DB1C02"/>
    <w:rsid w:val="00DB1C0B"/>
    <w:rsid w:val="00DB1C9C"/>
    <w:rsid w:val="00DB1EAE"/>
    <w:rsid w:val="00DB1F46"/>
    <w:rsid w:val="00DB20DB"/>
    <w:rsid w:val="00DB2259"/>
    <w:rsid w:val="00DB235A"/>
    <w:rsid w:val="00DB2368"/>
    <w:rsid w:val="00DB2447"/>
    <w:rsid w:val="00DB247E"/>
    <w:rsid w:val="00DB26A8"/>
    <w:rsid w:val="00DB27CF"/>
    <w:rsid w:val="00DB288D"/>
    <w:rsid w:val="00DB2BC7"/>
    <w:rsid w:val="00DB2C44"/>
    <w:rsid w:val="00DB2CF7"/>
    <w:rsid w:val="00DB2D0C"/>
    <w:rsid w:val="00DB2DEF"/>
    <w:rsid w:val="00DB2E0E"/>
    <w:rsid w:val="00DB2E58"/>
    <w:rsid w:val="00DB3014"/>
    <w:rsid w:val="00DB302E"/>
    <w:rsid w:val="00DB3182"/>
    <w:rsid w:val="00DB324B"/>
    <w:rsid w:val="00DB324C"/>
    <w:rsid w:val="00DB3385"/>
    <w:rsid w:val="00DB33DB"/>
    <w:rsid w:val="00DB34C2"/>
    <w:rsid w:val="00DB35E7"/>
    <w:rsid w:val="00DB35F7"/>
    <w:rsid w:val="00DB367C"/>
    <w:rsid w:val="00DB37ED"/>
    <w:rsid w:val="00DB3835"/>
    <w:rsid w:val="00DB3845"/>
    <w:rsid w:val="00DB3871"/>
    <w:rsid w:val="00DB3878"/>
    <w:rsid w:val="00DB3887"/>
    <w:rsid w:val="00DB38AE"/>
    <w:rsid w:val="00DB38DB"/>
    <w:rsid w:val="00DB38FD"/>
    <w:rsid w:val="00DB393B"/>
    <w:rsid w:val="00DB3958"/>
    <w:rsid w:val="00DB3A1A"/>
    <w:rsid w:val="00DB3A78"/>
    <w:rsid w:val="00DB3C0C"/>
    <w:rsid w:val="00DB3C9C"/>
    <w:rsid w:val="00DB3F76"/>
    <w:rsid w:val="00DB3FA2"/>
    <w:rsid w:val="00DB3FD3"/>
    <w:rsid w:val="00DB40E1"/>
    <w:rsid w:val="00DB42D3"/>
    <w:rsid w:val="00DB42F5"/>
    <w:rsid w:val="00DB4401"/>
    <w:rsid w:val="00DB4508"/>
    <w:rsid w:val="00DB45E6"/>
    <w:rsid w:val="00DB4699"/>
    <w:rsid w:val="00DB487A"/>
    <w:rsid w:val="00DB48B2"/>
    <w:rsid w:val="00DB4932"/>
    <w:rsid w:val="00DB4B48"/>
    <w:rsid w:val="00DB4B70"/>
    <w:rsid w:val="00DB4CFB"/>
    <w:rsid w:val="00DB4D60"/>
    <w:rsid w:val="00DB4DFC"/>
    <w:rsid w:val="00DB4F0E"/>
    <w:rsid w:val="00DB4F70"/>
    <w:rsid w:val="00DB5042"/>
    <w:rsid w:val="00DB5092"/>
    <w:rsid w:val="00DB51A4"/>
    <w:rsid w:val="00DB525D"/>
    <w:rsid w:val="00DB52A9"/>
    <w:rsid w:val="00DB5625"/>
    <w:rsid w:val="00DB564B"/>
    <w:rsid w:val="00DB5802"/>
    <w:rsid w:val="00DB5A31"/>
    <w:rsid w:val="00DB5C03"/>
    <w:rsid w:val="00DB5F2A"/>
    <w:rsid w:val="00DB63AF"/>
    <w:rsid w:val="00DB64E8"/>
    <w:rsid w:val="00DB6565"/>
    <w:rsid w:val="00DB656C"/>
    <w:rsid w:val="00DB656F"/>
    <w:rsid w:val="00DB6598"/>
    <w:rsid w:val="00DB663B"/>
    <w:rsid w:val="00DB678F"/>
    <w:rsid w:val="00DB6858"/>
    <w:rsid w:val="00DB6A2B"/>
    <w:rsid w:val="00DB6AE6"/>
    <w:rsid w:val="00DB6B75"/>
    <w:rsid w:val="00DB6DEE"/>
    <w:rsid w:val="00DB6E90"/>
    <w:rsid w:val="00DB6E9B"/>
    <w:rsid w:val="00DB6F45"/>
    <w:rsid w:val="00DB7061"/>
    <w:rsid w:val="00DB70A3"/>
    <w:rsid w:val="00DB719A"/>
    <w:rsid w:val="00DB72B7"/>
    <w:rsid w:val="00DB72E3"/>
    <w:rsid w:val="00DB7309"/>
    <w:rsid w:val="00DB735F"/>
    <w:rsid w:val="00DB74CD"/>
    <w:rsid w:val="00DB7546"/>
    <w:rsid w:val="00DB76A9"/>
    <w:rsid w:val="00DB7781"/>
    <w:rsid w:val="00DB782D"/>
    <w:rsid w:val="00DB7911"/>
    <w:rsid w:val="00DB7A4D"/>
    <w:rsid w:val="00DB7A59"/>
    <w:rsid w:val="00DB7B95"/>
    <w:rsid w:val="00DB7C3F"/>
    <w:rsid w:val="00DB7E2D"/>
    <w:rsid w:val="00DB7FAA"/>
    <w:rsid w:val="00DC009D"/>
    <w:rsid w:val="00DC012C"/>
    <w:rsid w:val="00DC0335"/>
    <w:rsid w:val="00DC04E3"/>
    <w:rsid w:val="00DC0624"/>
    <w:rsid w:val="00DC063F"/>
    <w:rsid w:val="00DC068F"/>
    <w:rsid w:val="00DC089F"/>
    <w:rsid w:val="00DC0A01"/>
    <w:rsid w:val="00DC0B83"/>
    <w:rsid w:val="00DC0BFC"/>
    <w:rsid w:val="00DC0DBA"/>
    <w:rsid w:val="00DC0FC3"/>
    <w:rsid w:val="00DC1023"/>
    <w:rsid w:val="00DC10C5"/>
    <w:rsid w:val="00DC13BE"/>
    <w:rsid w:val="00DC1488"/>
    <w:rsid w:val="00DC156B"/>
    <w:rsid w:val="00DC1581"/>
    <w:rsid w:val="00DC160B"/>
    <w:rsid w:val="00DC1641"/>
    <w:rsid w:val="00DC164F"/>
    <w:rsid w:val="00DC17A9"/>
    <w:rsid w:val="00DC18B4"/>
    <w:rsid w:val="00DC1909"/>
    <w:rsid w:val="00DC196C"/>
    <w:rsid w:val="00DC1A0F"/>
    <w:rsid w:val="00DC1A58"/>
    <w:rsid w:val="00DC1A90"/>
    <w:rsid w:val="00DC1AC0"/>
    <w:rsid w:val="00DC1AEA"/>
    <w:rsid w:val="00DC1BBB"/>
    <w:rsid w:val="00DC1CDD"/>
    <w:rsid w:val="00DC1D2E"/>
    <w:rsid w:val="00DC1D8E"/>
    <w:rsid w:val="00DC1D96"/>
    <w:rsid w:val="00DC1E7E"/>
    <w:rsid w:val="00DC2024"/>
    <w:rsid w:val="00DC208A"/>
    <w:rsid w:val="00DC20C3"/>
    <w:rsid w:val="00DC20E3"/>
    <w:rsid w:val="00DC2138"/>
    <w:rsid w:val="00DC2274"/>
    <w:rsid w:val="00DC227A"/>
    <w:rsid w:val="00DC2342"/>
    <w:rsid w:val="00DC2360"/>
    <w:rsid w:val="00DC257B"/>
    <w:rsid w:val="00DC25DC"/>
    <w:rsid w:val="00DC26E4"/>
    <w:rsid w:val="00DC273D"/>
    <w:rsid w:val="00DC274E"/>
    <w:rsid w:val="00DC275A"/>
    <w:rsid w:val="00DC28D9"/>
    <w:rsid w:val="00DC2A0F"/>
    <w:rsid w:val="00DC2A29"/>
    <w:rsid w:val="00DC2BAE"/>
    <w:rsid w:val="00DC2BFC"/>
    <w:rsid w:val="00DC2CE1"/>
    <w:rsid w:val="00DC2CEE"/>
    <w:rsid w:val="00DC2D9F"/>
    <w:rsid w:val="00DC30EB"/>
    <w:rsid w:val="00DC31AD"/>
    <w:rsid w:val="00DC3257"/>
    <w:rsid w:val="00DC3279"/>
    <w:rsid w:val="00DC3400"/>
    <w:rsid w:val="00DC3493"/>
    <w:rsid w:val="00DC36C9"/>
    <w:rsid w:val="00DC375A"/>
    <w:rsid w:val="00DC386B"/>
    <w:rsid w:val="00DC3909"/>
    <w:rsid w:val="00DC39A4"/>
    <w:rsid w:val="00DC3A94"/>
    <w:rsid w:val="00DC3BF1"/>
    <w:rsid w:val="00DC3CFC"/>
    <w:rsid w:val="00DC3FDD"/>
    <w:rsid w:val="00DC40CE"/>
    <w:rsid w:val="00DC41FF"/>
    <w:rsid w:val="00DC42D6"/>
    <w:rsid w:val="00DC4306"/>
    <w:rsid w:val="00DC4588"/>
    <w:rsid w:val="00DC47A0"/>
    <w:rsid w:val="00DC483C"/>
    <w:rsid w:val="00DC487F"/>
    <w:rsid w:val="00DC48E4"/>
    <w:rsid w:val="00DC490F"/>
    <w:rsid w:val="00DC494A"/>
    <w:rsid w:val="00DC49EC"/>
    <w:rsid w:val="00DC4A0F"/>
    <w:rsid w:val="00DC4AB8"/>
    <w:rsid w:val="00DC4B17"/>
    <w:rsid w:val="00DC4BDD"/>
    <w:rsid w:val="00DC4D1D"/>
    <w:rsid w:val="00DC4D57"/>
    <w:rsid w:val="00DC4D87"/>
    <w:rsid w:val="00DC4F71"/>
    <w:rsid w:val="00DC4F9B"/>
    <w:rsid w:val="00DC500B"/>
    <w:rsid w:val="00DC5054"/>
    <w:rsid w:val="00DC509F"/>
    <w:rsid w:val="00DC5170"/>
    <w:rsid w:val="00DC51C3"/>
    <w:rsid w:val="00DC533E"/>
    <w:rsid w:val="00DC54EB"/>
    <w:rsid w:val="00DC55A6"/>
    <w:rsid w:val="00DC55F5"/>
    <w:rsid w:val="00DC570E"/>
    <w:rsid w:val="00DC5733"/>
    <w:rsid w:val="00DC580A"/>
    <w:rsid w:val="00DC59DC"/>
    <w:rsid w:val="00DC5AF6"/>
    <w:rsid w:val="00DC5B50"/>
    <w:rsid w:val="00DC5B8D"/>
    <w:rsid w:val="00DC5BEF"/>
    <w:rsid w:val="00DC5C98"/>
    <w:rsid w:val="00DC5CC8"/>
    <w:rsid w:val="00DC5D36"/>
    <w:rsid w:val="00DC5ED4"/>
    <w:rsid w:val="00DC602C"/>
    <w:rsid w:val="00DC62CE"/>
    <w:rsid w:val="00DC64A4"/>
    <w:rsid w:val="00DC64D6"/>
    <w:rsid w:val="00DC65BC"/>
    <w:rsid w:val="00DC66BC"/>
    <w:rsid w:val="00DC6735"/>
    <w:rsid w:val="00DC67EE"/>
    <w:rsid w:val="00DC69C6"/>
    <w:rsid w:val="00DC6A68"/>
    <w:rsid w:val="00DC6BF5"/>
    <w:rsid w:val="00DC6C8F"/>
    <w:rsid w:val="00DC6D16"/>
    <w:rsid w:val="00DC6D33"/>
    <w:rsid w:val="00DC6E11"/>
    <w:rsid w:val="00DC6F76"/>
    <w:rsid w:val="00DC7061"/>
    <w:rsid w:val="00DC727F"/>
    <w:rsid w:val="00DC7296"/>
    <w:rsid w:val="00DC7331"/>
    <w:rsid w:val="00DC73AB"/>
    <w:rsid w:val="00DC748E"/>
    <w:rsid w:val="00DC751E"/>
    <w:rsid w:val="00DC7527"/>
    <w:rsid w:val="00DC75B9"/>
    <w:rsid w:val="00DC75DA"/>
    <w:rsid w:val="00DC76D1"/>
    <w:rsid w:val="00DC78A1"/>
    <w:rsid w:val="00DC7BF8"/>
    <w:rsid w:val="00DC7C0E"/>
    <w:rsid w:val="00DC7C53"/>
    <w:rsid w:val="00DC7E35"/>
    <w:rsid w:val="00DC7E4F"/>
    <w:rsid w:val="00DC7E78"/>
    <w:rsid w:val="00DC7EFC"/>
    <w:rsid w:val="00DC7F57"/>
    <w:rsid w:val="00DC7F6C"/>
    <w:rsid w:val="00DD0051"/>
    <w:rsid w:val="00DD0208"/>
    <w:rsid w:val="00DD0307"/>
    <w:rsid w:val="00DD0493"/>
    <w:rsid w:val="00DD0503"/>
    <w:rsid w:val="00DD0761"/>
    <w:rsid w:val="00DD0773"/>
    <w:rsid w:val="00DD0834"/>
    <w:rsid w:val="00DD0924"/>
    <w:rsid w:val="00DD09C4"/>
    <w:rsid w:val="00DD0A80"/>
    <w:rsid w:val="00DD0BB9"/>
    <w:rsid w:val="00DD0C25"/>
    <w:rsid w:val="00DD0C43"/>
    <w:rsid w:val="00DD0C70"/>
    <w:rsid w:val="00DD0CBF"/>
    <w:rsid w:val="00DD0EE2"/>
    <w:rsid w:val="00DD0EED"/>
    <w:rsid w:val="00DD0FB1"/>
    <w:rsid w:val="00DD1021"/>
    <w:rsid w:val="00DD104F"/>
    <w:rsid w:val="00DD1071"/>
    <w:rsid w:val="00DD1259"/>
    <w:rsid w:val="00DD12E4"/>
    <w:rsid w:val="00DD12FD"/>
    <w:rsid w:val="00DD13ED"/>
    <w:rsid w:val="00DD1576"/>
    <w:rsid w:val="00DD16A3"/>
    <w:rsid w:val="00DD16B9"/>
    <w:rsid w:val="00DD17AA"/>
    <w:rsid w:val="00DD1813"/>
    <w:rsid w:val="00DD18A8"/>
    <w:rsid w:val="00DD1AF4"/>
    <w:rsid w:val="00DD1BBE"/>
    <w:rsid w:val="00DD1C2D"/>
    <w:rsid w:val="00DD1C54"/>
    <w:rsid w:val="00DD1D31"/>
    <w:rsid w:val="00DD1DF3"/>
    <w:rsid w:val="00DD1EAE"/>
    <w:rsid w:val="00DD2006"/>
    <w:rsid w:val="00DD2077"/>
    <w:rsid w:val="00DD2167"/>
    <w:rsid w:val="00DD216A"/>
    <w:rsid w:val="00DD2487"/>
    <w:rsid w:val="00DD260D"/>
    <w:rsid w:val="00DD2641"/>
    <w:rsid w:val="00DD2807"/>
    <w:rsid w:val="00DD2839"/>
    <w:rsid w:val="00DD2893"/>
    <w:rsid w:val="00DD29BB"/>
    <w:rsid w:val="00DD2A6E"/>
    <w:rsid w:val="00DD2C09"/>
    <w:rsid w:val="00DD2CBD"/>
    <w:rsid w:val="00DD2D5F"/>
    <w:rsid w:val="00DD2D60"/>
    <w:rsid w:val="00DD2D80"/>
    <w:rsid w:val="00DD2FC2"/>
    <w:rsid w:val="00DD302E"/>
    <w:rsid w:val="00DD30A5"/>
    <w:rsid w:val="00DD3134"/>
    <w:rsid w:val="00DD3157"/>
    <w:rsid w:val="00DD3185"/>
    <w:rsid w:val="00DD319C"/>
    <w:rsid w:val="00DD3350"/>
    <w:rsid w:val="00DD33EF"/>
    <w:rsid w:val="00DD3482"/>
    <w:rsid w:val="00DD35E4"/>
    <w:rsid w:val="00DD361B"/>
    <w:rsid w:val="00DD3761"/>
    <w:rsid w:val="00DD3892"/>
    <w:rsid w:val="00DD396C"/>
    <w:rsid w:val="00DD3ABA"/>
    <w:rsid w:val="00DD3E2B"/>
    <w:rsid w:val="00DD3E7F"/>
    <w:rsid w:val="00DD3F07"/>
    <w:rsid w:val="00DD3FC2"/>
    <w:rsid w:val="00DD4057"/>
    <w:rsid w:val="00DD4124"/>
    <w:rsid w:val="00DD41D1"/>
    <w:rsid w:val="00DD42C8"/>
    <w:rsid w:val="00DD42F2"/>
    <w:rsid w:val="00DD43F9"/>
    <w:rsid w:val="00DD44D6"/>
    <w:rsid w:val="00DD4547"/>
    <w:rsid w:val="00DD45CF"/>
    <w:rsid w:val="00DD4717"/>
    <w:rsid w:val="00DD47EB"/>
    <w:rsid w:val="00DD481C"/>
    <w:rsid w:val="00DD488B"/>
    <w:rsid w:val="00DD48E7"/>
    <w:rsid w:val="00DD49C6"/>
    <w:rsid w:val="00DD4A2C"/>
    <w:rsid w:val="00DD4A8B"/>
    <w:rsid w:val="00DD4A8C"/>
    <w:rsid w:val="00DD4B46"/>
    <w:rsid w:val="00DD4C1A"/>
    <w:rsid w:val="00DD4C9D"/>
    <w:rsid w:val="00DD4D9A"/>
    <w:rsid w:val="00DD4EA8"/>
    <w:rsid w:val="00DD4F74"/>
    <w:rsid w:val="00DD51C7"/>
    <w:rsid w:val="00DD51C8"/>
    <w:rsid w:val="00DD531F"/>
    <w:rsid w:val="00DD5357"/>
    <w:rsid w:val="00DD5373"/>
    <w:rsid w:val="00DD5490"/>
    <w:rsid w:val="00DD54F6"/>
    <w:rsid w:val="00DD556C"/>
    <w:rsid w:val="00DD560C"/>
    <w:rsid w:val="00DD5613"/>
    <w:rsid w:val="00DD5629"/>
    <w:rsid w:val="00DD5737"/>
    <w:rsid w:val="00DD588A"/>
    <w:rsid w:val="00DD59B2"/>
    <w:rsid w:val="00DD5A1B"/>
    <w:rsid w:val="00DD5A95"/>
    <w:rsid w:val="00DD5B83"/>
    <w:rsid w:val="00DD5D28"/>
    <w:rsid w:val="00DD5E05"/>
    <w:rsid w:val="00DD5E14"/>
    <w:rsid w:val="00DD5E1C"/>
    <w:rsid w:val="00DD5E2B"/>
    <w:rsid w:val="00DD5E81"/>
    <w:rsid w:val="00DD614C"/>
    <w:rsid w:val="00DD6187"/>
    <w:rsid w:val="00DD62C2"/>
    <w:rsid w:val="00DD6418"/>
    <w:rsid w:val="00DD64E9"/>
    <w:rsid w:val="00DD64ED"/>
    <w:rsid w:val="00DD6512"/>
    <w:rsid w:val="00DD6841"/>
    <w:rsid w:val="00DD68BB"/>
    <w:rsid w:val="00DD68FD"/>
    <w:rsid w:val="00DD6945"/>
    <w:rsid w:val="00DD69BA"/>
    <w:rsid w:val="00DD69C3"/>
    <w:rsid w:val="00DD6A58"/>
    <w:rsid w:val="00DD6B1C"/>
    <w:rsid w:val="00DD6C46"/>
    <w:rsid w:val="00DD6C7A"/>
    <w:rsid w:val="00DD6ED4"/>
    <w:rsid w:val="00DD6F1A"/>
    <w:rsid w:val="00DD6F44"/>
    <w:rsid w:val="00DD70CD"/>
    <w:rsid w:val="00DD72E9"/>
    <w:rsid w:val="00DD735B"/>
    <w:rsid w:val="00DD7384"/>
    <w:rsid w:val="00DD756D"/>
    <w:rsid w:val="00DD7668"/>
    <w:rsid w:val="00DD7A9E"/>
    <w:rsid w:val="00DD7B50"/>
    <w:rsid w:val="00DD7BCB"/>
    <w:rsid w:val="00DD7C45"/>
    <w:rsid w:val="00DD7CCA"/>
    <w:rsid w:val="00DD7E51"/>
    <w:rsid w:val="00DE0052"/>
    <w:rsid w:val="00DE0086"/>
    <w:rsid w:val="00DE0117"/>
    <w:rsid w:val="00DE013B"/>
    <w:rsid w:val="00DE0175"/>
    <w:rsid w:val="00DE022C"/>
    <w:rsid w:val="00DE0247"/>
    <w:rsid w:val="00DE02EC"/>
    <w:rsid w:val="00DE0449"/>
    <w:rsid w:val="00DE060E"/>
    <w:rsid w:val="00DE0662"/>
    <w:rsid w:val="00DE06A3"/>
    <w:rsid w:val="00DE076E"/>
    <w:rsid w:val="00DE0880"/>
    <w:rsid w:val="00DE0889"/>
    <w:rsid w:val="00DE09AF"/>
    <w:rsid w:val="00DE0A9B"/>
    <w:rsid w:val="00DE0AF2"/>
    <w:rsid w:val="00DE0B34"/>
    <w:rsid w:val="00DE0B62"/>
    <w:rsid w:val="00DE0BDE"/>
    <w:rsid w:val="00DE0C6A"/>
    <w:rsid w:val="00DE0C7A"/>
    <w:rsid w:val="00DE0C9B"/>
    <w:rsid w:val="00DE0D6D"/>
    <w:rsid w:val="00DE0E53"/>
    <w:rsid w:val="00DE0E6C"/>
    <w:rsid w:val="00DE0E75"/>
    <w:rsid w:val="00DE0F2F"/>
    <w:rsid w:val="00DE0F7B"/>
    <w:rsid w:val="00DE10A8"/>
    <w:rsid w:val="00DE10CF"/>
    <w:rsid w:val="00DE1244"/>
    <w:rsid w:val="00DE1270"/>
    <w:rsid w:val="00DE1333"/>
    <w:rsid w:val="00DE1444"/>
    <w:rsid w:val="00DE14AF"/>
    <w:rsid w:val="00DE1633"/>
    <w:rsid w:val="00DE16F7"/>
    <w:rsid w:val="00DE17C6"/>
    <w:rsid w:val="00DE1A64"/>
    <w:rsid w:val="00DE1ADC"/>
    <w:rsid w:val="00DE1C14"/>
    <w:rsid w:val="00DE1C21"/>
    <w:rsid w:val="00DE1D69"/>
    <w:rsid w:val="00DE1D86"/>
    <w:rsid w:val="00DE1E0D"/>
    <w:rsid w:val="00DE1E1E"/>
    <w:rsid w:val="00DE1F0E"/>
    <w:rsid w:val="00DE1F2E"/>
    <w:rsid w:val="00DE1F7E"/>
    <w:rsid w:val="00DE1FD9"/>
    <w:rsid w:val="00DE2099"/>
    <w:rsid w:val="00DE209D"/>
    <w:rsid w:val="00DE20D0"/>
    <w:rsid w:val="00DE218C"/>
    <w:rsid w:val="00DE223E"/>
    <w:rsid w:val="00DE2279"/>
    <w:rsid w:val="00DE22A0"/>
    <w:rsid w:val="00DE22B6"/>
    <w:rsid w:val="00DE22FB"/>
    <w:rsid w:val="00DE2447"/>
    <w:rsid w:val="00DE2D33"/>
    <w:rsid w:val="00DE2E4D"/>
    <w:rsid w:val="00DE2E7A"/>
    <w:rsid w:val="00DE307E"/>
    <w:rsid w:val="00DE317A"/>
    <w:rsid w:val="00DE323E"/>
    <w:rsid w:val="00DE34EB"/>
    <w:rsid w:val="00DE3592"/>
    <w:rsid w:val="00DE3675"/>
    <w:rsid w:val="00DE36F9"/>
    <w:rsid w:val="00DE391D"/>
    <w:rsid w:val="00DE398E"/>
    <w:rsid w:val="00DE39D1"/>
    <w:rsid w:val="00DE3AEF"/>
    <w:rsid w:val="00DE3CDD"/>
    <w:rsid w:val="00DE3E33"/>
    <w:rsid w:val="00DE3E78"/>
    <w:rsid w:val="00DE3FCD"/>
    <w:rsid w:val="00DE4142"/>
    <w:rsid w:val="00DE41F8"/>
    <w:rsid w:val="00DE436D"/>
    <w:rsid w:val="00DE45F1"/>
    <w:rsid w:val="00DE477E"/>
    <w:rsid w:val="00DE47FB"/>
    <w:rsid w:val="00DE4988"/>
    <w:rsid w:val="00DE49BC"/>
    <w:rsid w:val="00DE49C8"/>
    <w:rsid w:val="00DE4AC0"/>
    <w:rsid w:val="00DE4AF1"/>
    <w:rsid w:val="00DE4B9D"/>
    <w:rsid w:val="00DE4CBF"/>
    <w:rsid w:val="00DE4D84"/>
    <w:rsid w:val="00DE4E1D"/>
    <w:rsid w:val="00DE4FF1"/>
    <w:rsid w:val="00DE501B"/>
    <w:rsid w:val="00DE50DA"/>
    <w:rsid w:val="00DE50EA"/>
    <w:rsid w:val="00DE5267"/>
    <w:rsid w:val="00DE5445"/>
    <w:rsid w:val="00DE545C"/>
    <w:rsid w:val="00DE557E"/>
    <w:rsid w:val="00DE559C"/>
    <w:rsid w:val="00DE55C4"/>
    <w:rsid w:val="00DE55C8"/>
    <w:rsid w:val="00DE561F"/>
    <w:rsid w:val="00DE5654"/>
    <w:rsid w:val="00DE566D"/>
    <w:rsid w:val="00DE570E"/>
    <w:rsid w:val="00DE57F8"/>
    <w:rsid w:val="00DE589B"/>
    <w:rsid w:val="00DE58C6"/>
    <w:rsid w:val="00DE5A67"/>
    <w:rsid w:val="00DE5ABC"/>
    <w:rsid w:val="00DE5B89"/>
    <w:rsid w:val="00DE5BD6"/>
    <w:rsid w:val="00DE5C9F"/>
    <w:rsid w:val="00DE5D29"/>
    <w:rsid w:val="00DE5DAC"/>
    <w:rsid w:val="00DE5E34"/>
    <w:rsid w:val="00DE5E6D"/>
    <w:rsid w:val="00DE5FCB"/>
    <w:rsid w:val="00DE601D"/>
    <w:rsid w:val="00DE6192"/>
    <w:rsid w:val="00DE61F4"/>
    <w:rsid w:val="00DE63F9"/>
    <w:rsid w:val="00DE6478"/>
    <w:rsid w:val="00DE657D"/>
    <w:rsid w:val="00DE6678"/>
    <w:rsid w:val="00DE6687"/>
    <w:rsid w:val="00DE675B"/>
    <w:rsid w:val="00DE6786"/>
    <w:rsid w:val="00DE67DD"/>
    <w:rsid w:val="00DE696F"/>
    <w:rsid w:val="00DE69A5"/>
    <w:rsid w:val="00DE6A9F"/>
    <w:rsid w:val="00DE6AAB"/>
    <w:rsid w:val="00DE6BF6"/>
    <w:rsid w:val="00DE6C24"/>
    <w:rsid w:val="00DE6F74"/>
    <w:rsid w:val="00DE6FD4"/>
    <w:rsid w:val="00DE70AA"/>
    <w:rsid w:val="00DE7287"/>
    <w:rsid w:val="00DE734E"/>
    <w:rsid w:val="00DE744E"/>
    <w:rsid w:val="00DE74AE"/>
    <w:rsid w:val="00DE768C"/>
    <w:rsid w:val="00DE7708"/>
    <w:rsid w:val="00DE7887"/>
    <w:rsid w:val="00DE79F1"/>
    <w:rsid w:val="00DE7A3B"/>
    <w:rsid w:val="00DE7B38"/>
    <w:rsid w:val="00DE7BF8"/>
    <w:rsid w:val="00DE7C4B"/>
    <w:rsid w:val="00DE7DAD"/>
    <w:rsid w:val="00DE7E82"/>
    <w:rsid w:val="00DE7EEF"/>
    <w:rsid w:val="00DE7F40"/>
    <w:rsid w:val="00DE7F61"/>
    <w:rsid w:val="00DE7F63"/>
    <w:rsid w:val="00DF0006"/>
    <w:rsid w:val="00DF002B"/>
    <w:rsid w:val="00DF00E7"/>
    <w:rsid w:val="00DF0176"/>
    <w:rsid w:val="00DF0193"/>
    <w:rsid w:val="00DF01B4"/>
    <w:rsid w:val="00DF0289"/>
    <w:rsid w:val="00DF0311"/>
    <w:rsid w:val="00DF04DB"/>
    <w:rsid w:val="00DF04DF"/>
    <w:rsid w:val="00DF0506"/>
    <w:rsid w:val="00DF06C8"/>
    <w:rsid w:val="00DF082F"/>
    <w:rsid w:val="00DF092F"/>
    <w:rsid w:val="00DF09F2"/>
    <w:rsid w:val="00DF0A18"/>
    <w:rsid w:val="00DF0ACA"/>
    <w:rsid w:val="00DF0AF9"/>
    <w:rsid w:val="00DF0DB3"/>
    <w:rsid w:val="00DF0DC3"/>
    <w:rsid w:val="00DF0E0D"/>
    <w:rsid w:val="00DF0E69"/>
    <w:rsid w:val="00DF100E"/>
    <w:rsid w:val="00DF1213"/>
    <w:rsid w:val="00DF13A5"/>
    <w:rsid w:val="00DF13C3"/>
    <w:rsid w:val="00DF14AC"/>
    <w:rsid w:val="00DF14DC"/>
    <w:rsid w:val="00DF14F9"/>
    <w:rsid w:val="00DF1519"/>
    <w:rsid w:val="00DF1639"/>
    <w:rsid w:val="00DF1721"/>
    <w:rsid w:val="00DF1816"/>
    <w:rsid w:val="00DF1820"/>
    <w:rsid w:val="00DF198E"/>
    <w:rsid w:val="00DF1A8D"/>
    <w:rsid w:val="00DF1AA3"/>
    <w:rsid w:val="00DF1C2D"/>
    <w:rsid w:val="00DF1C73"/>
    <w:rsid w:val="00DF1CF1"/>
    <w:rsid w:val="00DF1D16"/>
    <w:rsid w:val="00DF1D99"/>
    <w:rsid w:val="00DF1E3D"/>
    <w:rsid w:val="00DF1EA7"/>
    <w:rsid w:val="00DF1F3A"/>
    <w:rsid w:val="00DF1FAE"/>
    <w:rsid w:val="00DF206B"/>
    <w:rsid w:val="00DF216B"/>
    <w:rsid w:val="00DF223F"/>
    <w:rsid w:val="00DF228F"/>
    <w:rsid w:val="00DF2414"/>
    <w:rsid w:val="00DF25BB"/>
    <w:rsid w:val="00DF26BF"/>
    <w:rsid w:val="00DF26EA"/>
    <w:rsid w:val="00DF2820"/>
    <w:rsid w:val="00DF2901"/>
    <w:rsid w:val="00DF2961"/>
    <w:rsid w:val="00DF29B4"/>
    <w:rsid w:val="00DF29E5"/>
    <w:rsid w:val="00DF2A3A"/>
    <w:rsid w:val="00DF2A90"/>
    <w:rsid w:val="00DF2AA4"/>
    <w:rsid w:val="00DF2ABE"/>
    <w:rsid w:val="00DF2AD9"/>
    <w:rsid w:val="00DF2B77"/>
    <w:rsid w:val="00DF2C51"/>
    <w:rsid w:val="00DF2C77"/>
    <w:rsid w:val="00DF2F87"/>
    <w:rsid w:val="00DF2FDB"/>
    <w:rsid w:val="00DF3212"/>
    <w:rsid w:val="00DF3213"/>
    <w:rsid w:val="00DF3361"/>
    <w:rsid w:val="00DF3471"/>
    <w:rsid w:val="00DF350F"/>
    <w:rsid w:val="00DF36DB"/>
    <w:rsid w:val="00DF37F3"/>
    <w:rsid w:val="00DF383B"/>
    <w:rsid w:val="00DF397C"/>
    <w:rsid w:val="00DF39EE"/>
    <w:rsid w:val="00DF39F8"/>
    <w:rsid w:val="00DF3A99"/>
    <w:rsid w:val="00DF3A9C"/>
    <w:rsid w:val="00DF3B21"/>
    <w:rsid w:val="00DF3B40"/>
    <w:rsid w:val="00DF3B97"/>
    <w:rsid w:val="00DF3BC1"/>
    <w:rsid w:val="00DF3E29"/>
    <w:rsid w:val="00DF3EC7"/>
    <w:rsid w:val="00DF40F0"/>
    <w:rsid w:val="00DF419E"/>
    <w:rsid w:val="00DF4420"/>
    <w:rsid w:val="00DF44FE"/>
    <w:rsid w:val="00DF4580"/>
    <w:rsid w:val="00DF4675"/>
    <w:rsid w:val="00DF4778"/>
    <w:rsid w:val="00DF481F"/>
    <w:rsid w:val="00DF4840"/>
    <w:rsid w:val="00DF48F2"/>
    <w:rsid w:val="00DF4A6B"/>
    <w:rsid w:val="00DF4A87"/>
    <w:rsid w:val="00DF4C4F"/>
    <w:rsid w:val="00DF4C6C"/>
    <w:rsid w:val="00DF4D94"/>
    <w:rsid w:val="00DF4DA7"/>
    <w:rsid w:val="00DF4E59"/>
    <w:rsid w:val="00DF4E9D"/>
    <w:rsid w:val="00DF4F3B"/>
    <w:rsid w:val="00DF5142"/>
    <w:rsid w:val="00DF54D0"/>
    <w:rsid w:val="00DF54FB"/>
    <w:rsid w:val="00DF560C"/>
    <w:rsid w:val="00DF563D"/>
    <w:rsid w:val="00DF5724"/>
    <w:rsid w:val="00DF5775"/>
    <w:rsid w:val="00DF57D2"/>
    <w:rsid w:val="00DF580C"/>
    <w:rsid w:val="00DF58A4"/>
    <w:rsid w:val="00DF5925"/>
    <w:rsid w:val="00DF5B26"/>
    <w:rsid w:val="00DF5C1A"/>
    <w:rsid w:val="00DF5C4A"/>
    <w:rsid w:val="00DF5CBD"/>
    <w:rsid w:val="00DF5FA4"/>
    <w:rsid w:val="00DF5FCD"/>
    <w:rsid w:val="00DF5FE5"/>
    <w:rsid w:val="00DF619F"/>
    <w:rsid w:val="00DF6332"/>
    <w:rsid w:val="00DF6361"/>
    <w:rsid w:val="00DF6371"/>
    <w:rsid w:val="00DF653C"/>
    <w:rsid w:val="00DF66F0"/>
    <w:rsid w:val="00DF68F9"/>
    <w:rsid w:val="00DF697A"/>
    <w:rsid w:val="00DF6AE2"/>
    <w:rsid w:val="00DF6B0F"/>
    <w:rsid w:val="00DF6BCB"/>
    <w:rsid w:val="00DF6C12"/>
    <w:rsid w:val="00DF6C1B"/>
    <w:rsid w:val="00DF6CA6"/>
    <w:rsid w:val="00DF6D22"/>
    <w:rsid w:val="00DF6D45"/>
    <w:rsid w:val="00DF6E11"/>
    <w:rsid w:val="00DF7042"/>
    <w:rsid w:val="00DF7043"/>
    <w:rsid w:val="00DF716A"/>
    <w:rsid w:val="00DF730A"/>
    <w:rsid w:val="00DF7407"/>
    <w:rsid w:val="00DF7665"/>
    <w:rsid w:val="00DF76AE"/>
    <w:rsid w:val="00DF7757"/>
    <w:rsid w:val="00DF77A7"/>
    <w:rsid w:val="00DF78FD"/>
    <w:rsid w:val="00DF7988"/>
    <w:rsid w:val="00DF7A41"/>
    <w:rsid w:val="00DF7A50"/>
    <w:rsid w:val="00DF7E0E"/>
    <w:rsid w:val="00DF7EFE"/>
    <w:rsid w:val="00DF7F45"/>
    <w:rsid w:val="00E00048"/>
    <w:rsid w:val="00E00131"/>
    <w:rsid w:val="00E001DE"/>
    <w:rsid w:val="00E00270"/>
    <w:rsid w:val="00E002A8"/>
    <w:rsid w:val="00E002BF"/>
    <w:rsid w:val="00E00613"/>
    <w:rsid w:val="00E00725"/>
    <w:rsid w:val="00E00833"/>
    <w:rsid w:val="00E009A2"/>
    <w:rsid w:val="00E00A3B"/>
    <w:rsid w:val="00E00AE2"/>
    <w:rsid w:val="00E00C44"/>
    <w:rsid w:val="00E00E15"/>
    <w:rsid w:val="00E00EF8"/>
    <w:rsid w:val="00E00F63"/>
    <w:rsid w:val="00E01050"/>
    <w:rsid w:val="00E01100"/>
    <w:rsid w:val="00E0119C"/>
    <w:rsid w:val="00E01210"/>
    <w:rsid w:val="00E01224"/>
    <w:rsid w:val="00E01276"/>
    <w:rsid w:val="00E012FE"/>
    <w:rsid w:val="00E014F6"/>
    <w:rsid w:val="00E01551"/>
    <w:rsid w:val="00E015A0"/>
    <w:rsid w:val="00E01615"/>
    <w:rsid w:val="00E01AEC"/>
    <w:rsid w:val="00E01BEB"/>
    <w:rsid w:val="00E01C25"/>
    <w:rsid w:val="00E01C9A"/>
    <w:rsid w:val="00E01D50"/>
    <w:rsid w:val="00E01E09"/>
    <w:rsid w:val="00E01E11"/>
    <w:rsid w:val="00E01EAA"/>
    <w:rsid w:val="00E01EF1"/>
    <w:rsid w:val="00E01FE8"/>
    <w:rsid w:val="00E021AE"/>
    <w:rsid w:val="00E02251"/>
    <w:rsid w:val="00E02333"/>
    <w:rsid w:val="00E02397"/>
    <w:rsid w:val="00E023FF"/>
    <w:rsid w:val="00E0240B"/>
    <w:rsid w:val="00E024A0"/>
    <w:rsid w:val="00E024F1"/>
    <w:rsid w:val="00E025AE"/>
    <w:rsid w:val="00E02664"/>
    <w:rsid w:val="00E0266E"/>
    <w:rsid w:val="00E027AE"/>
    <w:rsid w:val="00E02822"/>
    <w:rsid w:val="00E02987"/>
    <w:rsid w:val="00E02A28"/>
    <w:rsid w:val="00E02A4E"/>
    <w:rsid w:val="00E02C4D"/>
    <w:rsid w:val="00E02CD5"/>
    <w:rsid w:val="00E02D19"/>
    <w:rsid w:val="00E0303D"/>
    <w:rsid w:val="00E031A5"/>
    <w:rsid w:val="00E03230"/>
    <w:rsid w:val="00E0341B"/>
    <w:rsid w:val="00E0344E"/>
    <w:rsid w:val="00E0348F"/>
    <w:rsid w:val="00E035A6"/>
    <w:rsid w:val="00E035FF"/>
    <w:rsid w:val="00E03602"/>
    <w:rsid w:val="00E036AD"/>
    <w:rsid w:val="00E036BB"/>
    <w:rsid w:val="00E03762"/>
    <w:rsid w:val="00E038F5"/>
    <w:rsid w:val="00E03921"/>
    <w:rsid w:val="00E0393E"/>
    <w:rsid w:val="00E039F8"/>
    <w:rsid w:val="00E03AAF"/>
    <w:rsid w:val="00E03C08"/>
    <w:rsid w:val="00E03D3A"/>
    <w:rsid w:val="00E03D67"/>
    <w:rsid w:val="00E03DB2"/>
    <w:rsid w:val="00E04088"/>
    <w:rsid w:val="00E04100"/>
    <w:rsid w:val="00E0422F"/>
    <w:rsid w:val="00E0431F"/>
    <w:rsid w:val="00E0438F"/>
    <w:rsid w:val="00E043D9"/>
    <w:rsid w:val="00E04431"/>
    <w:rsid w:val="00E0449B"/>
    <w:rsid w:val="00E0449C"/>
    <w:rsid w:val="00E044C5"/>
    <w:rsid w:val="00E044CD"/>
    <w:rsid w:val="00E044E1"/>
    <w:rsid w:val="00E044E3"/>
    <w:rsid w:val="00E04510"/>
    <w:rsid w:val="00E0461C"/>
    <w:rsid w:val="00E04660"/>
    <w:rsid w:val="00E04697"/>
    <w:rsid w:val="00E04784"/>
    <w:rsid w:val="00E047B9"/>
    <w:rsid w:val="00E047D7"/>
    <w:rsid w:val="00E047EF"/>
    <w:rsid w:val="00E0484D"/>
    <w:rsid w:val="00E048A8"/>
    <w:rsid w:val="00E048AC"/>
    <w:rsid w:val="00E049D1"/>
    <w:rsid w:val="00E04AA0"/>
    <w:rsid w:val="00E04D95"/>
    <w:rsid w:val="00E04E47"/>
    <w:rsid w:val="00E050F9"/>
    <w:rsid w:val="00E051DD"/>
    <w:rsid w:val="00E052C7"/>
    <w:rsid w:val="00E052EC"/>
    <w:rsid w:val="00E05367"/>
    <w:rsid w:val="00E05374"/>
    <w:rsid w:val="00E053AC"/>
    <w:rsid w:val="00E05430"/>
    <w:rsid w:val="00E05569"/>
    <w:rsid w:val="00E0557E"/>
    <w:rsid w:val="00E05689"/>
    <w:rsid w:val="00E056A8"/>
    <w:rsid w:val="00E059FF"/>
    <w:rsid w:val="00E05A26"/>
    <w:rsid w:val="00E05A6C"/>
    <w:rsid w:val="00E05AEB"/>
    <w:rsid w:val="00E05C26"/>
    <w:rsid w:val="00E05C3D"/>
    <w:rsid w:val="00E05C6A"/>
    <w:rsid w:val="00E05CF4"/>
    <w:rsid w:val="00E05F32"/>
    <w:rsid w:val="00E05F59"/>
    <w:rsid w:val="00E05F5F"/>
    <w:rsid w:val="00E05FF8"/>
    <w:rsid w:val="00E0606C"/>
    <w:rsid w:val="00E060F2"/>
    <w:rsid w:val="00E0614F"/>
    <w:rsid w:val="00E061D9"/>
    <w:rsid w:val="00E0648A"/>
    <w:rsid w:val="00E064E1"/>
    <w:rsid w:val="00E0655D"/>
    <w:rsid w:val="00E0660D"/>
    <w:rsid w:val="00E0663B"/>
    <w:rsid w:val="00E06667"/>
    <w:rsid w:val="00E06758"/>
    <w:rsid w:val="00E0675E"/>
    <w:rsid w:val="00E06773"/>
    <w:rsid w:val="00E067CD"/>
    <w:rsid w:val="00E0694C"/>
    <w:rsid w:val="00E06A0C"/>
    <w:rsid w:val="00E06A19"/>
    <w:rsid w:val="00E06AB3"/>
    <w:rsid w:val="00E06C4A"/>
    <w:rsid w:val="00E06DDD"/>
    <w:rsid w:val="00E0713B"/>
    <w:rsid w:val="00E072FC"/>
    <w:rsid w:val="00E073A5"/>
    <w:rsid w:val="00E073B3"/>
    <w:rsid w:val="00E074E6"/>
    <w:rsid w:val="00E074F4"/>
    <w:rsid w:val="00E07578"/>
    <w:rsid w:val="00E0757E"/>
    <w:rsid w:val="00E07842"/>
    <w:rsid w:val="00E079AC"/>
    <w:rsid w:val="00E07C69"/>
    <w:rsid w:val="00E07C6D"/>
    <w:rsid w:val="00E07CC9"/>
    <w:rsid w:val="00E07D50"/>
    <w:rsid w:val="00E07D92"/>
    <w:rsid w:val="00E07E4C"/>
    <w:rsid w:val="00E07E97"/>
    <w:rsid w:val="00E07EFE"/>
    <w:rsid w:val="00E07F37"/>
    <w:rsid w:val="00E100ED"/>
    <w:rsid w:val="00E10163"/>
    <w:rsid w:val="00E1024A"/>
    <w:rsid w:val="00E1045B"/>
    <w:rsid w:val="00E1046C"/>
    <w:rsid w:val="00E10485"/>
    <w:rsid w:val="00E104B5"/>
    <w:rsid w:val="00E105E8"/>
    <w:rsid w:val="00E1065C"/>
    <w:rsid w:val="00E106BC"/>
    <w:rsid w:val="00E1073E"/>
    <w:rsid w:val="00E109F8"/>
    <w:rsid w:val="00E10B17"/>
    <w:rsid w:val="00E10B67"/>
    <w:rsid w:val="00E10DFD"/>
    <w:rsid w:val="00E10E74"/>
    <w:rsid w:val="00E10F79"/>
    <w:rsid w:val="00E11009"/>
    <w:rsid w:val="00E1118C"/>
    <w:rsid w:val="00E11427"/>
    <w:rsid w:val="00E11505"/>
    <w:rsid w:val="00E1155A"/>
    <w:rsid w:val="00E11840"/>
    <w:rsid w:val="00E11865"/>
    <w:rsid w:val="00E118C8"/>
    <w:rsid w:val="00E11905"/>
    <w:rsid w:val="00E11992"/>
    <w:rsid w:val="00E11A20"/>
    <w:rsid w:val="00E11AA5"/>
    <w:rsid w:val="00E11AF8"/>
    <w:rsid w:val="00E11B1D"/>
    <w:rsid w:val="00E11BCF"/>
    <w:rsid w:val="00E11C9A"/>
    <w:rsid w:val="00E1247B"/>
    <w:rsid w:val="00E125B1"/>
    <w:rsid w:val="00E1260E"/>
    <w:rsid w:val="00E1266E"/>
    <w:rsid w:val="00E12674"/>
    <w:rsid w:val="00E12715"/>
    <w:rsid w:val="00E12742"/>
    <w:rsid w:val="00E127A0"/>
    <w:rsid w:val="00E12801"/>
    <w:rsid w:val="00E1282B"/>
    <w:rsid w:val="00E12848"/>
    <w:rsid w:val="00E12954"/>
    <w:rsid w:val="00E12AAC"/>
    <w:rsid w:val="00E12AB9"/>
    <w:rsid w:val="00E12AC9"/>
    <w:rsid w:val="00E12AE1"/>
    <w:rsid w:val="00E12AFD"/>
    <w:rsid w:val="00E12B67"/>
    <w:rsid w:val="00E12BB9"/>
    <w:rsid w:val="00E12CF1"/>
    <w:rsid w:val="00E12D5F"/>
    <w:rsid w:val="00E12D70"/>
    <w:rsid w:val="00E12D94"/>
    <w:rsid w:val="00E12E1C"/>
    <w:rsid w:val="00E12E52"/>
    <w:rsid w:val="00E13054"/>
    <w:rsid w:val="00E134B2"/>
    <w:rsid w:val="00E13536"/>
    <w:rsid w:val="00E13562"/>
    <w:rsid w:val="00E13723"/>
    <w:rsid w:val="00E13847"/>
    <w:rsid w:val="00E13850"/>
    <w:rsid w:val="00E1390B"/>
    <w:rsid w:val="00E139ED"/>
    <w:rsid w:val="00E13ACE"/>
    <w:rsid w:val="00E13B19"/>
    <w:rsid w:val="00E13BD2"/>
    <w:rsid w:val="00E13CA2"/>
    <w:rsid w:val="00E13D4B"/>
    <w:rsid w:val="00E13DBD"/>
    <w:rsid w:val="00E13DD0"/>
    <w:rsid w:val="00E13E2C"/>
    <w:rsid w:val="00E13E30"/>
    <w:rsid w:val="00E13F84"/>
    <w:rsid w:val="00E13FD1"/>
    <w:rsid w:val="00E140B9"/>
    <w:rsid w:val="00E141B6"/>
    <w:rsid w:val="00E141C0"/>
    <w:rsid w:val="00E141D3"/>
    <w:rsid w:val="00E1429C"/>
    <w:rsid w:val="00E1429F"/>
    <w:rsid w:val="00E143D9"/>
    <w:rsid w:val="00E14405"/>
    <w:rsid w:val="00E14826"/>
    <w:rsid w:val="00E14941"/>
    <w:rsid w:val="00E14B06"/>
    <w:rsid w:val="00E14B57"/>
    <w:rsid w:val="00E14C9E"/>
    <w:rsid w:val="00E14DEE"/>
    <w:rsid w:val="00E14E79"/>
    <w:rsid w:val="00E14ECD"/>
    <w:rsid w:val="00E14F82"/>
    <w:rsid w:val="00E15013"/>
    <w:rsid w:val="00E15039"/>
    <w:rsid w:val="00E15073"/>
    <w:rsid w:val="00E15189"/>
    <w:rsid w:val="00E1526B"/>
    <w:rsid w:val="00E1534B"/>
    <w:rsid w:val="00E153FE"/>
    <w:rsid w:val="00E15408"/>
    <w:rsid w:val="00E1553D"/>
    <w:rsid w:val="00E155B4"/>
    <w:rsid w:val="00E15624"/>
    <w:rsid w:val="00E1569A"/>
    <w:rsid w:val="00E15743"/>
    <w:rsid w:val="00E1577F"/>
    <w:rsid w:val="00E157F5"/>
    <w:rsid w:val="00E15975"/>
    <w:rsid w:val="00E15B0C"/>
    <w:rsid w:val="00E15BA6"/>
    <w:rsid w:val="00E15BFC"/>
    <w:rsid w:val="00E15C52"/>
    <w:rsid w:val="00E15E21"/>
    <w:rsid w:val="00E15E78"/>
    <w:rsid w:val="00E15E9C"/>
    <w:rsid w:val="00E15EDA"/>
    <w:rsid w:val="00E15F04"/>
    <w:rsid w:val="00E15F0B"/>
    <w:rsid w:val="00E15F68"/>
    <w:rsid w:val="00E160E8"/>
    <w:rsid w:val="00E16199"/>
    <w:rsid w:val="00E16311"/>
    <w:rsid w:val="00E165ED"/>
    <w:rsid w:val="00E165F1"/>
    <w:rsid w:val="00E1667A"/>
    <w:rsid w:val="00E1686F"/>
    <w:rsid w:val="00E16910"/>
    <w:rsid w:val="00E169B9"/>
    <w:rsid w:val="00E16A7A"/>
    <w:rsid w:val="00E16AD6"/>
    <w:rsid w:val="00E16BCE"/>
    <w:rsid w:val="00E16D5B"/>
    <w:rsid w:val="00E16E5C"/>
    <w:rsid w:val="00E1702C"/>
    <w:rsid w:val="00E170D7"/>
    <w:rsid w:val="00E174AE"/>
    <w:rsid w:val="00E175E1"/>
    <w:rsid w:val="00E177E0"/>
    <w:rsid w:val="00E178F9"/>
    <w:rsid w:val="00E17A44"/>
    <w:rsid w:val="00E17A73"/>
    <w:rsid w:val="00E17B73"/>
    <w:rsid w:val="00E17D53"/>
    <w:rsid w:val="00E17D68"/>
    <w:rsid w:val="00E17DB4"/>
    <w:rsid w:val="00E201A8"/>
    <w:rsid w:val="00E2030B"/>
    <w:rsid w:val="00E20421"/>
    <w:rsid w:val="00E20435"/>
    <w:rsid w:val="00E20576"/>
    <w:rsid w:val="00E206F4"/>
    <w:rsid w:val="00E208A7"/>
    <w:rsid w:val="00E2098C"/>
    <w:rsid w:val="00E209C3"/>
    <w:rsid w:val="00E20ABD"/>
    <w:rsid w:val="00E20B36"/>
    <w:rsid w:val="00E20C12"/>
    <w:rsid w:val="00E20C58"/>
    <w:rsid w:val="00E20C5E"/>
    <w:rsid w:val="00E20C72"/>
    <w:rsid w:val="00E20CC5"/>
    <w:rsid w:val="00E20CC6"/>
    <w:rsid w:val="00E20D1F"/>
    <w:rsid w:val="00E20D56"/>
    <w:rsid w:val="00E20E9F"/>
    <w:rsid w:val="00E20F20"/>
    <w:rsid w:val="00E20FE2"/>
    <w:rsid w:val="00E21056"/>
    <w:rsid w:val="00E2117A"/>
    <w:rsid w:val="00E211E2"/>
    <w:rsid w:val="00E21264"/>
    <w:rsid w:val="00E212E1"/>
    <w:rsid w:val="00E2131A"/>
    <w:rsid w:val="00E2136B"/>
    <w:rsid w:val="00E215B7"/>
    <w:rsid w:val="00E2160F"/>
    <w:rsid w:val="00E2164F"/>
    <w:rsid w:val="00E2168D"/>
    <w:rsid w:val="00E21765"/>
    <w:rsid w:val="00E21843"/>
    <w:rsid w:val="00E21889"/>
    <w:rsid w:val="00E218A1"/>
    <w:rsid w:val="00E218DA"/>
    <w:rsid w:val="00E21A87"/>
    <w:rsid w:val="00E21ACA"/>
    <w:rsid w:val="00E21B16"/>
    <w:rsid w:val="00E21B96"/>
    <w:rsid w:val="00E21D16"/>
    <w:rsid w:val="00E21F6B"/>
    <w:rsid w:val="00E21F7E"/>
    <w:rsid w:val="00E21FE6"/>
    <w:rsid w:val="00E2201D"/>
    <w:rsid w:val="00E220FF"/>
    <w:rsid w:val="00E2230D"/>
    <w:rsid w:val="00E22418"/>
    <w:rsid w:val="00E22437"/>
    <w:rsid w:val="00E22589"/>
    <w:rsid w:val="00E225C0"/>
    <w:rsid w:val="00E228CF"/>
    <w:rsid w:val="00E22A42"/>
    <w:rsid w:val="00E22B80"/>
    <w:rsid w:val="00E22B8C"/>
    <w:rsid w:val="00E22C0E"/>
    <w:rsid w:val="00E22C10"/>
    <w:rsid w:val="00E22CFF"/>
    <w:rsid w:val="00E22D7F"/>
    <w:rsid w:val="00E22E22"/>
    <w:rsid w:val="00E22FB3"/>
    <w:rsid w:val="00E230FA"/>
    <w:rsid w:val="00E2315D"/>
    <w:rsid w:val="00E231CD"/>
    <w:rsid w:val="00E231E1"/>
    <w:rsid w:val="00E231ED"/>
    <w:rsid w:val="00E23271"/>
    <w:rsid w:val="00E23447"/>
    <w:rsid w:val="00E234AA"/>
    <w:rsid w:val="00E23542"/>
    <w:rsid w:val="00E2381F"/>
    <w:rsid w:val="00E23888"/>
    <w:rsid w:val="00E239D8"/>
    <w:rsid w:val="00E23A57"/>
    <w:rsid w:val="00E23AF9"/>
    <w:rsid w:val="00E23B00"/>
    <w:rsid w:val="00E23B89"/>
    <w:rsid w:val="00E23B9C"/>
    <w:rsid w:val="00E23CE3"/>
    <w:rsid w:val="00E23CF7"/>
    <w:rsid w:val="00E23D0A"/>
    <w:rsid w:val="00E23DD2"/>
    <w:rsid w:val="00E23DF1"/>
    <w:rsid w:val="00E23E76"/>
    <w:rsid w:val="00E23F6C"/>
    <w:rsid w:val="00E2405B"/>
    <w:rsid w:val="00E2409B"/>
    <w:rsid w:val="00E24166"/>
    <w:rsid w:val="00E24328"/>
    <w:rsid w:val="00E243CE"/>
    <w:rsid w:val="00E243FD"/>
    <w:rsid w:val="00E24522"/>
    <w:rsid w:val="00E2463B"/>
    <w:rsid w:val="00E2463F"/>
    <w:rsid w:val="00E24654"/>
    <w:rsid w:val="00E249DB"/>
    <w:rsid w:val="00E24DC3"/>
    <w:rsid w:val="00E24E3E"/>
    <w:rsid w:val="00E24FAC"/>
    <w:rsid w:val="00E24FB9"/>
    <w:rsid w:val="00E25050"/>
    <w:rsid w:val="00E25059"/>
    <w:rsid w:val="00E250CF"/>
    <w:rsid w:val="00E25128"/>
    <w:rsid w:val="00E25136"/>
    <w:rsid w:val="00E25196"/>
    <w:rsid w:val="00E2524D"/>
    <w:rsid w:val="00E252E5"/>
    <w:rsid w:val="00E25309"/>
    <w:rsid w:val="00E25369"/>
    <w:rsid w:val="00E253A3"/>
    <w:rsid w:val="00E25402"/>
    <w:rsid w:val="00E25480"/>
    <w:rsid w:val="00E25665"/>
    <w:rsid w:val="00E256C7"/>
    <w:rsid w:val="00E258D1"/>
    <w:rsid w:val="00E25915"/>
    <w:rsid w:val="00E25999"/>
    <w:rsid w:val="00E259B0"/>
    <w:rsid w:val="00E25AF8"/>
    <w:rsid w:val="00E25C96"/>
    <w:rsid w:val="00E25CA6"/>
    <w:rsid w:val="00E25CAC"/>
    <w:rsid w:val="00E25D33"/>
    <w:rsid w:val="00E25E08"/>
    <w:rsid w:val="00E25E6A"/>
    <w:rsid w:val="00E25F64"/>
    <w:rsid w:val="00E261BD"/>
    <w:rsid w:val="00E261DF"/>
    <w:rsid w:val="00E26218"/>
    <w:rsid w:val="00E262DD"/>
    <w:rsid w:val="00E262E7"/>
    <w:rsid w:val="00E265D3"/>
    <w:rsid w:val="00E265EB"/>
    <w:rsid w:val="00E265FD"/>
    <w:rsid w:val="00E26772"/>
    <w:rsid w:val="00E267B4"/>
    <w:rsid w:val="00E26805"/>
    <w:rsid w:val="00E268B6"/>
    <w:rsid w:val="00E268C0"/>
    <w:rsid w:val="00E268D6"/>
    <w:rsid w:val="00E26A26"/>
    <w:rsid w:val="00E26AEC"/>
    <w:rsid w:val="00E26C25"/>
    <w:rsid w:val="00E26C9D"/>
    <w:rsid w:val="00E26EC0"/>
    <w:rsid w:val="00E27009"/>
    <w:rsid w:val="00E27044"/>
    <w:rsid w:val="00E2757B"/>
    <w:rsid w:val="00E2757C"/>
    <w:rsid w:val="00E2757D"/>
    <w:rsid w:val="00E2763E"/>
    <w:rsid w:val="00E276B7"/>
    <w:rsid w:val="00E276EE"/>
    <w:rsid w:val="00E2792D"/>
    <w:rsid w:val="00E27A34"/>
    <w:rsid w:val="00E27AD1"/>
    <w:rsid w:val="00E27B2A"/>
    <w:rsid w:val="00E27B5A"/>
    <w:rsid w:val="00E27BBB"/>
    <w:rsid w:val="00E27C54"/>
    <w:rsid w:val="00E27D48"/>
    <w:rsid w:val="00E27D58"/>
    <w:rsid w:val="00E27E40"/>
    <w:rsid w:val="00E3010C"/>
    <w:rsid w:val="00E3011F"/>
    <w:rsid w:val="00E30127"/>
    <w:rsid w:val="00E30156"/>
    <w:rsid w:val="00E3018B"/>
    <w:rsid w:val="00E3035A"/>
    <w:rsid w:val="00E305F4"/>
    <w:rsid w:val="00E3081E"/>
    <w:rsid w:val="00E30828"/>
    <w:rsid w:val="00E3085F"/>
    <w:rsid w:val="00E30A5A"/>
    <w:rsid w:val="00E30A86"/>
    <w:rsid w:val="00E30AAC"/>
    <w:rsid w:val="00E30B37"/>
    <w:rsid w:val="00E30B3F"/>
    <w:rsid w:val="00E30D12"/>
    <w:rsid w:val="00E30E56"/>
    <w:rsid w:val="00E30F42"/>
    <w:rsid w:val="00E31054"/>
    <w:rsid w:val="00E3109C"/>
    <w:rsid w:val="00E31152"/>
    <w:rsid w:val="00E311D1"/>
    <w:rsid w:val="00E311D3"/>
    <w:rsid w:val="00E313BF"/>
    <w:rsid w:val="00E31407"/>
    <w:rsid w:val="00E31437"/>
    <w:rsid w:val="00E3145A"/>
    <w:rsid w:val="00E31465"/>
    <w:rsid w:val="00E314C9"/>
    <w:rsid w:val="00E3157E"/>
    <w:rsid w:val="00E315E0"/>
    <w:rsid w:val="00E31798"/>
    <w:rsid w:val="00E31891"/>
    <w:rsid w:val="00E31988"/>
    <w:rsid w:val="00E319DD"/>
    <w:rsid w:val="00E31B1F"/>
    <w:rsid w:val="00E31C2D"/>
    <w:rsid w:val="00E31C6C"/>
    <w:rsid w:val="00E31E07"/>
    <w:rsid w:val="00E31EF4"/>
    <w:rsid w:val="00E31F59"/>
    <w:rsid w:val="00E31FAD"/>
    <w:rsid w:val="00E31FD1"/>
    <w:rsid w:val="00E32038"/>
    <w:rsid w:val="00E32065"/>
    <w:rsid w:val="00E3240B"/>
    <w:rsid w:val="00E32432"/>
    <w:rsid w:val="00E3267A"/>
    <w:rsid w:val="00E326C4"/>
    <w:rsid w:val="00E326C5"/>
    <w:rsid w:val="00E3278E"/>
    <w:rsid w:val="00E327AF"/>
    <w:rsid w:val="00E32919"/>
    <w:rsid w:val="00E32957"/>
    <w:rsid w:val="00E329DB"/>
    <w:rsid w:val="00E32ADB"/>
    <w:rsid w:val="00E32B33"/>
    <w:rsid w:val="00E32BAE"/>
    <w:rsid w:val="00E32D87"/>
    <w:rsid w:val="00E32E19"/>
    <w:rsid w:val="00E32EE4"/>
    <w:rsid w:val="00E32EE6"/>
    <w:rsid w:val="00E32FCA"/>
    <w:rsid w:val="00E33182"/>
    <w:rsid w:val="00E3320B"/>
    <w:rsid w:val="00E3334B"/>
    <w:rsid w:val="00E334E6"/>
    <w:rsid w:val="00E335DE"/>
    <w:rsid w:val="00E3365C"/>
    <w:rsid w:val="00E33670"/>
    <w:rsid w:val="00E3381D"/>
    <w:rsid w:val="00E3389C"/>
    <w:rsid w:val="00E3398F"/>
    <w:rsid w:val="00E33A68"/>
    <w:rsid w:val="00E33A6E"/>
    <w:rsid w:val="00E33B1E"/>
    <w:rsid w:val="00E33BAB"/>
    <w:rsid w:val="00E33BD1"/>
    <w:rsid w:val="00E33C7E"/>
    <w:rsid w:val="00E33E53"/>
    <w:rsid w:val="00E33EB3"/>
    <w:rsid w:val="00E33FF6"/>
    <w:rsid w:val="00E340FA"/>
    <w:rsid w:val="00E34247"/>
    <w:rsid w:val="00E34277"/>
    <w:rsid w:val="00E342DC"/>
    <w:rsid w:val="00E34475"/>
    <w:rsid w:val="00E3476E"/>
    <w:rsid w:val="00E34968"/>
    <w:rsid w:val="00E34D5F"/>
    <w:rsid w:val="00E34E2A"/>
    <w:rsid w:val="00E34F6D"/>
    <w:rsid w:val="00E34F94"/>
    <w:rsid w:val="00E34FCA"/>
    <w:rsid w:val="00E35071"/>
    <w:rsid w:val="00E350D0"/>
    <w:rsid w:val="00E3521C"/>
    <w:rsid w:val="00E35223"/>
    <w:rsid w:val="00E35298"/>
    <w:rsid w:val="00E352B6"/>
    <w:rsid w:val="00E352D7"/>
    <w:rsid w:val="00E35301"/>
    <w:rsid w:val="00E35368"/>
    <w:rsid w:val="00E35374"/>
    <w:rsid w:val="00E35381"/>
    <w:rsid w:val="00E3544F"/>
    <w:rsid w:val="00E35522"/>
    <w:rsid w:val="00E3576C"/>
    <w:rsid w:val="00E3577F"/>
    <w:rsid w:val="00E35852"/>
    <w:rsid w:val="00E3593E"/>
    <w:rsid w:val="00E35967"/>
    <w:rsid w:val="00E35AAC"/>
    <w:rsid w:val="00E35B48"/>
    <w:rsid w:val="00E35BE8"/>
    <w:rsid w:val="00E35C5E"/>
    <w:rsid w:val="00E35D23"/>
    <w:rsid w:val="00E35E35"/>
    <w:rsid w:val="00E35ED7"/>
    <w:rsid w:val="00E360A1"/>
    <w:rsid w:val="00E3621B"/>
    <w:rsid w:val="00E36268"/>
    <w:rsid w:val="00E3634B"/>
    <w:rsid w:val="00E3641C"/>
    <w:rsid w:val="00E36487"/>
    <w:rsid w:val="00E36629"/>
    <w:rsid w:val="00E366FA"/>
    <w:rsid w:val="00E36790"/>
    <w:rsid w:val="00E369E0"/>
    <w:rsid w:val="00E36C2A"/>
    <w:rsid w:val="00E36CE6"/>
    <w:rsid w:val="00E36D9D"/>
    <w:rsid w:val="00E36E00"/>
    <w:rsid w:val="00E36F33"/>
    <w:rsid w:val="00E36F43"/>
    <w:rsid w:val="00E3723D"/>
    <w:rsid w:val="00E37267"/>
    <w:rsid w:val="00E37623"/>
    <w:rsid w:val="00E3765A"/>
    <w:rsid w:val="00E37661"/>
    <w:rsid w:val="00E376EE"/>
    <w:rsid w:val="00E3773B"/>
    <w:rsid w:val="00E379BB"/>
    <w:rsid w:val="00E379C1"/>
    <w:rsid w:val="00E37B65"/>
    <w:rsid w:val="00E37BF1"/>
    <w:rsid w:val="00E37C44"/>
    <w:rsid w:val="00E37CB0"/>
    <w:rsid w:val="00E37D7C"/>
    <w:rsid w:val="00E37E1E"/>
    <w:rsid w:val="00E37E91"/>
    <w:rsid w:val="00E37F06"/>
    <w:rsid w:val="00E37F0C"/>
    <w:rsid w:val="00E40000"/>
    <w:rsid w:val="00E40016"/>
    <w:rsid w:val="00E4031E"/>
    <w:rsid w:val="00E40521"/>
    <w:rsid w:val="00E405CF"/>
    <w:rsid w:val="00E405FA"/>
    <w:rsid w:val="00E40638"/>
    <w:rsid w:val="00E406E5"/>
    <w:rsid w:val="00E406E6"/>
    <w:rsid w:val="00E40700"/>
    <w:rsid w:val="00E4070C"/>
    <w:rsid w:val="00E407FE"/>
    <w:rsid w:val="00E40821"/>
    <w:rsid w:val="00E40835"/>
    <w:rsid w:val="00E40928"/>
    <w:rsid w:val="00E4095C"/>
    <w:rsid w:val="00E40970"/>
    <w:rsid w:val="00E40ADF"/>
    <w:rsid w:val="00E40B31"/>
    <w:rsid w:val="00E40BB8"/>
    <w:rsid w:val="00E40DA1"/>
    <w:rsid w:val="00E40E7F"/>
    <w:rsid w:val="00E41057"/>
    <w:rsid w:val="00E410E7"/>
    <w:rsid w:val="00E41258"/>
    <w:rsid w:val="00E41305"/>
    <w:rsid w:val="00E41434"/>
    <w:rsid w:val="00E41497"/>
    <w:rsid w:val="00E416D5"/>
    <w:rsid w:val="00E41753"/>
    <w:rsid w:val="00E4180E"/>
    <w:rsid w:val="00E4183C"/>
    <w:rsid w:val="00E418A8"/>
    <w:rsid w:val="00E418E3"/>
    <w:rsid w:val="00E41950"/>
    <w:rsid w:val="00E41A28"/>
    <w:rsid w:val="00E41B1B"/>
    <w:rsid w:val="00E41C08"/>
    <w:rsid w:val="00E41C85"/>
    <w:rsid w:val="00E41DBF"/>
    <w:rsid w:val="00E41F5E"/>
    <w:rsid w:val="00E41F65"/>
    <w:rsid w:val="00E42085"/>
    <w:rsid w:val="00E42115"/>
    <w:rsid w:val="00E42244"/>
    <w:rsid w:val="00E422B5"/>
    <w:rsid w:val="00E423DE"/>
    <w:rsid w:val="00E4247C"/>
    <w:rsid w:val="00E42489"/>
    <w:rsid w:val="00E42588"/>
    <w:rsid w:val="00E425FA"/>
    <w:rsid w:val="00E4261F"/>
    <w:rsid w:val="00E427D8"/>
    <w:rsid w:val="00E427F1"/>
    <w:rsid w:val="00E42A2E"/>
    <w:rsid w:val="00E42A8C"/>
    <w:rsid w:val="00E42AF9"/>
    <w:rsid w:val="00E42BEA"/>
    <w:rsid w:val="00E42DBE"/>
    <w:rsid w:val="00E42E1F"/>
    <w:rsid w:val="00E42F07"/>
    <w:rsid w:val="00E430D0"/>
    <w:rsid w:val="00E430EA"/>
    <w:rsid w:val="00E43107"/>
    <w:rsid w:val="00E432B2"/>
    <w:rsid w:val="00E433AC"/>
    <w:rsid w:val="00E43423"/>
    <w:rsid w:val="00E43487"/>
    <w:rsid w:val="00E435D0"/>
    <w:rsid w:val="00E43628"/>
    <w:rsid w:val="00E43691"/>
    <w:rsid w:val="00E4370F"/>
    <w:rsid w:val="00E43962"/>
    <w:rsid w:val="00E4399C"/>
    <w:rsid w:val="00E43A2E"/>
    <w:rsid w:val="00E43A5F"/>
    <w:rsid w:val="00E43EDE"/>
    <w:rsid w:val="00E43F8C"/>
    <w:rsid w:val="00E44054"/>
    <w:rsid w:val="00E440B4"/>
    <w:rsid w:val="00E440BC"/>
    <w:rsid w:val="00E4412B"/>
    <w:rsid w:val="00E441F9"/>
    <w:rsid w:val="00E4422B"/>
    <w:rsid w:val="00E4441D"/>
    <w:rsid w:val="00E4460C"/>
    <w:rsid w:val="00E4484F"/>
    <w:rsid w:val="00E44880"/>
    <w:rsid w:val="00E449E4"/>
    <w:rsid w:val="00E44AA7"/>
    <w:rsid w:val="00E44AFD"/>
    <w:rsid w:val="00E44E4A"/>
    <w:rsid w:val="00E44EBB"/>
    <w:rsid w:val="00E44FB3"/>
    <w:rsid w:val="00E45235"/>
    <w:rsid w:val="00E45323"/>
    <w:rsid w:val="00E453A2"/>
    <w:rsid w:val="00E453AB"/>
    <w:rsid w:val="00E45571"/>
    <w:rsid w:val="00E45792"/>
    <w:rsid w:val="00E4588B"/>
    <w:rsid w:val="00E4588D"/>
    <w:rsid w:val="00E45983"/>
    <w:rsid w:val="00E459C6"/>
    <w:rsid w:val="00E459D3"/>
    <w:rsid w:val="00E45BFB"/>
    <w:rsid w:val="00E45C53"/>
    <w:rsid w:val="00E45E67"/>
    <w:rsid w:val="00E45ECE"/>
    <w:rsid w:val="00E45F4E"/>
    <w:rsid w:val="00E46173"/>
    <w:rsid w:val="00E461A0"/>
    <w:rsid w:val="00E462D7"/>
    <w:rsid w:val="00E462E6"/>
    <w:rsid w:val="00E463A0"/>
    <w:rsid w:val="00E46536"/>
    <w:rsid w:val="00E46576"/>
    <w:rsid w:val="00E4659C"/>
    <w:rsid w:val="00E466EC"/>
    <w:rsid w:val="00E4676D"/>
    <w:rsid w:val="00E4681A"/>
    <w:rsid w:val="00E46A0D"/>
    <w:rsid w:val="00E46ADB"/>
    <w:rsid w:val="00E46B8F"/>
    <w:rsid w:val="00E46DB0"/>
    <w:rsid w:val="00E46DCD"/>
    <w:rsid w:val="00E46F20"/>
    <w:rsid w:val="00E46F3B"/>
    <w:rsid w:val="00E47114"/>
    <w:rsid w:val="00E47168"/>
    <w:rsid w:val="00E472C0"/>
    <w:rsid w:val="00E4735A"/>
    <w:rsid w:val="00E47426"/>
    <w:rsid w:val="00E47784"/>
    <w:rsid w:val="00E47799"/>
    <w:rsid w:val="00E47839"/>
    <w:rsid w:val="00E4791D"/>
    <w:rsid w:val="00E47953"/>
    <w:rsid w:val="00E47B43"/>
    <w:rsid w:val="00E47B6F"/>
    <w:rsid w:val="00E47C32"/>
    <w:rsid w:val="00E47E6E"/>
    <w:rsid w:val="00E47F1D"/>
    <w:rsid w:val="00E50055"/>
    <w:rsid w:val="00E50899"/>
    <w:rsid w:val="00E50A5B"/>
    <w:rsid w:val="00E50CD9"/>
    <w:rsid w:val="00E50DDC"/>
    <w:rsid w:val="00E50EA8"/>
    <w:rsid w:val="00E50EAE"/>
    <w:rsid w:val="00E50FCE"/>
    <w:rsid w:val="00E511A4"/>
    <w:rsid w:val="00E51260"/>
    <w:rsid w:val="00E512A9"/>
    <w:rsid w:val="00E51349"/>
    <w:rsid w:val="00E51351"/>
    <w:rsid w:val="00E513AB"/>
    <w:rsid w:val="00E5148C"/>
    <w:rsid w:val="00E515F8"/>
    <w:rsid w:val="00E517B7"/>
    <w:rsid w:val="00E51830"/>
    <w:rsid w:val="00E51874"/>
    <w:rsid w:val="00E51878"/>
    <w:rsid w:val="00E518BA"/>
    <w:rsid w:val="00E5196E"/>
    <w:rsid w:val="00E51994"/>
    <w:rsid w:val="00E51A0A"/>
    <w:rsid w:val="00E51C08"/>
    <w:rsid w:val="00E51C47"/>
    <w:rsid w:val="00E51CDE"/>
    <w:rsid w:val="00E51D9C"/>
    <w:rsid w:val="00E51DB2"/>
    <w:rsid w:val="00E51DD8"/>
    <w:rsid w:val="00E51E28"/>
    <w:rsid w:val="00E51E9F"/>
    <w:rsid w:val="00E5210B"/>
    <w:rsid w:val="00E5210F"/>
    <w:rsid w:val="00E52231"/>
    <w:rsid w:val="00E5223D"/>
    <w:rsid w:val="00E523DB"/>
    <w:rsid w:val="00E5247F"/>
    <w:rsid w:val="00E524B1"/>
    <w:rsid w:val="00E525BB"/>
    <w:rsid w:val="00E5271D"/>
    <w:rsid w:val="00E52768"/>
    <w:rsid w:val="00E528C6"/>
    <w:rsid w:val="00E528D6"/>
    <w:rsid w:val="00E5299B"/>
    <w:rsid w:val="00E52AE1"/>
    <w:rsid w:val="00E52B84"/>
    <w:rsid w:val="00E52BA5"/>
    <w:rsid w:val="00E52C25"/>
    <w:rsid w:val="00E52C41"/>
    <w:rsid w:val="00E52C6F"/>
    <w:rsid w:val="00E52E76"/>
    <w:rsid w:val="00E52F5A"/>
    <w:rsid w:val="00E53267"/>
    <w:rsid w:val="00E533A4"/>
    <w:rsid w:val="00E534C3"/>
    <w:rsid w:val="00E53590"/>
    <w:rsid w:val="00E53631"/>
    <w:rsid w:val="00E536ED"/>
    <w:rsid w:val="00E537E8"/>
    <w:rsid w:val="00E5388F"/>
    <w:rsid w:val="00E538D1"/>
    <w:rsid w:val="00E53920"/>
    <w:rsid w:val="00E53978"/>
    <w:rsid w:val="00E53C68"/>
    <w:rsid w:val="00E53E1C"/>
    <w:rsid w:val="00E53E54"/>
    <w:rsid w:val="00E53E6E"/>
    <w:rsid w:val="00E53F2C"/>
    <w:rsid w:val="00E53FFD"/>
    <w:rsid w:val="00E54089"/>
    <w:rsid w:val="00E5408F"/>
    <w:rsid w:val="00E54239"/>
    <w:rsid w:val="00E54272"/>
    <w:rsid w:val="00E54275"/>
    <w:rsid w:val="00E542BC"/>
    <w:rsid w:val="00E54521"/>
    <w:rsid w:val="00E54617"/>
    <w:rsid w:val="00E54760"/>
    <w:rsid w:val="00E54775"/>
    <w:rsid w:val="00E54788"/>
    <w:rsid w:val="00E547A5"/>
    <w:rsid w:val="00E5484B"/>
    <w:rsid w:val="00E54A45"/>
    <w:rsid w:val="00E54B45"/>
    <w:rsid w:val="00E54C29"/>
    <w:rsid w:val="00E54CBE"/>
    <w:rsid w:val="00E54E39"/>
    <w:rsid w:val="00E54EC0"/>
    <w:rsid w:val="00E54F7D"/>
    <w:rsid w:val="00E55156"/>
    <w:rsid w:val="00E551A1"/>
    <w:rsid w:val="00E5521C"/>
    <w:rsid w:val="00E5543F"/>
    <w:rsid w:val="00E55447"/>
    <w:rsid w:val="00E55548"/>
    <w:rsid w:val="00E5564E"/>
    <w:rsid w:val="00E55682"/>
    <w:rsid w:val="00E55749"/>
    <w:rsid w:val="00E5587B"/>
    <w:rsid w:val="00E55882"/>
    <w:rsid w:val="00E558E8"/>
    <w:rsid w:val="00E55AAB"/>
    <w:rsid w:val="00E55C98"/>
    <w:rsid w:val="00E55EA8"/>
    <w:rsid w:val="00E56023"/>
    <w:rsid w:val="00E5606F"/>
    <w:rsid w:val="00E5608A"/>
    <w:rsid w:val="00E56389"/>
    <w:rsid w:val="00E563A7"/>
    <w:rsid w:val="00E56491"/>
    <w:rsid w:val="00E564D8"/>
    <w:rsid w:val="00E5656D"/>
    <w:rsid w:val="00E565F6"/>
    <w:rsid w:val="00E5660D"/>
    <w:rsid w:val="00E56756"/>
    <w:rsid w:val="00E56892"/>
    <w:rsid w:val="00E56A18"/>
    <w:rsid w:val="00E56B1D"/>
    <w:rsid w:val="00E56D6E"/>
    <w:rsid w:val="00E56E15"/>
    <w:rsid w:val="00E56E73"/>
    <w:rsid w:val="00E56E90"/>
    <w:rsid w:val="00E56F74"/>
    <w:rsid w:val="00E56F7B"/>
    <w:rsid w:val="00E56F9E"/>
    <w:rsid w:val="00E56FD4"/>
    <w:rsid w:val="00E56FEF"/>
    <w:rsid w:val="00E57389"/>
    <w:rsid w:val="00E57417"/>
    <w:rsid w:val="00E5752D"/>
    <w:rsid w:val="00E577D6"/>
    <w:rsid w:val="00E577F9"/>
    <w:rsid w:val="00E5784C"/>
    <w:rsid w:val="00E57851"/>
    <w:rsid w:val="00E578CA"/>
    <w:rsid w:val="00E57927"/>
    <w:rsid w:val="00E5793B"/>
    <w:rsid w:val="00E5795D"/>
    <w:rsid w:val="00E57C7C"/>
    <w:rsid w:val="00E57C9B"/>
    <w:rsid w:val="00E57CC0"/>
    <w:rsid w:val="00E57D51"/>
    <w:rsid w:val="00E57D5C"/>
    <w:rsid w:val="00E57EE4"/>
    <w:rsid w:val="00E57FB5"/>
    <w:rsid w:val="00E600A1"/>
    <w:rsid w:val="00E600DB"/>
    <w:rsid w:val="00E6028C"/>
    <w:rsid w:val="00E602A1"/>
    <w:rsid w:val="00E604DF"/>
    <w:rsid w:val="00E607FA"/>
    <w:rsid w:val="00E60831"/>
    <w:rsid w:val="00E608B7"/>
    <w:rsid w:val="00E609D5"/>
    <w:rsid w:val="00E60AE6"/>
    <w:rsid w:val="00E60B0E"/>
    <w:rsid w:val="00E60B36"/>
    <w:rsid w:val="00E60B6A"/>
    <w:rsid w:val="00E60BDA"/>
    <w:rsid w:val="00E60C70"/>
    <w:rsid w:val="00E60CCC"/>
    <w:rsid w:val="00E60D42"/>
    <w:rsid w:val="00E60D6E"/>
    <w:rsid w:val="00E60E05"/>
    <w:rsid w:val="00E60F14"/>
    <w:rsid w:val="00E61244"/>
    <w:rsid w:val="00E614E4"/>
    <w:rsid w:val="00E61717"/>
    <w:rsid w:val="00E61764"/>
    <w:rsid w:val="00E6181F"/>
    <w:rsid w:val="00E618A7"/>
    <w:rsid w:val="00E618BB"/>
    <w:rsid w:val="00E61950"/>
    <w:rsid w:val="00E619DC"/>
    <w:rsid w:val="00E61B23"/>
    <w:rsid w:val="00E61B76"/>
    <w:rsid w:val="00E61D2A"/>
    <w:rsid w:val="00E61D45"/>
    <w:rsid w:val="00E61E3A"/>
    <w:rsid w:val="00E61E5E"/>
    <w:rsid w:val="00E61EC0"/>
    <w:rsid w:val="00E61F08"/>
    <w:rsid w:val="00E61FF2"/>
    <w:rsid w:val="00E62080"/>
    <w:rsid w:val="00E6213D"/>
    <w:rsid w:val="00E621C9"/>
    <w:rsid w:val="00E62356"/>
    <w:rsid w:val="00E62404"/>
    <w:rsid w:val="00E624E8"/>
    <w:rsid w:val="00E6251D"/>
    <w:rsid w:val="00E625BE"/>
    <w:rsid w:val="00E6284B"/>
    <w:rsid w:val="00E628A0"/>
    <w:rsid w:val="00E629C9"/>
    <w:rsid w:val="00E629E8"/>
    <w:rsid w:val="00E62A1E"/>
    <w:rsid w:val="00E62AD0"/>
    <w:rsid w:val="00E62AE5"/>
    <w:rsid w:val="00E62AFF"/>
    <w:rsid w:val="00E62B18"/>
    <w:rsid w:val="00E62B72"/>
    <w:rsid w:val="00E62CD2"/>
    <w:rsid w:val="00E62CDA"/>
    <w:rsid w:val="00E62D07"/>
    <w:rsid w:val="00E62D73"/>
    <w:rsid w:val="00E62DC9"/>
    <w:rsid w:val="00E62DDD"/>
    <w:rsid w:val="00E62DF6"/>
    <w:rsid w:val="00E62E0F"/>
    <w:rsid w:val="00E62E1F"/>
    <w:rsid w:val="00E62ED5"/>
    <w:rsid w:val="00E62F52"/>
    <w:rsid w:val="00E630D4"/>
    <w:rsid w:val="00E63173"/>
    <w:rsid w:val="00E633B8"/>
    <w:rsid w:val="00E63412"/>
    <w:rsid w:val="00E63416"/>
    <w:rsid w:val="00E6354E"/>
    <w:rsid w:val="00E6366F"/>
    <w:rsid w:val="00E6383A"/>
    <w:rsid w:val="00E63921"/>
    <w:rsid w:val="00E639EE"/>
    <w:rsid w:val="00E63A22"/>
    <w:rsid w:val="00E63A43"/>
    <w:rsid w:val="00E63B8F"/>
    <w:rsid w:val="00E63DF9"/>
    <w:rsid w:val="00E63E23"/>
    <w:rsid w:val="00E63F8E"/>
    <w:rsid w:val="00E63FB0"/>
    <w:rsid w:val="00E63FF1"/>
    <w:rsid w:val="00E641AF"/>
    <w:rsid w:val="00E641DE"/>
    <w:rsid w:val="00E64329"/>
    <w:rsid w:val="00E643BE"/>
    <w:rsid w:val="00E644B7"/>
    <w:rsid w:val="00E645B9"/>
    <w:rsid w:val="00E64665"/>
    <w:rsid w:val="00E646B5"/>
    <w:rsid w:val="00E646C0"/>
    <w:rsid w:val="00E64755"/>
    <w:rsid w:val="00E64A7D"/>
    <w:rsid w:val="00E64C5E"/>
    <w:rsid w:val="00E64C72"/>
    <w:rsid w:val="00E64D6A"/>
    <w:rsid w:val="00E64DA9"/>
    <w:rsid w:val="00E64F4F"/>
    <w:rsid w:val="00E64F5D"/>
    <w:rsid w:val="00E65007"/>
    <w:rsid w:val="00E6505B"/>
    <w:rsid w:val="00E65080"/>
    <w:rsid w:val="00E65090"/>
    <w:rsid w:val="00E65108"/>
    <w:rsid w:val="00E6519D"/>
    <w:rsid w:val="00E651B0"/>
    <w:rsid w:val="00E65230"/>
    <w:rsid w:val="00E65386"/>
    <w:rsid w:val="00E65427"/>
    <w:rsid w:val="00E6543F"/>
    <w:rsid w:val="00E6556A"/>
    <w:rsid w:val="00E65665"/>
    <w:rsid w:val="00E656FD"/>
    <w:rsid w:val="00E656FE"/>
    <w:rsid w:val="00E6581E"/>
    <w:rsid w:val="00E65A59"/>
    <w:rsid w:val="00E65EFF"/>
    <w:rsid w:val="00E65F2B"/>
    <w:rsid w:val="00E65F36"/>
    <w:rsid w:val="00E66078"/>
    <w:rsid w:val="00E66097"/>
    <w:rsid w:val="00E660D9"/>
    <w:rsid w:val="00E6613B"/>
    <w:rsid w:val="00E661C0"/>
    <w:rsid w:val="00E6624D"/>
    <w:rsid w:val="00E662BD"/>
    <w:rsid w:val="00E662FA"/>
    <w:rsid w:val="00E663D3"/>
    <w:rsid w:val="00E663F5"/>
    <w:rsid w:val="00E664E2"/>
    <w:rsid w:val="00E665D4"/>
    <w:rsid w:val="00E66698"/>
    <w:rsid w:val="00E666DC"/>
    <w:rsid w:val="00E667CA"/>
    <w:rsid w:val="00E6681C"/>
    <w:rsid w:val="00E66892"/>
    <w:rsid w:val="00E669D8"/>
    <w:rsid w:val="00E66A89"/>
    <w:rsid w:val="00E66C82"/>
    <w:rsid w:val="00E66D2E"/>
    <w:rsid w:val="00E66D4F"/>
    <w:rsid w:val="00E66E97"/>
    <w:rsid w:val="00E66F0C"/>
    <w:rsid w:val="00E66F5D"/>
    <w:rsid w:val="00E66FA5"/>
    <w:rsid w:val="00E66FC3"/>
    <w:rsid w:val="00E67027"/>
    <w:rsid w:val="00E67056"/>
    <w:rsid w:val="00E6737D"/>
    <w:rsid w:val="00E67422"/>
    <w:rsid w:val="00E6749F"/>
    <w:rsid w:val="00E67571"/>
    <w:rsid w:val="00E675A0"/>
    <w:rsid w:val="00E676D7"/>
    <w:rsid w:val="00E67703"/>
    <w:rsid w:val="00E6774E"/>
    <w:rsid w:val="00E6782D"/>
    <w:rsid w:val="00E67887"/>
    <w:rsid w:val="00E67BF7"/>
    <w:rsid w:val="00E67C7E"/>
    <w:rsid w:val="00E67C9B"/>
    <w:rsid w:val="00E67D16"/>
    <w:rsid w:val="00E67E73"/>
    <w:rsid w:val="00E67F83"/>
    <w:rsid w:val="00E67FD4"/>
    <w:rsid w:val="00E70018"/>
    <w:rsid w:val="00E700A0"/>
    <w:rsid w:val="00E701EC"/>
    <w:rsid w:val="00E70255"/>
    <w:rsid w:val="00E70827"/>
    <w:rsid w:val="00E708A1"/>
    <w:rsid w:val="00E70949"/>
    <w:rsid w:val="00E709A8"/>
    <w:rsid w:val="00E70B02"/>
    <w:rsid w:val="00E70B64"/>
    <w:rsid w:val="00E70B79"/>
    <w:rsid w:val="00E70BD6"/>
    <w:rsid w:val="00E70CDE"/>
    <w:rsid w:val="00E70DF3"/>
    <w:rsid w:val="00E70E6C"/>
    <w:rsid w:val="00E70F6D"/>
    <w:rsid w:val="00E70F89"/>
    <w:rsid w:val="00E71305"/>
    <w:rsid w:val="00E71714"/>
    <w:rsid w:val="00E71738"/>
    <w:rsid w:val="00E71961"/>
    <w:rsid w:val="00E71A7D"/>
    <w:rsid w:val="00E71A99"/>
    <w:rsid w:val="00E71C47"/>
    <w:rsid w:val="00E71D5C"/>
    <w:rsid w:val="00E71EE6"/>
    <w:rsid w:val="00E71FC5"/>
    <w:rsid w:val="00E72028"/>
    <w:rsid w:val="00E72259"/>
    <w:rsid w:val="00E7231C"/>
    <w:rsid w:val="00E72383"/>
    <w:rsid w:val="00E724D2"/>
    <w:rsid w:val="00E72540"/>
    <w:rsid w:val="00E72577"/>
    <w:rsid w:val="00E725F6"/>
    <w:rsid w:val="00E726BD"/>
    <w:rsid w:val="00E7286B"/>
    <w:rsid w:val="00E7287B"/>
    <w:rsid w:val="00E7289F"/>
    <w:rsid w:val="00E72A61"/>
    <w:rsid w:val="00E72B1C"/>
    <w:rsid w:val="00E72C7F"/>
    <w:rsid w:val="00E72D13"/>
    <w:rsid w:val="00E72D9F"/>
    <w:rsid w:val="00E72FE3"/>
    <w:rsid w:val="00E7305E"/>
    <w:rsid w:val="00E73100"/>
    <w:rsid w:val="00E73367"/>
    <w:rsid w:val="00E7348C"/>
    <w:rsid w:val="00E73540"/>
    <w:rsid w:val="00E737A9"/>
    <w:rsid w:val="00E73918"/>
    <w:rsid w:val="00E73944"/>
    <w:rsid w:val="00E739BD"/>
    <w:rsid w:val="00E739E4"/>
    <w:rsid w:val="00E73AA1"/>
    <w:rsid w:val="00E73AF9"/>
    <w:rsid w:val="00E73B21"/>
    <w:rsid w:val="00E73C23"/>
    <w:rsid w:val="00E73C41"/>
    <w:rsid w:val="00E73C6D"/>
    <w:rsid w:val="00E73DA7"/>
    <w:rsid w:val="00E73E97"/>
    <w:rsid w:val="00E73F31"/>
    <w:rsid w:val="00E73F41"/>
    <w:rsid w:val="00E73F9C"/>
    <w:rsid w:val="00E73FB5"/>
    <w:rsid w:val="00E740D1"/>
    <w:rsid w:val="00E74101"/>
    <w:rsid w:val="00E7412A"/>
    <w:rsid w:val="00E74392"/>
    <w:rsid w:val="00E7447A"/>
    <w:rsid w:val="00E74556"/>
    <w:rsid w:val="00E7457E"/>
    <w:rsid w:val="00E74618"/>
    <w:rsid w:val="00E746E1"/>
    <w:rsid w:val="00E748DB"/>
    <w:rsid w:val="00E74933"/>
    <w:rsid w:val="00E74966"/>
    <w:rsid w:val="00E7498B"/>
    <w:rsid w:val="00E74B18"/>
    <w:rsid w:val="00E74EDC"/>
    <w:rsid w:val="00E74F72"/>
    <w:rsid w:val="00E74F84"/>
    <w:rsid w:val="00E7509A"/>
    <w:rsid w:val="00E752A3"/>
    <w:rsid w:val="00E753A3"/>
    <w:rsid w:val="00E754BF"/>
    <w:rsid w:val="00E75690"/>
    <w:rsid w:val="00E75737"/>
    <w:rsid w:val="00E7573C"/>
    <w:rsid w:val="00E75875"/>
    <w:rsid w:val="00E75886"/>
    <w:rsid w:val="00E758F6"/>
    <w:rsid w:val="00E7597D"/>
    <w:rsid w:val="00E75A00"/>
    <w:rsid w:val="00E75B03"/>
    <w:rsid w:val="00E75D6E"/>
    <w:rsid w:val="00E75EBB"/>
    <w:rsid w:val="00E75F0C"/>
    <w:rsid w:val="00E75F58"/>
    <w:rsid w:val="00E76007"/>
    <w:rsid w:val="00E760A8"/>
    <w:rsid w:val="00E76181"/>
    <w:rsid w:val="00E76226"/>
    <w:rsid w:val="00E76285"/>
    <w:rsid w:val="00E762A3"/>
    <w:rsid w:val="00E7630F"/>
    <w:rsid w:val="00E76334"/>
    <w:rsid w:val="00E763B5"/>
    <w:rsid w:val="00E76403"/>
    <w:rsid w:val="00E76643"/>
    <w:rsid w:val="00E7668F"/>
    <w:rsid w:val="00E766BA"/>
    <w:rsid w:val="00E76B3F"/>
    <w:rsid w:val="00E76C17"/>
    <w:rsid w:val="00E76D2E"/>
    <w:rsid w:val="00E76DC4"/>
    <w:rsid w:val="00E76E1B"/>
    <w:rsid w:val="00E76E1C"/>
    <w:rsid w:val="00E76E65"/>
    <w:rsid w:val="00E76EBF"/>
    <w:rsid w:val="00E770F2"/>
    <w:rsid w:val="00E7724C"/>
    <w:rsid w:val="00E7738C"/>
    <w:rsid w:val="00E773BA"/>
    <w:rsid w:val="00E774D1"/>
    <w:rsid w:val="00E774DE"/>
    <w:rsid w:val="00E775BD"/>
    <w:rsid w:val="00E7769F"/>
    <w:rsid w:val="00E77709"/>
    <w:rsid w:val="00E77800"/>
    <w:rsid w:val="00E7793E"/>
    <w:rsid w:val="00E77B21"/>
    <w:rsid w:val="00E77BEB"/>
    <w:rsid w:val="00E77C51"/>
    <w:rsid w:val="00E77C76"/>
    <w:rsid w:val="00E77EAC"/>
    <w:rsid w:val="00E80019"/>
    <w:rsid w:val="00E80028"/>
    <w:rsid w:val="00E80063"/>
    <w:rsid w:val="00E800A9"/>
    <w:rsid w:val="00E800CA"/>
    <w:rsid w:val="00E800F0"/>
    <w:rsid w:val="00E800FB"/>
    <w:rsid w:val="00E80103"/>
    <w:rsid w:val="00E8032D"/>
    <w:rsid w:val="00E80372"/>
    <w:rsid w:val="00E8037A"/>
    <w:rsid w:val="00E80394"/>
    <w:rsid w:val="00E803D1"/>
    <w:rsid w:val="00E80599"/>
    <w:rsid w:val="00E807AB"/>
    <w:rsid w:val="00E80842"/>
    <w:rsid w:val="00E80A2B"/>
    <w:rsid w:val="00E80AF5"/>
    <w:rsid w:val="00E80B0F"/>
    <w:rsid w:val="00E80BCC"/>
    <w:rsid w:val="00E80C3D"/>
    <w:rsid w:val="00E80D22"/>
    <w:rsid w:val="00E80F04"/>
    <w:rsid w:val="00E80FAC"/>
    <w:rsid w:val="00E80FF7"/>
    <w:rsid w:val="00E81069"/>
    <w:rsid w:val="00E81079"/>
    <w:rsid w:val="00E81481"/>
    <w:rsid w:val="00E814B7"/>
    <w:rsid w:val="00E8154E"/>
    <w:rsid w:val="00E8157E"/>
    <w:rsid w:val="00E81734"/>
    <w:rsid w:val="00E817AD"/>
    <w:rsid w:val="00E817EF"/>
    <w:rsid w:val="00E8184F"/>
    <w:rsid w:val="00E81850"/>
    <w:rsid w:val="00E81856"/>
    <w:rsid w:val="00E818A7"/>
    <w:rsid w:val="00E818A9"/>
    <w:rsid w:val="00E81968"/>
    <w:rsid w:val="00E81981"/>
    <w:rsid w:val="00E819AF"/>
    <w:rsid w:val="00E819BB"/>
    <w:rsid w:val="00E81AF8"/>
    <w:rsid w:val="00E81B73"/>
    <w:rsid w:val="00E81D59"/>
    <w:rsid w:val="00E81D89"/>
    <w:rsid w:val="00E81DAA"/>
    <w:rsid w:val="00E81F40"/>
    <w:rsid w:val="00E81F6D"/>
    <w:rsid w:val="00E81FB0"/>
    <w:rsid w:val="00E82032"/>
    <w:rsid w:val="00E8212C"/>
    <w:rsid w:val="00E821C8"/>
    <w:rsid w:val="00E82293"/>
    <w:rsid w:val="00E8282D"/>
    <w:rsid w:val="00E828D5"/>
    <w:rsid w:val="00E82AA4"/>
    <w:rsid w:val="00E82AB1"/>
    <w:rsid w:val="00E82B49"/>
    <w:rsid w:val="00E82BC8"/>
    <w:rsid w:val="00E82BF2"/>
    <w:rsid w:val="00E82D81"/>
    <w:rsid w:val="00E82D8A"/>
    <w:rsid w:val="00E82E02"/>
    <w:rsid w:val="00E82E23"/>
    <w:rsid w:val="00E82E2E"/>
    <w:rsid w:val="00E83042"/>
    <w:rsid w:val="00E831CA"/>
    <w:rsid w:val="00E83259"/>
    <w:rsid w:val="00E83335"/>
    <w:rsid w:val="00E83551"/>
    <w:rsid w:val="00E836FE"/>
    <w:rsid w:val="00E83789"/>
    <w:rsid w:val="00E837C0"/>
    <w:rsid w:val="00E83876"/>
    <w:rsid w:val="00E839BE"/>
    <w:rsid w:val="00E839F3"/>
    <w:rsid w:val="00E83A37"/>
    <w:rsid w:val="00E83A5B"/>
    <w:rsid w:val="00E83A89"/>
    <w:rsid w:val="00E83B0E"/>
    <w:rsid w:val="00E83C85"/>
    <w:rsid w:val="00E83CAC"/>
    <w:rsid w:val="00E83D0B"/>
    <w:rsid w:val="00E83E1C"/>
    <w:rsid w:val="00E83E9C"/>
    <w:rsid w:val="00E83E9F"/>
    <w:rsid w:val="00E83F3A"/>
    <w:rsid w:val="00E84083"/>
    <w:rsid w:val="00E841C9"/>
    <w:rsid w:val="00E841E5"/>
    <w:rsid w:val="00E842CE"/>
    <w:rsid w:val="00E84365"/>
    <w:rsid w:val="00E84403"/>
    <w:rsid w:val="00E846B7"/>
    <w:rsid w:val="00E847C5"/>
    <w:rsid w:val="00E849C4"/>
    <w:rsid w:val="00E84AA7"/>
    <w:rsid w:val="00E84B1E"/>
    <w:rsid w:val="00E84BD0"/>
    <w:rsid w:val="00E84C89"/>
    <w:rsid w:val="00E84DFB"/>
    <w:rsid w:val="00E84EAF"/>
    <w:rsid w:val="00E84F64"/>
    <w:rsid w:val="00E8500B"/>
    <w:rsid w:val="00E85045"/>
    <w:rsid w:val="00E852FE"/>
    <w:rsid w:val="00E854B2"/>
    <w:rsid w:val="00E8553C"/>
    <w:rsid w:val="00E8554E"/>
    <w:rsid w:val="00E85675"/>
    <w:rsid w:val="00E8571A"/>
    <w:rsid w:val="00E857EC"/>
    <w:rsid w:val="00E85818"/>
    <w:rsid w:val="00E85882"/>
    <w:rsid w:val="00E858C3"/>
    <w:rsid w:val="00E859E2"/>
    <w:rsid w:val="00E85A6B"/>
    <w:rsid w:val="00E85B27"/>
    <w:rsid w:val="00E85BAF"/>
    <w:rsid w:val="00E85E56"/>
    <w:rsid w:val="00E860DD"/>
    <w:rsid w:val="00E860EC"/>
    <w:rsid w:val="00E8610C"/>
    <w:rsid w:val="00E861B9"/>
    <w:rsid w:val="00E862D1"/>
    <w:rsid w:val="00E864E1"/>
    <w:rsid w:val="00E8651D"/>
    <w:rsid w:val="00E86555"/>
    <w:rsid w:val="00E865AC"/>
    <w:rsid w:val="00E865EE"/>
    <w:rsid w:val="00E86613"/>
    <w:rsid w:val="00E866CC"/>
    <w:rsid w:val="00E8671B"/>
    <w:rsid w:val="00E867A1"/>
    <w:rsid w:val="00E867FD"/>
    <w:rsid w:val="00E8697A"/>
    <w:rsid w:val="00E86B6F"/>
    <w:rsid w:val="00E86C6B"/>
    <w:rsid w:val="00E86D62"/>
    <w:rsid w:val="00E8713D"/>
    <w:rsid w:val="00E871FC"/>
    <w:rsid w:val="00E87253"/>
    <w:rsid w:val="00E872FC"/>
    <w:rsid w:val="00E87320"/>
    <w:rsid w:val="00E87354"/>
    <w:rsid w:val="00E876DC"/>
    <w:rsid w:val="00E87801"/>
    <w:rsid w:val="00E8788E"/>
    <w:rsid w:val="00E87945"/>
    <w:rsid w:val="00E87A0B"/>
    <w:rsid w:val="00E87BF0"/>
    <w:rsid w:val="00E87BFB"/>
    <w:rsid w:val="00E87CCE"/>
    <w:rsid w:val="00E87DE1"/>
    <w:rsid w:val="00E90034"/>
    <w:rsid w:val="00E90177"/>
    <w:rsid w:val="00E901D7"/>
    <w:rsid w:val="00E901ED"/>
    <w:rsid w:val="00E9026D"/>
    <w:rsid w:val="00E90329"/>
    <w:rsid w:val="00E90345"/>
    <w:rsid w:val="00E9036C"/>
    <w:rsid w:val="00E9038B"/>
    <w:rsid w:val="00E90506"/>
    <w:rsid w:val="00E905C9"/>
    <w:rsid w:val="00E9069F"/>
    <w:rsid w:val="00E90703"/>
    <w:rsid w:val="00E90852"/>
    <w:rsid w:val="00E908B2"/>
    <w:rsid w:val="00E9098F"/>
    <w:rsid w:val="00E90B7F"/>
    <w:rsid w:val="00E90C97"/>
    <w:rsid w:val="00E90D1B"/>
    <w:rsid w:val="00E90D48"/>
    <w:rsid w:val="00E90D4D"/>
    <w:rsid w:val="00E90DB7"/>
    <w:rsid w:val="00E90DE8"/>
    <w:rsid w:val="00E910D5"/>
    <w:rsid w:val="00E9120A"/>
    <w:rsid w:val="00E912BD"/>
    <w:rsid w:val="00E9130C"/>
    <w:rsid w:val="00E913D6"/>
    <w:rsid w:val="00E9146C"/>
    <w:rsid w:val="00E9147A"/>
    <w:rsid w:val="00E915CA"/>
    <w:rsid w:val="00E915DA"/>
    <w:rsid w:val="00E9166B"/>
    <w:rsid w:val="00E91676"/>
    <w:rsid w:val="00E916E3"/>
    <w:rsid w:val="00E91986"/>
    <w:rsid w:val="00E91A6F"/>
    <w:rsid w:val="00E91A9A"/>
    <w:rsid w:val="00E91B22"/>
    <w:rsid w:val="00E91DFA"/>
    <w:rsid w:val="00E91F27"/>
    <w:rsid w:val="00E91FCC"/>
    <w:rsid w:val="00E9205E"/>
    <w:rsid w:val="00E922C4"/>
    <w:rsid w:val="00E9248C"/>
    <w:rsid w:val="00E924E3"/>
    <w:rsid w:val="00E9251D"/>
    <w:rsid w:val="00E9271D"/>
    <w:rsid w:val="00E9295E"/>
    <w:rsid w:val="00E9297C"/>
    <w:rsid w:val="00E92A95"/>
    <w:rsid w:val="00E92AFE"/>
    <w:rsid w:val="00E92C55"/>
    <w:rsid w:val="00E92D00"/>
    <w:rsid w:val="00E92D71"/>
    <w:rsid w:val="00E92DBD"/>
    <w:rsid w:val="00E92F79"/>
    <w:rsid w:val="00E93062"/>
    <w:rsid w:val="00E93112"/>
    <w:rsid w:val="00E931A4"/>
    <w:rsid w:val="00E93247"/>
    <w:rsid w:val="00E932F5"/>
    <w:rsid w:val="00E9344B"/>
    <w:rsid w:val="00E935B9"/>
    <w:rsid w:val="00E935CE"/>
    <w:rsid w:val="00E9364E"/>
    <w:rsid w:val="00E93659"/>
    <w:rsid w:val="00E938A4"/>
    <w:rsid w:val="00E93927"/>
    <w:rsid w:val="00E93D3F"/>
    <w:rsid w:val="00E93E09"/>
    <w:rsid w:val="00E93F2C"/>
    <w:rsid w:val="00E93F55"/>
    <w:rsid w:val="00E9415D"/>
    <w:rsid w:val="00E94171"/>
    <w:rsid w:val="00E941BE"/>
    <w:rsid w:val="00E94291"/>
    <w:rsid w:val="00E942A6"/>
    <w:rsid w:val="00E94305"/>
    <w:rsid w:val="00E9435F"/>
    <w:rsid w:val="00E943AE"/>
    <w:rsid w:val="00E944C7"/>
    <w:rsid w:val="00E945F5"/>
    <w:rsid w:val="00E947B0"/>
    <w:rsid w:val="00E94892"/>
    <w:rsid w:val="00E94970"/>
    <w:rsid w:val="00E94B4F"/>
    <w:rsid w:val="00E94B83"/>
    <w:rsid w:val="00E94BC1"/>
    <w:rsid w:val="00E94CD6"/>
    <w:rsid w:val="00E95014"/>
    <w:rsid w:val="00E95490"/>
    <w:rsid w:val="00E954BA"/>
    <w:rsid w:val="00E954C6"/>
    <w:rsid w:val="00E956B6"/>
    <w:rsid w:val="00E956BD"/>
    <w:rsid w:val="00E956E1"/>
    <w:rsid w:val="00E9587B"/>
    <w:rsid w:val="00E9591F"/>
    <w:rsid w:val="00E959DF"/>
    <w:rsid w:val="00E95A3D"/>
    <w:rsid w:val="00E95AEE"/>
    <w:rsid w:val="00E95BA0"/>
    <w:rsid w:val="00E95C39"/>
    <w:rsid w:val="00E95C46"/>
    <w:rsid w:val="00E95D82"/>
    <w:rsid w:val="00E95ECD"/>
    <w:rsid w:val="00E95F13"/>
    <w:rsid w:val="00E95F21"/>
    <w:rsid w:val="00E960CB"/>
    <w:rsid w:val="00E960DB"/>
    <w:rsid w:val="00E9610B"/>
    <w:rsid w:val="00E96273"/>
    <w:rsid w:val="00E96675"/>
    <w:rsid w:val="00E9675A"/>
    <w:rsid w:val="00E96769"/>
    <w:rsid w:val="00E96873"/>
    <w:rsid w:val="00E9692B"/>
    <w:rsid w:val="00E969E9"/>
    <w:rsid w:val="00E96B4F"/>
    <w:rsid w:val="00E96C2A"/>
    <w:rsid w:val="00E96C37"/>
    <w:rsid w:val="00E96DB1"/>
    <w:rsid w:val="00E96E10"/>
    <w:rsid w:val="00E96E5F"/>
    <w:rsid w:val="00E96E97"/>
    <w:rsid w:val="00E96F6B"/>
    <w:rsid w:val="00E96FAA"/>
    <w:rsid w:val="00E96FBE"/>
    <w:rsid w:val="00E971A5"/>
    <w:rsid w:val="00E97303"/>
    <w:rsid w:val="00E9733F"/>
    <w:rsid w:val="00E9739E"/>
    <w:rsid w:val="00E97512"/>
    <w:rsid w:val="00E976C4"/>
    <w:rsid w:val="00E979D5"/>
    <w:rsid w:val="00E97B41"/>
    <w:rsid w:val="00E97BAC"/>
    <w:rsid w:val="00E97D49"/>
    <w:rsid w:val="00E97D52"/>
    <w:rsid w:val="00E97D5F"/>
    <w:rsid w:val="00E97E7C"/>
    <w:rsid w:val="00E97EC1"/>
    <w:rsid w:val="00E97ED4"/>
    <w:rsid w:val="00EA00CA"/>
    <w:rsid w:val="00EA0251"/>
    <w:rsid w:val="00EA0357"/>
    <w:rsid w:val="00EA03D7"/>
    <w:rsid w:val="00EA075C"/>
    <w:rsid w:val="00EA07D5"/>
    <w:rsid w:val="00EA085A"/>
    <w:rsid w:val="00EA086D"/>
    <w:rsid w:val="00EA0881"/>
    <w:rsid w:val="00EA095C"/>
    <w:rsid w:val="00EA0AFA"/>
    <w:rsid w:val="00EA0BFE"/>
    <w:rsid w:val="00EA0C73"/>
    <w:rsid w:val="00EA0CE2"/>
    <w:rsid w:val="00EA0D99"/>
    <w:rsid w:val="00EA0EBE"/>
    <w:rsid w:val="00EA1056"/>
    <w:rsid w:val="00EA1065"/>
    <w:rsid w:val="00EA116B"/>
    <w:rsid w:val="00EA11F1"/>
    <w:rsid w:val="00EA124F"/>
    <w:rsid w:val="00EA12B2"/>
    <w:rsid w:val="00EA140B"/>
    <w:rsid w:val="00EA1434"/>
    <w:rsid w:val="00EA1567"/>
    <w:rsid w:val="00EA16F5"/>
    <w:rsid w:val="00EA16FB"/>
    <w:rsid w:val="00EA172E"/>
    <w:rsid w:val="00EA1814"/>
    <w:rsid w:val="00EA1861"/>
    <w:rsid w:val="00EA18C5"/>
    <w:rsid w:val="00EA1947"/>
    <w:rsid w:val="00EA19E8"/>
    <w:rsid w:val="00EA1A78"/>
    <w:rsid w:val="00EA1AB1"/>
    <w:rsid w:val="00EA1D49"/>
    <w:rsid w:val="00EA1D55"/>
    <w:rsid w:val="00EA2014"/>
    <w:rsid w:val="00EA20EF"/>
    <w:rsid w:val="00EA2106"/>
    <w:rsid w:val="00EA2201"/>
    <w:rsid w:val="00EA233B"/>
    <w:rsid w:val="00EA252A"/>
    <w:rsid w:val="00EA2541"/>
    <w:rsid w:val="00EA2605"/>
    <w:rsid w:val="00EA27B1"/>
    <w:rsid w:val="00EA2903"/>
    <w:rsid w:val="00EA2A10"/>
    <w:rsid w:val="00EA2AFC"/>
    <w:rsid w:val="00EA2CFA"/>
    <w:rsid w:val="00EA2F0D"/>
    <w:rsid w:val="00EA2FCC"/>
    <w:rsid w:val="00EA2FEF"/>
    <w:rsid w:val="00EA3136"/>
    <w:rsid w:val="00EA3174"/>
    <w:rsid w:val="00EA3263"/>
    <w:rsid w:val="00EA3281"/>
    <w:rsid w:val="00EA32F3"/>
    <w:rsid w:val="00EA337C"/>
    <w:rsid w:val="00EA3413"/>
    <w:rsid w:val="00EA3426"/>
    <w:rsid w:val="00EA34AB"/>
    <w:rsid w:val="00EA3531"/>
    <w:rsid w:val="00EA35AF"/>
    <w:rsid w:val="00EA35EC"/>
    <w:rsid w:val="00EA36A2"/>
    <w:rsid w:val="00EA36C8"/>
    <w:rsid w:val="00EA3769"/>
    <w:rsid w:val="00EA382F"/>
    <w:rsid w:val="00EA3C3E"/>
    <w:rsid w:val="00EA3C70"/>
    <w:rsid w:val="00EA3D43"/>
    <w:rsid w:val="00EA3E48"/>
    <w:rsid w:val="00EA4018"/>
    <w:rsid w:val="00EA4094"/>
    <w:rsid w:val="00EA4103"/>
    <w:rsid w:val="00EA4184"/>
    <w:rsid w:val="00EA42A5"/>
    <w:rsid w:val="00EA4428"/>
    <w:rsid w:val="00EA448A"/>
    <w:rsid w:val="00EA4498"/>
    <w:rsid w:val="00EA44C9"/>
    <w:rsid w:val="00EA4694"/>
    <w:rsid w:val="00EA483B"/>
    <w:rsid w:val="00EA4871"/>
    <w:rsid w:val="00EA48D3"/>
    <w:rsid w:val="00EA492A"/>
    <w:rsid w:val="00EA49E7"/>
    <w:rsid w:val="00EA4A02"/>
    <w:rsid w:val="00EA4A66"/>
    <w:rsid w:val="00EA4A80"/>
    <w:rsid w:val="00EA4AC8"/>
    <w:rsid w:val="00EA4D45"/>
    <w:rsid w:val="00EA4ECF"/>
    <w:rsid w:val="00EA4EF3"/>
    <w:rsid w:val="00EA5129"/>
    <w:rsid w:val="00EA513C"/>
    <w:rsid w:val="00EA5233"/>
    <w:rsid w:val="00EA528B"/>
    <w:rsid w:val="00EA5415"/>
    <w:rsid w:val="00EA546B"/>
    <w:rsid w:val="00EA5497"/>
    <w:rsid w:val="00EA54E0"/>
    <w:rsid w:val="00EA5569"/>
    <w:rsid w:val="00EA56A4"/>
    <w:rsid w:val="00EA5781"/>
    <w:rsid w:val="00EA57C5"/>
    <w:rsid w:val="00EA58E7"/>
    <w:rsid w:val="00EA59BC"/>
    <w:rsid w:val="00EA59FB"/>
    <w:rsid w:val="00EA5A32"/>
    <w:rsid w:val="00EA5AF9"/>
    <w:rsid w:val="00EA5BB8"/>
    <w:rsid w:val="00EA5BCF"/>
    <w:rsid w:val="00EA5C77"/>
    <w:rsid w:val="00EA5D7E"/>
    <w:rsid w:val="00EA5DA7"/>
    <w:rsid w:val="00EA5EC8"/>
    <w:rsid w:val="00EA5F31"/>
    <w:rsid w:val="00EA5F3E"/>
    <w:rsid w:val="00EA5F68"/>
    <w:rsid w:val="00EA5F92"/>
    <w:rsid w:val="00EA5F9D"/>
    <w:rsid w:val="00EA611D"/>
    <w:rsid w:val="00EA6372"/>
    <w:rsid w:val="00EA6487"/>
    <w:rsid w:val="00EA64B4"/>
    <w:rsid w:val="00EA6538"/>
    <w:rsid w:val="00EA6558"/>
    <w:rsid w:val="00EA65F1"/>
    <w:rsid w:val="00EA6665"/>
    <w:rsid w:val="00EA66AD"/>
    <w:rsid w:val="00EA6773"/>
    <w:rsid w:val="00EA67D3"/>
    <w:rsid w:val="00EA6935"/>
    <w:rsid w:val="00EA6967"/>
    <w:rsid w:val="00EA6B93"/>
    <w:rsid w:val="00EA6CFB"/>
    <w:rsid w:val="00EA6D64"/>
    <w:rsid w:val="00EA6E14"/>
    <w:rsid w:val="00EA6E2F"/>
    <w:rsid w:val="00EA6F44"/>
    <w:rsid w:val="00EA6FB3"/>
    <w:rsid w:val="00EA744A"/>
    <w:rsid w:val="00EA74DB"/>
    <w:rsid w:val="00EA74F8"/>
    <w:rsid w:val="00EA7613"/>
    <w:rsid w:val="00EA7720"/>
    <w:rsid w:val="00EA77F4"/>
    <w:rsid w:val="00EA77F7"/>
    <w:rsid w:val="00EA78B6"/>
    <w:rsid w:val="00EA78F2"/>
    <w:rsid w:val="00EA793B"/>
    <w:rsid w:val="00EA7A37"/>
    <w:rsid w:val="00EA7A78"/>
    <w:rsid w:val="00EA7A7E"/>
    <w:rsid w:val="00EA7A81"/>
    <w:rsid w:val="00EA7BD5"/>
    <w:rsid w:val="00EA7C97"/>
    <w:rsid w:val="00EA7F0C"/>
    <w:rsid w:val="00EB0173"/>
    <w:rsid w:val="00EB0179"/>
    <w:rsid w:val="00EB0234"/>
    <w:rsid w:val="00EB037C"/>
    <w:rsid w:val="00EB04A0"/>
    <w:rsid w:val="00EB0517"/>
    <w:rsid w:val="00EB0546"/>
    <w:rsid w:val="00EB05DA"/>
    <w:rsid w:val="00EB0623"/>
    <w:rsid w:val="00EB07EF"/>
    <w:rsid w:val="00EB084F"/>
    <w:rsid w:val="00EB095A"/>
    <w:rsid w:val="00EB09B5"/>
    <w:rsid w:val="00EB0AB3"/>
    <w:rsid w:val="00EB0BBB"/>
    <w:rsid w:val="00EB0BD2"/>
    <w:rsid w:val="00EB0D01"/>
    <w:rsid w:val="00EB0EB3"/>
    <w:rsid w:val="00EB0FD9"/>
    <w:rsid w:val="00EB10C4"/>
    <w:rsid w:val="00EB1176"/>
    <w:rsid w:val="00EB11C8"/>
    <w:rsid w:val="00EB122E"/>
    <w:rsid w:val="00EB1263"/>
    <w:rsid w:val="00EB1296"/>
    <w:rsid w:val="00EB14AC"/>
    <w:rsid w:val="00EB188A"/>
    <w:rsid w:val="00EB190F"/>
    <w:rsid w:val="00EB199F"/>
    <w:rsid w:val="00EB1A4E"/>
    <w:rsid w:val="00EB1AD2"/>
    <w:rsid w:val="00EB1D82"/>
    <w:rsid w:val="00EB1FEA"/>
    <w:rsid w:val="00EB2050"/>
    <w:rsid w:val="00EB2223"/>
    <w:rsid w:val="00EB22DA"/>
    <w:rsid w:val="00EB235B"/>
    <w:rsid w:val="00EB266D"/>
    <w:rsid w:val="00EB2A93"/>
    <w:rsid w:val="00EB2AB4"/>
    <w:rsid w:val="00EB2AE3"/>
    <w:rsid w:val="00EB2B22"/>
    <w:rsid w:val="00EB2B2B"/>
    <w:rsid w:val="00EB2C53"/>
    <w:rsid w:val="00EB2E0B"/>
    <w:rsid w:val="00EB2E37"/>
    <w:rsid w:val="00EB31A3"/>
    <w:rsid w:val="00EB325B"/>
    <w:rsid w:val="00EB3315"/>
    <w:rsid w:val="00EB34C1"/>
    <w:rsid w:val="00EB3543"/>
    <w:rsid w:val="00EB36DC"/>
    <w:rsid w:val="00EB3853"/>
    <w:rsid w:val="00EB394C"/>
    <w:rsid w:val="00EB3976"/>
    <w:rsid w:val="00EB3987"/>
    <w:rsid w:val="00EB39DB"/>
    <w:rsid w:val="00EB3BD3"/>
    <w:rsid w:val="00EB3C5E"/>
    <w:rsid w:val="00EB3C60"/>
    <w:rsid w:val="00EB3D32"/>
    <w:rsid w:val="00EB3E22"/>
    <w:rsid w:val="00EB3FEF"/>
    <w:rsid w:val="00EB4055"/>
    <w:rsid w:val="00EB4134"/>
    <w:rsid w:val="00EB4290"/>
    <w:rsid w:val="00EB43BD"/>
    <w:rsid w:val="00EB459F"/>
    <w:rsid w:val="00EB4606"/>
    <w:rsid w:val="00EB46D9"/>
    <w:rsid w:val="00EB47A9"/>
    <w:rsid w:val="00EB4819"/>
    <w:rsid w:val="00EB49DB"/>
    <w:rsid w:val="00EB4FB7"/>
    <w:rsid w:val="00EB5078"/>
    <w:rsid w:val="00EB50A5"/>
    <w:rsid w:val="00EB522C"/>
    <w:rsid w:val="00EB5242"/>
    <w:rsid w:val="00EB52DA"/>
    <w:rsid w:val="00EB5311"/>
    <w:rsid w:val="00EB53BF"/>
    <w:rsid w:val="00EB542C"/>
    <w:rsid w:val="00EB55D1"/>
    <w:rsid w:val="00EB563B"/>
    <w:rsid w:val="00EB579A"/>
    <w:rsid w:val="00EB57EF"/>
    <w:rsid w:val="00EB5BC1"/>
    <w:rsid w:val="00EB5C79"/>
    <w:rsid w:val="00EB5DBD"/>
    <w:rsid w:val="00EB5DEA"/>
    <w:rsid w:val="00EB5F8D"/>
    <w:rsid w:val="00EB60FB"/>
    <w:rsid w:val="00EB6250"/>
    <w:rsid w:val="00EB6271"/>
    <w:rsid w:val="00EB64EE"/>
    <w:rsid w:val="00EB650E"/>
    <w:rsid w:val="00EB651D"/>
    <w:rsid w:val="00EB65BC"/>
    <w:rsid w:val="00EB693B"/>
    <w:rsid w:val="00EB69DA"/>
    <w:rsid w:val="00EB6BCE"/>
    <w:rsid w:val="00EB6C75"/>
    <w:rsid w:val="00EB6EFD"/>
    <w:rsid w:val="00EB6FC3"/>
    <w:rsid w:val="00EB706B"/>
    <w:rsid w:val="00EB713E"/>
    <w:rsid w:val="00EB7183"/>
    <w:rsid w:val="00EB71AF"/>
    <w:rsid w:val="00EB7212"/>
    <w:rsid w:val="00EB728B"/>
    <w:rsid w:val="00EB73FE"/>
    <w:rsid w:val="00EB751D"/>
    <w:rsid w:val="00EB765E"/>
    <w:rsid w:val="00EB76AC"/>
    <w:rsid w:val="00EB76F6"/>
    <w:rsid w:val="00EB77A4"/>
    <w:rsid w:val="00EB7829"/>
    <w:rsid w:val="00EB7921"/>
    <w:rsid w:val="00EB7BA9"/>
    <w:rsid w:val="00EB7BCC"/>
    <w:rsid w:val="00EB7BEC"/>
    <w:rsid w:val="00EB7CF8"/>
    <w:rsid w:val="00EB7D75"/>
    <w:rsid w:val="00EB7DB3"/>
    <w:rsid w:val="00EB7EC5"/>
    <w:rsid w:val="00EB7F5A"/>
    <w:rsid w:val="00EB7F69"/>
    <w:rsid w:val="00EC001E"/>
    <w:rsid w:val="00EC027A"/>
    <w:rsid w:val="00EC029B"/>
    <w:rsid w:val="00EC02B4"/>
    <w:rsid w:val="00EC03CB"/>
    <w:rsid w:val="00EC046B"/>
    <w:rsid w:val="00EC0589"/>
    <w:rsid w:val="00EC062A"/>
    <w:rsid w:val="00EC06BE"/>
    <w:rsid w:val="00EC072C"/>
    <w:rsid w:val="00EC088E"/>
    <w:rsid w:val="00EC0B20"/>
    <w:rsid w:val="00EC0BA4"/>
    <w:rsid w:val="00EC0DD2"/>
    <w:rsid w:val="00EC0DE2"/>
    <w:rsid w:val="00EC0E17"/>
    <w:rsid w:val="00EC0E22"/>
    <w:rsid w:val="00EC0EE7"/>
    <w:rsid w:val="00EC0F8F"/>
    <w:rsid w:val="00EC0FE5"/>
    <w:rsid w:val="00EC1056"/>
    <w:rsid w:val="00EC1334"/>
    <w:rsid w:val="00EC13DE"/>
    <w:rsid w:val="00EC1441"/>
    <w:rsid w:val="00EC1479"/>
    <w:rsid w:val="00EC15EB"/>
    <w:rsid w:val="00EC1721"/>
    <w:rsid w:val="00EC1749"/>
    <w:rsid w:val="00EC180E"/>
    <w:rsid w:val="00EC1C29"/>
    <w:rsid w:val="00EC1C3A"/>
    <w:rsid w:val="00EC1CF8"/>
    <w:rsid w:val="00EC1D5D"/>
    <w:rsid w:val="00EC1D66"/>
    <w:rsid w:val="00EC1E36"/>
    <w:rsid w:val="00EC1F04"/>
    <w:rsid w:val="00EC1F51"/>
    <w:rsid w:val="00EC1F82"/>
    <w:rsid w:val="00EC22BB"/>
    <w:rsid w:val="00EC2331"/>
    <w:rsid w:val="00EC2397"/>
    <w:rsid w:val="00EC2481"/>
    <w:rsid w:val="00EC2718"/>
    <w:rsid w:val="00EC289C"/>
    <w:rsid w:val="00EC28C3"/>
    <w:rsid w:val="00EC28D1"/>
    <w:rsid w:val="00EC2955"/>
    <w:rsid w:val="00EC2A1E"/>
    <w:rsid w:val="00EC2B1D"/>
    <w:rsid w:val="00EC2E39"/>
    <w:rsid w:val="00EC31CD"/>
    <w:rsid w:val="00EC32B8"/>
    <w:rsid w:val="00EC33CE"/>
    <w:rsid w:val="00EC3455"/>
    <w:rsid w:val="00EC346A"/>
    <w:rsid w:val="00EC347E"/>
    <w:rsid w:val="00EC390A"/>
    <w:rsid w:val="00EC39E6"/>
    <w:rsid w:val="00EC3A8E"/>
    <w:rsid w:val="00EC3CDF"/>
    <w:rsid w:val="00EC3D98"/>
    <w:rsid w:val="00EC3DF3"/>
    <w:rsid w:val="00EC3E10"/>
    <w:rsid w:val="00EC3F26"/>
    <w:rsid w:val="00EC3FE6"/>
    <w:rsid w:val="00EC3FED"/>
    <w:rsid w:val="00EC4024"/>
    <w:rsid w:val="00EC4050"/>
    <w:rsid w:val="00EC410F"/>
    <w:rsid w:val="00EC4132"/>
    <w:rsid w:val="00EC4233"/>
    <w:rsid w:val="00EC42D4"/>
    <w:rsid w:val="00EC438A"/>
    <w:rsid w:val="00EC43FC"/>
    <w:rsid w:val="00EC4440"/>
    <w:rsid w:val="00EC44BA"/>
    <w:rsid w:val="00EC44D5"/>
    <w:rsid w:val="00EC4544"/>
    <w:rsid w:val="00EC4610"/>
    <w:rsid w:val="00EC4652"/>
    <w:rsid w:val="00EC4A85"/>
    <w:rsid w:val="00EC4BBA"/>
    <w:rsid w:val="00EC4C63"/>
    <w:rsid w:val="00EC4D9D"/>
    <w:rsid w:val="00EC4E20"/>
    <w:rsid w:val="00EC4F76"/>
    <w:rsid w:val="00EC502F"/>
    <w:rsid w:val="00EC50ED"/>
    <w:rsid w:val="00EC515A"/>
    <w:rsid w:val="00EC51C3"/>
    <w:rsid w:val="00EC51E6"/>
    <w:rsid w:val="00EC52C7"/>
    <w:rsid w:val="00EC5370"/>
    <w:rsid w:val="00EC53D4"/>
    <w:rsid w:val="00EC53DD"/>
    <w:rsid w:val="00EC54EE"/>
    <w:rsid w:val="00EC54F0"/>
    <w:rsid w:val="00EC577B"/>
    <w:rsid w:val="00EC57B2"/>
    <w:rsid w:val="00EC5872"/>
    <w:rsid w:val="00EC58F4"/>
    <w:rsid w:val="00EC5BDD"/>
    <w:rsid w:val="00EC5C24"/>
    <w:rsid w:val="00EC5C69"/>
    <w:rsid w:val="00EC5C79"/>
    <w:rsid w:val="00EC5CCA"/>
    <w:rsid w:val="00EC5D0E"/>
    <w:rsid w:val="00EC5D8E"/>
    <w:rsid w:val="00EC5E43"/>
    <w:rsid w:val="00EC5EF9"/>
    <w:rsid w:val="00EC6399"/>
    <w:rsid w:val="00EC63D9"/>
    <w:rsid w:val="00EC6428"/>
    <w:rsid w:val="00EC6477"/>
    <w:rsid w:val="00EC6498"/>
    <w:rsid w:val="00EC64A7"/>
    <w:rsid w:val="00EC650B"/>
    <w:rsid w:val="00EC6A6F"/>
    <w:rsid w:val="00EC6B04"/>
    <w:rsid w:val="00EC6B73"/>
    <w:rsid w:val="00EC6B78"/>
    <w:rsid w:val="00EC6C9D"/>
    <w:rsid w:val="00EC6D3A"/>
    <w:rsid w:val="00EC70C0"/>
    <w:rsid w:val="00EC715D"/>
    <w:rsid w:val="00EC71E5"/>
    <w:rsid w:val="00EC737C"/>
    <w:rsid w:val="00EC73CA"/>
    <w:rsid w:val="00EC740F"/>
    <w:rsid w:val="00EC7698"/>
    <w:rsid w:val="00EC772B"/>
    <w:rsid w:val="00EC7808"/>
    <w:rsid w:val="00EC7883"/>
    <w:rsid w:val="00EC78F3"/>
    <w:rsid w:val="00EC799C"/>
    <w:rsid w:val="00EC7BFA"/>
    <w:rsid w:val="00EC7CEC"/>
    <w:rsid w:val="00EC7E50"/>
    <w:rsid w:val="00EC7F80"/>
    <w:rsid w:val="00ED00A3"/>
    <w:rsid w:val="00ED014A"/>
    <w:rsid w:val="00ED0191"/>
    <w:rsid w:val="00ED0243"/>
    <w:rsid w:val="00ED0352"/>
    <w:rsid w:val="00ED0387"/>
    <w:rsid w:val="00ED03C1"/>
    <w:rsid w:val="00ED03CF"/>
    <w:rsid w:val="00ED042E"/>
    <w:rsid w:val="00ED066D"/>
    <w:rsid w:val="00ED06BC"/>
    <w:rsid w:val="00ED0729"/>
    <w:rsid w:val="00ED0904"/>
    <w:rsid w:val="00ED0B86"/>
    <w:rsid w:val="00ED0C19"/>
    <w:rsid w:val="00ED0CAF"/>
    <w:rsid w:val="00ED0F56"/>
    <w:rsid w:val="00ED0F5E"/>
    <w:rsid w:val="00ED0F8A"/>
    <w:rsid w:val="00ED111D"/>
    <w:rsid w:val="00ED1295"/>
    <w:rsid w:val="00ED12A9"/>
    <w:rsid w:val="00ED1643"/>
    <w:rsid w:val="00ED1851"/>
    <w:rsid w:val="00ED188A"/>
    <w:rsid w:val="00ED1964"/>
    <w:rsid w:val="00ED1A26"/>
    <w:rsid w:val="00ED1A44"/>
    <w:rsid w:val="00ED1A81"/>
    <w:rsid w:val="00ED1B41"/>
    <w:rsid w:val="00ED1B45"/>
    <w:rsid w:val="00ED1C2F"/>
    <w:rsid w:val="00ED1CB4"/>
    <w:rsid w:val="00ED1DF9"/>
    <w:rsid w:val="00ED1E52"/>
    <w:rsid w:val="00ED1F3D"/>
    <w:rsid w:val="00ED20A1"/>
    <w:rsid w:val="00ED20CB"/>
    <w:rsid w:val="00ED218A"/>
    <w:rsid w:val="00ED2327"/>
    <w:rsid w:val="00ED236E"/>
    <w:rsid w:val="00ED247F"/>
    <w:rsid w:val="00ED248B"/>
    <w:rsid w:val="00ED2538"/>
    <w:rsid w:val="00ED25A0"/>
    <w:rsid w:val="00ED2663"/>
    <w:rsid w:val="00ED2725"/>
    <w:rsid w:val="00ED2753"/>
    <w:rsid w:val="00ED278F"/>
    <w:rsid w:val="00ED2921"/>
    <w:rsid w:val="00ED2942"/>
    <w:rsid w:val="00ED2949"/>
    <w:rsid w:val="00ED2AB0"/>
    <w:rsid w:val="00ED30E9"/>
    <w:rsid w:val="00ED31C1"/>
    <w:rsid w:val="00ED31E7"/>
    <w:rsid w:val="00ED34D1"/>
    <w:rsid w:val="00ED3573"/>
    <w:rsid w:val="00ED357F"/>
    <w:rsid w:val="00ED366C"/>
    <w:rsid w:val="00ED367F"/>
    <w:rsid w:val="00ED37F3"/>
    <w:rsid w:val="00ED393F"/>
    <w:rsid w:val="00ED3A9D"/>
    <w:rsid w:val="00ED3B04"/>
    <w:rsid w:val="00ED3C4E"/>
    <w:rsid w:val="00ED3CDA"/>
    <w:rsid w:val="00ED3CFF"/>
    <w:rsid w:val="00ED3D89"/>
    <w:rsid w:val="00ED3DBF"/>
    <w:rsid w:val="00ED3E46"/>
    <w:rsid w:val="00ED3F3C"/>
    <w:rsid w:val="00ED3F81"/>
    <w:rsid w:val="00ED4160"/>
    <w:rsid w:val="00ED4206"/>
    <w:rsid w:val="00ED42A7"/>
    <w:rsid w:val="00ED44BF"/>
    <w:rsid w:val="00ED4520"/>
    <w:rsid w:val="00ED464F"/>
    <w:rsid w:val="00ED4682"/>
    <w:rsid w:val="00ED476E"/>
    <w:rsid w:val="00ED47FB"/>
    <w:rsid w:val="00ED49BD"/>
    <w:rsid w:val="00ED4BC5"/>
    <w:rsid w:val="00ED4D5B"/>
    <w:rsid w:val="00ED4E1E"/>
    <w:rsid w:val="00ED4EFA"/>
    <w:rsid w:val="00ED50ED"/>
    <w:rsid w:val="00ED50FB"/>
    <w:rsid w:val="00ED5137"/>
    <w:rsid w:val="00ED5212"/>
    <w:rsid w:val="00ED524B"/>
    <w:rsid w:val="00ED532C"/>
    <w:rsid w:val="00ED55DB"/>
    <w:rsid w:val="00ED5615"/>
    <w:rsid w:val="00ED5678"/>
    <w:rsid w:val="00ED56E2"/>
    <w:rsid w:val="00ED5784"/>
    <w:rsid w:val="00ED588F"/>
    <w:rsid w:val="00ED58A2"/>
    <w:rsid w:val="00ED58C3"/>
    <w:rsid w:val="00ED59C3"/>
    <w:rsid w:val="00ED5B48"/>
    <w:rsid w:val="00ED5BCC"/>
    <w:rsid w:val="00ED5BD0"/>
    <w:rsid w:val="00ED5C71"/>
    <w:rsid w:val="00ED5D75"/>
    <w:rsid w:val="00ED5E50"/>
    <w:rsid w:val="00ED5EEE"/>
    <w:rsid w:val="00ED6051"/>
    <w:rsid w:val="00ED63CE"/>
    <w:rsid w:val="00ED667C"/>
    <w:rsid w:val="00ED6ACC"/>
    <w:rsid w:val="00ED6C0C"/>
    <w:rsid w:val="00ED6DA1"/>
    <w:rsid w:val="00ED6DEF"/>
    <w:rsid w:val="00ED6F5F"/>
    <w:rsid w:val="00ED6FFF"/>
    <w:rsid w:val="00ED7041"/>
    <w:rsid w:val="00ED717B"/>
    <w:rsid w:val="00ED721B"/>
    <w:rsid w:val="00ED7230"/>
    <w:rsid w:val="00ED747C"/>
    <w:rsid w:val="00ED74DB"/>
    <w:rsid w:val="00ED751E"/>
    <w:rsid w:val="00ED7662"/>
    <w:rsid w:val="00ED7759"/>
    <w:rsid w:val="00ED78D4"/>
    <w:rsid w:val="00ED7966"/>
    <w:rsid w:val="00ED7A9F"/>
    <w:rsid w:val="00ED7AE8"/>
    <w:rsid w:val="00ED7B27"/>
    <w:rsid w:val="00ED7B56"/>
    <w:rsid w:val="00ED7BDA"/>
    <w:rsid w:val="00ED7C5C"/>
    <w:rsid w:val="00ED7E84"/>
    <w:rsid w:val="00ED7EA8"/>
    <w:rsid w:val="00ED7ED3"/>
    <w:rsid w:val="00ED7EFB"/>
    <w:rsid w:val="00EE0014"/>
    <w:rsid w:val="00EE0036"/>
    <w:rsid w:val="00EE0040"/>
    <w:rsid w:val="00EE010E"/>
    <w:rsid w:val="00EE01CC"/>
    <w:rsid w:val="00EE036D"/>
    <w:rsid w:val="00EE04DE"/>
    <w:rsid w:val="00EE04EE"/>
    <w:rsid w:val="00EE05BA"/>
    <w:rsid w:val="00EE0718"/>
    <w:rsid w:val="00EE0789"/>
    <w:rsid w:val="00EE081B"/>
    <w:rsid w:val="00EE085A"/>
    <w:rsid w:val="00EE0951"/>
    <w:rsid w:val="00EE09E1"/>
    <w:rsid w:val="00EE0A47"/>
    <w:rsid w:val="00EE0AA8"/>
    <w:rsid w:val="00EE0B4E"/>
    <w:rsid w:val="00EE0ECF"/>
    <w:rsid w:val="00EE0FAE"/>
    <w:rsid w:val="00EE0FE0"/>
    <w:rsid w:val="00EE124F"/>
    <w:rsid w:val="00EE133C"/>
    <w:rsid w:val="00EE13D8"/>
    <w:rsid w:val="00EE13E5"/>
    <w:rsid w:val="00EE1434"/>
    <w:rsid w:val="00EE1540"/>
    <w:rsid w:val="00EE15EE"/>
    <w:rsid w:val="00EE1760"/>
    <w:rsid w:val="00EE184F"/>
    <w:rsid w:val="00EE18B2"/>
    <w:rsid w:val="00EE1ABA"/>
    <w:rsid w:val="00EE1AD2"/>
    <w:rsid w:val="00EE1C9B"/>
    <w:rsid w:val="00EE1F24"/>
    <w:rsid w:val="00EE1FBE"/>
    <w:rsid w:val="00EE2068"/>
    <w:rsid w:val="00EE22DD"/>
    <w:rsid w:val="00EE2354"/>
    <w:rsid w:val="00EE24E0"/>
    <w:rsid w:val="00EE25E6"/>
    <w:rsid w:val="00EE25FD"/>
    <w:rsid w:val="00EE261D"/>
    <w:rsid w:val="00EE272B"/>
    <w:rsid w:val="00EE272C"/>
    <w:rsid w:val="00EE287D"/>
    <w:rsid w:val="00EE29DA"/>
    <w:rsid w:val="00EE2C6A"/>
    <w:rsid w:val="00EE2E05"/>
    <w:rsid w:val="00EE2F3A"/>
    <w:rsid w:val="00EE2F92"/>
    <w:rsid w:val="00EE2FF6"/>
    <w:rsid w:val="00EE3515"/>
    <w:rsid w:val="00EE3555"/>
    <w:rsid w:val="00EE364D"/>
    <w:rsid w:val="00EE3785"/>
    <w:rsid w:val="00EE37A1"/>
    <w:rsid w:val="00EE38FC"/>
    <w:rsid w:val="00EE39B3"/>
    <w:rsid w:val="00EE3B32"/>
    <w:rsid w:val="00EE3C4F"/>
    <w:rsid w:val="00EE3CFF"/>
    <w:rsid w:val="00EE3F39"/>
    <w:rsid w:val="00EE3F4E"/>
    <w:rsid w:val="00EE405C"/>
    <w:rsid w:val="00EE40D1"/>
    <w:rsid w:val="00EE4118"/>
    <w:rsid w:val="00EE414C"/>
    <w:rsid w:val="00EE432E"/>
    <w:rsid w:val="00EE4383"/>
    <w:rsid w:val="00EE439E"/>
    <w:rsid w:val="00EE44FE"/>
    <w:rsid w:val="00EE4867"/>
    <w:rsid w:val="00EE4971"/>
    <w:rsid w:val="00EE4A2C"/>
    <w:rsid w:val="00EE4C78"/>
    <w:rsid w:val="00EE4E2A"/>
    <w:rsid w:val="00EE501D"/>
    <w:rsid w:val="00EE51D4"/>
    <w:rsid w:val="00EE53CD"/>
    <w:rsid w:val="00EE53EE"/>
    <w:rsid w:val="00EE5406"/>
    <w:rsid w:val="00EE5493"/>
    <w:rsid w:val="00EE55CD"/>
    <w:rsid w:val="00EE56EF"/>
    <w:rsid w:val="00EE5870"/>
    <w:rsid w:val="00EE5AA2"/>
    <w:rsid w:val="00EE5D32"/>
    <w:rsid w:val="00EE5DD1"/>
    <w:rsid w:val="00EE5DDB"/>
    <w:rsid w:val="00EE5E60"/>
    <w:rsid w:val="00EE5E78"/>
    <w:rsid w:val="00EE5EF8"/>
    <w:rsid w:val="00EE5F3A"/>
    <w:rsid w:val="00EE5F45"/>
    <w:rsid w:val="00EE6361"/>
    <w:rsid w:val="00EE6577"/>
    <w:rsid w:val="00EE687A"/>
    <w:rsid w:val="00EE6886"/>
    <w:rsid w:val="00EE6964"/>
    <w:rsid w:val="00EE697D"/>
    <w:rsid w:val="00EE6A1D"/>
    <w:rsid w:val="00EE6B3E"/>
    <w:rsid w:val="00EE6C54"/>
    <w:rsid w:val="00EE6D18"/>
    <w:rsid w:val="00EE6DCE"/>
    <w:rsid w:val="00EE6E2A"/>
    <w:rsid w:val="00EE7141"/>
    <w:rsid w:val="00EE714A"/>
    <w:rsid w:val="00EE7285"/>
    <w:rsid w:val="00EE739C"/>
    <w:rsid w:val="00EE7437"/>
    <w:rsid w:val="00EE757E"/>
    <w:rsid w:val="00EE774D"/>
    <w:rsid w:val="00EE778B"/>
    <w:rsid w:val="00EE77B6"/>
    <w:rsid w:val="00EE7AEF"/>
    <w:rsid w:val="00EE7C46"/>
    <w:rsid w:val="00EE7CBF"/>
    <w:rsid w:val="00EE7DD4"/>
    <w:rsid w:val="00EE7DEE"/>
    <w:rsid w:val="00EE7DF2"/>
    <w:rsid w:val="00EE7E03"/>
    <w:rsid w:val="00EE7E70"/>
    <w:rsid w:val="00EE7E7A"/>
    <w:rsid w:val="00EE7FC8"/>
    <w:rsid w:val="00EE7FDB"/>
    <w:rsid w:val="00EF0036"/>
    <w:rsid w:val="00EF015A"/>
    <w:rsid w:val="00EF0193"/>
    <w:rsid w:val="00EF0262"/>
    <w:rsid w:val="00EF0276"/>
    <w:rsid w:val="00EF0332"/>
    <w:rsid w:val="00EF03B8"/>
    <w:rsid w:val="00EF0680"/>
    <w:rsid w:val="00EF0761"/>
    <w:rsid w:val="00EF0766"/>
    <w:rsid w:val="00EF0784"/>
    <w:rsid w:val="00EF086F"/>
    <w:rsid w:val="00EF0979"/>
    <w:rsid w:val="00EF09D7"/>
    <w:rsid w:val="00EF09FC"/>
    <w:rsid w:val="00EF0B10"/>
    <w:rsid w:val="00EF0B88"/>
    <w:rsid w:val="00EF0B93"/>
    <w:rsid w:val="00EF0B94"/>
    <w:rsid w:val="00EF0D3F"/>
    <w:rsid w:val="00EF0EE2"/>
    <w:rsid w:val="00EF0FE3"/>
    <w:rsid w:val="00EF10BA"/>
    <w:rsid w:val="00EF1230"/>
    <w:rsid w:val="00EF1288"/>
    <w:rsid w:val="00EF12F6"/>
    <w:rsid w:val="00EF1304"/>
    <w:rsid w:val="00EF13BC"/>
    <w:rsid w:val="00EF1612"/>
    <w:rsid w:val="00EF173C"/>
    <w:rsid w:val="00EF1794"/>
    <w:rsid w:val="00EF1996"/>
    <w:rsid w:val="00EF1A40"/>
    <w:rsid w:val="00EF1C0C"/>
    <w:rsid w:val="00EF1C5D"/>
    <w:rsid w:val="00EF1D02"/>
    <w:rsid w:val="00EF1D44"/>
    <w:rsid w:val="00EF1D66"/>
    <w:rsid w:val="00EF1DB7"/>
    <w:rsid w:val="00EF1F1D"/>
    <w:rsid w:val="00EF223B"/>
    <w:rsid w:val="00EF233B"/>
    <w:rsid w:val="00EF2361"/>
    <w:rsid w:val="00EF23AF"/>
    <w:rsid w:val="00EF25B3"/>
    <w:rsid w:val="00EF2621"/>
    <w:rsid w:val="00EF2693"/>
    <w:rsid w:val="00EF269A"/>
    <w:rsid w:val="00EF26FF"/>
    <w:rsid w:val="00EF276D"/>
    <w:rsid w:val="00EF27FF"/>
    <w:rsid w:val="00EF29C2"/>
    <w:rsid w:val="00EF29DE"/>
    <w:rsid w:val="00EF2C0D"/>
    <w:rsid w:val="00EF2C7C"/>
    <w:rsid w:val="00EF2D92"/>
    <w:rsid w:val="00EF2F64"/>
    <w:rsid w:val="00EF2F8C"/>
    <w:rsid w:val="00EF313C"/>
    <w:rsid w:val="00EF3161"/>
    <w:rsid w:val="00EF3355"/>
    <w:rsid w:val="00EF33FA"/>
    <w:rsid w:val="00EF3542"/>
    <w:rsid w:val="00EF35F9"/>
    <w:rsid w:val="00EF3613"/>
    <w:rsid w:val="00EF36AF"/>
    <w:rsid w:val="00EF37AE"/>
    <w:rsid w:val="00EF37E2"/>
    <w:rsid w:val="00EF3968"/>
    <w:rsid w:val="00EF3978"/>
    <w:rsid w:val="00EF3A25"/>
    <w:rsid w:val="00EF3AAC"/>
    <w:rsid w:val="00EF3C7B"/>
    <w:rsid w:val="00EF3CF1"/>
    <w:rsid w:val="00EF3D9B"/>
    <w:rsid w:val="00EF3DD5"/>
    <w:rsid w:val="00EF3E14"/>
    <w:rsid w:val="00EF3E3C"/>
    <w:rsid w:val="00EF4033"/>
    <w:rsid w:val="00EF4240"/>
    <w:rsid w:val="00EF42FB"/>
    <w:rsid w:val="00EF46A8"/>
    <w:rsid w:val="00EF496F"/>
    <w:rsid w:val="00EF4A94"/>
    <w:rsid w:val="00EF4AD4"/>
    <w:rsid w:val="00EF4B85"/>
    <w:rsid w:val="00EF4BF6"/>
    <w:rsid w:val="00EF4D42"/>
    <w:rsid w:val="00EF4DD1"/>
    <w:rsid w:val="00EF4EE1"/>
    <w:rsid w:val="00EF4FD1"/>
    <w:rsid w:val="00EF4FF5"/>
    <w:rsid w:val="00EF5044"/>
    <w:rsid w:val="00EF5056"/>
    <w:rsid w:val="00EF50F1"/>
    <w:rsid w:val="00EF51C6"/>
    <w:rsid w:val="00EF51DF"/>
    <w:rsid w:val="00EF523A"/>
    <w:rsid w:val="00EF5255"/>
    <w:rsid w:val="00EF52F7"/>
    <w:rsid w:val="00EF5309"/>
    <w:rsid w:val="00EF5318"/>
    <w:rsid w:val="00EF5334"/>
    <w:rsid w:val="00EF534F"/>
    <w:rsid w:val="00EF5368"/>
    <w:rsid w:val="00EF5490"/>
    <w:rsid w:val="00EF54B4"/>
    <w:rsid w:val="00EF54E7"/>
    <w:rsid w:val="00EF5501"/>
    <w:rsid w:val="00EF5525"/>
    <w:rsid w:val="00EF5603"/>
    <w:rsid w:val="00EF56B7"/>
    <w:rsid w:val="00EF576F"/>
    <w:rsid w:val="00EF59C8"/>
    <w:rsid w:val="00EF5AD2"/>
    <w:rsid w:val="00EF5B12"/>
    <w:rsid w:val="00EF5BB8"/>
    <w:rsid w:val="00EF5EA5"/>
    <w:rsid w:val="00EF60E7"/>
    <w:rsid w:val="00EF60FA"/>
    <w:rsid w:val="00EF6132"/>
    <w:rsid w:val="00EF615D"/>
    <w:rsid w:val="00EF61F6"/>
    <w:rsid w:val="00EF6300"/>
    <w:rsid w:val="00EF6325"/>
    <w:rsid w:val="00EF644B"/>
    <w:rsid w:val="00EF65DB"/>
    <w:rsid w:val="00EF6737"/>
    <w:rsid w:val="00EF67E2"/>
    <w:rsid w:val="00EF67E8"/>
    <w:rsid w:val="00EF683E"/>
    <w:rsid w:val="00EF68B6"/>
    <w:rsid w:val="00EF69CE"/>
    <w:rsid w:val="00EF6AFC"/>
    <w:rsid w:val="00EF6B76"/>
    <w:rsid w:val="00EF6BA3"/>
    <w:rsid w:val="00EF6C59"/>
    <w:rsid w:val="00EF6F5F"/>
    <w:rsid w:val="00EF6F60"/>
    <w:rsid w:val="00EF6FA1"/>
    <w:rsid w:val="00EF6FA6"/>
    <w:rsid w:val="00EF708A"/>
    <w:rsid w:val="00EF7134"/>
    <w:rsid w:val="00EF7166"/>
    <w:rsid w:val="00EF71D8"/>
    <w:rsid w:val="00EF72C3"/>
    <w:rsid w:val="00EF72E0"/>
    <w:rsid w:val="00EF7396"/>
    <w:rsid w:val="00EF7424"/>
    <w:rsid w:val="00EF7548"/>
    <w:rsid w:val="00EF79CE"/>
    <w:rsid w:val="00EF7B15"/>
    <w:rsid w:val="00EF7B41"/>
    <w:rsid w:val="00EF7BF7"/>
    <w:rsid w:val="00EF7C23"/>
    <w:rsid w:val="00EF7C34"/>
    <w:rsid w:val="00EF7D2D"/>
    <w:rsid w:val="00EF7EB8"/>
    <w:rsid w:val="00F00152"/>
    <w:rsid w:val="00F001C5"/>
    <w:rsid w:val="00F001DA"/>
    <w:rsid w:val="00F0024B"/>
    <w:rsid w:val="00F0025B"/>
    <w:rsid w:val="00F00283"/>
    <w:rsid w:val="00F00352"/>
    <w:rsid w:val="00F003EF"/>
    <w:rsid w:val="00F0042C"/>
    <w:rsid w:val="00F0049B"/>
    <w:rsid w:val="00F00545"/>
    <w:rsid w:val="00F00618"/>
    <w:rsid w:val="00F00639"/>
    <w:rsid w:val="00F00672"/>
    <w:rsid w:val="00F0074D"/>
    <w:rsid w:val="00F009AD"/>
    <w:rsid w:val="00F009E7"/>
    <w:rsid w:val="00F00A0B"/>
    <w:rsid w:val="00F00A7D"/>
    <w:rsid w:val="00F00B1B"/>
    <w:rsid w:val="00F00BC1"/>
    <w:rsid w:val="00F00C7D"/>
    <w:rsid w:val="00F00CA0"/>
    <w:rsid w:val="00F00D72"/>
    <w:rsid w:val="00F00E37"/>
    <w:rsid w:val="00F01040"/>
    <w:rsid w:val="00F010EE"/>
    <w:rsid w:val="00F011CE"/>
    <w:rsid w:val="00F011E6"/>
    <w:rsid w:val="00F012AC"/>
    <w:rsid w:val="00F012E0"/>
    <w:rsid w:val="00F01383"/>
    <w:rsid w:val="00F013D9"/>
    <w:rsid w:val="00F01564"/>
    <w:rsid w:val="00F0156D"/>
    <w:rsid w:val="00F015D5"/>
    <w:rsid w:val="00F0166B"/>
    <w:rsid w:val="00F0167D"/>
    <w:rsid w:val="00F0177A"/>
    <w:rsid w:val="00F017A8"/>
    <w:rsid w:val="00F01816"/>
    <w:rsid w:val="00F018EF"/>
    <w:rsid w:val="00F019C0"/>
    <w:rsid w:val="00F019D5"/>
    <w:rsid w:val="00F01ACA"/>
    <w:rsid w:val="00F01B6E"/>
    <w:rsid w:val="00F01C27"/>
    <w:rsid w:val="00F01C49"/>
    <w:rsid w:val="00F01E86"/>
    <w:rsid w:val="00F02172"/>
    <w:rsid w:val="00F02339"/>
    <w:rsid w:val="00F02500"/>
    <w:rsid w:val="00F025FB"/>
    <w:rsid w:val="00F0278C"/>
    <w:rsid w:val="00F0284A"/>
    <w:rsid w:val="00F02873"/>
    <w:rsid w:val="00F0295C"/>
    <w:rsid w:val="00F029D8"/>
    <w:rsid w:val="00F02A55"/>
    <w:rsid w:val="00F02B76"/>
    <w:rsid w:val="00F02CA6"/>
    <w:rsid w:val="00F02F70"/>
    <w:rsid w:val="00F030D7"/>
    <w:rsid w:val="00F03160"/>
    <w:rsid w:val="00F031BA"/>
    <w:rsid w:val="00F032E2"/>
    <w:rsid w:val="00F0336F"/>
    <w:rsid w:val="00F03485"/>
    <w:rsid w:val="00F034C5"/>
    <w:rsid w:val="00F037E3"/>
    <w:rsid w:val="00F03914"/>
    <w:rsid w:val="00F039F2"/>
    <w:rsid w:val="00F03B0E"/>
    <w:rsid w:val="00F03C09"/>
    <w:rsid w:val="00F03CEE"/>
    <w:rsid w:val="00F03FF2"/>
    <w:rsid w:val="00F04009"/>
    <w:rsid w:val="00F040A5"/>
    <w:rsid w:val="00F040FA"/>
    <w:rsid w:val="00F04470"/>
    <w:rsid w:val="00F0449E"/>
    <w:rsid w:val="00F0492A"/>
    <w:rsid w:val="00F04AD0"/>
    <w:rsid w:val="00F04D29"/>
    <w:rsid w:val="00F04D8C"/>
    <w:rsid w:val="00F04D8F"/>
    <w:rsid w:val="00F04DD2"/>
    <w:rsid w:val="00F04E9B"/>
    <w:rsid w:val="00F04F9E"/>
    <w:rsid w:val="00F04FE4"/>
    <w:rsid w:val="00F05033"/>
    <w:rsid w:val="00F05234"/>
    <w:rsid w:val="00F05359"/>
    <w:rsid w:val="00F053A8"/>
    <w:rsid w:val="00F053E4"/>
    <w:rsid w:val="00F054FE"/>
    <w:rsid w:val="00F05757"/>
    <w:rsid w:val="00F057CA"/>
    <w:rsid w:val="00F05898"/>
    <w:rsid w:val="00F05CFD"/>
    <w:rsid w:val="00F05D4D"/>
    <w:rsid w:val="00F05D8C"/>
    <w:rsid w:val="00F05E05"/>
    <w:rsid w:val="00F061D8"/>
    <w:rsid w:val="00F063F1"/>
    <w:rsid w:val="00F06485"/>
    <w:rsid w:val="00F0659C"/>
    <w:rsid w:val="00F065EB"/>
    <w:rsid w:val="00F06709"/>
    <w:rsid w:val="00F067FC"/>
    <w:rsid w:val="00F068B4"/>
    <w:rsid w:val="00F06960"/>
    <w:rsid w:val="00F06A27"/>
    <w:rsid w:val="00F06A47"/>
    <w:rsid w:val="00F06B19"/>
    <w:rsid w:val="00F06BD8"/>
    <w:rsid w:val="00F06D70"/>
    <w:rsid w:val="00F06E0B"/>
    <w:rsid w:val="00F06F96"/>
    <w:rsid w:val="00F070B7"/>
    <w:rsid w:val="00F070F2"/>
    <w:rsid w:val="00F0717F"/>
    <w:rsid w:val="00F072BD"/>
    <w:rsid w:val="00F072D4"/>
    <w:rsid w:val="00F0747A"/>
    <w:rsid w:val="00F075A4"/>
    <w:rsid w:val="00F075BA"/>
    <w:rsid w:val="00F07807"/>
    <w:rsid w:val="00F07849"/>
    <w:rsid w:val="00F07882"/>
    <w:rsid w:val="00F07883"/>
    <w:rsid w:val="00F0795A"/>
    <w:rsid w:val="00F07A8C"/>
    <w:rsid w:val="00F07B4C"/>
    <w:rsid w:val="00F07B78"/>
    <w:rsid w:val="00F07D1A"/>
    <w:rsid w:val="00F07DEC"/>
    <w:rsid w:val="00F1005F"/>
    <w:rsid w:val="00F10177"/>
    <w:rsid w:val="00F10281"/>
    <w:rsid w:val="00F10324"/>
    <w:rsid w:val="00F103C1"/>
    <w:rsid w:val="00F103C6"/>
    <w:rsid w:val="00F10417"/>
    <w:rsid w:val="00F1041C"/>
    <w:rsid w:val="00F104A4"/>
    <w:rsid w:val="00F10556"/>
    <w:rsid w:val="00F106E8"/>
    <w:rsid w:val="00F10723"/>
    <w:rsid w:val="00F10760"/>
    <w:rsid w:val="00F108A5"/>
    <w:rsid w:val="00F10B44"/>
    <w:rsid w:val="00F10C44"/>
    <w:rsid w:val="00F10C6C"/>
    <w:rsid w:val="00F10D83"/>
    <w:rsid w:val="00F10E97"/>
    <w:rsid w:val="00F10EFB"/>
    <w:rsid w:val="00F11021"/>
    <w:rsid w:val="00F1102C"/>
    <w:rsid w:val="00F110D3"/>
    <w:rsid w:val="00F1121F"/>
    <w:rsid w:val="00F1129A"/>
    <w:rsid w:val="00F11468"/>
    <w:rsid w:val="00F114A2"/>
    <w:rsid w:val="00F114B2"/>
    <w:rsid w:val="00F116F6"/>
    <w:rsid w:val="00F11789"/>
    <w:rsid w:val="00F11897"/>
    <w:rsid w:val="00F118C1"/>
    <w:rsid w:val="00F11923"/>
    <w:rsid w:val="00F1196B"/>
    <w:rsid w:val="00F11A6A"/>
    <w:rsid w:val="00F11B2C"/>
    <w:rsid w:val="00F11C4C"/>
    <w:rsid w:val="00F11D49"/>
    <w:rsid w:val="00F11DF6"/>
    <w:rsid w:val="00F11E43"/>
    <w:rsid w:val="00F11E7F"/>
    <w:rsid w:val="00F11EAC"/>
    <w:rsid w:val="00F120AC"/>
    <w:rsid w:val="00F121DF"/>
    <w:rsid w:val="00F1229B"/>
    <w:rsid w:val="00F12303"/>
    <w:rsid w:val="00F123D7"/>
    <w:rsid w:val="00F12423"/>
    <w:rsid w:val="00F125C7"/>
    <w:rsid w:val="00F125E7"/>
    <w:rsid w:val="00F12600"/>
    <w:rsid w:val="00F1269B"/>
    <w:rsid w:val="00F126BD"/>
    <w:rsid w:val="00F12704"/>
    <w:rsid w:val="00F12825"/>
    <w:rsid w:val="00F12839"/>
    <w:rsid w:val="00F129A0"/>
    <w:rsid w:val="00F129C7"/>
    <w:rsid w:val="00F12A08"/>
    <w:rsid w:val="00F12A6B"/>
    <w:rsid w:val="00F12ACE"/>
    <w:rsid w:val="00F12AE7"/>
    <w:rsid w:val="00F12B8A"/>
    <w:rsid w:val="00F12B8C"/>
    <w:rsid w:val="00F12BB8"/>
    <w:rsid w:val="00F12C48"/>
    <w:rsid w:val="00F12D91"/>
    <w:rsid w:val="00F12F28"/>
    <w:rsid w:val="00F1304F"/>
    <w:rsid w:val="00F1309C"/>
    <w:rsid w:val="00F130C0"/>
    <w:rsid w:val="00F1313F"/>
    <w:rsid w:val="00F13202"/>
    <w:rsid w:val="00F13281"/>
    <w:rsid w:val="00F13399"/>
    <w:rsid w:val="00F1341E"/>
    <w:rsid w:val="00F13433"/>
    <w:rsid w:val="00F1348A"/>
    <w:rsid w:val="00F134FC"/>
    <w:rsid w:val="00F1350E"/>
    <w:rsid w:val="00F1369F"/>
    <w:rsid w:val="00F136BA"/>
    <w:rsid w:val="00F137EC"/>
    <w:rsid w:val="00F1396A"/>
    <w:rsid w:val="00F13A86"/>
    <w:rsid w:val="00F13B4C"/>
    <w:rsid w:val="00F13B56"/>
    <w:rsid w:val="00F13BDD"/>
    <w:rsid w:val="00F13C03"/>
    <w:rsid w:val="00F13CC9"/>
    <w:rsid w:val="00F13CDC"/>
    <w:rsid w:val="00F13DC1"/>
    <w:rsid w:val="00F13EFC"/>
    <w:rsid w:val="00F14022"/>
    <w:rsid w:val="00F14088"/>
    <w:rsid w:val="00F14419"/>
    <w:rsid w:val="00F1454D"/>
    <w:rsid w:val="00F1454E"/>
    <w:rsid w:val="00F145FD"/>
    <w:rsid w:val="00F14653"/>
    <w:rsid w:val="00F1470E"/>
    <w:rsid w:val="00F147A5"/>
    <w:rsid w:val="00F1485A"/>
    <w:rsid w:val="00F149BF"/>
    <w:rsid w:val="00F14AA7"/>
    <w:rsid w:val="00F14B32"/>
    <w:rsid w:val="00F14B84"/>
    <w:rsid w:val="00F14BF1"/>
    <w:rsid w:val="00F14C0A"/>
    <w:rsid w:val="00F14D42"/>
    <w:rsid w:val="00F14E92"/>
    <w:rsid w:val="00F14F83"/>
    <w:rsid w:val="00F14FE9"/>
    <w:rsid w:val="00F1500C"/>
    <w:rsid w:val="00F15064"/>
    <w:rsid w:val="00F15182"/>
    <w:rsid w:val="00F15338"/>
    <w:rsid w:val="00F153E2"/>
    <w:rsid w:val="00F15593"/>
    <w:rsid w:val="00F15884"/>
    <w:rsid w:val="00F1597A"/>
    <w:rsid w:val="00F159A3"/>
    <w:rsid w:val="00F159D0"/>
    <w:rsid w:val="00F159D4"/>
    <w:rsid w:val="00F15A97"/>
    <w:rsid w:val="00F15B6B"/>
    <w:rsid w:val="00F15B8E"/>
    <w:rsid w:val="00F15BBF"/>
    <w:rsid w:val="00F15DF4"/>
    <w:rsid w:val="00F15E1B"/>
    <w:rsid w:val="00F15E96"/>
    <w:rsid w:val="00F15FF3"/>
    <w:rsid w:val="00F1601E"/>
    <w:rsid w:val="00F16027"/>
    <w:rsid w:val="00F1602B"/>
    <w:rsid w:val="00F160D2"/>
    <w:rsid w:val="00F161BE"/>
    <w:rsid w:val="00F162CF"/>
    <w:rsid w:val="00F163BC"/>
    <w:rsid w:val="00F16665"/>
    <w:rsid w:val="00F16803"/>
    <w:rsid w:val="00F1681E"/>
    <w:rsid w:val="00F16911"/>
    <w:rsid w:val="00F169C4"/>
    <w:rsid w:val="00F16A81"/>
    <w:rsid w:val="00F16AB8"/>
    <w:rsid w:val="00F16C67"/>
    <w:rsid w:val="00F16C85"/>
    <w:rsid w:val="00F16D8D"/>
    <w:rsid w:val="00F16DEE"/>
    <w:rsid w:val="00F16FB0"/>
    <w:rsid w:val="00F170FB"/>
    <w:rsid w:val="00F1715C"/>
    <w:rsid w:val="00F17243"/>
    <w:rsid w:val="00F1733B"/>
    <w:rsid w:val="00F17474"/>
    <w:rsid w:val="00F17486"/>
    <w:rsid w:val="00F17563"/>
    <w:rsid w:val="00F175B6"/>
    <w:rsid w:val="00F1764D"/>
    <w:rsid w:val="00F178AE"/>
    <w:rsid w:val="00F179BD"/>
    <w:rsid w:val="00F179F6"/>
    <w:rsid w:val="00F17B6E"/>
    <w:rsid w:val="00F17BAE"/>
    <w:rsid w:val="00F17C97"/>
    <w:rsid w:val="00F17CCE"/>
    <w:rsid w:val="00F17CDF"/>
    <w:rsid w:val="00F17D73"/>
    <w:rsid w:val="00F17E11"/>
    <w:rsid w:val="00F17EBA"/>
    <w:rsid w:val="00F17F15"/>
    <w:rsid w:val="00F17FCF"/>
    <w:rsid w:val="00F20007"/>
    <w:rsid w:val="00F20140"/>
    <w:rsid w:val="00F201CC"/>
    <w:rsid w:val="00F2026D"/>
    <w:rsid w:val="00F20487"/>
    <w:rsid w:val="00F20506"/>
    <w:rsid w:val="00F205DE"/>
    <w:rsid w:val="00F20728"/>
    <w:rsid w:val="00F207A5"/>
    <w:rsid w:val="00F208A6"/>
    <w:rsid w:val="00F2094A"/>
    <w:rsid w:val="00F20957"/>
    <w:rsid w:val="00F209A4"/>
    <w:rsid w:val="00F20A62"/>
    <w:rsid w:val="00F20A63"/>
    <w:rsid w:val="00F20ADD"/>
    <w:rsid w:val="00F20B4F"/>
    <w:rsid w:val="00F20BB6"/>
    <w:rsid w:val="00F20CCA"/>
    <w:rsid w:val="00F20D03"/>
    <w:rsid w:val="00F20D48"/>
    <w:rsid w:val="00F20D6B"/>
    <w:rsid w:val="00F20F65"/>
    <w:rsid w:val="00F2106D"/>
    <w:rsid w:val="00F212DE"/>
    <w:rsid w:val="00F213AD"/>
    <w:rsid w:val="00F213DE"/>
    <w:rsid w:val="00F214CB"/>
    <w:rsid w:val="00F21635"/>
    <w:rsid w:val="00F21812"/>
    <w:rsid w:val="00F21818"/>
    <w:rsid w:val="00F21B43"/>
    <w:rsid w:val="00F21B89"/>
    <w:rsid w:val="00F21C22"/>
    <w:rsid w:val="00F220DA"/>
    <w:rsid w:val="00F220EB"/>
    <w:rsid w:val="00F221DE"/>
    <w:rsid w:val="00F22337"/>
    <w:rsid w:val="00F22555"/>
    <w:rsid w:val="00F226E4"/>
    <w:rsid w:val="00F22849"/>
    <w:rsid w:val="00F22A37"/>
    <w:rsid w:val="00F22BDF"/>
    <w:rsid w:val="00F22C04"/>
    <w:rsid w:val="00F22D1C"/>
    <w:rsid w:val="00F22D65"/>
    <w:rsid w:val="00F22E52"/>
    <w:rsid w:val="00F23050"/>
    <w:rsid w:val="00F23126"/>
    <w:rsid w:val="00F23175"/>
    <w:rsid w:val="00F2318B"/>
    <w:rsid w:val="00F231C1"/>
    <w:rsid w:val="00F231CA"/>
    <w:rsid w:val="00F23204"/>
    <w:rsid w:val="00F232B8"/>
    <w:rsid w:val="00F23366"/>
    <w:rsid w:val="00F2338D"/>
    <w:rsid w:val="00F2347F"/>
    <w:rsid w:val="00F235BB"/>
    <w:rsid w:val="00F23649"/>
    <w:rsid w:val="00F236C6"/>
    <w:rsid w:val="00F237A1"/>
    <w:rsid w:val="00F23911"/>
    <w:rsid w:val="00F23961"/>
    <w:rsid w:val="00F239E5"/>
    <w:rsid w:val="00F23A11"/>
    <w:rsid w:val="00F23CDC"/>
    <w:rsid w:val="00F23D63"/>
    <w:rsid w:val="00F23E61"/>
    <w:rsid w:val="00F23EC5"/>
    <w:rsid w:val="00F23F68"/>
    <w:rsid w:val="00F23FB0"/>
    <w:rsid w:val="00F23FFB"/>
    <w:rsid w:val="00F24013"/>
    <w:rsid w:val="00F2402E"/>
    <w:rsid w:val="00F24255"/>
    <w:rsid w:val="00F24412"/>
    <w:rsid w:val="00F244F7"/>
    <w:rsid w:val="00F24519"/>
    <w:rsid w:val="00F2453E"/>
    <w:rsid w:val="00F245B4"/>
    <w:rsid w:val="00F24618"/>
    <w:rsid w:val="00F24776"/>
    <w:rsid w:val="00F2480A"/>
    <w:rsid w:val="00F2482F"/>
    <w:rsid w:val="00F24891"/>
    <w:rsid w:val="00F2495A"/>
    <w:rsid w:val="00F24968"/>
    <w:rsid w:val="00F24A8A"/>
    <w:rsid w:val="00F24AF7"/>
    <w:rsid w:val="00F24B00"/>
    <w:rsid w:val="00F24B2C"/>
    <w:rsid w:val="00F24B9F"/>
    <w:rsid w:val="00F24CA6"/>
    <w:rsid w:val="00F24CEC"/>
    <w:rsid w:val="00F24F86"/>
    <w:rsid w:val="00F2504E"/>
    <w:rsid w:val="00F2505B"/>
    <w:rsid w:val="00F251E3"/>
    <w:rsid w:val="00F25455"/>
    <w:rsid w:val="00F255C0"/>
    <w:rsid w:val="00F255F9"/>
    <w:rsid w:val="00F256AE"/>
    <w:rsid w:val="00F256B3"/>
    <w:rsid w:val="00F25773"/>
    <w:rsid w:val="00F257FA"/>
    <w:rsid w:val="00F25859"/>
    <w:rsid w:val="00F25AD0"/>
    <w:rsid w:val="00F25B02"/>
    <w:rsid w:val="00F25CBE"/>
    <w:rsid w:val="00F25CE2"/>
    <w:rsid w:val="00F25CE8"/>
    <w:rsid w:val="00F25CF2"/>
    <w:rsid w:val="00F25D20"/>
    <w:rsid w:val="00F25D3D"/>
    <w:rsid w:val="00F25D42"/>
    <w:rsid w:val="00F25D5E"/>
    <w:rsid w:val="00F25D80"/>
    <w:rsid w:val="00F25DB2"/>
    <w:rsid w:val="00F25DBC"/>
    <w:rsid w:val="00F25E14"/>
    <w:rsid w:val="00F25ED7"/>
    <w:rsid w:val="00F25F0A"/>
    <w:rsid w:val="00F25F8C"/>
    <w:rsid w:val="00F26004"/>
    <w:rsid w:val="00F26058"/>
    <w:rsid w:val="00F26073"/>
    <w:rsid w:val="00F26091"/>
    <w:rsid w:val="00F2623F"/>
    <w:rsid w:val="00F26510"/>
    <w:rsid w:val="00F26564"/>
    <w:rsid w:val="00F265AC"/>
    <w:rsid w:val="00F265B7"/>
    <w:rsid w:val="00F265D1"/>
    <w:rsid w:val="00F266A1"/>
    <w:rsid w:val="00F26816"/>
    <w:rsid w:val="00F269B2"/>
    <w:rsid w:val="00F26A2D"/>
    <w:rsid w:val="00F26A64"/>
    <w:rsid w:val="00F26A6B"/>
    <w:rsid w:val="00F26A97"/>
    <w:rsid w:val="00F26D4E"/>
    <w:rsid w:val="00F26DC2"/>
    <w:rsid w:val="00F26DE9"/>
    <w:rsid w:val="00F26E02"/>
    <w:rsid w:val="00F26F33"/>
    <w:rsid w:val="00F26F5F"/>
    <w:rsid w:val="00F27095"/>
    <w:rsid w:val="00F270E8"/>
    <w:rsid w:val="00F27352"/>
    <w:rsid w:val="00F27359"/>
    <w:rsid w:val="00F273DF"/>
    <w:rsid w:val="00F2743B"/>
    <w:rsid w:val="00F2758A"/>
    <w:rsid w:val="00F275D0"/>
    <w:rsid w:val="00F275D3"/>
    <w:rsid w:val="00F27780"/>
    <w:rsid w:val="00F277B4"/>
    <w:rsid w:val="00F27867"/>
    <w:rsid w:val="00F27951"/>
    <w:rsid w:val="00F27966"/>
    <w:rsid w:val="00F279A4"/>
    <w:rsid w:val="00F279F2"/>
    <w:rsid w:val="00F27B15"/>
    <w:rsid w:val="00F27D11"/>
    <w:rsid w:val="00F27E31"/>
    <w:rsid w:val="00F27E3B"/>
    <w:rsid w:val="00F27E5C"/>
    <w:rsid w:val="00F27EF5"/>
    <w:rsid w:val="00F27F6B"/>
    <w:rsid w:val="00F27FBC"/>
    <w:rsid w:val="00F27FDB"/>
    <w:rsid w:val="00F3002C"/>
    <w:rsid w:val="00F300A4"/>
    <w:rsid w:val="00F3014A"/>
    <w:rsid w:val="00F30251"/>
    <w:rsid w:val="00F302AD"/>
    <w:rsid w:val="00F30382"/>
    <w:rsid w:val="00F30598"/>
    <w:rsid w:val="00F305CC"/>
    <w:rsid w:val="00F305D7"/>
    <w:rsid w:val="00F3083C"/>
    <w:rsid w:val="00F3084F"/>
    <w:rsid w:val="00F30874"/>
    <w:rsid w:val="00F3088F"/>
    <w:rsid w:val="00F30927"/>
    <w:rsid w:val="00F309AA"/>
    <w:rsid w:val="00F30A3B"/>
    <w:rsid w:val="00F30AC9"/>
    <w:rsid w:val="00F30B11"/>
    <w:rsid w:val="00F30B22"/>
    <w:rsid w:val="00F30B8B"/>
    <w:rsid w:val="00F30C83"/>
    <w:rsid w:val="00F30D8B"/>
    <w:rsid w:val="00F30DAC"/>
    <w:rsid w:val="00F30E3F"/>
    <w:rsid w:val="00F30E48"/>
    <w:rsid w:val="00F30F51"/>
    <w:rsid w:val="00F313A6"/>
    <w:rsid w:val="00F314FD"/>
    <w:rsid w:val="00F315F7"/>
    <w:rsid w:val="00F3174B"/>
    <w:rsid w:val="00F3179A"/>
    <w:rsid w:val="00F31929"/>
    <w:rsid w:val="00F31956"/>
    <w:rsid w:val="00F319A9"/>
    <w:rsid w:val="00F31D0D"/>
    <w:rsid w:val="00F31D54"/>
    <w:rsid w:val="00F31DFC"/>
    <w:rsid w:val="00F31E17"/>
    <w:rsid w:val="00F31F23"/>
    <w:rsid w:val="00F32040"/>
    <w:rsid w:val="00F320ED"/>
    <w:rsid w:val="00F32167"/>
    <w:rsid w:val="00F3219E"/>
    <w:rsid w:val="00F32357"/>
    <w:rsid w:val="00F32418"/>
    <w:rsid w:val="00F32469"/>
    <w:rsid w:val="00F32578"/>
    <w:rsid w:val="00F32694"/>
    <w:rsid w:val="00F32736"/>
    <w:rsid w:val="00F32864"/>
    <w:rsid w:val="00F32A2B"/>
    <w:rsid w:val="00F32AB5"/>
    <w:rsid w:val="00F32C12"/>
    <w:rsid w:val="00F32C2C"/>
    <w:rsid w:val="00F32C4E"/>
    <w:rsid w:val="00F32C6F"/>
    <w:rsid w:val="00F32C70"/>
    <w:rsid w:val="00F32D04"/>
    <w:rsid w:val="00F32DDF"/>
    <w:rsid w:val="00F32EAE"/>
    <w:rsid w:val="00F32ECB"/>
    <w:rsid w:val="00F32F96"/>
    <w:rsid w:val="00F331DC"/>
    <w:rsid w:val="00F332D9"/>
    <w:rsid w:val="00F333F5"/>
    <w:rsid w:val="00F334C4"/>
    <w:rsid w:val="00F33576"/>
    <w:rsid w:val="00F33589"/>
    <w:rsid w:val="00F335AD"/>
    <w:rsid w:val="00F33711"/>
    <w:rsid w:val="00F33777"/>
    <w:rsid w:val="00F33888"/>
    <w:rsid w:val="00F33924"/>
    <w:rsid w:val="00F33987"/>
    <w:rsid w:val="00F339A1"/>
    <w:rsid w:val="00F33A19"/>
    <w:rsid w:val="00F33C31"/>
    <w:rsid w:val="00F33C98"/>
    <w:rsid w:val="00F33D8E"/>
    <w:rsid w:val="00F33E85"/>
    <w:rsid w:val="00F33F5E"/>
    <w:rsid w:val="00F34045"/>
    <w:rsid w:val="00F3419C"/>
    <w:rsid w:val="00F341A1"/>
    <w:rsid w:val="00F3432D"/>
    <w:rsid w:val="00F34344"/>
    <w:rsid w:val="00F34386"/>
    <w:rsid w:val="00F3450A"/>
    <w:rsid w:val="00F34538"/>
    <w:rsid w:val="00F34594"/>
    <w:rsid w:val="00F34600"/>
    <w:rsid w:val="00F34666"/>
    <w:rsid w:val="00F3478B"/>
    <w:rsid w:val="00F34849"/>
    <w:rsid w:val="00F3485C"/>
    <w:rsid w:val="00F348E5"/>
    <w:rsid w:val="00F34D8A"/>
    <w:rsid w:val="00F34E02"/>
    <w:rsid w:val="00F34E6E"/>
    <w:rsid w:val="00F34F3C"/>
    <w:rsid w:val="00F34FB6"/>
    <w:rsid w:val="00F35085"/>
    <w:rsid w:val="00F350CC"/>
    <w:rsid w:val="00F350FE"/>
    <w:rsid w:val="00F3510B"/>
    <w:rsid w:val="00F35151"/>
    <w:rsid w:val="00F3516E"/>
    <w:rsid w:val="00F351D2"/>
    <w:rsid w:val="00F3525B"/>
    <w:rsid w:val="00F352E2"/>
    <w:rsid w:val="00F353AB"/>
    <w:rsid w:val="00F35463"/>
    <w:rsid w:val="00F3549E"/>
    <w:rsid w:val="00F354CC"/>
    <w:rsid w:val="00F355C3"/>
    <w:rsid w:val="00F3560F"/>
    <w:rsid w:val="00F35698"/>
    <w:rsid w:val="00F356BA"/>
    <w:rsid w:val="00F35799"/>
    <w:rsid w:val="00F357E9"/>
    <w:rsid w:val="00F35813"/>
    <w:rsid w:val="00F35837"/>
    <w:rsid w:val="00F3587E"/>
    <w:rsid w:val="00F35A00"/>
    <w:rsid w:val="00F35A7B"/>
    <w:rsid w:val="00F35ABC"/>
    <w:rsid w:val="00F35BF3"/>
    <w:rsid w:val="00F35C11"/>
    <w:rsid w:val="00F35C36"/>
    <w:rsid w:val="00F35DB5"/>
    <w:rsid w:val="00F35EB5"/>
    <w:rsid w:val="00F35ECE"/>
    <w:rsid w:val="00F36074"/>
    <w:rsid w:val="00F36119"/>
    <w:rsid w:val="00F3614D"/>
    <w:rsid w:val="00F361DE"/>
    <w:rsid w:val="00F36358"/>
    <w:rsid w:val="00F363AA"/>
    <w:rsid w:val="00F36402"/>
    <w:rsid w:val="00F364A8"/>
    <w:rsid w:val="00F364C1"/>
    <w:rsid w:val="00F365A7"/>
    <w:rsid w:val="00F365EF"/>
    <w:rsid w:val="00F3663E"/>
    <w:rsid w:val="00F3667D"/>
    <w:rsid w:val="00F3679E"/>
    <w:rsid w:val="00F367B3"/>
    <w:rsid w:val="00F3681C"/>
    <w:rsid w:val="00F36B57"/>
    <w:rsid w:val="00F36C5C"/>
    <w:rsid w:val="00F36C71"/>
    <w:rsid w:val="00F36C88"/>
    <w:rsid w:val="00F36EAF"/>
    <w:rsid w:val="00F37008"/>
    <w:rsid w:val="00F3721D"/>
    <w:rsid w:val="00F37347"/>
    <w:rsid w:val="00F374AB"/>
    <w:rsid w:val="00F374BF"/>
    <w:rsid w:val="00F374F4"/>
    <w:rsid w:val="00F3769D"/>
    <w:rsid w:val="00F37749"/>
    <w:rsid w:val="00F37790"/>
    <w:rsid w:val="00F3781B"/>
    <w:rsid w:val="00F37983"/>
    <w:rsid w:val="00F37A1E"/>
    <w:rsid w:val="00F37AC4"/>
    <w:rsid w:val="00F37AFB"/>
    <w:rsid w:val="00F37C18"/>
    <w:rsid w:val="00F37DAA"/>
    <w:rsid w:val="00F400B8"/>
    <w:rsid w:val="00F40126"/>
    <w:rsid w:val="00F4013E"/>
    <w:rsid w:val="00F40150"/>
    <w:rsid w:val="00F404F4"/>
    <w:rsid w:val="00F40534"/>
    <w:rsid w:val="00F405C1"/>
    <w:rsid w:val="00F4070B"/>
    <w:rsid w:val="00F40776"/>
    <w:rsid w:val="00F40871"/>
    <w:rsid w:val="00F4098D"/>
    <w:rsid w:val="00F40BF0"/>
    <w:rsid w:val="00F40C4F"/>
    <w:rsid w:val="00F40D0D"/>
    <w:rsid w:val="00F40D74"/>
    <w:rsid w:val="00F40F40"/>
    <w:rsid w:val="00F40F58"/>
    <w:rsid w:val="00F40F5A"/>
    <w:rsid w:val="00F40FB2"/>
    <w:rsid w:val="00F411D9"/>
    <w:rsid w:val="00F4135A"/>
    <w:rsid w:val="00F413A9"/>
    <w:rsid w:val="00F413FE"/>
    <w:rsid w:val="00F4143E"/>
    <w:rsid w:val="00F41568"/>
    <w:rsid w:val="00F415AD"/>
    <w:rsid w:val="00F416A9"/>
    <w:rsid w:val="00F41756"/>
    <w:rsid w:val="00F418DF"/>
    <w:rsid w:val="00F41A9D"/>
    <w:rsid w:val="00F41AD2"/>
    <w:rsid w:val="00F41B82"/>
    <w:rsid w:val="00F41BB4"/>
    <w:rsid w:val="00F41C15"/>
    <w:rsid w:val="00F41C84"/>
    <w:rsid w:val="00F41CC5"/>
    <w:rsid w:val="00F41D25"/>
    <w:rsid w:val="00F41D54"/>
    <w:rsid w:val="00F41E9B"/>
    <w:rsid w:val="00F41ED6"/>
    <w:rsid w:val="00F42307"/>
    <w:rsid w:val="00F423C2"/>
    <w:rsid w:val="00F42431"/>
    <w:rsid w:val="00F425BF"/>
    <w:rsid w:val="00F42641"/>
    <w:rsid w:val="00F426F0"/>
    <w:rsid w:val="00F42AC8"/>
    <w:rsid w:val="00F42AEC"/>
    <w:rsid w:val="00F42B92"/>
    <w:rsid w:val="00F42D49"/>
    <w:rsid w:val="00F42DE1"/>
    <w:rsid w:val="00F42E17"/>
    <w:rsid w:val="00F42E4D"/>
    <w:rsid w:val="00F43108"/>
    <w:rsid w:val="00F43169"/>
    <w:rsid w:val="00F43228"/>
    <w:rsid w:val="00F433D2"/>
    <w:rsid w:val="00F433F8"/>
    <w:rsid w:val="00F433FE"/>
    <w:rsid w:val="00F43436"/>
    <w:rsid w:val="00F435A3"/>
    <w:rsid w:val="00F435CE"/>
    <w:rsid w:val="00F43627"/>
    <w:rsid w:val="00F436EC"/>
    <w:rsid w:val="00F43776"/>
    <w:rsid w:val="00F43781"/>
    <w:rsid w:val="00F43877"/>
    <w:rsid w:val="00F4387F"/>
    <w:rsid w:val="00F43A42"/>
    <w:rsid w:val="00F43A49"/>
    <w:rsid w:val="00F43B5F"/>
    <w:rsid w:val="00F43B6E"/>
    <w:rsid w:val="00F43C19"/>
    <w:rsid w:val="00F43C20"/>
    <w:rsid w:val="00F43D14"/>
    <w:rsid w:val="00F43E61"/>
    <w:rsid w:val="00F43EA1"/>
    <w:rsid w:val="00F43ECF"/>
    <w:rsid w:val="00F43EE3"/>
    <w:rsid w:val="00F43F86"/>
    <w:rsid w:val="00F44009"/>
    <w:rsid w:val="00F4401A"/>
    <w:rsid w:val="00F440D6"/>
    <w:rsid w:val="00F440EA"/>
    <w:rsid w:val="00F44112"/>
    <w:rsid w:val="00F44141"/>
    <w:rsid w:val="00F441A2"/>
    <w:rsid w:val="00F442DB"/>
    <w:rsid w:val="00F44308"/>
    <w:rsid w:val="00F44360"/>
    <w:rsid w:val="00F4463C"/>
    <w:rsid w:val="00F44673"/>
    <w:rsid w:val="00F4473E"/>
    <w:rsid w:val="00F44937"/>
    <w:rsid w:val="00F449C6"/>
    <w:rsid w:val="00F449C9"/>
    <w:rsid w:val="00F44AD8"/>
    <w:rsid w:val="00F44C13"/>
    <w:rsid w:val="00F44C69"/>
    <w:rsid w:val="00F44E03"/>
    <w:rsid w:val="00F44F72"/>
    <w:rsid w:val="00F45000"/>
    <w:rsid w:val="00F45030"/>
    <w:rsid w:val="00F45201"/>
    <w:rsid w:val="00F454F5"/>
    <w:rsid w:val="00F45778"/>
    <w:rsid w:val="00F458FB"/>
    <w:rsid w:val="00F45AA2"/>
    <w:rsid w:val="00F45DE9"/>
    <w:rsid w:val="00F45E3B"/>
    <w:rsid w:val="00F45FC3"/>
    <w:rsid w:val="00F4604C"/>
    <w:rsid w:val="00F461A6"/>
    <w:rsid w:val="00F461BD"/>
    <w:rsid w:val="00F4622A"/>
    <w:rsid w:val="00F462EB"/>
    <w:rsid w:val="00F4641C"/>
    <w:rsid w:val="00F4643A"/>
    <w:rsid w:val="00F46499"/>
    <w:rsid w:val="00F46642"/>
    <w:rsid w:val="00F4677C"/>
    <w:rsid w:val="00F46953"/>
    <w:rsid w:val="00F46B79"/>
    <w:rsid w:val="00F46C41"/>
    <w:rsid w:val="00F46DEB"/>
    <w:rsid w:val="00F46E8F"/>
    <w:rsid w:val="00F46EA5"/>
    <w:rsid w:val="00F4724F"/>
    <w:rsid w:val="00F473A5"/>
    <w:rsid w:val="00F473F3"/>
    <w:rsid w:val="00F47487"/>
    <w:rsid w:val="00F47494"/>
    <w:rsid w:val="00F474B8"/>
    <w:rsid w:val="00F474E7"/>
    <w:rsid w:val="00F47849"/>
    <w:rsid w:val="00F4786C"/>
    <w:rsid w:val="00F478C5"/>
    <w:rsid w:val="00F478CA"/>
    <w:rsid w:val="00F47A54"/>
    <w:rsid w:val="00F47C5E"/>
    <w:rsid w:val="00F47C84"/>
    <w:rsid w:val="00F47C89"/>
    <w:rsid w:val="00F47CE2"/>
    <w:rsid w:val="00F47D1E"/>
    <w:rsid w:val="00F47D61"/>
    <w:rsid w:val="00F47E03"/>
    <w:rsid w:val="00F47EB8"/>
    <w:rsid w:val="00F500A2"/>
    <w:rsid w:val="00F501F3"/>
    <w:rsid w:val="00F50501"/>
    <w:rsid w:val="00F507C7"/>
    <w:rsid w:val="00F50840"/>
    <w:rsid w:val="00F508D2"/>
    <w:rsid w:val="00F5090D"/>
    <w:rsid w:val="00F5099E"/>
    <w:rsid w:val="00F50A98"/>
    <w:rsid w:val="00F50B09"/>
    <w:rsid w:val="00F50B52"/>
    <w:rsid w:val="00F50D14"/>
    <w:rsid w:val="00F50D27"/>
    <w:rsid w:val="00F50DCA"/>
    <w:rsid w:val="00F50E5F"/>
    <w:rsid w:val="00F50F15"/>
    <w:rsid w:val="00F50F9D"/>
    <w:rsid w:val="00F510BD"/>
    <w:rsid w:val="00F5122D"/>
    <w:rsid w:val="00F512C4"/>
    <w:rsid w:val="00F51355"/>
    <w:rsid w:val="00F513FD"/>
    <w:rsid w:val="00F51460"/>
    <w:rsid w:val="00F514FC"/>
    <w:rsid w:val="00F51667"/>
    <w:rsid w:val="00F5167A"/>
    <w:rsid w:val="00F5173C"/>
    <w:rsid w:val="00F51818"/>
    <w:rsid w:val="00F51BCF"/>
    <w:rsid w:val="00F51C01"/>
    <w:rsid w:val="00F51D8A"/>
    <w:rsid w:val="00F521DC"/>
    <w:rsid w:val="00F5237B"/>
    <w:rsid w:val="00F523E4"/>
    <w:rsid w:val="00F524E3"/>
    <w:rsid w:val="00F52510"/>
    <w:rsid w:val="00F525D1"/>
    <w:rsid w:val="00F5261B"/>
    <w:rsid w:val="00F52662"/>
    <w:rsid w:val="00F5269F"/>
    <w:rsid w:val="00F52814"/>
    <w:rsid w:val="00F52832"/>
    <w:rsid w:val="00F528A4"/>
    <w:rsid w:val="00F52AA6"/>
    <w:rsid w:val="00F52ACE"/>
    <w:rsid w:val="00F52C96"/>
    <w:rsid w:val="00F52DC1"/>
    <w:rsid w:val="00F52E97"/>
    <w:rsid w:val="00F52F96"/>
    <w:rsid w:val="00F5308D"/>
    <w:rsid w:val="00F53199"/>
    <w:rsid w:val="00F531B1"/>
    <w:rsid w:val="00F532B8"/>
    <w:rsid w:val="00F53403"/>
    <w:rsid w:val="00F53434"/>
    <w:rsid w:val="00F53508"/>
    <w:rsid w:val="00F53579"/>
    <w:rsid w:val="00F535F3"/>
    <w:rsid w:val="00F5360F"/>
    <w:rsid w:val="00F53649"/>
    <w:rsid w:val="00F536E3"/>
    <w:rsid w:val="00F53720"/>
    <w:rsid w:val="00F537B4"/>
    <w:rsid w:val="00F537C0"/>
    <w:rsid w:val="00F537DD"/>
    <w:rsid w:val="00F5387E"/>
    <w:rsid w:val="00F53927"/>
    <w:rsid w:val="00F539DF"/>
    <w:rsid w:val="00F53A63"/>
    <w:rsid w:val="00F53AE6"/>
    <w:rsid w:val="00F53B1C"/>
    <w:rsid w:val="00F53E71"/>
    <w:rsid w:val="00F53EEE"/>
    <w:rsid w:val="00F53EF4"/>
    <w:rsid w:val="00F53F1D"/>
    <w:rsid w:val="00F53F7A"/>
    <w:rsid w:val="00F5400D"/>
    <w:rsid w:val="00F54054"/>
    <w:rsid w:val="00F54173"/>
    <w:rsid w:val="00F541A1"/>
    <w:rsid w:val="00F543A4"/>
    <w:rsid w:val="00F546EC"/>
    <w:rsid w:val="00F54856"/>
    <w:rsid w:val="00F54874"/>
    <w:rsid w:val="00F549CF"/>
    <w:rsid w:val="00F54A19"/>
    <w:rsid w:val="00F54B09"/>
    <w:rsid w:val="00F54B5A"/>
    <w:rsid w:val="00F54BEA"/>
    <w:rsid w:val="00F54CD9"/>
    <w:rsid w:val="00F54D27"/>
    <w:rsid w:val="00F54E8A"/>
    <w:rsid w:val="00F54F42"/>
    <w:rsid w:val="00F54FD9"/>
    <w:rsid w:val="00F5506A"/>
    <w:rsid w:val="00F55181"/>
    <w:rsid w:val="00F55365"/>
    <w:rsid w:val="00F553D9"/>
    <w:rsid w:val="00F55433"/>
    <w:rsid w:val="00F5569D"/>
    <w:rsid w:val="00F55738"/>
    <w:rsid w:val="00F55817"/>
    <w:rsid w:val="00F55820"/>
    <w:rsid w:val="00F558D8"/>
    <w:rsid w:val="00F55924"/>
    <w:rsid w:val="00F55973"/>
    <w:rsid w:val="00F559A8"/>
    <w:rsid w:val="00F55B33"/>
    <w:rsid w:val="00F55C21"/>
    <w:rsid w:val="00F55C87"/>
    <w:rsid w:val="00F55DAD"/>
    <w:rsid w:val="00F55DB5"/>
    <w:rsid w:val="00F55DD2"/>
    <w:rsid w:val="00F55E08"/>
    <w:rsid w:val="00F55E5F"/>
    <w:rsid w:val="00F55F6D"/>
    <w:rsid w:val="00F56013"/>
    <w:rsid w:val="00F56016"/>
    <w:rsid w:val="00F5624F"/>
    <w:rsid w:val="00F5626F"/>
    <w:rsid w:val="00F564B9"/>
    <w:rsid w:val="00F56597"/>
    <w:rsid w:val="00F5659C"/>
    <w:rsid w:val="00F5668B"/>
    <w:rsid w:val="00F566CB"/>
    <w:rsid w:val="00F56754"/>
    <w:rsid w:val="00F56A00"/>
    <w:rsid w:val="00F56BA0"/>
    <w:rsid w:val="00F56C2D"/>
    <w:rsid w:val="00F56D41"/>
    <w:rsid w:val="00F56D4B"/>
    <w:rsid w:val="00F56E94"/>
    <w:rsid w:val="00F56FC9"/>
    <w:rsid w:val="00F570E8"/>
    <w:rsid w:val="00F5736B"/>
    <w:rsid w:val="00F573F2"/>
    <w:rsid w:val="00F57469"/>
    <w:rsid w:val="00F5751A"/>
    <w:rsid w:val="00F575CE"/>
    <w:rsid w:val="00F57724"/>
    <w:rsid w:val="00F57740"/>
    <w:rsid w:val="00F57818"/>
    <w:rsid w:val="00F57880"/>
    <w:rsid w:val="00F579B8"/>
    <w:rsid w:val="00F57DB9"/>
    <w:rsid w:val="00F57EC3"/>
    <w:rsid w:val="00F60050"/>
    <w:rsid w:val="00F600EB"/>
    <w:rsid w:val="00F6010B"/>
    <w:rsid w:val="00F601AA"/>
    <w:rsid w:val="00F602EC"/>
    <w:rsid w:val="00F60375"/>
    <w:rsid w:val="00F604AD"/>
    <w:rsid w:val="00F60515"/>
    <w:rsid w:val="00F60562"/>
    <w:rsid w:val="00F60590"/>
    <w:rsid w:val="00F6068E"/>
    <w:rsid w:val="00F60761"/>
    <w:rsid w:val="00F607DA"/>
    <w:rsid w:val="00F6080D"/>
    <w:rsid w:val="00F60846"/>
    <w:rsid w:val="00F60848"/>
    <w:rsid w:val="00F60849"/>
    <w:rsid w:val="00F608AB"/>
    <w:rsid w:val="00F60946"/>
    <w:rsid w:val="00F60962"/>
    <w:rsid w:val="00F60987"/>
    <w:rsid w:val="00F60AAD"/>
    <w:rsid w:val="00F60BE7"/>
    <w:rsid w:val="00F60D63"/>
    <w:rsid w:val="00F60DAB"/>
    <w:rsid w:val="00F60E3D"/>
    <w:rsid w:val="00F60FFE"/>
    <w:rsid w:val="00F610DC"/>
    <w:rsid w:val="00F6114E"/>
    <w:rsid w:val="00F613C2"/>
    <w:rsid w:val="00F61448"/>
    <w:rsid w:val="00F614D5"/>
    <w:rsid w:val="00F614DE"/>
    <w:rsid w:val="00F614FA"/>
    <w:rsid w:val="00F6159C"/>
    <w:rsid w:val="00F61714"/>
    <w:rsid w:val="00F617E6"/>
    <w:rsid w:val="00F61A23"/>
    <w:rsid w:val="00F61B1D"/>
    <w:rsid w:val="00F61B75"/>
    <w:rsid w:val="00F61C3F"/>
    <w:rsid w:val="00F61E24"/>
    <w:rsid w:val="00F61E6B"/>
    <w:rsid w:val="00F61E83"/>
    <w:rsid w:val="00F61E89"/>
    <w:rsid w:val="00F61EB9"/>
    <w:rsid w:val="00F61F0B"/>
    <w:rsid w:val="00F61FC5"/>
    <w:rsid w:val="00F6207C"/>
    <w:rsid w:val="00F620F1"/>
    <w:rsid w:val="00F62198"/>
    <w:rsid w:val="00F621B6"/>
    <w:rsid w:val="00F62297"/>
    <w:rsid w:val="00F622B6"/>
    <w:rsid w:val="00F62383"/>
    <w:rsid w:val="00F6238F"/>
    <w:rsid w:val="00F623BC"/>
    <w:rsid w:val="00F624DD"/>
    <w:rsid w:val="00F6266C"/>
    <w:rsid w:val="00F626E1"/>
    <w:rsid w:val="00F627BC"/>
    <w:rsid w:val="00F62850"/>
    <w:rsid w:val="00F62897"/>
    <w:rsid w:val="00F62945"/>
    <w:rsid w:val="00F62B10"/>
    <w:rsid w:val="00F62B79"/>
    <w:rsid w:val="00F62BF8"/>
    <w:rsid w:val="00F62E51"/>
    <w:rsid w:val="00F62E98"/>
    <w:rsid w:val="00F62F29"/>
    <w:rsid w:val="00F62FC0"/>
    <w:rsid w:val="00F631A8"/>
    <w:rsid w:val="00F631F3"/>
    <w:rsid w:val="00F6337B"/>
    <w:rsid w:val="00F635D0"/>
    <w:rsid w:val="00F635F3"/>
    <w:rsid w:val="00F63648"/>
    <w:rsid w:val="00F63759"/>
    <w:rsid w:val="00F6393D"/>
    <w:rsid w:val="00F63B5A"/>
    <w:rsid w:val="00F63C2B"/>
    <w:rsid w:val="00F63C31"/>
    <w:rsid w:val="00F63C55"/>
    <w:rsid w:val="00F63C79"/>
    <w:rsid w:val="00F63CE2"/>
    <w:rsid w:val="00F63D73"/>
    <w:rsid w:val="00F63D7E"/>
    <w:rsid w:val="00F63E59"/>
    <w:rsid w:val="00F63E92"/>
    <w:rsid w:val="00F64064"/>
    <w:rsid w:val="00F641F8"/>
    <w:rsid w:val="00F64237"/>
    <w:rsid w:val="00F643DA"/>
    <w:rsid w:val="00F6451D"/>
    <w:rsid w:val="00F6452A"/>
    <w:rsid w:val="00F6454E"/>
    <w:rsid w:val="00F64551"/>
    <w:rsid w:val="00F64650"/>
    <w:rsid w:val="00F64904"/>
    <w:rsid w:val="00F64B0D"/>
    <w:rsid w:val="00F64B28"/>
    <w:rsid w:val="00F64BE0"/>
    <w:rsid w:val="00F64D34"/>
    <w:rsid w:val="00F64E40"/>
    <w:rsid w:val="00F64ED6"/>
    <w:rsid w:val="00F64FC1"/>
    <w:rsid w:val="00F65178"/>
    <w:rsid w:val="00F65231"/>
    <w:rsid w:val="00F65358"/>
    <w:rsid w:val="00F65387"/>
    <w:rsid w:val="00F65488"/>
    <w:rsid w:val="00F65619"/>
    <w:rsid w:val="00F6568D"/>
    <w:rsid w:val="00F65722"/>
    <w:rsid w:val="00F657C3"/>
    <w:rsid w:val="00F657DD"/>
    <w:rsid w:val="00F658C4"/>
    <w:rsid w:val="00F65B03"/>
    <w:rsid w:val="00F65B68"/>
    <w:rsid w:val="00F65C07"/>
    <w:rsid w:val="00F65C64"/>
    <w:rsid w:val="00F65CF8"/>
    <w:rsid w:val="00F65D84"/>
    <w:rsid w:val="00F65E01"/>
    <w:rsid w:val="00F65E8D"/>
    <w:rsid w:val="00F65F6B"/>
    <w:rsid w:val="00F66179"/>
    <w:rsid w:val="00F665D6"/>
    <w:rsid w:val="00F66669"/>
    <w:rsid w:val="00F667B2"/>
    <w:rsid w:val="00F668EA"/>
    <w:rsid w:val="00F66A11"/>
    <w:rsid w:val="00F66A1E"/>
    <w:rsid w:val="00F66A47"/>
    <w:rsid w:val="00F66AA1"/>
    <w:rsid w:val="00F66B2B"/>
    <w:rsid w:val="00F66B37"/>
    <w:rsid w:val="00F66B84"/>
    <w:rsid w:val="00F66CAC"/>
    <w:rsid w:val="00F66CD2"/>
    <w:rsid w:val="00F66EB0"/>
    <w:rsid w:val="00F66F24"/>
    <w:rsid w:val="00F67159"/>
    <w:rsid w:val="00F67395"/>
    <w:rsid w:val="00F673DB"/>
    <w:rsid w:val="00F67627"/>
    <w:rsid w:val="00F67665"/>
    <w:rsid w:val="00F676A6"/>
    <w:rsid w:val="00F67745"/>
    <w:rsid w:val="00F67831"/>
    <w:rsid w:val="00F67846"/>
    <w:rsid w:val="00F6788C"/>
    <w:rsid w:val="00F678D7"/>
    <w:rsid w:val="00F679E0"/>
    <w:rsid w:val="00F679EA"/>
    <w:rsid w:val="00F67A1D"/>
    <w:rsid w:val="00F67AA7"/>
    <w:rsid w:val="00F67B42"/>
    <w:rsid w:val="00F67B6D"/>
    <w:rsid w:val="00F67D7D"/>
    <w:rsid w:val="00F67ED5"/>
    <w:rsid w:val="00F67FC4"/>
    <w:rsid w:val="00F701F5"/>
    <w:rsid w:val="00F704B4"/>
    <w:rsid w:val="00F706E7"/>
    <w:rsid w:val="00F70724"/>
    <w:rsid w:val="00F7075C"/>
    <w:rsid w:val="00F70779"/>
    <w:rsid w:val="00F70782"/>
    <w:rsid w:val="00F7084C"/>
    <w:rsid w:val="00F709EA"/>
    <w:rsid w:val="00F70AAA"/>
    <w:rsid w:val="00F70B68"/>
    <w:rsid w:val="00F70B6B"/>
    <w:rsid w:val="00F70B72"/>
    <w:rsid w:val="00F70CB1"/>
    <w:rsid w:val="00F70DEF"/>
    <w:rsid w:val="00F70E39"/>
    <w:rsid w:val="00F70EA3"/>
    <w:rsid w:val="00F70F5A"/>
    <w:rsid w:val="00F70F9D"/>
    <w:rsid w:val="00F70FAE"/>
    <w:rsid w:val="00F7100D"/>
    <w:rsid w:val="00F71045"/>
    <w:rsid w:val="00F71168"/>
    <w:rsid w:val="00F711C1"/>
    <w:rsid w:val="00F71277"/>
    <w:rsid w:val="00F71307"/>
    <w:rsid w:val="00F71387"/>
    <w:rsid w:val="00F71398"/>
    <w:rsid w:val="00F715C0"/>
    <w:rsid w:val="00F715EE"/>
    <w:rsid w:val="00F71709"/>
    <w:rsid w:val="00F71858"/>
    <w:rsid w:val="00F7196F"/>
    <w:rsid w:val="00F719A7"/>
    <w:rsid w:val="00F719EA"/>
    <w:rsid w:val="00F71CFC"/>
    <w:rsid w:val="00F71EDF"/>
    <w:rsid w:val="00F72092"/>
    <w:rsid w:val="00F720D1"/>
    <w:rsid w:val="00F720D4"/>
    <w:rsid w:val="00F7223C"/>
    <w:rsid w:val="00F722BA"/>
    <w:rsid w:val="00F722D3"/>
    <w:rsid w:val="00F724C1"/>
    <w:rsid w:val="00F724F0"/>
    <w:rsid w:val="00F72620"/>
    <w:rsid w:val="00F72621"/>
    <w:rsid w:val="00F726E8"/>
    <w:rsid w:val="00F7278F"/>
    <w:rsid w:val="00F728E9"/>
    <w:rsid w:val="00F7294C"/>
    <w:rsid w:val="00F729B8"/>
    <w:rsid w:val="00F72A8D"/>
    <w:rsid w:val="00F72C5F"/>
    <w:rsid w:val="00F72D39"/>
    <w:rsid w:val="00F72DEF"/>
    <w:rsid w:val="00F72E10"/>
    <w:rsid w:val="00F72EA3"/>
    <w:rsid w:val="00F72FB4"/>
    <w:rsid w:val="00F72FDB"/>
    <w:rsid w:val="00F73072"/>
    <w:rsid w:val="00F7318F"/>
    <w:rsid w:val="00F73191"/>
    <w:rsid w:val="00F7329C"/>
    <w:rsid w:val="00F73391"/>
    <w:rsid w:val="00F733C8"/>
    <w:rsid w:val="00F733E0"/>
    <w:rsid w:val="00F73549"/>
    <w:rsid w:val="00F73583"/>
    <w:rsid w:val="00F7374E"/>
    <w:rsid w:val="00F73783"/>
    <w:rsid w:val="00F739EF"/>
    <w:rsid w:val="00F739FD"/>
    <w:rsid w:val="00F73B5F"/>
    <w:rsid w:val="00F73BC9"/>
    <w:rsid w:val="00F73CB7"/>
    <w:rsid w:val="00F73CBD"/>
    <w:rsid w:val="00F73D66"/>
    <w:rsid w:val="00F73E34"/>
    <w:rsid w:val="00F73F28"/>
    <w:rsid w:val="00F742A1"/>
    <w:rsid w:val="00F742C0"/>
    <w:rsid w:val="00F74377"/>
    <w:rsid w:val="00F743CE"/>
    <w:rsid w:val="00F744E1"/>
    <w:rsid w:val="00F7468E"/>
    <w:rsid w:val="00F746E7"/>
    <w:rsid w:val="00F746EF"/>
    <w:rsid w:val="00F74746"/>
    <w:rsid w:val="00F748E9"/>
    <w:rsid w:val="00F74A58"/>
    <w:rsid w:val="00F74BE9"/>
    <w:rsid w:val="00F74C3A"/>
    <w:rsid w:val="00F74D31"/>
    <w:rsid w:val="00F74D90"/>
    <w:rsid w:val="00F74EBF"/>
    <w:rsid w:val="00F751C5"/>
    <w:rsid w:val="00F751CA"/>
    <w:rsid w:val="00F7534A"/>
    <w:rsid w:val="00F754C5"/>
    <w:rsid w:val="00F755E8"/>
    <w:rsid w:val="00F7573E"/>
    <w:rsid w:val="00F75782"/>
    <w:rsid w:val="00F75887"/>
    <w:rsid w:val="00F75894"/>
    <w:rsid w:val="00F75963"/>
    <w:rsid w:val="00F75A1A"/>
    <w:rsid w:val="00F75C32"/>
    <w:rsid w:val="00F75D78"/>
    <w:rsid w:val="00F75E23"/>
    <w:rsid w:val="00F75E37"/>
    <w:rsid w:val="00F75E93"/>
    <w:rsid w:val="00F7648A"/>
    <w:rsid w:val="00F764A6"/>
    <w:rsid w:val="00F765FE"/>
    <w:rsid w:val="00F76619"/>
    <w:rsid w:val="00F7693C"/>
    <w:rsid w:val="00F7693F"/>
    <w:rsid w:val="00F76968"/>
    <w:rsid w:val="00F769D5"/>
    <w:rsid w:val="00F769E5"/>
    <w:rsid w:val="00F769EC"/>
    <w:rsid w:val="00F76B04"/>
    <w:rsid w:val="00F76B3C"/>
    <w:rsid w:val="00F76BC1"/>
    <w:rsid w:val="00F76C63"/>
    <w:rsid w:val="00F76CE1"/>
    <w:rsid w:val="00F76EA7"/>
    <w:rsid w:val="00F76ED2"/>
    <w:rsid w:val="00F76F80"/>
    <w:rsid w:val="00F76F87"/>
    <w:rsid w:val="00F77009"/>
    <w:rsid w:val="00F77052"/>
    <w:rsid w:val="00F77345"/>
    <w:rsid w:val="00F7734D"/>
    <w:rsid w:val="00F77568"/>
    <w:rsid w:val="00F77646"/>
    <w:rsid w:val="00F77741"/>
    <w:rsid w:val="00F77742"/>
    <w:rsid w:val="00F777D5"/>
    <w:rsid w:val="00F77803"/>
    <w:rsid w:val="00F7786F"/>
    <w:rsid w:val="00F7788C"/>
    <w:rsid w:val="00F7788D"/>
    <w:rsid w:val="00F77971"/>
    <w:rsid w:val="00F77986"/>
    <w:rsid w:val="00F779D3"/>
    <w:rsid w:val="00F77BF1"/>
    <w:rsid w:val="00F77C38"/>
    <w:rsid w:val="00F77F10"/>
    <w:rsid w:val="00F80003"/>
    <w:rsid w:val="00F8010E"/>
    <w:rsid w:val="00F80112"/>
    <w:rsid w:val="00F80152"/>
    <w:rsid w:val="00F802AD"/>
    <w:rsid w:val="00F802F1"/>
    <w:rsid w:val="00F80552"/>
    <w:rsid w:val="00F805AF"/>
    <w:rsid w:val="00F80605"/>
    <w:rsid w:val="00F807DE"/>
    <w:rsid w:val="00F80849"/>
    <w:rsid w:val="00F809A0"/>
    <w:rsid w:val="00F80BC6"/>
    <w:rsid w:val="00F80C1D"/>
    <w:rsid w:val="00F80DFA"/>
    <w:rsid w:val="00F80FCF"/>
    <w:rsid w:val="00F8103F"/>
    <w:rsid w:val="00F81130"/>
    <w:rsid w:val="00F811D1"/>
    <w:rsid w:val="00F812F1"/>
    <w:rsid w:val="00F8134E"/>
    <w:rsid w:val="00F813DF"/>
    <w:rsid w:val="00F8141C"/>
    <w:rsid w:val="00F814FE"/>
    <w:rsid w:val="00F81500"/>
    <w:rsid w:val="00F81592"/>
    <w:rsid w:val="00F815F1"/>
    <w:rsid w:val="00F816BC"/>
    <w:rsid w:val="00F8185D"/>
    <w:rsid w:val="00F81882"/>
    <w:rsid w:val="00F8189F"/>
    <w:rsid w:val="00F818F7"/>
    <w:rsid w:val="00F8195E"/>
    <w:rsid w:val="00F81A86"/>
    <w:rsid w:val="00F81B46"/>
    <w:rsid w:val="00F81B70"/>
    <w:rsid w:val="00F81BBB"/>
    <w:rsid w:val="00F81BC6"/>
    <w:rsid w:val="00F81C2F"/>
    <w:rsid w:val="00F81C5F"/>
    <w:rsid w:val="00F81C66"/>
    <w:rsid w:val="00F81D29"/>
    <w:rsid w:val="00F82049"/>
    <w:rsid w:val="00F820E6"/>
    <w:rsid w:val="00F821AA"/>
    <w:rsid w:val="00F823E6"/>
    <w:rsid w:val="00F82431"/>
    <w:rsid w:val="00F824A0"/>
    <w:rsid w:val="00F8252D"/>
    <w:rsid w:val="00F82615"/>
    <w:rsid w:val="00F82672"/>
    <w:rsid w:val="00F826CB"/>
    <w:rsid w:val="00F826CE"/>
    <w:rsid w:val="00F82739"/>
    <w:rsid w:val="00F827A0"/>
    <w:rsid w:val="00F82A1E"/>
    <w:rsid w:val="00F82AC5"/>
    <w:rsid w:val="00F82B14"/>
    <w:rsid w:val="00F82B4C"/>
    <w:rsid w:val="00F82C7C"/>
    <w:rsid w:val="00F82D13"/>
    <w:rsid w:val="00F82DE4"/>
    <w:rsid w:val="00F82DE8"/>
    <w:rsid w:val="00F82E23"/>
    <w:rsid w:val="00F82F14"/>
    <w:rsid w:val="00F82FB2"/>
    <w:rsid w:val="00F8305A"/>
    <w:rsid w:val="00F830C6"/>
    <w:rsid w:val="00F83129"/>
    <w:rsid w:val="00F831F9"/>
    <w:rsid w:val="00F83216"/>
    <w:rsid w:val="00F8325D"/>
    <w:rsid w:val="00F832A9"/>
    <w:rsid w:val="00F832B0"/>
    <w:rsid w:val="00F832F0"/>
    <w:rsid w:val="00F83307"/>
    <w:rsid w:val="00F833A5"/>
    <w:rsid w:val="00F836AB"/>
    <w:rsid w:val="00F8371E"/>
    <w:rsid w:val="00F839C1"/>
    <w:rsid w:val="00F839EB"/>
    <w:rsid w:val="00F83A43"/>
    <w:rsid w:val="00F83D22"/>
    <w:rsid w:val="00F83D39"/>
    <w:rsid w:val="00F83ECA"/>
    <w:rsid w:val="00F84045"/>
    <w:rsid w:val="00F84109"/>
    <w:rsid w:val="00F84158"/>
    <w:rsid w:val="00F841A0"/>
    <w:rsid w:val="00F841DC"/>
    <w:rsid w:val="00F84203"/>
    <w:rsid w:val="00F844AA"/>
    <w:rsid w:val="00F844D3"/>
    <w:rsid w:val="00F84591"/>
    <w:rsid w:val="00F84629"/>
    <w:rsid w:val="00F84760"/>
    <w:rsid w:val="00F84865"/>
    <w:rsid w:val="00F849A1"/>
    <w:rsid w:val="00F849F5"/>
    <w:rsid w:val="00F84A6E"/>
    <w:rsid w:val="00F84B39"/>
    <w:rsid w:val="00F84B71"/>
    <w:rsid w:val="00F84D14"/>
    <w:rsid w:val="00F84E3E"/>
    <w:rsid w:val="00F84E81"/>
    <w:rsid w:val="00F84F0E"/>
    <w:rsid w:val="00F8519E"/>
    <w:rsid w:val="00F8534F"/>
    <w:rsid w:val="00F85489"/>
    <w:rsid w:val="00F8553B"/>
    <w:rsid w:val="00F85663"/>
    <w:rsid w:val="00F85700"/>
    <w:rsid w:val="00F85846"/>
    <w:rsid w:val="00F858E8"/>
    <w:rsid w:val="00F85C44"/>
    <w:rsid w:val="00F85C5A"/>
    <w:rsid w:val="00F85CA9"/>
    <w:rsid w:val="00F85FD3"/>
    <w:rsid w:val="00F85FF5"/>
    <w:rsid w:val="00F860ED"/>
    <w:rsid w:val="00F86157"/>
    <w:rsid w:val="00F86183"/>
    <w:rsid w:val="00F8618E"/>
    <w:rsid w:val="00F862AD"/>
    <w:rsid w:val="00F86386"/>
    <w:rsid w:val="00F8644F"/>
    <w:rsid w:val="00F86453"/>
    <w:rsid w:val="00F86619"/>
    <w:rsid w:val="00F866AE"/>
    <w:rsid w:val="00F8684E"/>
    <w:rsid w:val="00F8697F"/>
    <w:rsid w:val="00F869B2"/>
    <w:rsid w:val="00F86A2D"/>
    <w:rsid w:val="00F86AB9"/>
    <w:rsid w:val="00F86BB4"/>
    <w:rsid w:val="00F86C98"/>
    <w:rsid w:val="00F86DA4"/>
    <w:rsid w:val="00F86E0A"/>
    <w:rsid w:val="00F86ED3"/>
    <w:rsid w:val="00F86EE6"/>
    <w:rsid w:val="00F86F54"/>
    <w:rsid w:val="00F870C5"/>
    <w:rsid w:val="00F870F5"/>
    <w:rsid w:val="00F87324"/>
    <w:rsid w:val="00F87342"/>
    <w:rsid w:val="00F87409"/>
    <w:rsid w:val="00F87566"/>
    <w:rsid w:val="00F8765E"/>
    <w:rsid w:val="00F876DD"/>
    <w:rsid w:val="00F8779C"/>
    <w:rsid w:val="00F8780F"/>
    <w:rsid w:val="00F87969"/>
    <w:rsid w:val="00F879E5"/>
    <w:rsid w:val="00F87CE5"/>
    <w:rsid w:val="00F87D55"/>
    <w:rsid w:val="00F87E02"/>
    <w:rsid w:val="00F87F4A"/>
    <w:rsid w:val="00F87FAE"/>
    <w:rsid w:val="00F9018C"/>
    <w:rsid w:val="00F901BD"/>
    <w:rsid w:val="00F90246"/>
    <w:rsid w:val="00F902B9"/>
    <w:rsid w:val="00F902D2"/>
    <w:rsid w:val="00F90362"/>
    <w:rsid w:val="00F903BD"/>
    <w:rsid w:val="00F90756"/>
    <w:rsid w:val="00F909F8"/>
    <w:rsid w:val="00F90B07"/>
    <w:rsid w:val="00F90B12"/>
    <w:rsid w:val="00F90B9E"/>
    <w:rsid w:val="00F90BD5"/>
    <w:rsid w:val="00F90C01"/>
    <w:rsid w:val="00F90C36"/>
    <w:rsid w:val="00F90CBD"/>
    <w:rsid w:val="00F90E35"/>
    <w:rsid w:val="00F90F62"/>
    <w:rsid w:val="00F90FA1"/>
    <w:rsid w:val="00F9108A"/>
    <w:rsid w:val="00F9109E"/>
    <w:rsid w:val="00F910B5"/>
    <w:rsid w:val="00F91122"/>
    <w:rsid w:val="00F91138"/>
    <w:rsid w:val="00F91253"/>
    <w:rsid w:val="00F912ED"/>
    <w:rsid w:val="00F9139A"/>
    <w:rsid w:val="00F913BF"/>
    <w:rsid w:val="00F915F9"/>
    <w:rsid w:val="00F9175A"/>
    <w:rsid w:val="00F9177E"/>
    <w:rsid w:val="00F917A5"/>
    <w:rsid w:val="00F9189C"/>
    <w:rsid w:val="00F9192D"/>
    <w:rsid w:val="00F91C81"/>
    <w:rsid w:val="00F91E4F"/>
    <w:rsid w:val="00F91FDF"/>
    <w:rsid w:val="00F92487"/>
    <w:rsid w:val="00F924CE"/>
    <w:rsid w:val="00F925AB"/>
    <w:rsid w:val="00F92647"/>
    <w:rsid w:val="00F92653"/>
    <w:rsid w:val="00F9266B"/>
    <w:rsid w:val="00F92678"/>
    <w:rsid w:val="00F926E6"/>
    <w:rsid w:val="00F92717"/>
    <w:rsid w:val="00F9284A"/>
    <w:rsid w:val="00F929B2"/>
    <w:rsid w:val="00F929FE"/>
    <w:rsid w:val="00F92A2A"/>
    <w:rsid w:val="00F92AA1"/>
    <w:rsid w:val="00F92C51"/>
    <w:rsid w:val="00F92D96"/>
    <w:rsid w:val="00F92DF7"/>
    <w:rsid w:val="00F92E0E"/>
    <w:rsid w:val="00F92E23"/>
    <w:rsid w:val="00F92EC4"/>
    <w:rsid w:val="00F92FDC"/>
    <w:rsid w:val="00F931D2"/>
    <w:rsid w:val="00F93257"/>
    <w:rsid w:val="00F933BB"/>
    <w:rsid w:val="00F93431"/>
    <w:rsid w:val="00F93437"/>
    <w:rsid w:val="00F935D1"/>
    <w:rsid w:val="00F935DA"/>
    <w:rsid w:val="00F93781"/>
    <w:rsid w:val="00F937B8"/>
    <w:rsid w:val="00F9397B"/>
    <w:rsid w:val="00F9399C"/>
    <w:rsid w:val="00F93A4A"/>
    <w:rsid w:val="00F93A55"/>
    <w:rsid w:val="00F93AE4"/>
    <w:rsid w:val="00F93B0B"/>
    <w:rsid w:val="00F93B20"/>
    <w:rsid w:val="00F93D27"/>
    <w:rsid w:val="00F93D42"/>
    <w:rsid w:val="00F93E99"/>
    <w:rsid w:val="00F94084"/>
    <w:rsid w:val="00F942CB"/>
    <w:rsid w:val="00F9435E"/>
    <w:rsid w:val="00F943A1"/>
    <w:rsid w:val="00F943EC"/>
    <w:rsid w:val="00F9453C"/>
    <w:rsid w:val="00F945F8"/>
    <w:rsid w:val="00F94632"/>
    <w:rsid w:val="00F94748"/>
    <w:rsid w:val="00F94877"/>
    <w:rsid w:val="00F949E4"/>
    <w:rsid w:val="00F94B66"/>
    <w:rsid w:val="00F94DE5"/>
    <w:rsid w:val="00F94DFF"/>
    <w:rsid w:val="00F94E89"/>
    <w:rsid w:val="00F94FF3"/>
    <w:rsid w:val="00F95276"/>
    <w:rsid w:val="00F952A1"/>
    <w:rsid w:val="00F953F6"/>
    <w:rsid w:val="00F954B3"/>
    <w:rsid w:val="00F95530"/>
    <w:rsid w:val="00F95AA0"/>
    <w:rsid w:val="00F95B03"/>
    <w:rsid w:val="00F95B9D"/>
    <w:rsid w:val="00F95BEC"/>
    <w:rsid w:val="00F95D46"/>
    <w:rsid w:val="00F95DD6"/>
    <w:rsid w:val="00F95DFF"/>
    <w:rsid w:val="00F95EA8"/>
    <w:rsid w:val="00F960E3"/>
    <w:rsid w:val="00F96148"/>
    <w:rsid w:val="00F96199"/>
    <w:rsid w:val="00F96301"/>
    <w:rsid w:val="00F96370"/>
    <w:rsid w:val="00F96609"/>
    <w:rsid w:val="00F9669F"/>
    <w:rsid w:val="00F9674C"/>
    <w:rsid w:val="00F969C9"/>
    <w:rsid w:val="00F96A06"/>
    <w:rsid w:val="00F96A2F"/>
    <w:rsid w:val="00F96BD7"/>
    <w:rsid w:val="00F96C0A"/>
    <w:rsid w:val="00F96CF2"/>
    <w:rsid w:val="00F96DA9"/>
    <w:rsid w:val="00F96DCD"/>
    <w:rsid w:val="00F96E60"/>
    <w:rsid w:val="00F96FFC"/>
    <w:rsid w:val="00F97022"/>
    <w:rsid w:val="00F970D7"/>
    <w:rsid w:val="00F970E2"/>
    <w:rsid w:val="00F97226"/>
    <w:rsid w:val="00F9742F"/>
    <w:rsid w:val="00F97450"/>
    <w:rsid w:val="00F97677"/>
    <w:rsid w:val="00F97774"/>
    <w:rsid w:val="00F977F4"/>
    <w:rsid w:val="00F97940"/>
    <w:rsid w:val="00F979AD"/>
    <w:rsid w:val="00F97A43"/>
    <w:rsid w:val="00F97B83"/>
    <w:rsid w:val="00F97B98"/>
    <w:rsid w:val="00F97BA3"/>
    <w:rsid w:val="00F97C49"/>
    <w:rsid w:val="00F97D10"/>
    <w:rsid w:val="00F97DB3"/>
    <w:rsid w:val="00F97E14"/>
    <w:rsid w:val="00F97E2B"/>
    <w:rsid w:val="00F97EA2"/>
    <w:rsid w:val="00F97F0D"/>
    <w:rsid w:val="00F97F7D"/>
    <w:rsid w:val="00F97FC1"/>
    <w:rsid w:val="00FA00CA"/>
    <w:rsid w:val="00FA00D7"/>
    <w:rsid w:val="00FA01E3"/>
    <w:rsid w:val="00FA0244"/>
    <w:rsid w:val="00FA0258"/>
    <w:rsid w:val="00FA0293"/>
    <w:rsid w:val="00FA02EB"/>
    <w:rsid w:val="00FA032A"/>
    <w:rsid w:val="00FA0351"/>
    <w:rsid w:val="00FA049C"/>
    <w:rsid w:val="00FA066D"/>
    <w:rsid w:val="00FA06C1"/>
    <w:rsid w:val="00FA074F"/>
    <w:rsid w:val="00FA075A"/>
    <w:rsid w:val="00FA0775"/>
    <w:rsid w:val="00FA0790"/>
    <w:rsid w:val="00FA07E1"/>
    <w:rsid w:val="00FA0880"/>
    <w:rsid w:val="00FA088B"/>
    <w:rsid w:val="00FA0890"/>
    <w:rsid w:val="00FA0985"/>
    <w:rsid w:val="00FA0B0A"/>
    <w:rsid w:val="00FA0D46"/>
    <w:rsid w:val="00FA0DDF"/>
    <w:rsid w:val="00FA0E8C"/>
    <w:rsid w:val="00FA0F04"/>
    <w:rsid w:val="00FA0F0F"/>
    <w:rsid w:val="00FA1092"/>
    <w:rsid w:val="00FA121C"/>
    <w:rsid w:val="00FA12E7"/>
    <w:rsid w:val="00FA131D"/>
    <w:rsid w:val="00FA1380"/>
    <w:rsid w:val="00FA1407"/>
    <w:rsid w:val="00FA1549"/>
    <w:rsid w:val="00FA1584"/>
    <w:rsid w:val="00FA1652"/>
    <w:rsid w:val="00FA1715"/>
    <w:rsid w:val="00FA1888"/>
    <w:rsid w:val="00FA18CF"/>
    <w:rsid w:val="00FA1A68"/>
    <w:rsid w:val="00FA1A94"/>
    <w:rsid w:val="00FA1A9D"/>
    <w:rsid w:val="00FA1ABC"/>
    <w:rsid w:val="00FA1B1A"/>
    <w:rsid w:val="00FA1BB3"/>
    <w:rsid w:val="00FA1CE0"/>
    <w:rsid w:val="00FA1CF9"/>
    <w:rsid w:val="00FA1E3A"/>
    <w:rsid w:val="00FA1EDD"/>
    <w:rsid w:val="00FA1FDB"/>
    <w:rsid w:val="00FA211F"/>
    <w:rsid w:val="00FA226E"/>
    <w:rsid w:val="00FA2375"/>
    <w:rsid w:val="00FA2377"/>
    <w:rsid w:val="00FA23D6"/>
    <w:rsid w:val="00FA240A"/>
    <w:rsid w:val="00FA240E"/>
    <w:rsid w:val="00FA251F"/>
    <w:rsid w:val="00FA2546"/>
    <w:rsid w:val="00FA2562"/>
    <w:rsid w:val="00FA25E6"/>
    <w:rsid w:val="00FA2650"/>
    <w:rsid w:val="00FA273A"/>
    <w:rsid w:val="00FA2747"/>
    <w:rsid w:val="00FA288D"/>
    <w:rsid w:val="00FA291B"/>
    <w:rsid w:val="00FA29AF"/>
    <w:rsid w:val="00FA2A33"/>
    <w:rsid w:val="00FA2A83"/>
    <w:rsid w:val="00FA2B2B"/>
    <w:rsid w:val="00FA2C8F"/>
    <w:rsid w:val="00FA2CF7"/>
    <w:rsid w:val="00FA2E59"/>
    <w:rsid w:val="00FA301C"/>
    <w:rsid w:val="00FA31D0"/>
    <w:rsid w:val="00FA32A2"/>
    <w:rsid w:val="00FA335F"/>
    <w:rsid w:val="00FA336E"/>
    <w:rsid w:val="00FA33C0"/>
    <w:rsid w:val="00FA3410"/>
    <w:rsid w:val="00FA348E"/>
    <w:rsid w:val="00FA354C"/>
    <w:rsid w:val="00FA360B"/>
    <w:rsid w:val="00FA367E"/>
    <w:rsid w:val="00FA372B"/>
    <w:rsid w:val="00FA379A"/>
    <w:rsid w:val="00FA3860"/>
    <w:rsid w:val="00FA38B0"/>
    <w:rsid w:val="00FA38FC"/>
    <w:rsid w:val="00FA397C"/>
    <w:rsid w:val="00FA3A50"/>
    <w:rsid w:val="00FA3AFD"/>
    <w:rsid w:val="00FA3C7B"/>
    <w:rsid w:val="00FA3E3D"/>
    <w:rsid w:val="00FA3FA3"/>
    <w:rsid w:val="00FA44E8"/>
    <w:rsid w:val="00FA45D2"/>
    <w:rsid w:val="00FA4763"/>
    <w:rsid w:val="00FA4830"/>
    <w:rsid w:val="00FA48E6"/>
    <w:rsid w:val="00FA48ED"/>
    <w:rsid w:val="00FA4906"/>
    <w:rsid w:val="00FA4995"/>
    <w:rsid w:val="00FA4A20"/>
    <w:rsid w:val="00FA4A5E"/>
    <w:rsid w:val="00FA4ACB"/>
    <w:rsid w:val="00FA4BF0"/>
    <w:rsid w:val="00FA4C4C"/>
    <w:rsid w:val="00FA4F13"/>
    <w:rsid w:val="00FA5000"/>
    <w:rsid w:val="00FA5032"/>
    <w:rsid w:val="00FA5074"/>
    <w:rsid w:val="00FA50F4"/>
    <w:rsid w:val="00FA5197"/>
    <w:rsid w:val="00FA51BB"/>
    <w:rsid w:val="00FA5468"/>
    <w:rsid w:val="00FA5579"/>
    <w:rsid w:val="00FA5656"/>
    <w:rsid w:val="00FA57B6"/>
    <w:rsid w:val="00FA57F2"/>
    <w:rsid w:val="00FA5974"/>
    <w:rsid w:val="00FA5B71"/>
    <w:rsid w:val="00FA5D60"/>
    <w:rsid w:val="00FA5DEC"/>
    <w:rsid w:val="00FA5E6D"/>
    <w:rsid w:val="00FA5F06"/>
    <w:rsid w:val="00FA5F23"/>
    <w:rsid w:val="00FA62CE"/>
    <w:rsid w:val="00FA63E1"/>
    <w:rsid w:val="00FA6438"/>
    <w:rsid w:val="00FA6592"/>
    <w:rsid w:val="00FA65E6"/>
    <w:rsid w:val="00FA665D"/>
    <w:rsid w:val="00FA671E"/>
    <w:rsid w:val="00FA6738"/>
    <w:rsid w:val="00FA6744"/>
    <w:rsid w:val="00FA696B"/>
    <w:rsid w:val="00FA6980"/>
    <w:rsid w:val="00FA69FC"/>
    <w:rsid w:val="00FA6A03"/>
    <w:rsid w:val="00FA6A14"/>
    <w:rsid w:val="00FA6A5D"/>
    <w:rsid w:val="00FA6B5B"/>
    <w:rsid w:val="00FA6B65"/>
    <w:rsid w:val="00FA6B7E"/>
    <w:rsid w:val="00FA6BAB"/>
    <w:rsid w:val="00FA6CDF"/>
    <w:rsid w:val="00FA6D5A"/>
    <w:rsid w:val="00FA6DAD"/>
    <w:rsid w:val="00FA6EB5"/>
    <w:rsid w:val="00FA6F90"/>
    <w:rsid w:val="00FA6FFA"/>
    <w:rsid w:val="00FA7192"/>
    <w:rsid w:val="00FA71B9"/>
    <w:rsid w:val="00FA731B"/>
    <w:rsid w:val="00FA73D0"/>
    <w:rsid w:val="00FA7513"/>
    <w:rsid w:val="00FA7529"/>
    <w:rsid w:val="00FA7531"/>
    <w:rsid w:val="00FA7540"/>
    <w:rsid w:val="00FA75C6"/>
    <w:rsid w:val="00FA75E2"/>
    <w:rsid w:val="00FA7699"/>
    <w:rsid w:val="00FA76EB"/>
    <w:rsid w:val="00FA76F5"/>
    <w:rsid w:val="00FA77AD"/>
    <w:rsid w:val="00FA77D1"/>
    <w:rsid w:val="00FA77FB"/>
    <w:rsid w:val="00FA7807"/>
    <w:rsid w:val="00FA78C1"/>
    <w:rsid w:val="00FA790C"/>
    <w:rsid w:val="00FA79AC"/>
    <w:rsid w:val="00FA7A9E"/>
    <w:rsid w:val="00FA7BB5"/>
    <w:rsid w:val="00FA7BD3"/>
    <w:rsid w:val="00FA7C85"/>
    <w:rsid w:val="00FA7EAB"/>
    <w:rsid w:val="00FB014E"/>
    <w:rsid w:val="00FB0489"/>
    <w:rsid w:val="00FB05A8"/>
    <w:rsid w:val="00FB05BF"/>
    <w:rsid w:val="00FB07CB"/>
    <w:rsid w:val="00FB0817"/>
    <w:rsid w:val="00FB0820"/>
    <w:rsid w:val="00FB0824"/>
    <w:rsid w:val="00FB0971"/>
    <w:rsid w:val="00FB0B6B"/>
    <w:rsid w:val="00FB0B92"/>
    <w:rsid w:val="00FB0C60"/>
    <w:rsid w:val="00FB0C6D"/>
    <w:rsid w:val="00FB0CC4"/>
    <w:rsid w:val="00FB0CCA"/>
    <w:rsid w:val="00FB0CD7"/>
    <w:rsid w:val="00FB0D89"/>
    <w:rsid w:val="00FB0DFE"/>
    <w:rsid w:val="00FB0F32"/>
    <w:rsid w:val="00FB0FA4"/>
    <w:rsid w:val="00FB1050"/>
    <w:rsid w:val="00FB10A9"/>
    <w:rsid w:val="00FB1207"/>
    <w:rsid w:val="00FB1224"/>
    <w:rsid w:val="00FB12D8"/>
    <w:rsid w:val="00FB1441"/>
    <w:rsid w:val="00FB163C"/>
    <w:rsid w:val="00FB16EC"/>
    <w:rsid w:val="00FB1705"/>
    <w:rsid w:val="00FB174B"/>
    <w:rsid w:val="00FB176A"/>
    <w:rsid w:val="00FB18BF"/>
    <w:rsid w:val="00FB1AB1"/>
    <w:rsid w:val="00FB1C64"/>
    <w:rsid w:val="00FB1CDC"/>
    <w:rsid w:val="00FB1F7C"/>
    <w:rsid w:val="00FB1FBA"/>
    <w:rsid w:val="00FB2047"/>
    <w:rsid w:val="00FB219D"/>
    <w:rsid w:val="00FB228C"/>
    <w:rsid w:val="00FB2364"/>
    <w:rsid w:val="00FB238A"/>
    <w:rsid w:val="00FB2446"/>
    <w:rsid w:val="00FB249B"/>
    <w:rsid w:val="00FB24A3"/>
    <w:rsid w:val="00FB2548"/>
    <w:rsid w:val="00FB25A6"/>
    <w:rsid w:val="00FB263D"/>
    <w:rsid w:val="00FB26BE"/>
    <w:rsid w:val="00FB26C0"/>
    <w:rsid w:val="00FB2720"/>
    <w:rsid w:val="00FB27BE"/>
    <w:rsid w:val="00FB2897"/>
    <w:rsid w:val="00FB29F4"/>
    <w:rsid w:val="00FB2A79"/>
    <w:rsid w:val="00FB2B3B"/>
    <w:rsid w:val="00FB2BA0"/>
    <w:rsid w:val="00FB2C81"/>
    <w:rsid w:val="00FB2CD4"/>
    <w:rsid w:val="00FB2D73"/>
    <w:rsid w:val="00FB2D9A"/>
    <w:rsid w:val="00FB2D9D"/>
    <w:rsid w:val="00FB2DBA"/>
    <w:rsid w:val="00FB2E28"/>
    <w:rsid w:val="00FB2E2A"/>
    <w:rsid w:val="00FB2F19"/>
    <w:rsid w:val="00FB2F6F"/>
    <w:rsid w:val="00FB3067"/>
    <w:rsid w:val="00FB31BC"/>
    <w:rsid w:val="00FB32B8"/>
    <w:rsid w:val="00FB3331"/>
    <w:rsid w:val="00FB34E6"/>
    <w:rsid w:val="00FB3576"/>
    <w:rsid w:val="00FB361C"/>
    <w:rsid w:val="00FB362B"/>
    <w:rsid w:val="00FB364C"/>
    <w:rsid w:val="00FB3765"/>
    <w:rsid w:val="00FB37D2"/>
    <w:rsid w:val="00FB3A2B"/>
    <w:rsid w:val="00FB3A9E"/>
    <w:rsid w:val="00FB3B65"/>
    <w:rsid w:val="00FB3BB3"/>
    <w:rsid w:val="00FB3BC4"/>
    <w:rsid w:val="00FB3C28"/>
    <w:rsid w:val="00FB3C9B"/>
    <w:rsid w:val="00FB3CDF"/>
    <w:rsid w:val="00FB3CEA"/>
    <w:rsid w:val="00FB3D2A"/>
    <w:rsid w:val="00FB3D9F"/>
    <w:rsid w:val="00FB3F1C"/>
    <w:rsid w:val="00FB3F3C"/>
    <w:rsid w:val="00FB3F9C"/>
    <w:rsid w:val="00FB3FDE"/>
    <w:rsid w:val="00FB42B2"/>
    <w:rsid w:val="00FB44FF"/>
    <w:rsid w:val="00FB4676"/>
    <w:rsid w:val="00FB475C"/>
    <w:rsid w:val="00FB47A9"/>
    <w:rsid w:val="00FB4899"/>
    <w:rsid w:val="00FB4906"/>
    <w:rsid w:val="00FB49BF"/>
    <w:rsid w:val="00FB49CD"/>
    <w:rsid w:val="00FB4A27"/>
    <w:rsid w:val="00FB4BF6"/>
    <w:rsid w:val="00FB4DE6"/>
    <w:rsid w:val="00FB4F15"/>
    <w:rsid w:val="00FB503F"/>
    <w:rsid w:val="00FB508A"/>
    <w:rsid w:val="00FB5175"/>
    <w:rsid w:val="00FB52DB"/>
    <w:rsid w:val="00FB53E0"/>
    <w:rsid w:val="00FB5533"/>
    <w:rsid w:val="00FB5552"/>
    <w:rsid w:val="00FB5753"/>
    <w:rsid w:val="00FB5789"/>
    <w:rsid w:val="00FB58FC"/>
    <w:rsid w:val="00FB5944"/>
    <w:rsid w:val="00FB5A05"/>
    <w:rsid w:val="00FB5ABE"/>
    <w:rsid w:val="00FB5B4C"/>
    <w:rsid w:val="00FB5BF5"/>
    <w:rsid w:val="00FB5D0B"/>
    <w:rsid w:val="00FB5E47"/>
    <w:rsid w:val="00FB5EA1"/>
    <w:rsid w:val="00FB5F3A"/>
    <w:rsid w:val="00FB5F66"/>
    <w:rsid w:val="00FB623E"/>
    <w:rsid w:val="00FB6382"/>
    <w:rsid w:val="00FB640A"/>
    <w:rsid w:val="00FB6455"/>
    <w:rsid w:val="00FB6458"/>
    <w:rsid w:val="00FB6554"/>
    <w:rsid w:val="00FB6565"/>
    <w:rsid w:val="00FB66FE"/>
    <w:rsid w:val="00FB6960"/>
    <w:rsid w:val="00FB6A7F"/>
    <w:rsid w:val="00FB6AA9"/>
    <w:rsid w:val="00FB6AD4"/>
    <w:rsid w:val="00FB6B56"/>
    <w:rsid w:val="00FB6B99"/>
    <w:rsid w:val="00FB6C67"/>
    <w:rsid w:val="00FB6CFE"/>
    <w:rsid w:val="00FB6D5E"/>
    <w:rsid w:val="00FB6DEB"/>
    <w:rsid w:val="00FB6EBF"/>
    <w:rsid w:val="00FB6EE1"/>
    <w:rsid w:val="00FB6F22"/>
    <w:rsid w:val="00FB6F30"/>
    <w:rsid w:val="00FB7106"/>
    <w:rsid w:val="00FB71E0"/>
    <w:rsid w:val="00FB7229"/>
    <w:rsid w:val="00FB72A2"/>
    <w:rsid w:val="00FB72DE"/>
    <w:rsid w:val="00FB7337"/>
    <w:rsid w:val="00FB7525"/>
    <w:rsid w:val="00FB75A3"/>
    <w:rsid w:val="00FB75E6"/>
    <w:rsid w:val="00FB7626"/>
    <w:rsid w:val="00FB7628"/>
    <w:rsid w:val="00FB764D"/>
    <w:rsid w:val="00FB77FE"/>
    <w:rsid w:val="00FB7904"/>
    <w:rsid w:val="00FB7AE7"/>
    <w:rsid w:val="00FB7B16"/>
    <w:rsid w:val="00FB7B56"/>
    <w:rsid w:val="00FB7D4A"/>
    <w:rsid w:val="00FB7D5A"/>
    <w:rsid w:val="00FB7DB0"/>
    <w:rsid w:val="00FB7DDB"/>
    <w:rsid w:val="00FB7F22"/>
    <w:rsid w:val="00FB7F2F"/>
    <w:rsid w:val="00FC002A"/>
    <w:rsid w:val="00FC00F3"/>
    <w:rsid w:val="00FC0165"/>
    <w:rsid w:val="00FC0356"/>
    <w:rsid w:val="00FC0360"/>
    <w:rsid w:val="00FC039F"/>
    <w:rsid w:val="00FC0582"/>
    <w:rsid w:val="00FC068A"/>
    <w:rsid w:val="00FC07DE"/>
    <w:rsid w:val="00FC0868"/>
    <w:rsid w:val="00FC0889"/>
    <w:rsid w:val="00FC08B9"/>
    <w:rsid w:val="00FC08D2"/>
    <w:rsid w:val="00FC094E"/>
    <w:rsid w:val="00FC0989"/>
    <w:rsid w:val="00FC0A33"/>
    <w:rsid w:val="00FC0A64"/>
    <w:rsid w:val="00FC0A80"/>
    <w:rsid w:val="00FC0CB4"/>
    <w:rsid w:val="00FC0E9D"/>
    <w:rsid w:val="00FC0F2B"/>
    <w:rsid w:val="00FC0FB2"/>
    <w:rsid w:val="00FC100A"/>
    <w:rsid w:val="00FC107B"/>
    <w:rsid w:val="00FC11B0"/>
    <w:rsid w:val="00FC11EC"/>
    <w:rsid w:val="00FC11FC"/>
    <w:rsid w:val="00FC12AA"/>
    <w:rsid w:val="00FC133B"/>
    <w:rsid w:val="00FC1372"/>
    <w:rsid w:val="00FC1416"/>
    <w:rsid w:val="00FC148B"/>
    <w:rsid w:val="00FC14B2"/>
    <w:rsid w:val="00FC1662"/>
    <w:rsid w:val="00FC16F5"/>
    <w:rsid w:val="00FC1823"/>
    <w:rsid w:val="00FC1878"/>
    <w:rsid w:val="00FC1A53"/>
    <w:rsid w:val="00FC1AEE"/>
    <w:rsid w:val="00FC1BEC"/>
    <w:rsid w:val="00FC1BF4"/>
    <w:rsid w:val="00FC1C3D"/>
    <w:rsid w:val="00FC1CD5"/>
    <w:rsid w:val="00FC1D9B"/>
    <w:rsid w:val="00FC2069"/>
    <w:rsid w:val="00FC20A4"/>
    <w:rsid w:val="00FC20C2"/>
    <w:rsid w:val="00FC2198"/>
    <w:rsid w:val="00FC23F8"/>
    <w:rsid w:val="00FC24DF"/>
    <w:rsid w:val="00FC2678"/>
    <w:rsid w:val="00FC26A4"/>
    <w:rsid w:val="00FC26E5"/>
    <w:rsid w:val="00FC26E9"/>
    <w:rsid w:val="00FC270C"/>
    <w:rsid w:val="00FC2740"/>
    <w:rsid w:val="00FC281A"/>
    <w:rsid w:val="00FC283D"/>
    <w:rsid w:val="00FC294E"/>
    <w:rsid w:val="00FC2B2A"/>
    <w:rsid w:val="00FC2C20"/>
    <w:rsid w:val="00FC2C93"/>
    <w:rsid w:val="00FC2D35"/>
    <w:rsid w:val="00FC2D88"/>
    <w:rsid w:val="00FC2E84"/>
    <w:rsid w:val="00FC2F52"/>
    <w:rsid w:val="00FC30E7"/>
    <w:rsid w:val="00FC3199"/>
    <w:rsid w:val="00FC31E4"/>
    <w:rsid w:val="00FC3224"/>
    <w:rsid w:val="00FC325A"/>
    <w:rsid w:val="00FC330F"/>
    <w:rsid w:val="00FC3311"/>
    <w:rsid w:val="00FC33C5"/>
    <w:rsid w:val="00FC33ED"/>
    <w:rsid w:val="00FC3421"/>
    <w:rsid w:val="00FC3A07"/>
    <w:rsid w:val="00FC3E67"/>
    <w:rsid w:val="00FC3E78"/>
    <w:rsid w:val="00FC3EA4"/>
    <w:rsid w:val="00FC3EC5"/>
    <w:rsid w:val="00FC3F39"/>
    <w:rsid w:val="00FC3F99"/>
    <w:rsid w:val="00FC403A"/>
    <w:rsid w:val="00FC4042"/>
    <w:rsid w:val="00FC4086"/>
    <w:rsid w:val="00FC43AD"/>
    <w:rsid w:val="00FC44C6"/>
    <w:rsid w:val="00FC4514"/>
    <w:rsid w:val="00FC4550"/>
    <w:rsid w:val="00FC4668"/>
    <w:rsid w:val="00FC4690"/>
    <w:rsid w:val="00FC4B1B"/>
    <w:rsid w:val="00FC4BDF"/>
    <w:rsid w:val="00FC4C64"/>
    <w:rsid w:val="00FC4CDC"/>
    <w:rsid w:val="00FC4E35"/>
    <w:rsid w:val="00FC4E3A"/>
    <w:rsid w:val="00FC4F99"/>
    <w:rsid w:val="00FC504D"/>
    <w:rsid w:val="00FC50DC"/>
    <w:rsid w:val="00FC51A5"/>
    <w:rsid w:val="00FC520D"/>
    <w:rsid w:val="00FC524A"/>
    <w:rsid w:val="00FC529A"/>
    <w:rsid w:val="00FC52ED"/>
    <w:rsid w:val="00FC5319"/>
    <w:rsid w:val="00FC53F6"/>
    <w:rsid w:val="00FC5454"/>
    <w:rsid w:val="00FC5876"/>
    <w:rsid w:val="00FC5A58"/>
    <w:rsid w:val="00FC5A7D"/>
    <w:rsid w:val="00FC5B08"/>
    <w:rsid w:val="00FC5BE1"/>
    <w:rsid w:val="00FC5C82"/>
    <w:rsid w:val="00FC5CE2"/>
    <w:rsid w:val="00FC5E88"/>
    <w:rsid w:val="00FC5FB7"/>
    <w:rsid w:val="00FC6198"/>
    <w:rsid w:val="00FC61A7"/>
    <w:rsid w:val="00FC61AA"/>
    <w:rsid w:val="00FC62F5"/>
    <w:rsid w:val="00FC63AF"/>
    <w:rsid w:val="00FC653A"/>
    <w:rsid w:val="00FC6715"/>
    <w:rsid w:val="00FC693E"/>
    <w:rsid w:val="00FC696C"/>
    <w:rsid w:val="00FC6A98"/>
    <w:rsid w:val="00FC6BA1"/>
    <w:rsid w:val="00FC6BB1"/>
    <w:rsid w:val="00FC6E0B"/>
    <w:rsid w:val="00FC6E30"/>
    <w:rsid w:val="00FC6EAE"/>
    <w:rsid w:val="00FC7053"/>
    <w:rsid w:val="00FC714E"/>
    <w:rsid w:val="00FC731E"/>
    <w:rsid w:val="00FC7377"/>
    <w:rsid w:val="00FC739D"/>
    <w:rsid w:val="00FC74F1"/>
    <w:rsid w:val="00FC75DA"/>
    <w:rsid w:val="00FC75E8"/>
    <w:rsid w:val="00FC7714"/>
    <w:rsid w:val="00FC774E"/>
    <w:rsid w:val="00FC7838"/>
    <w:rsid w:val="00FC78A6"/>
    <w:rsid w:val="00FC7921"/>
    <w:rsid w:val="00FC794B"/>
    <w:rsid w:val="00FC79BC"/>
    <w:rsid w:val="00FC79D5"/>
    <w:rsid w:val="00FC7BC5"/>
    <w:rsid w:val="00FC7EFE"/>
    <w:rsid w:val="00FC7FBD"/>
    <w:rsid w:val="00FD0063"/>
    <w:rsid w:val="00FD0154"/>
    <w:rsid w:val="00FD01E5"/>
    <w:rsid w:val="00FD02EF"/>
    <w:rsid w:val="00FD0334"/>
    <w:rsid w:val="00FD035A"/>
    <w:rsid w:val="00FD03F9"/>
    <w:rsid w:val="00FD040F"/>
    <w:rsid w:val="00FD052F"/>
    <w:rsid w:val="00FD0535"/>
    <w:rsid w:val="00FD068F"/>
    <w:rsid w:val="00FD085A"/>
    <w:rsid w:val="00FD08BD"/>
    <w:rsid w:val="00FD0A9E"/>
    <w:rsid w:val="00FD0E7C"/>
    <w:rsid w:val="00FD0EB6"/>
    <w:rsid w:val="00FD0EBB"/>
    <w:rsid w:val="00FD0ED1"/>
    <w:rsid w:val="00FD0F08"/>
    <w:rsid w:val="00FD1029"/>
    <w:rsid w:val="00FD1034"/>
    <w:rsid w:val="00FD1087"/>
    <w:rsid w:val="00FD10F1"/>
    <w:rsid w:val="00FD1102"/>
    <w:rsid w:val="00FD1132"/>
    <w:rsid w:val="00FD125D"/>
    <w:rsid w:val="00FD12AE"/>
    <w:rsid w:val="00FD137B"/>
    <w:rsid w:val="00FD13DF"/>
    <w:rsid w:val="00FD1472"/>
    <w:rsid w:val="00FD179B"/>
    <w:rsid w:val="00FD17F1"/>
    <w:rsid w:val="00FD18ED"/>
    <w:rsid w:val="00FD1961"/>
    <w:rsid w:val="00FD19AF"/>
    <w:rsid w:val="00FD19F1"/>
    <w:rsid w:val="00FD1A7E"/>
    <w:rsid w:val="00FD1B5F"/>
    <w:rsid w:val="00FD1BEF"/>
    <w:rsid w:val="00FD1D24"/>
    <w:rsid w:val="00FD1E2D"/>
    <w:rsid w:val="00FD1F43"/>
    <w:rsid w:val="00FD1F7D"/>
    <w:rsid w:val="00FD2090"/>
    <w:rsid w:val="00FD23A2"/>
    <w:rsid w:val="00FD23C5"/>
    <w:rsid w:val="00FD242F"/>
    <w:rsid w:val="00FD26D7"/>
    <w:rsid w:val="00FD2702"/>
    <w:rsid w:val="00FD2716"/>
    <w:rsid w:val="00FD28AA"/>
    <w:rsid w:val="00FD28C3"/>
    <w:rsid w:val="00FD2A26"/>
    <w:rsid w:val="00FD2A5D"/>
    <w:rsid w:val="00FD2AC0"/>
    <w:rsid w:val="00FD2AE0"/>
    <w:rsid w:val="00FD2CC3"/>
    <w:rsid w:val="00FD2DE9"/>
    <w:rsid w:val="00FD2DEA"/>
    <w:rsid w:val="00FD2EA1"/>
    <w:rsid w:val="00FD2EC3"/>
    <w:rsid w:val="00FD2F8C"/>
    <w:rsid w:val="00FD30FB"/>
    <w:rsid w:val="00FD317B"/>
    <w:rsid w:val="00FD31A5"/>
    <w:rsid w:val="00FD31BF"/>
    <w:rsid w:val="00FD321C"/>
    <w:rsid w:val="00FD322C"/>
    <w:rsid w:val="00FD3298"/>
    <w:rsid w:val="00FD332A"/>
    <w:rsid w:val="00FD33A1"/>
    <w:rsid w:val="00FD34F7"/>
    <w:rsid w:val="00FD350F"/>
    <w:rsid w:val="00FD35B3"/>
    <w:rsid w:val="00FD3658"/>
    <w:rsid w:val="00FD36D1"/>
    <w:rsid w:val="00FD374A"/>
    <w:rsid w:val="00FD37EF"/>
    <w:rsid w:val="00FD38B9"/>
    <w:rsid w:val="00FD3953"/>
    <w:rsid w:val="00FD397F"/>
    <w:rsid w:val="00FD39CA"/>
    <w:rsid w:val="00FD3ABD"/>
    <w:rsid w:val="00FD3AE0"/>
    <w:rsid w:val="00FD3BDF"/>
    <w:rsid w:val="00FD3C43"/>
    <w:rsid w:val="00FD3C73"/>
    <w:rsid w:val="00FD3CC7"/>
    <w:rsid w:val="00FD3DF5"/>
    <w:rsid w:val="00FD3FF8"/>
    <w:rsid w:val="00FD4148"/>
    <w:rsid w:val="00FD4155"/>
    <w:rsid w:val="00FD4221"/>
    <w:rsid w:val="00FD4775"/>
    <w:rsid w:val="00FD47CA"/>
    <w:rsid w:val="00FD47CC"/>
    <w:rsid w:val="00FD4801"/>
    <w:rsid w:val="00FD4852"/>
    <w:rsid w:val="00FD4B82"/>
    <w:rsid w:val="00FD4C1D"/>
    <w:rsid w:val="00FD4D5B"/>
    <w:rsid w:val="00FD4DD4"/>
    <w:rsid w:val="00FD506D"/>
    <w:rsid w:val="00FD509E"/>
    <w:rsid w:val="00FD51EE"/>
    <w:rsid w:val="00FD5227"/>
    <w:rsid w:val="00FD523D"/>
    <w:rsid w:val="00FD531F"/>
    <w:rsid w:val="00FD539C"/>
    <w:rsid w:val="00FD5475"/>
    <w:rsid w:val="00FD5502"/>
    <w:rsid w:val="00FD5561"/>
    <w:rsid w:val="00FD55B5"/>
    <w:rsid w:val="00FD55C5"/>
    <w:rsid w:val="00FD55CF"/>
    <w:rsid w:val="00FD561A"/>
    <w:rsid w:val="00FD5674"/>
    <w:rsid w:val="00FD56F7"/>
    <w:rsid w:val="00FD5721"/>
    <w:rsid w:val="00FD5866"/>
    <w:rsid w:val="00FD59B2"/>
    <w:rsid w:val="00FD5A90"/>
    <w:rsid w:val="00FD5B6E"/>
    <w:rsid w:val="00FD5C3D"/>
    <w:rsid w:val="00FD5C72"/>
    <w:rsid w:val="00FD5CE5"/>
    <w:rsid w:val="00FD5DA6"/>
    <w:rsid w:val="00FD5DD7"/>
    <w:rsid w:val="00FD5E2B"/>
    <w:rsid w:val="00FD5EAA"/>
    <w:rsid w:val="00FD5FC2"/>
    <w:rsid w:val="00FD600E"/>
    <w:rsid w:val="00FD603A"/>
    <w:rsid w:val="00FD60E7"/>
    <w:rsid w:val="00FD6151"/>
    <w:rsid w:val="00FD61CA"/>
    <w:rsid w:val="00FD626D"/>
    <w:rsid w:val="00FD6294"/>
    <w:rsid w:val="00FD6453"/>
    <w:rsid w:val="00FD6676"/>
    <w:rsid w:val="00FD66D7"/>
    <w:rsid w:val="00FD672A"/>
    <w:rsid w:val="00FD67FD"/>
    <w:rsid w:val="00FD68A5"/>
    <w:rsid w:val="00FD68D0"/>
    <w:rsid w:val="00FD690E"/>
    <w:rsid w:val="00FD6A96"/>
    <w:rsid w:val="00FD6DE0"/>
    <w:rsid w:val="00FD6E6E"/>
    <w:rsid w:val="00FD7117"/>
    <w:rsid w:val="00FD7172"/>
    <w:rsid w:val="00FD7249"/>
    <w:rsid w:val="00FD73B2"/>
    <w:rsid w:val="00FD73D9"/>
    <w:rsid w:val="00FD746F"/>
    <w:rsid w:val="00FD74C4"/>
    <w:rsid w:val="00FD7540"/>
    <w:rsid w:val="00FD75EE"/>
    <w:rsid w:val="00FD75F1"/>
    <w:rsid w:val="00FD77A4"/>
    <w:rsid w:val="00FD7C81"/>
    <w:rsid w:val="00FD7CB2"/>
    <w:rsid w:val="00FD7CCA"/>
    <w:rsid w:val="00FD7D46"/>
    <w:rsid w:val="00FD7D8B"/>
    <w:rsid w:val="00FD7DC8"/>
    <w:rsid w:val="00FD7E7B"/>
    <w:rsid w:val="00FD7F22"/>
    <w:rsid w:val="00FD7FD5"/>
    <w:rsid w:val="00FE001B"/>
    <w:rsid w:val="00FE0076"/>
    <w:rsid w:val="00FE0079"/>
    <w:rsid w:val="00FE0090"/>
    <w:rsid w:val="00FE01B8"/>
    <w:rsid w:val="00FE023E"/>
    <w:rsid w:val="00FE025A"/>
    <w:rsid w:val="00FE025B"/>
    <w:rsid w:val="00FE0491"/>
    <w:rsid w:val="00FE0560"/>
    <w:rsid w:val="00FE06E2"/>
    <w:rsid w:val="00FE0718"/>
    <w:rsid w:val="00FE080A"/>
    <w:rsid w:val="00FE0A78"/>
    <w:rsid w:val="00FE0A8C"/>
    <w:rsid w:val="00FE0AF2"/>
    <w:rsid w:val="00FE0BDA"/>
    <w:rsid w:val="00FE0D2D"/>
    <w:rsid w:val="00FE0D39"/>
    <w:rsid w:val="00FE0D5B"/>
    <w:rsid w:val="00FE0D6C"/>
    <w:rsid w:val="00FE0E20"/>
    <w:rsid w:val="00FE10BC"/>
    <w:rsid w:val="00FE10C5"/>
    <w:rsid w:val="00FE1157"/>
    <w:rsid w:val="00FE11EF"/>
    <w:rsid w:val="00FE12CC"/>
    <w:rsid w:val="00FE1339"/>
    <w:rsid w:val="00FE13E4"/>
    <w:rsid w:val="00FE13FD"/>
    <w:rsid w:val="00FE1434"/>
    <w:rsid w:val="00FE14B3"/>
    <w:rsid w:val="00FE14EC"/>
    <w:rsid w:val="00FE160B"/>
    <w:rsid w:val="00FE1B1A"/>
    <w:rsid w:val="00FE1B89"/>
    <w:rsid w:val="00FE1C47"/>
    <w:rsid w:val="00FE1E12"/>
    <w:rsid w:val="00FE2001"/>
    <w:rsid w:val="00FE206C"/>
    <w:rsid w:val="00FE2087"/>
    <w:rsid w:val="00FE209D"/>
    <w:rsid w:val="00FE20A6"/>
    <w:rsid w:val="00FE20F9"/>
    <w:rsid w:val="00FE20FA"/>
    <w:rsid w:val="00FE21FB"/>
    <w:rsid w:val="00FE22DD"/>
    <w:rsid w:val="00FE23C8"/>
    <w:rsid w:val="00FE23F8"/>
    <w:rsid w:val="00FE26DE"/>
    <w:rsid w:val="00FE2705"/>
    <w:rsid w:val="00FE2741"/>
    <w:rsid w:val="00FE283A"/>
    <w:rsid w:val="00FE2861"/>
    <w:rsid w:val="00FE2938"/>
    <w:rsid w:val="00FE29A7"/>
    <w:rsid w:val="00FE2A98"/>
    <w:rsid w:val="00FE2B14"/>
    <w:rsid w:val="00FE2BC1"/>
    <w:rsid w:val="00FE2C35"/>
    <w:rsid w:val="00FE2CCF"/>
    <w:rsid w:val="00FE2CFB"/>
    <w:rsid w:val="00FE2EA8"/>
    <w:rsid w:val="00FE2EDD"/>
    <w:rsid w:val="00FE30DE"/>
    <w:rsid w:val="00FE334D"/>
    <w:rsid w:val="00FE340B"/>
    <w:rsid w:val="00FE3431"/>
    <w:rsid w:val="00FE3455"/>
    <w:rsid w:val="00FE3542"/>
    <w:rsid w:val="00FE3760"/>
    <w:rsid w:val="00FE3ABB"/>
    <w:rsid w:val="00FE3BA8"/>
    <w:rsid w:val="00FE3BCA"/>
    <w:rsid w:val="00FE3BEE"/>
    <w:rsid w:val="00FE3CFB"/>
    <w:rsid w:val="00FE3E2F"/>
    <w:rsid w:val="00FE3E99"/>
    <w:rsid w:val="00FE3F9D"/>
    <w:rsid w:val="00FE40BF"/>
    <w:rsid w:val="00FE410B"/>
    <w:rsid w:val="00FE411F"/>
    <w:rsid w:val="00FE428A"/>
    <w:rsid w:val="00FE434A"/>
    <w:rsid w:val="00FE44B6"/>
    <w:rsid w:val="00FE4568"/>
    <w:rsid w:val="00FE4581"/>
    <w:rsid w:val="00FE45C8"/>
    <w:rsid w:val="00FE46F4"/>
    <w:rsid w:val="00FE46FF"/>
    <w:rsid w:val="00FE483A"/>
    <w:rsid w:val="00FE4959"/>
    <w:rsid w:val="00FE49E6"/>
    <w:rsid w:val="00FE4A57"/>
    <w:rsid w:val="00FE4A60"/>
    <w:rsid w:val="00FE4B5C"/>
    <w:rsid w:val="00FE4B71"/>
    <w:rsid w:val="00FE4B7A"/>
    <w:rsid w:val="00FE4CB7"/>
    <w:rsid w:val="00FE4F18"/>
    <w:rsid w:val="00FE4F5B"/>
    <w:rsid w:val="00FE4F68"/>
    <w:rsid w:val="00FE4F76"/>
    <w:rsid w:val="00FE5059"/>
    <w:rsid w:val="00FE50D2"/>
    <w:rsid w:val="00FE515E"/>
    <w:rsid w:val="00FE519F"/>
    <w:rsid w:val="00FE5270"/>
    <w:rsid w:val="00FE54DE"/>
    <w:rsid w:val="00FE54E0"/>
    <w:rsid w:val="00FE55F0"/>
    <w:rsid w:val="00FE563B"/>
    <w:rsid w:val="00FE57B3"/>
    <w:rsid w:val="00FE58AC"/>
    <w:rsid w:val="00FE594E"/>
    <w:rsid w:val="00FE59A7"/>
    <w:rsid w:val="00FE5AD9"/>
    <w:rsid w:val="00FE5B64"/>
    <w:rsid w:val="00FE5B87"/>
    <w:rsid w:val="00FE5BC8"/>
    <w:rsid w:val="00FE5C16"/>
    <w:rsid w:val="00FE5D18"/>
    <w:rsid w:val="00FE5D68"/>
    <w:rsid w:val="00FE5E0D"/>
    <w:rsid w:val="00FE5E2A"/>
    <w:rsid w:val="00FE5F5A"/>
    <w:rsid w:val="00FE5F69"/>
    <w:rsid w:val="00FE5F7F"/>
    <w:rsid w:val="00FE6061"/>
    <w:rsid w:val="00FE612C"/>
    <w:rsid w:val="00FE6270"/>
    <w:rsid w:val="00FE62E7"/>
    <w:rsid w:val="00FE6331"/>
    <w:rsid w:val="00FE66A4"/>
    <w:rsid w:val="00FE66AE"/>
    <w:rsid w:val="00FE67B8"/>
    <w:rsid w:val="00FE6829"/>
    <w:rsid w:val="00FE685B"/>
    <w:rsid w:val="00FE68CA"/>
    <w:rsid w:val="00FE68CD"/>
    <w:rsid w:val="00FE6935"/>
    <w:rsid w:val="00FE6995"/>
    <w:rsid w:val="00FE6A8E"/>
    <w:rsid w:val="00FE6C12"/>
    <w:rsid w:val="00FE6C45"/>
    <w:rsid w:val="00FE72C6"/>
    <w:rsid w:val="00FE7816"/>
    <w:rsid w:val="00FE782D"/>
    <w:rsid w:val="00FE7894"/>
    <w:rsid w:val="00FE7C17"/>
    <w:rsid w:val="00FE7E8E"/>
    <w:rsid w:val="00FF001A"/>
    <w:rsid w:val="00FF0094"/>
    <w:rsid w:val="00FF01FA"/>
    <w:rsid w:val="00FF0373"/>
    <w:rsid w:val="00FF0649"/>
    <w:rsid w:val="00FF06E0"/>
    <w:rsid w:val="00FF0940"/>
    <w:rsid w:val="00FF0B68"/>
    <w:rsid w:val="00FF0C14"/>
    <w:rsid w:val="00FF0E48"/>
    <w:rsid w:val="00FF0EAC"/>
    <w:rsid w:val="00FF0EF5"/>
    <w:rsid w:val="00FF109B"/>
    <w:rsid w:val="00FF1213"/>
    <w:rsid w:val="00FF1282"/>
    <w:rsid w:val="00FF13F0"/>
    <w:rsid w:val="00FF1579"/>
    <w:rsid w:val="00FF158B"/>
    <w:rsid w:val="00FF177C"/>
    <w:rsid w:val="00FF1857"/>
    <w:rsid w:val="00FF185A"/>
    <w:rsid w:val="00FF1ADE"/>
    <w:rsid w:val="00FF1CAB"/>
    <w:rsid w:val="00FF1E73"/>
    <w:rsid w:val="00FF2158"/>
    <w:rsid w:val="00FF21B5"/>
    <w:rsid w:val="00FF21C3"/>
    <w:rsid w:val="00FF231E"/>
    <w:rsid w:val="00FF233C"/>
    <w:rsid w:val="00FF23FF"/>
    <w:rsid w:val="00FF2431"/>
    <w:rsid w:val="00FF2490"/>
    <w:rsid w:val="00FF2530"/>
    <w:rsid w:val="00FF25BB"/>
    <w:rsid w:val="00FF260B"/>
    <w:rsid w:val="00FF280E"/>
    <w:rsid w:val="00FF28CB"/>
    <w:rsid w:val="00FF2A11"/>
    <w:rsid w:val="00FF2A16"/>
    <w:rsid w:val="00FF2A82"/>
    <w:rsid w:val="00FF2AA0"/>
    <w:rsid w:val="00FF2C90"/>
    <w:rsid w:val="00FF30DF"/>
    <w:rsid w:val="00FF310A"/>
    <w:rsid w:val="00FF3461"/>
    <w:rsid w:val="00FF34C5"/>
    <w:rsid w:val="00FF386F"/>
    <w:rsid w:val="00FF3967"/>
    <w:rsid w:val="00FF39E7"/>
    <w:rsid w:val="00FF3A71"/>
    <w:rsid w:val="00FF3AFD"/>
    <w:rsid w:val="00FF3B66"/>
    <w:rsid w:val="00FF3BB5"/>
    <w:rsid w:val="00FF3C1A"/>
    <w:rsid w:val="00FF3CC4"/>
    <w:rsid w:val="00FF3ED2"/>
    <w:rsid w:val="00FF3F6C"/>
    <w:rsid w:val="00FF3F7B"/>
    <w:rsid w:val="00FF3FB0"/>
    <w:rsid w:val="00FF3FB7"/>
    <w:rsid w:val="00FF40EB"/>
    <w:rsid w:val="00FF4307"/>
    <w:rsid w:val="00FF4409"/>
    <w:rsid w:val="00FF4514"/>
    <w:rsid w:val="00FF4603"/>
    <w:rsid w:val="00FF46EF"/>
    <w:rsid w:val="00FF4788"/>
    <w:rsid w:val="00FF4924"/>
    <w:rsid w:val="00FF49A0"/>
    <w:rsid w:val="00FF4AA5"/>
    <w:rsid w:val="00FF4B07"/>
    <w:rsid w:val="00FF4BFC"/>
    <w:rsid w:val="00FF4C11"/>
    <w:rsid w:val="00FF4C88"/>
    <w:rsid w:val="00FF4CF6"/>
    <w:rsid w:val="00FF4E75"/>
    <w:rsid w:val="00FF5012"/>
    <w:rsid w:val="00FF50D8"/>
    <w:rsid w:val="00FF53B6"/>
    <w:rsid w:val="00FF5577"/>
    <w:rsid w:val="00FF55BE"/>
    <w:rsid w:val="00FF5609"/>
    <w:rsid w:val="00FF5695"/>
    <w:rsid w:val="00FF56B9"/>
    <w:rsid w:val="00FF56D9"/>
    <w:rsid w:val="00FF5752"/>
    <w:rsid w:val="00FF57B0"/>
    <w:rsid w:val="00FF57E8"/>
    <w:rsid w:val="00FF5867"/>
    <w:rsid w:val="00FF58C0"/>
    <w:rsid w:val="00FF593C"/>
    <w:rsid w:val="00FF5948"/>
    <w:rsid w:val="00FF59C2"/>
    <w:rsid w:val="00FF5C5B"/>
    <w:rsid w:val="00FF5D70"/>
    <w:rsid w:val="00FF5E5B"/>
    <w:rsid w:val="00FF5EDF"/>
    <w:rsid w:val="00FF5F9D"/>
    <w:rsid w:val="00FF600C"/>
    <w:rsid w:val="00FF6114"/>
    <w:rsid w:val="00FF626B"/>
    <w:rsid w:val="00FF6306"/>
    <w:rsid w:val="00FF63EF"/>
    <w:rsid w:val="00FF6453"/>
    <w:rsid w:val="00FF6701"/>
    <w:rsid w:val="00FF6713"/>
    <w:rsid w:val="00FF6736"/>
    <w:rsid w:val="00FF6930"/>
    <w:rsid w:val="00FF6B71"/>
    <w:rsid w:val="00FF6B8C"/>
    <w:rsid w:val="00FF6C4D"/>
    <w:rsid w:val="00FF6CAB"/>
    <w:rsid w:val="00FF6EDF"/>
    <w:rsid w:val="00FF6EEA"/>
    <w:rsid w:val="00FF7088"/>
    <w:rsid w:val="00FF7089"/>
    <w:rsid w:val="00FF7112"/>
    <w:rsid w:val="00FF71DE"/>
    <w:rsid w:val="00FF729C"/>
    <w:rsid w:val="00FF72CC"/>
    <w:rsid w:val="00FF730F"/>
    <w:rsid w:val="00FF7331"/>
    <w:rsid w:val="00FF734B"/>
    <w:rsid w:val="00FF759D"/>
    <w:rsid w:val="00FF768C"/>
    <w:rsid w:val="00FF772F"/>
    <w:rsid w:val="00FF775C"/>
    <w:rsid w:val="00FF77CC"/>
    <w:rsid w:val="00FF77DF"/>
    <w:rsid w:val="00FF7A38"/>
    <w:rsid w:val="00FF7A9F"/>
    <w:rsid w:val="00FF7ABB"/>
    <w:rsid w:val="00FF7B99"/>
    <w:rsid w:val="00FF7CFF"/>
    <w:rsid w:val="00FF7D04"/>
    <w:rsid w:val="00FF7DEF"/>
    <w:rsid w:val="00FF7F44"/>
    <w:rsid w:val="00FF7F5F"/>
    <w:rsid w:val="00FF7FBF"/>
    <w:rsid w:val="011E129E"/>
    <w:rsid w:val="0122AA7B"/>
    <w:rsid w:val="012925B9"/>
    <w:rsid w:val="0130BD33"/>
    <w:rsid w:val="0132F4FA"/>
    <w:rsid w:val="013DAD7A"/>
    <w:rsid w:val="0160A53D"/>
    <w:rsid w:val="016C0766"/>
    <w:rsid w:val="0181909C"/>
    <w:rsid w:val="018A4223"/>
    <w:rsid w:val="0190FFEE"/>
    <w:rsid w:val="01922D82"/>
    <w:rsid w:val="0199294E"/>
    <w:rsid w:val="01BDCCC9"/>
    <w:rsid w:val="01C5B639"/>
    <w:rsid w:val="01ECF48D"/>
    <w:rsid w:val="020A8B5A"/>
    <w:rsid w:val="022355D2"/>
    <w:rsid w:val="0232B43C"/>
    <w:rsid w:val="02463234"/>
    <w:rsid w:val="024F6BD6"/>
    <w:rsid w:val="0277C313"/>
    <w:rsid w:val="0280D4DC"/>
    <w:rsid w:val="0291689B"/>
    <w:rsid w:val="02A2AF56"/>
    <w:rsid w:val="02BDC9B3"/>
    <w:rsid w:val="02CA4C42"/>
    <w:rsid w:val="02CC4304"/>
    <w:rsid w:val="02E3B630"/>
    <w:rsid w:val="0331B62C"/>
    <w:rsid w:val="036DED12"/>
    <w:rsid w:val="038644C6"/>
    <w:rsid w:val="03890F89"/>
    <w:rsid w:val="03B39A73"/>
    <w:rsid w:val="03C89DC4"/>
    <w:rsid w:val="03F255CC"/>
    <w:rsid w:val="04089C1D"/>
    <w:rsid w:val="040F9ACF"/>
    <w:rsid w:val="041026E2"/>
    <w:rsid w:val="041EBBEC"/>
    <w:rsid w:val="0421E3B5"/>
    <w:rsid w:val="04268E34"/>
    <w:rsid w:val="045BFE44"/>
    <w:rsid w:val="048615E9"/>
    <w:rsid w:val="048DE677"/>
    <w:rsid w:val="04D6260F"/>
    <w:rsid w:val="04F679EC"/>
    <w:rsid w:val="050616D1"/>
    <w:rsid w:val="054FB88A"/>
    <w:rsid w:val="0555C80C"/>
    <w:rsid w:val="0573C4F3"/>
    <w:rsid w:val="057FB659"/>
    <w:rsid w:val="0581DF01"/>
    <w:rsid w:val="059E09FD"/>
    <w:rsid w:val="05A380FC"/>
    <w:rsid w:val="05C59F4C"/>
    <w:rsid w:val="060BC859"/>
    <w:rsid w:val="06300750"/>
    <w:rsid w:val="063C40D9"/>
    <w:rsid w:val="06444E98"/>
    <w:rsid w:val="0667FE5F"/>
    <w:rsid w:val="06A98224"/>
    <w:rsid w:val="06C361CB"/>
    <w:rsid w:val="06CAEE98"/>
    <w:rsid w:val="06D2F961"/>
    <w:rsid w:val="06DE62DE"/>
    <w:rsid w:val="06DEEE67"/>
    <w:rsid w:val="06FD4D16"/>
    <w:rsid w:val="0716B9E7"/>
    <w:rsid w:val="071A6BDB"/>
    <w:rsid w:val="072C34A0"/>
    <w:rsid w:val="07493401"/>
    <w:rsid w:val="074ADBF6"/>
    <w:rsid w:val="07766F76"/>
    <w:rsid w:val="0778D8BD"/>
    <w:rsid w:val="07861527"/>
    <w:rsid w:val="07942CB8"/>
    <w:rsid w:val="07B74C9C"/>
    <w:rsid w:val="07BE2863"/>
    <w:rsid w:val="07DE180F"/>
    <w:rsid w:val="084E1C13"/>
    <w:rsid w:val="08570B10"/>
    <w:rsid w:val="086711E8"/>
    <w:rsid w:val="08928CA9"/>
    <w:rsid w:val="08962ACC"/>
    <w:rsid w:val="089938F1"/>
    <w:rsid w:val="089F124D"/>
    <w:rsid w:val="08B883CF"/>
    <w:rsid w:val="08E6E433"/>
    <w:rsid w:val="08F77099"/>
    <w:rsid w:val="090CD9A3"/>
    <w:rsid w:val="0911F930"/>
    <w:rsid w:val="0916632E"/>
    <w:rsid w:val="091AF8E6"/>
    <w:rsid w:val="095DEEC8"/>
    <w:rsid w:val="09DE4074"/>
    <w:rsid w:val="09FC9A00"/>
    <w:rsid w:val="0A189E8F"/>
    <w:rsid w:val="0A43DEEB"/>
    <w:rsid w:val="0A631118"/>
    <w:rsid w:val="0A8F9CA3"/>
    <w:rsid w:val="0A93FA92"/>
    <w:rsid w:val="0AC07000"/>
    <w:rsid w:val="0AD218C6"/>
    <w:rsid w:val="0AEF4825"/>
    <w:rsid w:val="0AF19818"/>
    <w:rsid w:val="0AF27589"/>
    <w:rsid w:val="0AF621A7"/>
    <w:rsid w:val="0B11AD2C"/>
    <w:rsid w:val="0B39034A"/>
    <w:rsid w:val="0B3FCC06"/>
    <w:rsid w:val="0B55905E"/>
    <w:rsid w:val="0BACFF9F"/>
    <w:rsid w:val="0BB20775"/>
    <w:rsid w:val="0BBC4631"/>
    <w:rsid w:val="0BBE3C9A"/>
    <w:rsid w:val="0BE499CD"/>
    <w:rsid w:val="0BEFD1BB"/>
    <w:rsid w:val="0BFA2AFF"/>
    <w:rsid w:val="0BFB09BB"/>
    <w:rsid w:val="0C0F356F"/>
    <w:rsid w:val="0C38F923"/>
    <w:rsid w:val="0C3D8341"/>
    <w:rsid w:val="0C44294D"/>
    <w:rsid w:val="0C58FE75"/>
    <w:rsid w:val="0C7C56AD"/>
    <w:rsid w:val="0C8E33D9"/>
    <w:rsid w:val="0C94051E"/>
    <w:rsid w:val="0C9CBDAC"/>
    <w:rsid w:val="0CBB7044"/>
    <w:rsid w:val="0CBF8302"/>
    <w:rsid w:val="0D084062"/>
    <w:rsid w:val="0D121B12"/>
    <w:rsid w:val="0D1298D5"/>
    <w:rsid w:val="0D20482E"/>
    <w:rsid w:val="0D254F27"/>
    <w:rsid w:val="0D2A115F"/>
    <w:rsid w:val="0D37FB5D"/>
    <w:rsid w:val="0D6E5C71"/>
    <w:rsid w:val="0D8041BF"/>
    <w:rsid w:val="0D805666"/>
    <w:rsid w:val="0D93C881"/>
    <w:rsid w:val="0DE22B07"/>
    <w:rsid w:val="0DFA7D36"/>
    <w:rsid w:val="0E0F581E"/>
    <w:rsid w:val="0ED2A60F"/>
    <w:rsid w:val="0ED46FDD"/>
    <w:rsid w:val="0EDEC976"/>
    <w:rsid w:val="0F04C3AE"/>
    <w:rsid w:val="0F1397C8"/>
    <w:rsid w:val="0F2DAA41"/>
    <w:rsid w:val="0F751429"/>
    <w:rsid w:val="0F902A72"/>
    <w:rsid w:val="0F997DB3"/>
    <w:rsid w:val="0FA46ED4"/>
    <w:rsid w:val="0FC0831C"/>
    <w:rsid w:val="0FC6A61E"/>
    <w:rsid w:val="0FF2C82F"/>
    <w:rsid w:val="101241E7"/>
    <w:rsid w:val="104FC6DA"/>
    <w:rsid w:val="10554D90"/>
    <w:rsid w:val="106ED159"/>
    <w:rsid w:val="10BF5986"/>
    <w:rsid w:val="10CCF94E"/>
    <w:rsid w:val="10DB812C"/>
    <w:rsid w:val="10EA79D6"/>
    <w:rsid w:val="11033850"/>
    <w:rsid w:val="113B2433"/>
    <w:rsid w:val="114B438E"/>
    <w:rsid w:val="11838ABD"/>
    <w:rsid w:val="119B3840"/>
    <w:rsid w:val="11B32454"/>
    <w:rsid w:val="11CA4C70"/>
    <w:rsid w:val="11CCC808"/>
    <w:rsid w:val="11DCCCED"/>
    <w:rsid w:val="1209645A"/>
    <w:rsid w:val="124435A9"/>
    <w:rsid w:val="124C15C0"/>
    <w:rsid w:val="124E6C23"/>
    <w:rsid w:val="127F4D59"/>
    <w:rsid w:val="12B3C5D4"/>
    <w:rsid w:val="12BB9474"/>
    <w:rsid w:val="12BE4ED5"/>
    <w:rsid w:val="12C2065F"/>
    <w:rsid w:val="12F3624D"/>
    <w:rsid w:val="131390E1"/>
    <w:rsid w:val="1371BCB1"/>
    <w:rsid w:val="13A1BD17"/>
    <w:rsid w:val="13C581E2"/>
    <w:rsid w:val="14109E8B"/>
    <w:rsid w:val="14255C01"/>
    <w:rsid w:val="14266748"/>
    <w:rsid w:val="14477786"/>
    <w:rsid w:val="144F7725"/>
    <w:rsid w:val="14516EC0"/>
    <w:rsid w:val="1467CDFD"/>
    <w:rsid w:val="149DB1D7"/>
    <w:rsid w:val="14C51038"/>
    <w:rsid w:val="14C9164A"/>
    <w:rsid w:val="14EDB565"/>
    <w:rsid w:val="1530C21D"/>
    <w:rsid w:val="15363906"/>
    <w:rsid w:val="1555BAE2"/>
    <w:rsid w:val="155CA744"/>
    <w:rsid w:val="155EBFC1"/>
    <w:rsid w:val="156A61E1"/>
    <w:rsid w:val="15AE5E7C"/>
    <w:rsid w:val="15C8AEF1"/>
    <w:rsid w:val="15DFF1BD"/>
    <w:rsid w:val="1611B5B3"/>
    <w:rsid w:val="16145B27"/>
    <w:rsid w:val="1637CF51"/>
    <w:rsid w:val="1661BE92"/>
    <w:rsid w:val="16957098"/>
    <w:rsid w:val="16AB03D9"/>
    <w:rsid w:val="16C25150"/>
    <w:rsid w:val="172A3F1A"/>
    <w:rsid w:val="17377EB2"/>
    <w:rsid w:val="1768AA72"/>
    <w:rsid w:val="177BB5C3"/>
    <w:rsid w:val="179611B3"/>
    <w:rsid w:val="17B2D0CD"/>
    <w:rsid w:val="17BFE79C"/>
    <w:rsid w:val="17CAD895"/>
    <w:rsid w:val="17D40635"/>
    <w:rsid w:val="17D46F06"/>
    <w:rsid w:val="17EEEA47"/>
    <w:rsid w:val="18236B72"/>
    <w:rsid w:val="18350079"/>
    <w:rsid w:val="18500EBC"/>
    <w:rsid w:val="1860CFB0"/>
    <w:rsid w:val="18769843"/>
    <w:rsid w:val="18820189"/>
    <w:rsid w:val="1890D070"/>
    <w:rsid w:val="1894C0E1"/>
    <w:rsid w:val="18DC3C06"/>
    <w:rsid w:val="18FC8B5A"/>
    <w:rsid w:val="1938A999"/>
    <w:rsid w:val="19709E5B"/>
    <w:rsid w:val="1981F8C3"/>
    <w:rsid w:val="1982E07B"/>
    <w:rsid w:val="19E6722A"/>
    <w:rsid w:val="1A102E8E"/>
    <w:rsid w:val="1A364831"/>
    <w:rsid w:val="1A391FB0"/>
    <w:rsid w:val="1A5E3280"/>
    <w:rsid w:val="1A7E0A76"/>
    <w:rsid w:val="1AA79132"/>
    <w:rsid w:val="1AD9D69D"/>
    <w:rsid w:val="1AF8254B"/>
    <w:rsid w:val="1B288495"/>
    <w:rsid w:val="1B334D04"/>
    <w:rsid w:val="1B33F489"/>
    <w:rsid w:val="1B7379AB"/>
    <w:rsid w:val="1B7D0D4F"/>
    <w:rsid w:val="1BB46541"/>
    <w:rsid w:val="1BF156A4"/>
    <w:rsid w:val="1C3604C0"/>
    <w:rsid w:val="1C6E255B"/>
    <w:rsid w:val="1C712B53"/>
    <w:rsid w:val="1C75D392"/>
    <w:rsid w:val="1C7C088C"/>
    <w:rsid w:val="1C858338"/>
    <w:rsid w:val="1C9D13AD"/>
    <w:rsid w:val="1CB92D24"/>
    <w:rsid w:val="1CD13013"/>
    <w:rsid w:val="1CD91296"/>
    <w:rsid w:val="1CDA39FF"/>
    <w:rsid w:val="1CE35EB5"/>
    <w:rsid w:val="1D02DA43"/>
    <w:rsid w:val="1D460125"/>
    <w:rsid w:val="1D70E130"/>
    <w:rsid w:val="1D987DD2"/>
    <w:rsid w:val="1D9C57EC"/>
    <w:rsid w:val="1D9CB520"/>
    <w:rsid w:val="1DA5762E"/>
    <w:rsid w:val="1DA8337D"/>
    <w:rsid w:val="1DC4DC4B"/>
    <w:rsid w:val="1DE1E73B"/>
    <w:rsid w:val="1DEAD082"/>
    <w:rsid w:val="1E447C13"/>
    <w:rsid w:val="1E6C7AF6"/>
    <w:rsid w:val="1E6DF43C"/>
    <w:rsid w:val="1E8B3234"/>
    <w:rsid w:val="1E9743A8"/>
    <w:rsid w:val="1E9E34DD"/>
    <w:rsid w:val="1EA57D5C"/>
    <w:rsid w:val="1EAAB8E6"/>
    <w:rsid w:val="1EBCF026"/>
    <w:rsid w:val="1EE2A305"/>
    <w:rsid w:val="1EF7CABC"/>
    <w:rsid w:val="1F0BE59F"/>
    <w:rsid w:val="1F1A99C8"/>
    <w:rsid w:val="1F36A4B5"/>
    <w:rsid w:val="1F4C4711"/>
    <w:rsid w:val="1F4D9798"/>
    <w:rsid w:val="1F5020D9"/>
    <w:rsid w:val="1F53A0B3"/>
    <w:rsid w:val="1F633296"/>
    <w:rsid w:val="1F70F393"/>
    <w:rsid w:val="1F7363F4"/>
    <w:rsid w:val="1FAB5FC5"/>
    <w:rsid w:val="1FDE6FDF"/>
    <w:rsid w:val="2000268D"/>
    <w:rsid w:val="203C3762"/>
    <w:rsid w:val="20406EF4"/>
    <w:rsid w:val="206A5FC9"/>
    <w:rsid w:val="208929C2"/>
    <w:rsid w:val="20C361AB"/>
    <w:rsid w:val="20E14F35"/>
    <w:rsid w:val="2114C386"/>
    <w:rsid w:val="21728D1E"/>
    <w:rsid w:val="21AA7388"/>
    <w:rsid w:val="21B622A3"/>
    <w:rsid w:val="21C5D617"/>
    <w:rsid w:val="21EAAED0"/>
    <w:rsid w:val="220604B3"/>
    <w:rsid w:val="221C92D2"/>
    <w:rsid w:val="22536E0D"/>
    <w:rsid w:val="226C6476"/>
    <w:rsid w:val="2277F3D5"/>
    <w:rsid w:val="22B51261"/>
    <w:rsid w:val="22E1FE57"/>
    <w:rsid w:val="22FF4542"/>
    <w:rsid w:val="23409C90"/>
    <w:rsid w:val="2349F85F"/>
    <w:rsid w:val="234FB063"/>
    <w:rsid w:val="23732044"/>
    <w:rsid w:val="237780B8"/>
    <w:rsid w:val="23BABBA7"/>
    <w:rsid w:val="23BF0471"/>
    <w:rsid w:val="23D0FEA3"/>
    <w:rsid w:val="23D8D0B4"/>
    <w:rsid w:val="23DB26D7"/>
    <w:rsid w:val="24097F18"/>
    <w:rsid w:val="245BADCF"/>
    <w:rsid w:val="246BE634"/>
    <w:rsid w:val="2477BE3B"/>
    <w:rsid w:val="249E3DBC"/>
    <w:rsid w:val="24B111EE"/>
    <w:rsid w:val="24B41C87"/>
    <w:rsid w:val="24CEA847"/>
    <w:rsid w:val="24DD8D54"/>
    <w:rsid w:val="24E8BB2D"/>
    <w:rsid w:val="2504F88F"/>
    <w:rsid w:val="253A45F1"/>
    <w:rsid w:val="254C3498"/>
    <w:rsid w:val="254C6317"/>
    <w:rsid w:val="25574A94"/>
    <w:rsid w:val="258005FE"/>
    <w:rsid w:val="25AAAE5D"/>
    <w:rsid w:val="25B8B732"/>
    <w:rsid w:val="25DA8080"/>
    <w:rsid w:val="25DD04D9"/>
    <w:rsid w:val="25F4E0B0"/>
    <w:rsid w:val="25FF4F9A"/>
    <w:rsid w:val="2607A575"/>
    <w:rsid w:val="263B921D"/>
    <w:rsid w:val="2671E04B"/>
    <w:rsid w:val="26BAA060"/>
    <w:rsid w:val="26C04534"/>
    <w:rsid w:val="26DD07CC"/>
    <w:rsid w:val="26E93C3E"/>
    <w:rsid w:val="272AD489"/>
    <w:rsid w:val="273D05D8"/>
    <w:rsid w:val="278553D3"/>
    <w:rsid w:val="279EC9E1"/>
    <w:rsid w:val="27D4E94D"/>
    <w:rsid w:val="2808D3BA"/>
    <w:rsid w:val="284B4E80"/>
    <w:rsid w:val="28640010"/>
    <w:rsid w:val="2864C50D"/>
    <w:rsid w:val="286540F0"/>
    <w:rsid w:val="2866B027"/>
    <w:rsid w:val="286F4124"/>
    <w:rsid w:val="2874AE61"/>
    <w:rsid w:val="289C3FA3"/>
    <w:rsid w:val="28DBBABE"/>
    <w:rsid w:val="28DE797D"/>
    <w:rsid w:val="28E2EB80"/>
    <w:rsid w:val="2922CF8B"/>
    <w:rsid w:val="29657551"/>
    <w:rsid w:val="296E1D01"/>
    <w:rsid w:val="298EAF94"/>
    <w:rsid w:val="29928140"/>
    <w:rsid w:val="29D0DC82"/>
    <w:rsid w:val="29E66B06"/>
    <w:rsid w:val="2A2F7D8F"/>
    <w:rsid w:val="2A3D669F"/>
    <w:rsid w:val="2A5C7455"/>
    <w:rsid w:val="2A85E943"/>
    <w:rsid w:val="2A9C72C3"/>
    <w:rsid w:val="2AA354E1"/>
    <w:rsid w:val="2AB620C9"/>
    <w:rsid w:val="2ABD96EB"/>
    <w:rsid w:val="2AC55971"/>
    <w:rsid w:val="2AD2F630"/>
    <w:rsid w:val="2AF3CD55"/>
    <w:rsid w:val="2B0BA76A"/>
    <w:rsid w:val="2B177202"/>
    <w:rsid w:val="2B3BDD52"/>
    <w:rsid w:val="2B824C4E"/>
    <w:rsid w:val="2B8F49BD"/>
    <w:rsid w:val="2B9C0BF7"/>
    <w:rsid w:val="2BAB7C4E"/>
    <w:rsid w:val="2BADA846"/>
    <w:rsid w:val="2BBB1EC9"/>
    <w:rsid w:val="2C3EB92E"/>
    <w:rsid w:val="2C488B93"/>
    <w:rsid w:val="2C701373"/>
    <w:rsid w:val="2C96FF38"/>
    <w:rsid w:val="2CA26151"/>
    <w:rsid w:val="2CEC5199"/>
    <w:rsid w:val="2CF62153"/>
    <w:rsid w:val="2CFE2E59"/>
    <w:rsid w:val="2D1BE4E7"/>
    <w:rsid w:val="2D386FA8"/>
    <w:rsid w:val="2D820C7A"/>
    <w:rsid w:val="2DA5965F"/>
    <w:rsid w:val="2DB88B68"/>
    <w:rsid w:val="2E1EA90A"/>
    <w:rsid w:val="2E21064B"/>
    <w:rsid w:val="2E7CC530"/>
    <w:rsid w:val="2E80EF7D"/>
    <w:rsid w:val="2E82AF74"/>
    <w:rsid w:val="2EB1CC66"/>
    <w:rsid w:val="2EFA9FAF"/>
    <w:rsid w:val="2F218FC5"/>
    <w:rsid w:val="2F28F736"/>
    <w:rsid w:val="2F65531D"/>
    <w:rsid w:val="2F783D70"/>
    <w:rsid w:val="2FA2C5A5"/>
    <w:rsid w:val="2FBD0D5D"/>
    <w:rsid w:val="2FD84DA1"/>
    <w:rsid w:val="2FDC519C"/>
    <w:rsid w:val="2FDF3B9A"/>
    <w:rsid w:val="3008CAC8"/>
    <w:rsid w:val="300BC900"/>
    <w:rsid w:val="303CAF9C"/>
    <w:rsid w:val="307A53E6"/>
    <w:rsid w:val="307E8018"/>
    <w:rsid w:val="309F5303"/>
    <w:rsid w:val="30A52C53"/>
    <w:rsid w:val="30BB0EE8"/>
    <w:rsid w:val="30D9775D"/>
    <w:rsid w:val="30D99CC0"/>
    <w:rsid w:val="30ECDC91"/>
    <w:rsid w:val="31268C04"/>
    <w:rsid w:val="31479A37"/>
    <w:rsid w:val="314D03A3"/>
    <w:rsid w:val="3185F6AB"/>
    <w:rsid w:val="318E6762"/>
    <w:rsid w:val="31B66E21"/>
    <w:rsid w:val="31BC69F4"/>
    <w:rsid w:val="31D55F0E"/>
    <w:rsid w:val="322CB2D0"/>
    <w:rsid w:val="325CCDA2"/>
    <w:rsid w:val="3275A3F5"/>
    <w:rsid w:val="329051DD"/>
    <w:rsid w:val="32A53EDE"/>
    <w:rsid w:val="331B33C0"/>
    <w:rsid w:val="3329F826"/>
    <w:rsid w:val="333C8B15"/>
    <w:rsid w:val="3355722F"/>
    <w:rsid w:val="33558A5F"/>
    <w:rsid w:val="3368F6C8"/>
    <w:rsid w:val="33AC26A3"/>
    <w:rsid w:val="33FB7AFB"/>
    <w:rsid w:val="34140F67"/>
    <w:rsid w:val="341925F0"/>
    <w:rsid w:val="344EA033"/>
    <w:rsid w:val="345A665F"/>
    <w:rsid w:val="345F81E6"/>
    <w:rsid w:val="34A37C8D"/>
    <w:rsid w:val="34A685A9"/>
    <w:rsid w:val="34B7408B"/>
    <w:rsid w:val="34B7B66A"/>
    <w:rsid w:val="34B95C81"/>
    <w:rsid w:val="34BA9821"/>
    <w:rsid w:val="34FFE91E"/>
    <w:rsid w:val="3509C006"/>
    <w:rsid w:val="350CB968"/>
    <w:rsid w:val="35116E64"/>
    <w:rsid w:val="352A64E1"/>
    <w:rsid w:val="352BE3EE"/>
    <w:rsid w:val="353D12E4"/>
    <w:rsid w:val="3541CABC"/>
    <w:rsid w:val="3555A413"/>
    <w:rsid w:val="356836FA"/>
    <w:rsid w:val="3572160C"/>
    <w:rsid w:val="3591504B"/>
    <w:rsid w:val="35D0865A"/>
    <w:rsid w:val="35F40B69"/>
    <w:rsid w:val="3603209A"/>
    <w:rsid w:val="360F10CD"/>
    <w:rsid w:val="36507F47"/>
    <w:rsid w:val="365CF921"/>
    <w:rsid w:val="36DD2005"/>
    <w:rsid w:val="36FE75F3"/>
    <w:rsid w:val="3706E7A7"/>
    <w:rsid w:val="37214C54"/>
    <w:rsid w:val="372B722D"/>
    <w:rsid w:val="372F458D"/>
    <w:rsid w:val="3745D39A"/>
    <w:rsid w:val="375B89CE"/>
    <w:rsid w:val="376FE732"/>
    <w:rsid w:val="379A2DE5"/>
    <w:rsid w:val="37A3C1C1"/>
    <w:rsid w:val="37D80D4C"/>
    <w:rsid w:val="37D81416"/>
    <w:rsid w:val="3808AA3C"/>
    <w:rsid w:val="3823EB2B"/>
    <w:rsid w:val="38401F5A"/>
    <w:rsid w:val="387C82E6"/>
    <w:rsid w:val="3892DB74"/>
    <w:rsid w:val="3898F44F"/>
    <w:rsid w:val="3899E9DC"/>
    <w:rsid w:val="38C6DDB5"/>
    <w:rsid w:val="38E0BF78"/>
    <w:rsid w:val="38E457BC"/>
    <w:rsid w:val="391C9873"/>
    <w:rsid w:val="3931D055"/>
    <w:rsid w:val="39424AF9"/>
    <w:rsid w:val="394401FA"/>
    <w:rsid w:val="39704D84"/>
    <w:rsid w:val="39758218"/>
    <w:rsid w:val="39D3F15B"/>
    <w:rsid w:val="3A4BE357"/>
    <w:rsid w:val="3A5664D4"/>
    <w:rsid w:val="3A6CCE7C"/>
    <w:rsid w:val="3A79841D"/>
    <w:rsid w:val="3A938243"/>
    <w:rsid w:val="3AAFEA09"/>
    <w:rsid w:val="3B11A1CD"/>
    <w:rsid w:val="3B148A1A"/>
    <w:rsid w:val="3B563C5B"/>
    <w:rsid w:val="3B8A0B2E"/>
    <w:rsid w:val="3B900CFD"/>
    <w:rsid w:val="3B96FCBF"/>
    <w:rsid w:val="3BAE9780"/>
    <w:rsid w:val="3BD6946D"/>
    <w:rsid w:val="3BF13439"/>
    <w:rsid w:val="3C483819"/>
    <w:rsid w:val="3C55AB20"/>
    <w:rsid w:val="3C5FA65E"/>
    <w:rsid w:val="3C6E401E"/>
    <w:rsid w:val="3C70BA33"/>
    <w:rsid w:val="3C8F4107"/>
    <w:rsid w:val="3C9F5191"/>
    <w:rsid w:val="3C9FC5D6"/>
    <w:rsid w:val="3CA1C3E5"/>
    <w:rsid w:val="3CA44B1A"/>
    <w:rsid w:val="3CA8AD31"/>
    <w:rsid w:val="3CB02289"/>
    <w:rsid w:val="3CF11532"/>
    <w:rsid w:val="3D0DB2AA"/>
    <w:rsid w:val="3D0F8E02"/>
    <w:rsid w:val="3D36B3B5"/>
    <w:rsid w:val="3D3E774B"/>
    <w:rsid w:val="3D660E8E"/>
    <w:rsid w:val="3D77FFBE"/>
    <w:rsid w:val="3D82A92C"/>
    <w:rsid w:val="3D97A6FD"/>
    <w:rsid w:val="3DB9C454"/>
    <w:rsid w:val="3DC31414"/>
    <w:rsid w:val="3DD35946"/>
    <w:rsid w:val="3DE51412"/>
    <w:rsid w:val="3DEC3464"/>
    <w:rsid w:val="3E294010"/>
    <w:rsid w:val="3E30E835"/>
    <w:rsid w:val="3E475D34"/>
    <w:rsid w:val="3E4C04E1"/>
    <w:rsid w:val="3E65EE6A"/>
    <w:rsid w:val="3E8FF434"/>
    <w:rsid w:val="3EABE80D"/>
    <w:rsid w:val="3EBB3406"/>
    <w:rsid w:val="3EC89668"/>
    <w:rsid w:val="3F711785"/>
    <w:rsid w:val="3F815112"/>
    <w:rsid w:val="3FAC990E"/>
    <w:rsid w:val="3FAD945D"/>
    <w:rsid w:val="3FE89E62"/>
    <w:rsid w:val="40131BBE"/>
    <w:rsid w:val="40314527"/>
    <w:rsid w:val="40437007"/>
    <w:rsid w:val="4059542E"/>
    <w:rsid w:val="406F1A54"/>
    <w:rsid w:val="4071CB2A"/>
    <w:rsid w:val="40896871"/>
    <w:rsid w:val="40DE78E6"/>
    <w:rsid w:val="40F6D723"/>
    <w:rsid w:val="41009E59"/>
    <w:rsid w:val="41078C16"/>
    <w:rsid w:val="413B7376"/>
    <w:rsid w:val="414EE2E5"/>
    <w:rsid w:val="41834A83"/>
    <w:rsid w:val="419A75BB"/>
    <w:rsid w:val="41ADAA92"/>
    <w:rsid w:val="41D2D10C"/>
    <w:rsid w:val="41E3177F"/>
    <w:rsid w:val="41F19DD0"/>
    <w:rsid w:val="42019D36"/>
    <w:rsid w:val="425D107D"/>
    <w:rsid w:val="42652E32"/>
    <w:rsid w:val="42748550"/>
    <w:rsid w:val="4288FAE8"/>
    <w:rsid w:val="428A2FC7"/>
    <w:rsid w:val="42953C4F"/>
    <w:rsid w:val="42C9E81C"/>
    <w:rsid w:val="42D8B35D"/>
    <w:rsid w:val="42E160F8"/>
    <w:rsid w:val="4300600A"/>
    <w:rsid w:val="43137FEF"/>
    <w:rsid w:val="43B1271E"/>
    <w:rsid w:val="43BA96B5"/>
    <w:rsid w:val="43C30C5F"/>
    <w:rsid w:val="43ED81CC"/>
    <w:rsid w:val="4423D148"/>
    <w:rsid w:val="443F7332"/>
    <w:rsid w:val="44486185"/>
    <w:rsid w:val="446F4618"/>
    <w:rsid w:val="447B7DC8"/>
    <w:rsid w:val="447E0978"/>
    <w:rsid w:val="44826C9B"/>
    <w:rsid w:val="448E6686"/>
    <w:rsid w:val="448FB371"/>
    <w:rsid w:val="449055FD"/>
    <w:rsid w:val="44939B0D"/>
    <w:rsid w:val="44D6CA0A"/>
    <w:rsid w:val="451A5F7F"/>
    <w:rsid w:val="452DA43B"/>
    <w:rsid w:val="452DAE54"/>
    <w:rsid w:val="453753AF"/>
    <w:rsid w:val="45385F93"/>
    <w:rsid w:val="4540BB36"/>
    <w:rsid w:val="4543B5C0"/>
    <w:rsid w:val="4553EA8C"/>
    <w:rsid w:val="455C707A"/>
    <w:rsid w:val="456FA9DD"/>
    <w:rsid w:val="45B75B06"/>
    <w:rsid w:val="45C1A7FD"/>
    <w:rsid w:val="45E309C6"/>
    <w:rsid w:val="45E434FF"/>
    <w:rsid w:val="45F32615"/>
    <w:rsid w:val="461C3822"/>
    <w:rsid w:val="462AF6FF"/>
    <w:rsid w:val="4677F529"/>
    <w:rsid w:val="46A18107"/>
    <w:rsid w:val="46A28404"/>
    <w:rsid w:val="46A6136B"/>
    <w:rsid w:val="46D8DE0C"/>
    <w:rsid w:val="471C058A"/>
    <w:rsid w:val="47202754"/>
    <w:rsid w:val="472D2253"/>
    <w:rsid w:val="473220C3"/>
    <w:rsid w:val="4737EAEA"/>
    <w:rsid w:val="47508D48"/>
    <w:rsid w:val="4757024C"/>
    <w:rsid w:val="4782CDC1"/>
    <w:rsid w:val="4797BEA1"/>
    <w:rsid w:val="479856ED"/>
    <w:rsid w:val="47C986EE"/>
    <w:rsid w:val="47E37974"/>
    <w:rsid w:val="47E55C08"/>
    <w:rsid w:val="47E84B2A"/>
    <w:rsid w:val="47FDD8F7"/>
    <w:rsid w:val="480AD79C"/>
    <w:rsid w:val="480F07C4"/>
    <w:rsid w:val="48131BE9"/>
    <w:rsid w:val="48559BE3"/>
    <w:rsid w:val="48645962"/>
    <w:rsid w:val="4891473C"/>
    <w:rsid w:val="4894BF1C"/>
    <w:rsid w:val="489B9834"/>
    <w:rsid w:val="48F79215"/>
    <w:rsid w:val="49352CFD"/>
    <w:rsid w:val="493AC491"/>
    <w:rsid w:val="4958D054"/>
    <w:rsid w:val="495F38DC"/>
    <w:rsid w:val="4988DD49"/>
    <w:rsid w:val="4995AFB5"/>
    <w:rsid w:val="499FA0F0"/>
    <w:rsid w:val="49AFBDF6"/>
    <w:rsid w:val="49E97F6D"/>
    <w:rsid w:val="49FFE7AD"/>
    <w:rsid w:val="4A1571E7"/>
    <w:rsid w:val="4A677F43"/>
    <w:rsid w:val="4A71A376"/>
    <w:rsid w:val="4A7A3FF8"/>
    <w:rsid w:val="4A815ED0"/>
    <w:rsid w:val="4AB14421"/>
    <w:rsid w:val="4ABD7043"/>
    <w:rsid w:val="4AFF1D77"/>
    <w:rsid w:val="4B71EB9A"/>
    <w:rsid w:val="4BC780E9"/>
    <w:rsid w:val="4BD7ED66"/>
    <w:rsid w:val="4BE4C194"/>
    <w:rsid w:val="4C068AF0"/>
    <w:rsid w:val="4C16422F"/>
    <w:rsid w:val="4C5F2C8B"/>
    <w:rsid w:val="4C7C304C"/>
    <w:rsid w:val="4C7E06AB"/>
    <w:rsid w:val="4C879CDE"/>
    <w:rsid w:val="4CA299BC"/>
    <w:rsid w:val="4CBA1098"/>
    <w:rsid w:val="4CC08FAD"/>
    <w:rsid w:val="4CCD83FE"/>
    <w:rsid w:val="4D0DEA8B"/>
    <w:rsid w:val="4D3A75C7"/>
    <w:rsid w:val="4D41BCBF"/>
    <w:rsid w:val="4D535A72"/>
    <w:rsid w:val="4D57CA71"/>
    <w:rsid w:val="4D58769A"/>
    <w:rsid w:val="4D706B89"/>
    <w:rsid w:val="4D7802F7"/>
    <w:rsid w:val="4D9FB6D4"/>
    <w:rsid w:val="4DDFB955"/>
    <w:rsid w:val="4DED3D52"/>
    <w:rsid w:val="4E1A7D55"/>
    <w:rsid w:val="4E1BF7A8"/>
    <w:rsid w:val="4E1F12C9"/>
    <w:rsid w:val="4E1F6CA7"/>
    <w:rsid w:val="4E24CF23"/>
    <w:rsid w:val="4E2C2471"/>
    <w:rsid w:val="4E398977"/>
    <w:rsid w:val="4E7A5813"/>
    <w:rsid w:val="4EA57F3B"/>
    <w:rsid w:val="4EA7C72C"/>
    <w:rsid w:val="4EB113F5"/>
    <w:rsid w:val="4EEF7BEA"/>
    <w:rsid w:val="4F052C87"/>
    <w:rsid w:val="4F45789E"/>
    <w:rsid w:val="4F5491C2"/>
    <w:rsid w:val="4F5AD54B"/>
    <w:rsid w:val="4F6E2CD3"/>
    <w:rsid w:val="4FC8EE08"/>
    <w:rsid w:val="4FD480A9"/>
    <w:rsid w:val="4FEFC7B5"/>
    <w:rsid w:val="4FF274C9"/>
    <w:rsid w:val="4FF840F0"/>
    <w:rsid w:val="501D11DD"/>
    <w:rsid w:val="504BC53B"/>
    <w:rsid w:val="50661D8E"/>
    <w:rsid w:val="507EE338"/>
    <w:rsid w:val="5084B835"/>
    <w:rsid w:val="508D1942"/>
    <w:rsid w:val="508ECBEB"/>
    <w:rsid w:val="50AFFA30"/>
    <w:rsid w:val="50B24D88"/>
    <w:rsid w:val="50D50168"/>
    <w:rsid w:val="50D6095D"/>
    <w:rsid w:val="50FCA691"/>
    <w:rsid w:val="5136C5F4"/>
    <w:rsid w:val="513DF603"/>
    <w:rsid w:val="51640E86"/>
    <w:rsid w:val="51799A27"/>
    <w:rsid w:val="51930647"/>
    <w:rsid w:val="51B6A0B7"/>
    <w:rsid w:val="51D3C9A6"/>
    <w:rsid w:val="51D9CB16"/>
    <w:rsid w:val="520300CB"/>
    <w:rsid w:val="52034190"/>
    <w:rsid w:val="5209B73E"/>
    <w:rsid w:val="522DDBD6"/>
    <w:rsid w:val="523923AC"/>
    <w:rsid w:val="527F6903"/>
    <w:rsid w:val="52A9FC11"/>
    <w:rsid w:val="52ABB048"/>
    <w:rsid w:val="52AC2E28"/>
    <w:rsid w:val="52AC927B"/>
    <w:rsid w:val="52AD67E6"/>
    <w:rsid w:val="52AD91EB"/>
    <w:rsid w:val="52C16033"/>
    <w:rsid w:val="52C41FF3"/>
    <w:rsid w:val="52CE4856"/>
    <w:rsid w:val="52E219D6"/>
    <w:rsid w:val="5309917C"/>
    <w:rsid w:val="53296414"/>
    <w:rsid w:val="534E2C7A"/>
    <w:rsid w:val="537E7AB0"/>
    <w:rsid w:val="53B188DD"/>
    <w:rsid w:val="53BCF5D5"/>
    <w:rsid w:val="53C377E1"/>
    <w:rsid w:val="53E1729E"/>
    <w:rsid w:val="5425722E"/>
    <w:rsid w:val="543130E8"/>
    <w:rsid w:val="5456A1B1"/>
    <w:rsid w:val="54570B66"/>
    <w:rsid w:val="547C5D7F"/>
    <w:rsid w:val="5486762A"/>
    <w:rsid w:val="548E264F"/>
    <w:rsid w:val="549B574F"/>
    <w:rsid w:val="54DAE602"/>
    <w:rsid w:val="54E07839"/>
    <w:rsid w:val="54E33C2A"/>
    <w:rsid w:val="54ED6841"/>
    <w:rsid w:val="54FC39DA"/>
    <w:rsid w:val="55009544"/>
    <w:rsid w:val="554CBD45"/>
    <w:rsid w:val="554F7A84"/>
    <w:rsid w:val="55580FC5"/>
    <w:rsid w:val="55715357"/>
    <w:rsid w:val="557AA009"/>
    <w:rsid w:val="558BF8AF"/>
    <w:rsid w:val="55CA4302"/>
    <w:rsid w:val="55CAC4AF"/>
    <w:rsid w:val="55FC1EFE"/>
    <w:rsid w:val="560F20B6"/>
    <w:rsid w:val="5629904B"/>
    <w:rsid w:val="563EF8E9"/>
    <w:rsid w:val="564529C9"/>
    <w:rsid w:val="5668784B"/>
    <w:rsid w:val="566B69DC"/>
    <w:rsid w:val="567397AD"/>
    <w:rsid w:val="568E6A90"/>
    <w:rsid w:val="56BEF1D0"/>
    <w:rsid w:val="56D96966"/>
    <w:rsid w:val="57B021C7"/>
    <w:rsid w:val="57ED4A21"/>
    <w:rsid w:val="58014395"/>
    <w:rsid w:val="58040FCC"/>
    <w:rsid w:val="580727AF"/>
    <w:rsid w:val="58152548"/>
    <w:rsid w:val="58516B3F"/>
    <w:rsid w:val="589BB924"/>
    <w:rsid w:val="58AC2BBF"/>
    <w:rsid w:val="58C1B38A"/>
    <w:rsid w:val="58C936AA"/>
    <w:rsid w:val="58CEB2CD"/>
    <w:rsid w:val="58F63BBF"/>
    <w:rsid w:val="59041F03"/>
    <w:rsid w:val="591D0EAC"/>
    <w:rsid w:val="5922A623"/>
    <w:rsid w:val="5934EF96"/>
    <w:rsid w:val="5975F45E"/>
    <w:rsid w:val="59C7CDB5"/>
    <w:rsid w:val="59EDF321"/>
    <w:rsid w:val="5A071199"/>
    <w:rsid w:val="5A1B944E"/>
    <w:rsid w:val="5A671188"/>
    <w:rsid w:val="5A7B4312"/>
    <w:rsid w:val="5A88EC17"/>
    <w:rsid w:val="5AB73C67"/>
    <w:rsid w:val="5AC4ABFC"/>
    <w:rsid w:val="5AD9F056"/>
    <w:rsid w:val="5ADB17D6"/>
    <w:rsid w:val="5AEBE0FA"/>
    <w:rsid w:val="5AF4211E"/>
    <w:rsid w:val="5AF7010A"/>
    <w:rsid w:val="5B03F451"/>
    <w:rsid w:val="5B3C6098"/>
    <w:rsid w:val="5B63DE86"/>
    <w:rsid w:val="5B63FABE"/>
    <w:rsid w:val="5B666092"/>
    <w:rsid w:val="5B6B181F"/>
    <w:rsid w:val="5B7E5FBA"/>
    <w:rsid w:val="5B95E240"/>
    <w:rsid w:val="5B9BC064"/>
    <w:rsid w:val="5BA0CBAA"/>
    <w:rsid w:val="5BA3CEE6"/>
    <w:rsid w:val="5BAC5F8E"/>
    <w:rsid w:val="5BB15D09"/>
    <w:rsid w:val="5BD5E190"/>
    <w:rsid w:val="5BF5AB10"/>
    <w:rsid w:val="5BF7BA71"/>
    <w:rsid w:val="5C0782DB"/>
    <w:rsid w:val="5C2AF9F5"/>
    <w:rsid w:val="5C344D8F"/>
    <w:rsid w:val="5C525EE3"/>
    <w:rsid w:val="5C641C80"/>
    <w:rsid w:val="5C7A373A"/>
    <w:rsid w:val="5C8FA6A6"/>
    <w:rsid w:val="5CA242B3"/>
    <w:rsid w:val="5CA896C0"/>
    <w:rsid w:val="5CC9E828"/>
    <w:rsid w:val="5CF2E795"/>
    <w:rsid w:val="5D065393"/>
    <w:rsid w:val="5D0A1DE4"/>
    <w:rsid w:val="5D0F5C39"/>
    <w:rsid w:val="5D170F9A"/>
    <w:rsid w:val="5D25224A"/>
    <w:rsid w:val="5D27D6D9"/>
    <w:rsid w:val="5D29FBBA"/>
    <w:rsid w:val="5D33874D"/>
    <w:rsid w:val="5D4ACAD0"/>
    <w:rsid w:val="5D531ED1"/>
    <w:rsid w:val="5D611E36"/>
    <w:rsid w:val="5D6BE0AE"/>
    <w:rsid w:val="5D8B13AF"/>
    <w:rsid w:val="5DAFDCDB"/>
    <w:rsid w:val="5DD5B161"/>
    <w:rsid w:val="5DDF4FA0"/>
    <w:rsid w:val="5E2104E0"/>
    <w:rsid w:val="5E383075"/>
    <w:rsid w:val="5E5553F4"/>
    <w:rsid w:val="5E6EA1F8"/>
    <w:rsid w:val="5E713916"/>
    <w:rsid w:val="5E733B58"/>
    <w:rsid w:val="5E772A0E"/>
    <w:rsid w:val="5E8F67D8"/>
    <w:rsid w:val="5E9BF66E"/>
    <w:rsid w:val="5E9FC56F"/>
    <w:rsid w:val="5EA06B68"/>
    <w:rsid w:val="5ED652D9"/>
    <w:rsid w:val="5F3E8652"/>
    <w:rsid w:val="5F471B0E"/>
    <w:rsid w:val="5F561E7F"/>
    <w:rsid w:val="5F5F933D"/>
    <w:rsid w:val="5F70B38C"/>
    <w:rsid w:val="5F8AFA85"/>
    <w:rsid w:val="5F8D63FA"/>
    <w:rsid w:val="5FE7503F"/>
    <w:rsid w:val="60003E17"/>
    <w:rsid w:val="60168D12"/>
    <w:rsid w:val="606AAFE4"/>
    <w:rsid w:val="6073681F"/>
    <w:rsid w:val="60BC302B"/>
    <w:rsid w:val="60F0590B"/>
    <w:rsid w:val="610B6C7A"/>
    <w:rsid w:val="612D6266"/>
    <w:rsid w:val="614AB551"/>
    <w:rsid w:val="6154C24E"/>
    <w:rsid w:val="6161C6B7"/>
    <w:rsid w:val="6194446F"/>
    <w:rsid w:val="61981646"/>
    <w:rsid w:val="61CA930B"/>
    <w:rsid w:val="61CE7F09"/>
    <w:rsid w:val="61EF9BA7"/>
    <w:rsid w:val="620F0253"/>
    <w:rsid w:val="621C958D"/>
    <w:rsid w:val="622B8F2D"/>
    <w:rsid w:val="622DB551"/>
    <w:rsid w:val="623F7569"/>
    <w:rsid w:val="624A081F"/>
    <w:rsid w:val="6279A5A4"/>
    <w:rsid w:val="62BE4C62"/>
    <w:rsid w:val="62CE384C"/>
    <w:rsid w:val="62EAA073"/>
    <w:rsid w:val="62FFBCB6"/>
    <w:rsid w:val="630AE6B8"/>
    <w:rsid w:val="6313814D"/>
    <w:rsid w:val="63507536"/>
    <w:rsid w:val="635F4C53"/>
    <w:rsid w:val="63651EDC"/>
    <w:rsid w:val="63A8F78C"/>
    <w:rsid w:val="63C0791A"/>
    <w:rsid w:val="63D9B8EC"/>
    <w:rsid w:val="64196C6A"/>
    <w:rsid w:val="64230040"/>
    <w:rsid w:val="6440C5C2"/>
    <w:rsid w:val="6453A0CC"/>
    <w:rsid w:val="648F11C6"/>
    <w:rsid w:val="64A0E06F"/>
    <w:rsid w:val="64A11C06"/>
    <w:rsid w:val="64AF48F2"/>
    <w:rsid w:val="64E6421B"/>
    <w:rsid w:val="650C5C58"/>
    <w:rsid w:val="6535CD14"/>
    <w:rsid w:val="6537C99A"/>
    <w:rsid w:val="655904BA"/>
    <w:rsid w:val="655A0678"/>
    <w:rsid w:val="656D5005"/>
    <w:rsid w:val="65903826"/>
    <w:rsid w:val="659FD8AD"/>
    <w:rsid w:val="65CABC05"/>
    <w:rsid w:val="65E63876"/>
    <w:rsid w:val="6605DEA4"/>
    <w:rsid w:val="6606E4B4"/>
    <w:rsid w:val="6619F8A8"/>
    <w:rsid w:val="661E67FD"/>
    <w:rsid w:val="66259DBA"/>
    <w:rsid w:val="6625AEA2"/>
    <w:rsid w:val="6628F793"/>
    <w:rsid w:val="66A0D6EB"/>
    <w:rsid w:val="66A4AD71"/>
    <w:rsid w:val="66AA5B6F"/>
    <w:rsid w:val="66D40FB6"/>
    <w:rsid w:val="672E76FF"/>
    <w:rsid w:val="67491301"/>
    <w:rsid w:val="67695F20"/>
    <w:rsid w:val="677D36F1"/>
    <w:rsid w:val="67A7C6C3"/>
    <w:rsid w:val="67BEABFD"/>
    <w:rsid w:val="68554ACB"/>
    <w:rsid w:val="68762404"/>
    <w:rsid w:val="68B407B6"/>
    <w:rsid w:val="68C13442"/>
    <w:rsid w:val="68D582EB"/>
    <w:rsid w:val="68EB42C8"/>
    <w:rsid w:val="6904360D"/>
    <w:rsid w:val="691734D3"/>
    <w:rsid w:val="6918882C"/>
    <w:rsid w:val="6933EC62"/>
    <w:rsid w:val="69CD9CD0"/>
    <w:rsid w:val="69DD3883"/>
    <w:rsid w:val="69E41B90"/>
    <w:rsid w:val="69E4F565"/>
    <w:rsid w:val="6A333F41"/>
    <w:rsid w:val="6A619B2F"/>
    <w:rsid w:val="6A6678F3"/>
    <w:rsid w:val="6A73066D"/>
    <w:rsid w:val="6A9AE140"/>
    <w:rsid w:val="6AA572ED"/>
    <w:rsid w:val="6ACD26AA"/>
    <w:rsid w:val="6AE2F85A"/>
    <w:rsid w:val="6B251D39"/>
    <w:rsid w:val="6B45E0BF"/>
    <w:rsid w:val="6B56736A"/>
    <w:rsid w:val="6B7D494F"/>
    <w:rsid w:val="6BCE3733"/>
    <w:rsid w:val="6BDA7EFB"/>
    <w:rsid w:val="6BE6D03B"/>
    <w:rsid w:val="6BE91F63"/>
    <w:rsid w:val="6C0E7E9E"/>
    <w:rsid w:val="6C3F57E7"/>
    <w:rsid w:val="6C4BE0F8"/>
    <w:rsid w:val="6C78C276"/>
    <w:rsid w:val="6C82A7A7"/>
    <w:rsid w:val="6C9B5473"/>
    <w:rsid w:val="6CC13F4E"/>
    <w:rsid w:val="6CE618F2"/>
    <w:rsid w:val="6D01B65E"/>
    <w:rsid w:val="6D10FEB3"/>
    <w:rsid w:val="6D14BC98"/>
    <w:rsid w:val="6D3DC343"/>
    <w:rsid w:val="6D443D77"/>
    <w:rsid w:val="6D4E8F98"/>
    <w:rsid w:val="6D882FC0"/>
    <w:rsid w:val="6DA89A93"/>
    <w:rsid w:val="6DE6B857"/>
    <w:rsid w:val="6E74C430"/>
    <w:rsid w:val="6E761BE9"/>
    <w:rsid w:val="6E7BC3F0"/>
    <w:rsid w:val="6E85C903"/>
    <w:rsid w:val="6E9AB190"/>
    <w:rsid w:val="6EBE3AAF"/>
    <w:rsid w:val="6ECE8FB0"/>
    <w:rsid w:val="6ED94F48"/>
    <w:rsid w:val="6EDAC61A"/>
    <w:rsid w:val="6EFDA77C"/>
    <w:rsid w:val="6F1316D8"/>
    <w:rsid w:val="6F20976A"/>
    <w:rsid w:val="6F30B635"/>
    <w:rsid w:val="6F367F45"/>
    <w:rsid w:val="6F673751"/>
    <w:rsid w:val="6F6D2807"/>
    <w:rsid w:val="6F8542CA"/>
    <w:rsid w:val="6F858EC7"/>
    <w:rsid w:val="6F8D8EA0"/>
    <w:rsid w:val="6FA7D881"/>
    <w:rsid w:val="6FAACB82"/>
    <w:rsid w:val="7004F295"/>
    <w:rsid w:val="700577F1"/>
    <w:rsid w:val="700E6FA1"/>
    <w:rsid w:val="70120848"/>
    <w:rsid w:val="70123AE0"/>
    <w:rsid w:val="7081B103"/>
    <w:rsid w:val="7088B074"/>
    <w:rsid w:val="708A3B27"/>
    <w:rsid w:val="708C8E69"/>
    <w:rsid w:val="708D5EAF"/>
    <w:rsid w:val="70C2AF0B"/>
    <w:rsid w:val="70E150EC"/>
    <w:rsid w:val="70E4F381"/>
    <w:rsid w:val="70FBB9CA"/>
    <w:rsid w:val="7123376F"/>
    <w:rsid w:val="715DA10C"/>
    <w:rsid w:val="71842B88"/>
    <w:rsid w:val="71922FFD"/>
    <w:rsid w:val="71B1C4CE"/>
    <w:rsid w:val="71BB0A8C"/>
    <w:rsid w:val="71C91DE3"/>
    <w:rsid w:val="71C9837F"/>
    <w:rsid w:val="71D67E8D"/>
    <w:rsid w:val="720F9E4F"/>
    <w:rsid w:val="72221962"/>
    <w:rsid w:val="7258ED9F"/>
    <w:rsid w:val="7295926C"/>
    <w:rsid w:val="7302F85B"/>
    <w:rsid w:val="731A1399"/>
    <w:rsid w:val="7321E9C5"/>
    <w:rsid w:val="733E89CA"/>
    <w:rsid w:val="735D581E"/>
    <w:rsid w:val="73805BD6"/>
    <w:rsid w:val="739BD00F"/>
    <w:rsid w:val="73B565C6"/>
    <w:rsid w:val="73C0C7CF"/>
    <w:rsid w:val="73D5F285"/>
    <w:rsid w:val="73E77930"/>
    <w:rsid w:val="73EC6625"/>
    <w:rsid w:val="73F2FF8C"/>
    <w:rsid w:val="742F27B7"/>
    <w:rsid w:val="7442B907"/>
    <w:rsid w:val="7447B617"/>
    <w:rsid w:val="74778120"/>
    <w:rsid w:val="74CDEB54"/>
    <w:rsid w:val="74DCCEC4"/>
    <w:rsid w:val="74F77071"/>
    <w:rsid w:val="75102F65"/>
    <w:rsid w:val="75269827"/>
    <w:rsid w:val="7529A327"/>
    <w:rsid w:val="752F0E8B"/>
    <w:rsid w:val="754B8CE2"/>
    <w:rsid w:val="755BB2BB"/>
    <w:rsid w:val="7579EB07"/>
    <w:rsid w:val="75857976"/>
    <w:rsid w:val="75860216"/>
    <w:rsid w:val="75C92FBE"/>
    <w:rsid w:val="75CFCFBB"/>
    <w:rsid w:val="75FA519D"/>
    <w:rsid w:val="764A2DE5"/>
    <w:rsid w:val="766388AE"/>
    <w:rsid w:val="767C4C70"/>
    <w:rsid w:val="76AC4106"/>
    <w:rsid w:val="76B88B11"/>
    <w:rsid w:val="76E40051"/>
    <w:rsid w:val="76F3ADAD"/>
    <w:rsid w:val="76FBFAEB"/>
    <w:rsid w:val="7704FD7B"/>
    <w:rsid w:val="77325EB4"/>
    <w:rsid w:val="774681E2"/>
    <w:rsid w:val="7756FDF4"/>
    <w:rsid w:val="77ACAB8B"/>
    <w:rsid w:val="77B3BCE7"/>
    <w:rsid w:val="77C385C3"/>
    <w:rsid w:val="77EA3C16"/>
    <w:rsid w:val="77F18D23"/>
    <w:rsid w:val="786E12A1"/>
    <w:rsid w:val="787CDE09"/>
    <w:rsid w:val="78A2C8E8"/>
    <w:rsid w:val="78A7795C"/>
    <w:rsid w:val="78AA1594"/>
    <w:rsid w:val="78AEFD96"/>
    <w:rsid w:val="78BBCCBB"/>
    <w:rsid w:val="78CC2408"/>
    <w:rsid w:val="78FEAD7A"/>
    <w:rsid w:val="7904C68B"/>
    <w:rsid w:val="79116DEB"/>
    <w:rsid w:val="791E99BD"/>
    <w:rsid w:val="79201648"/>
    <w:rsid w:val="7948CBE4"/>
    <w:rsid w:val="794DEC95"/>
    <w:rsid w:val="7954EBC9"/>
    <w:rsid w:val="7969DCEF"/>
    <w:rsid w:val="796CE272"/>
    <w:rsid w:val="79828EC0"/>
    <w:rsid w:val="799F51B8"/>
    <w:rsid w:val="799F5A81"/>
    <w:rsid w:val="79A98443"/>
    <w:rsid w:val="79C38A0C"/>
    <w:rsid w:val="79DB54EB"/>
    <w:rsid w:val="7A398BC4"/>
    <w:rsid w:val="7A426834"/>
    <w:rsid w:val="7A4C5DCF"/>
    <w:rsid w:val="7A652E3B"/>
    <w:rsid w:val="7AA01A7F"/>
    <w:rsid w:val="7AB3D24C"/>
    <w:rsid w:val="7AC5A292"/>
    <w:rsid w:val="7AD37233"/>
    <w:rsid w:val="7AFFC2DF"/>
    <w:rsid w:val="7B199B3D"/>
    <w:rsid w:val="7B1CD246"/>
    <w:rsid w:val="7B4BACDF"/>
    <w:rsid w:val="7B620F9E"/>
    <w:rsid w:val="7B6D702D"/>
    <w:rsid w:val="7B96AE1C"/>
    <w:rsid w:val="7B9AA4AA"/>
    <w:rsid w:val="7BC2492C"/>
    <w:rsid w:val="7BCF3439"/>
    <w:rsid w:val="7BCF3CAF"/>
    <w:rsid w:val="7BD6C523"/>
    <w:rsid w:val="7BF59C24"/>
    <w:rsid w:val="7BF95256"/>
    <w:rsid w:val="7C116522"/>
    <w:rsid w:val="7C16D3A5"/>
    <w:rsid w:val="7C1AD1C3"/>
    <w:rsid w:val="7C324814"/>
    <w:rsid w:val="7C403F3D"/>
    <w:rsid w:val="7C720969"/>
    <w:rsid w:val="7C749DFB"/>
    <w:rsid w:val="7C809349"/>
    <w:rsid w:val="7CA5A36D"/>
    <w:rsid w:val="7CCA27BE"/>
    <w:rsid w:val="7CCE901F"/>
    <w:rsid w:val="7D1F3B7F"/>
    <w:rsid w:val="7D331C95"/>
    <w:rsid w:val="7D55F342"/>
    <w:rsid w:val="7D658661"/>
    <w:rsid w:val="7D687902"/>
    <w:rsid w:val="7D8F8F51"/>
    <w:rsid w:val="7DA3A7F7"/>
    <w:rsid w:val="7DE12C0D"/>
    <w:rsid w:val="7E042400"/>
    <w:rsid w:val="7E53672D"/>
    <w:rsid w:val="7E5CCB02"/>
    <w:rsid w:val="7E713C4D"/>
    <w:rsid w:val="7E99AED5"/>
    <w:rsid w:val="7EE07388"/>
    <w:rsid w:val="7EE3201C"/>
    <w:rsid w:val="7EE5A8BA"/>
    <w:rsid w:val="7EFB943B"/>
    <w:rsid w:val="7F004C97"/>
    <w:rsid w:val="7F082C8D"/>
    <w:rsid w:val="7F1D5C20"/>
    <w:rsid w:val="7F60ADF1"/>
    <w:rsid w:val="7F741BB8"/>
    <w:rsid w:val="7F9E37BC"/>
    <w:rsid w:val="7FB5C0E8"/>
    <w:rsid w:val="7FB9AAC3"/>
    <w:rsid w:val="7FF472BF"/>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F93DD7"/>
  <w14:defaultImageDpi w14:val="330"/>
  <w15:docId w15:val="{981C9B6E-3770-454E-83B3-BB04B19C7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iPriority="0" w:unhideWhenUsed="1"/>
    <w:lsdException w:name="annotation reference" w:semiHidden="1" w:unhideWhenUsed="1"/>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unhideWhenUsed="1"/>
    <w:lsdException w:name="Default Paragraph Font" w:semiHidden="1" w:uiPriority="1" w:unhideWhenUsed="1"/>
    <w:lsdException w:name="Body Text" w:semiHidden="1" w:uiPriority="0"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0"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D35E2"/>
    <w:pPr>
      <w:spacing w:before="120" w:after="120" w:line="280" w:lineRule="atLeast"/>
      <w:jc w:val="both"/>
    </w:pPr>
    <w:rPr>
      <w:rFonts w:ascii="Calibri" w:eastAsiaTheme="minorEastAsia" w:hAnsi="Calibri"/>
      <w:lang w:eastAsia="en-NZ"/>
    </w:rPr>
  </w:style>
  <w:style w:type="paragraph" w:styleId="Heading1">
    <w:name w:val="heading 1"/>
    <w:basedOn w:val="Normal"/>
    <w:next w:val="BodyText"/>
    <w:link w:val="Heading1Char"/>
    <w:qFormat/>
    <w:rsid w:val="00664368"/>
    <w:pPr>
      <w:keepNext/>
      <w:tabs>
        <w:tab w:val="left" w:pos="851"/>
      </w:tabs>
      <w:spacing w:before="0" w:after="360" w:line="600" w:lineRule="atLeast"/>
      <w:jc w:val="left"/>
      <w:outlineLvl w:val="0"/>
    </w:pPr>
    <w:rPr>
      <w:rFonts w:ascii="Georgia" w:eastAsiaTheme="majorEastAsia" w:hAnsi="Georgia" w:cstheme="majorBidi"/>
      <w:b/>
      <w:bCs/>
      <w:color w:val="1B556B"/>
      <w:sz w:val="48"/>
      <w:szCs w:val="28"/>
    </w:rPr>
  </w:style>
  <w:style w:type="paragraph" w:styleId="Heading2">
    <w:name w:val="heading 2"/>
    <w:basedOn w:val="Normal"/>
    <w:next w:val="BodyText"/>
    <w:link w:val="Heading2Char"/>
    <w:qFormat/>
    <w:rsid w:val="00664368"/>
    <w:pPr>
      <w:keepNext/>
      <w:tabs>
        <w:tab w:val="left" w:pos="851"/>
      </w:tabs>
      <w:spacing w:before="360" w:after="0" w:line="440" w:lineRule="atLeast"/>
      <w:jc w:val="left"/>
      <w:outlineLvl w:val="1"/>
    </w:pPr>
    <w:rPr>
      <w:rFonts w:ascii="Georgia" w:eastAsiaTheme="majorEastAsia" w:hAnsi="Georgia" w:cstheme="majorBidi"/>
      <w:b/>
      <w:bCs/>
      <w:color w:val="1B556B"/>
      <w:sz w:val="36"/>
      <w:szCs w:val="26"/>
    </w:rPr>
  </w:style>
  <w:style w:type="paragraph" w:styleId="Heading3">
    <w:name w:val="heading 3"/>
    <w:basedOn w:val="Normal"/>
    <w:next w:val="BodyText"/>
    <w:link w:val="Heading3Char"/>
    <w:qFormat/>
    <w:rsid w:val="00441CD1"/>
    <w:pPr>
      <w:keepNext/>
      <w:tabs>
        <w:tab w:val="left" w:pos="851"/>
      </w:tabs>
      <w:spacing w:before="360" w:after="0" w:line="360" w:lineRule="atLeast"/>
      <w:jc w:val="left"/>
      <w:outlineLvl w:val="2"/>
    </w:pPr>
    <w:rPr>
      <w:rFonts w:ascii="Georgia" w:eastAsiaTheme="majorEastAsia" w:hAnsi="Georgia" w:cstheme="majorBidi"/>
      <w:b/>
      <w:bCs/>
      <w:sz w:val="28"/>
    </w:rPr>
  </w:style>
  <w:style w:type="paragraph" w:styleId="Heading4">
    <w:name w:val="heading 4"/>
    <w:basedOn w:val="Heading3"/>
    <w:next w:val="BodyText"/>
    <w:link w:val="Heading4Char"/>
    <w:qFormat/>
    <w:rsid w:val="005B3B74"/>
    <w:pPr>
      <w:spacing w:before="280"/>
      <w:outlineLvl w:val="3"/>
    </w:pPr>
    <w:rPr>
      <w:sz w:val="24"/>
    </w:rPr>
  </w:style>
  <w:style w:type="paragraph" w:styleId="Heading5">
    <w:name w:val="heading 5"/>
    <w:basedOn w:val="Normal"/>
    <w:next w:val="BodyText"/>
    <w:link w:val="Heading5Char"/>
    <w:qFormat/>
    <w:rsid w:val="00430DF1"/>
    <w:pPr>
      <w:keepNext/>
      <w:spacing w:before="240" w:after="0" w:line="240" w:lineRule="auto"/>
      <w:jc w:val="left"/>
      <w:outlineLvl w:val="4"/>
    </w:pPr>
    <w:rPr>
      <w:rFonts w:eastAsiaTheme="majorEastAsia" w:cstheme="majorBidi"/>
      <w:i/>
      <w:sz w:val="24"/>
    </w:rPr>
  </w:style>
  <w:style w:type="paragraph" w:styleId="Heading6">
    <w:name w:val="heading 6"/>
    <w:basedOn w:val="Normal"/>
    <w:next w:val="Normal"/>
    <w:link w:val="Heading6Char"/>
    <w:rsid w:val="007C477E"/>
    <w:pPr>
      <w:spacing w:before="240" w:after="0" w:line="288" w:lineRule="auto"/>
      <w:jc w:val="left"/>
      <w:outlineLvl w:val="5"/>
    </w:pPr>
    <w:rPr>
      <w:rFonts w:asciiTheme="minorHAnsi" w:eastAsia="Times New Roman" w:hAnsiTheme="minorHAnsi" w:cs="Times New Roman"/>
      <w:b/>
      <w:i/>
      <w:szCs w:val="20"/>
      <w:lang w:val="en-AU" w:eastAsia="en-US"/>
    </w:rPr>
  </w:style>
  <w:style w:type="paragraph" w:styleId="Heading7">
    <w:name w:val="heading 7"/>
    <w:basedOn w:val="Normal"/>
    <w:next w:val="Normal"/>
    <w:link w:val="Heading7Char"/>
    <w:semiHidden/>
    <w:qFormat/>
    <w:rsid w:val="00EA64B4"/>
    <w:pPr>
      <w:numPr>
        <w:ilvl w:val="6"/>
        <w:numId w:val="1"/>
      </w:numPr>
      <w:spacing w:before="240" w:line="288" w:lineRule="auto"/>
      <w:jc w:val="left"/>
      <w:outlineLvl w:val="6"/>
    </w:pPr>
    <w:rPr>
      <w:rFonts w:ascii="Times New Roman" w:eastAsia="Times New Roman" w:hAnsi="Times New Roman" w:cs="Times New Roman"/>
      <w:szCs w:val="20"/>
      <w:lang w:val="en-AU" w:eastAsia="en-US"/>
    </w:rPr>
  </w:style>
  <w:style w:type="paragraph" w:styleId="Heading8">
    <w:name w:val="heading 8"/>
    <w:basedOn w:val="Normal"/>
    <w:next w:val="Normal"/>
    <w:link w:val="Heading8Char"/>
    <w:semiHidden/>
    <w:qFormat/>
    <w:rsid w:val="00EA64B4"/>
    <w:pPr>
      <w:numPr>
        <w:ilvl w:val="7"/>
        <w:numId w:val="1"/>
      </w:numPr>
      <w:spacing w:before="240" w:line="288" w:lineRule="auto"/>
      <w:jc w:val="left"/>
      <w:outlineLvl w:val="7"/>
    </w:pPr>
    <w:rPr>
      <w:rFonts w:ascii="Times New Roman" w:eastAsia="Times New Roman" w:hAnsi="Times New Roman" w:cs="Times New Roman"/>
      <w:i/>
      <w:szCs w:val="20"/>
      <w:lang w:val="en-AU" w:eastAsia="en-US"/>
    </w:rPr>
  </w:style>
  <w:style w:type="paragraph" w:styleId="Heading9">
    <w:name w:val="heading 9"/>
    <w:basedOn w:val="Heading1"/>
    <w:next w:val="Normal"/>
    <w:link w:val="Heading9Char"/>
    <w:semiHidden/>
    <w:qFormat/>
    <w:rsid w:val="00EA64B4"/>
    <w:pPr>
      <w:numPr>
        <w:ilvl w:val="8"/>
        <w:numId w:val="1"/>
      </w:numPr>
      <w:tabs>
        <w:tab w:val="clear" w:pos="851"/>
      </w:tabs>
      <w:spacing w:before="240" w:after="120"/>
      <w:outlineLvl w:val="8"/>
    </w:pPr>
    <w:rPr>
      <w:rFonts w:ascii="Arial" w:eastAsia="Times New Roman" w:hAnsi="Arial" w:cs="Times New Roman"/>
      <w:bCs w:val="0"/>
      <w:color w:val="FFFFFF"/>
      <w:kern w:val="28"/>
      <w:sz w:val="2"/>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611B"/>
    <w:rPr>
      <w:rFonts w:ascii="Georgia" w:eastAsiaTheme="majorEastAsia" w:hAnsi="Georgia" w:cstheme="majorBidi"/>
      <w:b/>
      <w:bCs/>
      <w:color w:val="1B556B"/>
      <w:sz w:val="48"/>
      <w:szCs w:val="28"/>
      <w:lang w:eastAsia="en-NZ"/>
    </w:rPr>
  </w:style>
  <w:style w:type="character" w:customStyle="1" w:styleId="Heading2Char">
    <w:name w:val="Heading 2 Char"/>
    <w:basedOn w:val="DefaultParagraphFont"/>
    <w:link w:val="Heading2"/>
    <w:rsid w:val="00664368"/>
    <w:rPr>
      <w:rFonts w:ascii="Georgia" w:eastAsiaTheme="majorEastAsia" w:hAnsi="Georgia" w:cstheme="majorBidi"/>
      <w:b/>
      <w:bCs/>
      <w:color w:val="1B556B"/>
      <w:sz w:val="36"/>
      <w:szCs w:val="26"/>
      <w:lang w:eastAsia="en-NZ"/>
    </w:rPr>
  </w:style>
  <w:style w:type="character" w:customStyle="1" w:styleId="Heading3Char">
    <w:name w:val="Heading 3 Char"/>
    <w:basedOn w:val="DefaultParagraphFont"/>
    <w:link w:val="Heading3"/>
    <w:rsid w:val="00441CD1"/>
    <w:rPr>
      <w:rFonts w:ascii="Georgia" w:eastAsiaTheme="majorEastAsia" w:hAnsi="Georgia" w:cstheme="majorBidi"/>
      <w:b/>
      <w:bCs/>
      <w:sz w:val="28"/>
      <w:lang w:eastAsia="en-NZ"/>
    </w:rPr>
  </w:style>
  <w:style w:type="character" w:customStyle="1" w:styleId="Heading4Char">
    <w:name w:val="Heading 4 Char"/>
    <w:basedOn w:val="DefaultParagraphFont"/>
    <w:link w:val="Heading4"/>
    <w:rsid w:val="005B3B74"/>
    <w:rPr>
      <w:rFonts w:ascii="Georgia" w:eastAsiaTheme="majorEastAsia" w:hAnsi="Georgia" w:cstheme="majorBidi"/>
      <w:b/>
      <w:bCs/>
      <w:sz w:val="24"/>
      <w:lang w:eastAsia="en-NZ"/>
    </w:rPr>
  </w:style>
  <w:style w:type="character" w:customStyle="1" w:styleId="Heading5Char">
    <w:name w:val="Heading 5 Char"/>
    <w:basedOn w:val="DefaultParagraphFont"/>
    <w:link w:val="Heading5"/>
    <w:rsid w:val="00430DF1"/>
    <w:rPr>
      <w:rFonts w:ascii="Calibri" w:eastAsiaTheme="majorEastAsia" w:hAnsi="Calibri" w:cstheme="majorBidi"/>
      <w:i/>
      <w:sz w:val="24"/>
      <w:lang w:eastAsia="en-NZ"/>
    </w:rPr>
  </w:style>
  <w:style w:type="paragraph" w:styleId="BodyText">
    <w:name w:val="Body Text"/>
    <w:basedOn w:val="Normal"/>
    <w:link w:val="BodyTextChar"/>
    <w:qFormat/>
    <w:rsid w:val="00664368"/>
    <w:pPr>
      <w:jc w:val="left"/>
    </w:pPr>
  </w:style>
  <w:style w:type="character" w:customStyle="1" w:styleId="BodyTextChar">
    <w:name w:val="Body Text Char"/>
    <w:basedOn w:val="DefaultParagraphFont"/>
    <w:link w:val="BodyText"/>
    <w:rsid w:val="00664368"/>
    <w:rPr>
      <w:rFonts w:ascii="Calibri" w:eastAsiaTheme="minorEastAsia" w:hAnsi="Calibri"/>
      <w:lang w:eastAsia="en-NZ"/>
    </w:rPr>
  </w:style>
  <w:style w:type="table" w:styleId="TableGrid">
    <w:name w:val="Table Grid"/>
    <w:basedOn w:val="TableNormal"/>
    <w:uiPriority w:val="59"/>
    <w:rsid w:val="00664368"/>
    <w:pPr>
      <w:spacing w:after="0" w:line="240" w:lineRule="auto"/>
      <w:jc w:val="both"/>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EA64B4"/>
    <w:pPr>
      <w:jc w:val="center"/>
    </w:pPr>
    <w:rPr>
      <w:rFonts w:ascii="Arial" w:hAnsi="Arial"/>
      <w:sz w:val="16"/>
    </w:rPr>
  </w:style>
  <w:style w:type="character" w:customStyle="1" w:styleId="HeaderChar">
    <w:name w:val="Header Char"/>
    <w:basedOn w:val="DefaultParagraphFont"/>
    <w:link w:val="Header"/>
    <w:uiPriority w:val="99"/>
    <w:semiHidden/>
    <w:rsid w:val="00FC31E4"/>
    <w:rPr>
      <w:rFonts w:ascii="Arial" w:eastAsiaTheme="minorEastAsia" w:hAnsi="Arial"/>
      <w:sz w:val="16"/>
      <w:lang w:eastAsia="en-NZ"/>
    </w:rPr>
  </w:style>
  <w:style w:type="paragraph" w:styleId="Quote">
    <w:name w:val="Quote"/>
    <w:basedOn w:val="Normal"/>
    <w:next w:val="BodyText"/>
    <w:link w:val="QuoteChar"/>
    <w:uiPriority w:val="1"/>
    <w:qFormat/>
    <w:rsid w:val="00E15039"/>
    <w:pPr>
      <w:spacing w:before="60" w:after="60" w:line="260" w:lineRule="atLeast"/>
      <w:ind w:left="567" w:right="567"/>
      <w:jc w:val="left"/>
    </w:pPr>
    <w:rPr>
      <w:sz w:val="20"/>
    </w:rPr>
  </w:style>
  <w:style w:type="character" w:customStyle="1" w:styleId="QuoteChar">
    <w:name w:val="Quote Char"/>
    <w:basedOn w:val="DefaultParagraphFont"/>
    <w:link w:val="Quote"/>
    <w:uiPriority w:val="1"/>
    <w:rsid w:val="00E15039"/>
    <w:rPr>
      <w:rFonts w:ascii="Calibri" w:eastAsiaTheme="minorEastAsia" w:hAnsi="Calibri"/>
      <w:sz w:val="20"/>
      <w:lang w:eastAsia="en-NZ"/>
    </w:rPr>
  </w:style>
  <w:style w:type="paragraph" w:customStyle="1" w:styleId="Bullet">
    <w:name w:val="Bullet"/>
    <w:basedOn w:val="Normal"/>
    <w:link w:val="BulletChar"/>
    <w:qFormat/>
    <w:rsid w:val="00664368"/>
    <w:pPr>
      <w:numPr>
        <w:numId w:val="11"/>
      </w:numPr>
      <w:spacing w:before="0"/>
      <w:jc w:val="left"/>
    </w:pPr>
    <w:rPr>
      <w:rFonts w:eastAsia="Times New Roman" w:cs="Times New Roman"/>
      <w:szCs w:val="20"/>
    </w:rPr>
  </w:style>
  <w:style w:type="paragraph" w:customStyle="1" w:styleId="Heading">
    <w:name w:val="Heading"/>
    <w:basedOn w:val="Heading1"/>
    <w:next w:val="Normal"/>
    <w:uiPriority w:val="3"/>
    <w:semiHidden/>
    <w:rsid w:val="005B23D4"/>
    <w:pPr>
      <w:outlineLvl w:val="9"/>
    </w:pPr>
  </w:style>
  <w:style w:type="paragraph" w:styleId="Footer">
    <w:name w:val="footer"/>
    <w:basedOn w:val="Normal"/>
    <w:link w:val="FooterChar"/>
    <w:uiPriority w:val="99"/>
    <w:semiHidden/>
    <w:rsid w:val="00EA64B4"/>
    <w:pPr>
      <w:tabs>
        <w:tab w:val="center" w:pos="4153"/>
        <w:tab w:val="right" w:pos="8306"/>
      </w:tabs>
    </w:pPr>
  </w:style>
  <w:style w:type="character" w:customStyle="1" w:styleId="FooterChar">
    <w:name w:val="Footer Char"/>
    <w:basedOn w:val="DefaultParagraphFont"/>
    <w:link w:val="Footer"/>
    <w:uiPriority w:val="99"/>
    <w:semiHidden/>
    <w:rsid w:val="00CD35E2"/>
    <w:rPr>
      <w:rFonts w:ascii="Calibri" w:eastAsiaTheme="minorEastAsia" w:hAnsi="Calibri"/>
      <w:lang w:eastAsia="en-NZ"/>
    </w:rPr>
  </w:style>
  <w:style w:type="paragraph" w:customStyle="1" w:styleId="Sub-list">
    <w:name w:val="Sub-list"/>
    <w:basedOn w:val="Normal"/>
    <w:qFormat/>
    <w:rsid w:val="004729FE"/>
    <w:pPr>
      <w:numPr>
        <w:numId w:val="13"/>
      </w:numPr>
      <w:tabs>
        <w:tab w:val="clear" w:pos="397"/>
        <w:tab w:val="left" w:pos="794"/>
      </w:tabs>
      <w:spacing w:before="0"/>
      <w:jc w:val="left"/>
    </w:pPr>
  </w:style>
  <w:style w:type="paragraph" w:customStyle="1" w:styleId="Figureheading">
    <w:name w:val="Figure heading"/>
    <w:basedOn w:val="Normal"/>
    <w:next w:val="BodyText"/>
    <w:uiPriority w:val="1"/>
    <w:rsid w:val="00126099"/>
    <w:pPr>
      <w:keepNext/>
      <w:spacing w:line="260" w:lineRule="atLeast"/>
      <w:ind w:left="1134" w:hanging="1134"/>
      <w:jc w:val="left"/>
    </w:pPr>
    <w:rPr>
      <w:rFonts w:cs="Times New Roman"/>
      <w:b/>
      <w:sz w:val="20"/>
      <w:szCs w:val="18"/>
    </w:rPr>
  </w:style>
  <w:style w:type="character" w:styleId="FootnoteReference">
    <w:name w:val="footnote reference"/>
    <w:semiHidden/>
    <w:rsid w:val="00664368"/>
    <w:rPr>
      <w:rFonts w:ascii="Calibri" w:hAnsi="Calibri"/>
      <w:color w:val="auto"/>
      <w:sz w:val="22"/>
      <w:vertAlign w:val="superscript"/>
    </w:rPr>
  </w:style>
  <w:style w:type="paragraph" w:styleId="FootnoteText">
    <w:name w:val="footnote text"/>
    <w:basedOn w:val="Normal"/>
    <w:link w:val="FootnoteTextChar"/>
    <w:uiPriority w:val="99"/>
    <w:rsid w:val="00664368"/>
    <w:pPr>
      <w:spacing w:before="0" w:after="60" w:line="240" w:lineRule="atLeast"/>
      <w:ind w:left="284" w:hanging="284"/>
      <w:jc w:val="left"/>
    </w:pPr>
    <w:rPr>
      <w:sz w:val="19"/>
    </w:rPr>
  </w:style>
  <w:style w:type="character" w:customStyle="1" w:styleId="FootnoteTextChar">
    <w:name w:val="Footnote Text Char"/>
    <w:basedOn w:val="DefaultParagraphFont"/>
    <w:link w:val="FootnoteText"/>
    <w:uiPriority w:val="99"/>
    <w:rsid w:val="00664368"/>
    <w:rPr>
      <w:rFonts w:ascii="Calibri" w:eastAsiaTheme="minorEastAsia" w:hAnsi="Calibri"/>
      <w:sz w:val="19"/>
      <w:lang w:eastAsia="en-NZ"/>
    </w:rPr>
  </w:style>
  <w:style w:type="character" w:styleId="Hyperlink">
    <w:name w:val="Hyperlink"/>
    <w:uiPriority w:val="99"/>
    <w:qFormat/>
    <w:rsid w:val="00536FC8"/>
    <w:rPr>
      <w:color w:val="32809C" w:themeColor="accent2"/>
      <w:u w:val="none"/>
    </w:rPr>
  </w:style>
  <w:style w:type="paragraph" w:customStyle="1" w:styleId="Imprint">
    <w:name w:val="Imprint"/>
    <w:basedOn w:val="Normal"/>
    <w:uiPriority w:val="3"/>
    <w:semiHidden/>
    <w:rsid w:val="00664368"/>
    <w:pPr>
      <w:jc w:val="left"/>
    </w:pPr>
  </w:style>
  <w:style w:type="paragraph" w:customStyle="1" w:styleId="Note">
    <w:name w:val="Note"/>
    <w:basedOn w:val="BodyText"/>
    <w:next w:val="Normal"/>
    <w:uiPriority w:val="1"/>
    <w:qFormat/>
    <w:rsid w:val="00664368"/>
    <w:pPr>
      <w:spacing w:line="240" w:lineRule="atLeast"/>
    </w:pPr>
    <w:rPr>
      <w:sz w:val="18"/>
    </w:rPr>
  </w:style>
  <w:style w:type="paragraph" w:customStyle="1" w:styleId="References">
    <w:name w:val="References"/>
    <w:basedOn w:val="Normal"/>
    <w:uiPriority w:val="1"/>
    <w:semiHidden/>
    <w:qFormat/>
    <w:rsid w:val="00664368"/>
    <w:pPr>
      <w:spacing w:before="0" w:line="260" w:lineRule="atLeast"/>
      <w:jc w:val="left"/>
    </w:pPr>
    <w:rPr>
      <w:sz w:val="20"/>
    </w:rPr>
  </w:style>
  <w:style w:type="paragraph" w:customStyle="1" w:styleId="Source">
    <w:name w:val="Source"/>
    <w:basedOn w:val="Normal"/>
    <w:next w:val="Normal"/>
    <w:uiPriority w:val="1"/>
    <w:semiHidden/>
    <w:qFormat/>
    <w:rsid w:val="00664368"/>
    <w:pPr>
      <w:tabs>
        <w:tab w:val="left" w:pos="680"/>
      </w:tabs>
      <w:spacing w:line="240" w:lineRule="atLeast"/>
      <w:jc w:val="left"/>
    </w:pPr>
    <w:rPr>
      <w:sz w:val="18"/>
    </w:rPr>
  </w:style>
  <w:style w:type="paragraph" w:styleId="Title">
    <w:name w:val="Title"/>
    <w:basedOn w:val="Normal"/>
    <w:link w:val="TitleChar"/>
    <w:uiPriority w:val="10"/>
    <w:semiHidden/>
    <w:qFormat/>
    <w:rsid w:val="00664368"/>
    <w:pPr>
      <w:spacing w:line="360" w:lineRule="auto"/>
      <w:jc w:val="center"/>
    </w:pPr>
    <w:rPr>
      <w:rFonts w:ascii="Georgia" w:hAnsi="Georgia"/>
      <w:b/>
      <w:color w:val="1B556B"/>
      <w:sz w:val="56"/>
    </w:rPr>
  </w:style>
  <w:style w:type="character" w:customStyle="1" w:styleId="TitleChar">
    <w:name w:val="Title Char"/>
    <w:basedOn w:val="DefaultParagraphFont"/>
    <w:link w:val="Title"/>
    <w:uiPriority w:val="10"/>
    <w:semiHidden/>
    <w:rsid w:val="00CD35E2"/>
    <w:rPr>
      <w:rFonts w:ascii="Georgia" w:eastAsiaTheme="minorEastAsia" w:hAnsi="Georgia"/>
      <w:b/>
      <w:color w:val="1B556B"/>
      <w:sz w:val="56"/>
      <w:lang w:eastAsia="en-NZ"/>
    </w:rPr>
  </w:style>
  <w:style w:type="paragraph" w:styleId="Subtitle">
    <w:name w:val="Subtitle"/>
    <w:basedOn w:val="Title"/>
    <w:link w:val="SubtitleChar"/>
    <w:uiPriority w:val="11"/>
    <w:semiHidden/>
    <w:qFormat/>
    <w:rsid w:val="00664368"/>
    <w:pPr>
      <w:spacing w:before="600" w:line="240" w:lineRule="auto"/>
    </w:pPr>
    <w:rPr>
      <w:sz w:val="36"/>
      <w:szCs w:val="36"/>
    </w:rPr>
  </w:style>
  <w:style w:type="character" w:customStyle="1" w:styleId="SubtitleChar">
    <w:name w:val="Subtitle Char"/>
    <w:basedOn w:val="DefaultParagraphFont"/>
    <w:link w:val="Subtitle"/>
    <w:uiPriority w:val="11"/>
    <w:semiHidden/>
    <w:rsid w:val="00355B2C"/>
    <w:rPr>
      <w:rFonts w:ascii="Georgia" w:eastAsiaTheme="minorEastAsia" w:hAnsi="Georgia"/>
      <w:b/>
      <w:color w:val="1B556B"/>
      <w:sz w:val="36"/>
      <w:szCs w:val="36"/>
      <w:lang w:eastAsia="en-NZ"/>
    </w:rPr>
  </w:style>
  <w:style w:type="paragraph" w:customStyle="1" w:styleId="Tableheading">
    <w:name w:val="Table heading"/>
    <w:basedOn w:val="Normal"/>
    <w:next w:val="Normal"/>
    <w:qFormat/>
    <w:rsid w:val="001424CD"/>
    <w:pPr>
      <w:keepNext/>
      <w:spacing w:line="260" w:lineRule="atLeast"/>
      <w:ind w:left="1134" w:hanging="1134"/>
      <w:jc w:val="left"/>
    </w:pPr>
    <w:rPr>
      <w:b/>
      <w:sz w:val="20"/>
    </w:rPr>
  </w:style>
  <w:style w:type="paragraph" w:customStyle="1" w:styleId="TableText">
    <w:name w:val="TableText"/>
    <w:basedOn w:val="Normal"/>
    <w:link w:val="TableTextChar"/>
    <w:qFormat/>
    <w:rsid w:val="00664368"/>
    <w:pPr>
      <w:spacing w:before="60" w:after="60" w:line="240" w:lineRule="atLeast"/>
      <w:jc w:val="left"/>
    </w:pPr>
    <w:rPr>
      <w:sz w:val="18"/>
    </w:rPr>
  </w:style>
  <w:style w:type="paragraph" w:customStyle="1" w:styleId="TableTextbold">
    <w:name w:val="TableText bold"/>
    <w:basedOn w:val="TableText"/>
    <w:rsid w:val="00664368"/>
    <w:rPr>
      <w:b/>
    </w:rPr>
  </w:style>
  <w:style w:type="paragraph" w:styleId="TOC1">
    <w:name w:val="toc 1"/>
    <w:basedOn w:val="Normal"/>
    <w:next w:val="Normal"/>
    <w:uiPriority w:val="39"/>
    <w:rsid w:val="00452C48"/>
    <w:pPr>
      <w:tabs>
        <w:tab w:val="left" w:pos="567"/>
        <w:tab w:val="right" w:pos="8505"/>
      </w:tabs>
      <w:spacing w:before="240" w:after="80" w:line="240" w:lineRule="auto"/>
      <w:ind w:left="567" w:right="567" w:hanging="567"/>
      <w:jc w:val="left"/>
    </w:pPr>
  </w:style>
  <w:style w:type="paragraph" w:styleId="TOC2">
    <w:name w:val="toc 2"/>
    <w:basedOn w:val="Normal"/>
    <w:next w:val="Normal"/>
    <w:uiPriority w:val="39"/>
    <w:rsid w:val="00452C48"/>
    <w:pPr>
      <w:tabs>
        <w:tab w:val="right" w:pos="8505"/>
      </w:tabs>
      <w:spacing w:before="40" w:after="30" w:line="240" w:lineRule="auto"/>
      <w:ind w:left="567" w:right="567"/>
      <w:jc w:val="left"/>
    </w:pPr>
  </w:style>
  <w:style w:type="paragraph" w:customStyle="1" w:styleId="Glossary">
    <w:name w:val="Glossary"/>
    <w:basedOn w:val="Normal"/>
    <w:uiPriority w:val="1"/>
    <w:semiHidden/>
    <w:qFormat/>
    <w:rsid w:val="00664368"/>
    <w:pPr>
      <w:tabs>
        <w:tab w:val="left" w:pos="2835"/>
      </w:tabs>
      <w:spacing w:after="0"/>
      <w:jc w:val="left"/>
    </w:pPr>
  </w:style>
  <w:style w:type="paragraph" w:customStyle="1" w:styleId="Footerodd">
    <w:name w:val="Footer odd"/>
    <w:basedOn w:val="Normal"/>
    <w:uiPriority w:val="2"/>
    <w:rsid w:val="00664368"/>
    <w:pPr>
      <w:tabs>
        <w:tab w:val="right" w:pos="7938"/>
        <w:tab w:val="right" w:pos="8505"/>
      </w:tabs>
      <w:jc w:val="left"/>
    </w:pPr>
    <w:rPr>
      <w:sz w:val="16"/>
    </w:rPr>
  </w:style>
  <w:style w:type="paragraph" w:customStyle="1" w:styleId="Footereven">
    <w:name w:val="Footer even"/>
    <w:basedOn w:val="Normal"/>
    <w:uiPriority w:val="2"/>
    <w:rsid w:val="00664368"/>
    <w:pPr>
      <w:tabs>
        <w:tab w:val="left" w:pos="567"/>
      </w:tabs>
    </w:pPr>
    <w:rPr>
      <w:sz w:val="16"/>
    </w:rPr>
  </w:style>
  <w:style w:type="paragraph" w:customStyle="1" w:styleId="Numberedparagraph">
    <w:name w:val="Numbered paragraph"/>
    <w:basedOn w:val="Normal"/>
    <w:uiPriority w:val="1"/>
    <w:qFormat/>
    <w:rsid w:val="00664368"/>
    <w:pPr>
      <w:numPr>
        <w:numId w:val="12"/>
      </w:numPr>
      <w:spacing w:before="0"/>
      <w:jc w:val="left"/>
    </w:pPr>
  </w:style>
  <w:style w:type="paragraph" w:customStyle="1" w:styleId="Sub-lista">
    <w:name w:val="Sub-list a"/>
    <w:aliases w:val="b"/>
    <w:basedOn w:val="Normal"/>
    <w:uiPriority w:val="2"/>
    <w:rsid w:val="00664368"/>
    <w:pPr>
      <w:numPr>
        <w:numId w:val="14"/>
      </w:numPr>
      <w:spacing w:before="0"/>
      <w:jc w:val="left"/>
    </w:pPr>
  </w:style>
  <w:style w:type="paragraph" w:styleId="EndnoteText">
    <w:name w:val="endnote text"/>
    <w:basedOn w:val="Normal"/>
    <w:link w:val="EndnoteTextChar"/>
    <w:uiPriority w:val="99"/>
    <w:semiHidden/>
    <w:rsid w:val="00EA64B4"/>
    <w:pPr>
      <w:spacing w:after="60"/>
    </w:pPr>
    <w:rPr>
      <w:sz w:val="20"/>
    </w:rPr>
  </w:style>
  <w:style w:type="character" w:customStyle="1" w:styleId="EndnoteTextChar">
    <w:name w:val="Endnote Text Char"/>
    <w:basedOn w:val="DefaultParagraphFont"/>
    <w:link w:val="EndnoteText"/>
    <w:uiPriority w:val="99"/>
    <w:semiHidden/>
    <w:rsid w:val="00EA64B4"/>
    <w:rPr>
      <w:rFonts w:ascii="Calibri" w:eastAsiaTheme="minorEastAsia" w:hAnsi="Calibri"/>
      <w:sz w:val="20"/>
      <w:lang w:eastAsia="en-NZ"/>
    </w:rPr>
  </w:style>
  <w:style w:type="paragraph" w:styleId="TOC3">
    <w:name w:val="toc 3"/>
    <w:basedOn w:val="Normal"/>
    <w:next w:val="Normal"/>
    <w:autoRedefine/>
    <w:uiPriority w:val="99"/>
    <w:semiHidden/>
    <w:rsid w:val="00EA64B4"/>
    <w:pPr>
      <w:ind w:left="440"/>
    </w:pPr>
  </w:style>
  <w:style w:type="paragraph" w:styleId="TableofFigures">
    <w:name w:val="table of figures"/>
    <w:basedOn w:val="Normal"/>
    <w:next w:val="Normal"/>
    <w:uiPriority w:val="99"/>
    <w:semiHidden/>
    <w:rsid w:val="00664368"/>
    <w:pPr>
      <w:spacing w:before="0"/>
      <w:ind w:left="1134" w:right="567" w:hanging="1134"/>
      <w:jc w:val="left"/>
    </w:pPr>
  </w:style>
  <w:style w:type="paragraph" w:customStyle="1" w:styleId="Sub-listi">
    <w:name w:val="Sub-list i"/>
    <w:aliases w:val="ii"/>
    <w:basedOn w:val="BodyText"/>
    <w:semiHidden/>
    <w:rsid w:val="00664368"/>
    <w:pPr>
      <w:numPr>
        <w:numId w:val="15"/>
      </w:numPr>
      <w:spacing w:before="60" w:after="60"/>
    </w:pPr>
  </w:style>
  <w:style w:type="paragraph" w:customStyle="1" w:styleId="TableBullet">
    <w:name w:val="TableBullet"/>
    <w:basedOn w:val="Normal"/>
    <w:qFormat/>
    <w:rsid w:val="00664368"/>
    <w:pPr>
      <w:numPr>
        <w:numId w:val="16"/>
      </w:numPr>
      <w:spacing w:before="0" w:after="60" w:line="240" w:lineRule="atLeast"/>
      <w:jc w:val="left"/>
    </w:pPr>
    <w:rPr>
      <w:rFonts w:cs="Arial"/>
      <w:sz w:val="18"/>
      <w:szCs w:val="16"/>
    </w:rPr>
  </w:style>
  <w:style w:type="paragraph" w:customStyle="1" w:styleId="TableDash">
    <w:name w:val="TableDash"/>
    <w:basedOn w:val="TableBullet"/>
    <w:qFormat/>
    <w:rsid w:val="00664368"/>
    <w:pPr>
      <w:numPr>
        <w:numId w:val="17"/>
      </w:numPr>
    </w:pPr>
  </w:style>
  <w:style w:type="paragraph" w:styleId="CommentSubject">
    <w:name w:val="annotation subject"/>
    <w:basedOn w:val="Normal"/>
    <w:link w:val="CommentSubjectChar"/>
    <w:uiPriority w:val="99"/>
    <w:semiHidden/>
    <w:rsid w:val="00E21ACA"/>
    <w:rPr>
      <w:b/>
      <w:bCs/>
      <w:sz w:val="20"/>
    </w:rPr>
  </w:style>
  <w:style w:type="character" w:customStyle="1" w:styleId="CommentSubjectChar">
    <w:name w:val="Comment Subject Char"/>
    <w:basedOn w:val="DefaultParagraphFont"/>
    <w:link w:val="CommentSubject"/>
    <w:uiPriority w:val="99"/>
    <w:semiHidden/>
    <w:rsid w:val="00AB54D7"/>
    <w:rPr>
      <w:rFonts w:ascii="Calibri" w:eastAsiaTheme="minorEastAsia" w:hAnsi="Calibri"/>
      <w:b/>
      <w:bCs/>
      <w:sz w:val="20"/>
      <w:lang w:eastAsia="en-NZ"/>
    </w:rPr>
  </w:style>
  <w:style w:type="paragraph" w:styleId="BalloonText">
    <w:name w:val="Balloon Text"/>
    <w:basedOn w:val="Normal"/>
    <w:link w:val="BalloonTextChar"/>
    <w:uiPriority w:val="99"/>
    <w:semiHidden/>
    <w:unhideWhenUsed/>
    <w:rsid w:val="00EA64B4"/>
    <w:rPr>
      <w:rFonts w:ascii="Tahoma" w:hAnsi="Tahoma"/>
      <w:sz w:val="16"/>
      <w:szCs w:val="16"/>
    </w:rPr>
  </w:style>
  <w:style w:type="character" w:customStyle="1" w:styleId="BalloonTextChar">
    <w:name w:val="Balloon Text Char"/>
    <w:basedOn w:val="DefaultParagraphFont"/>
    <w:link w:val="BalloonText"/>
    <w:semiHidden/>
    <w:rsid w:val="00EA64B4"/>
    <w:rPr>
      <w:rFonts w:ascii="Tahoma" w:eastAsiaTheme="minorEastAsia" w:hAnsi="Tahoma"/>
      <w:sz w:val="16"/>
      <w:szCs w:val="16"/>
      <w:lang w:eastAsia="en-NZ"/>
    </w:rPr>
  </w:style>
  <w:style w:type="paragraph" w:styleId="z-BottomofForm">
    <w:name w:val="HTML Bottom of Form"/>
    <w:basedOn w:val="Normal"/>
    <w:next w:val="Normal"/>
    <w:link w:val="z-BottomofFormChar"/>
    <w:hidden/>
    <w:uiPriority w:val="99"/>
    <w:semiHidden/>
    <w:unhideWhenUsed/>
    <w:rsid w:val="0080531E"/>
    <w:pPr>
      <w:pBdr>
        <w:top w:val="single" w:sz="6" w:space="1" w:color="auto"/>
      </w:pBdr>
      <w:jc w:val="center"/>
    </w:pPr>
    <w:rPr>
      <w:rFonts w:ascii="Arial" w:eastAsia="Calibri" w:hAnsi="Arial"/>
      <w:vanish/>
      <w:sz w:val="16"/>
      <w:szCs w:val="16"/>
      <w:lang w:val="en-US"/>
    </w:rPr>
  </w:style>
  <w:style w:type="character" w:customStyle="1" w:styleId="z-BottomofFormChar">
    <w:name w:val="z-Bottom of Form Char"/>
    <w:basedOn w:val="DefaultParagraphFont"/>
    <w:link w:val="z-BottomofForm"/>
    <w:uiPriority w:val="99"/>
    <w:semiHidden/>
    <w:rsid w:val="0080531E"/>
    <w:rPr>
      <w:rFonts w:ascii="Arial" w:eastAsia="Calibri" w:hAnsi="Arial"/>
      <w:vanish/>
      <w:color w:val="183C47"/>
      <w:sz w:val="16"/>
      <w:szCs w:val="16"/>
      <w:lang w:val="en-US" w:eastAsia="en-NZ"/>
    </w:rPr>
  </w:style>
  <w:style w:type="paragraph" w:styleId="z-TopofForm">
    <w:name w:val="HTML Top of Form"/>
    <w:basedOn w:val="Normal"/>
    <w:next w:val="Normal"/>
    <w:link w:val="z-TopofFormChar"/>
    <w:hidden/>
    <w:uiPriority w:val="99"/>
    <w:semiHidden/>
    <w:unhideWhenUsed/>
    <w:rsid w:val="0080531E"/>
    <w:pPr>
      <w:pBdr>
        <w:bottom w:val="single" w:sz="6" w:space="1" w:color="auto"/>
      </w:pBdr>
      <w:jc w:val="center"/>
    </w:pPr>
    <w:rPr>
      <w:rFonts w:ascii="Arial" w:eastAsia="Calibri" w:hAnsi="Arial"/>
      <w:vanish/>
      <w:sz w:val="16"/>
      <w:szCs w:val="16"/>
      <w:lang w:val="en-US"/>
    </w:rPr>
  </w:style>
  <w:style w:type="character" w:customStyle="1" w:styleId="z-TopofFormChar">
    <w:name w:val="z-Top of Form Char"/>
    <w:basedOn w:val="DefaultParagraphFont"/>
    <w:link w:val="z-TopofForm"/>
    <w:uiPriority w:val="99"/>
    <w:semiHidden/>
    <w:rsid w:val="0080531E"/>
    <w:rPr>
      <w:rFonts w:ascii="Arial" w:eastAsia="Calibri" w:hAnsi="Arial"/>
      <w:vanish/>
      <w:color w:val="183C47"/>
      <w:sz w:val="16"/>
      <w:szCs w:val="16"/>
      <w:lang w:val="en-US" w:eastAsia="en-NZ"/>
    </w:rPr>
  </w:style>
  <w:style w:type="table" w:styleId="MediumShading1-Accent2">
    <w:name w:val="Medium Shading 1 Accent 2"/>
    <w:basedOn w:val="TableNormal"/>
    <w:uiPriority w:val="63"/>
    <w:rsid w:val="00EA64B4"/>
    <w:pPr>
      <w:spacing w:after="0" w:line="240" w:lineRule="auto"/>
    </w:pPr>
    <w:tblPr>
      <w:tblStyleRowBandSize w:val="1"/>
      <w:tblStyleColBandSize w:val="1"/>
      <w:tblBorders>
        <w:top w:val="single" w:sz="8"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single" w:sz="8" w:space="0" w:color="52A8C7" w:themeColor="accent2" w:themeTint="BF"/>
      </w:tblBorders>
    </w:tblPr>
    <w:tblStylePr w:type="firstRow">
      <w:pPr>
        <w:spacing w:before="0" w:after="0" w:line="240" w:lineRule="auto"/>
      </w:pPr>
      <w:rPr>
        <w:b/>
        <w:bCs/>
        <w:color w:val="FFFFFF" w:themeColor="background1"/>
      </w:rPr>
      <w:tblPr/>
      <w:tcPr>
        <w:tcBorders>
          <w:top w:val="single" w:sz="8"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nil"/>
          <w:insideV w:val="nil"/>
        </w:tcBorders>
        <w:shd w:val="clear" w:color="auto" w:fill="32809C" w:themeFill="accent2"/>
      </w:tcPr>
    </w:tblStylePr>
    <w:tblStylePr w:type="lastRow">
      <w:pPr>
        <w:spacing w:before="0" w:after="0" w:line="240" w:lineRule="auto"/>
      </w:pPr>
      <w:rPr>
        <w:b/>
        <w:bCs/>
      </w:rPr>
      <w:tblPr/>
      <w:tcPr>
        <w:tcBorders>
          <w:top w:val="double" w:sz="6"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5E2EC" w:themeFill="accent2" w:themeFillTint="3F"/>
      </w:tcPr>
    </w:tblStylePr>
    <w:tblStylePr w:type="band1Horz">
      <w:tblPr/>
      <w:tcPr>
        <w:tcBorders>
          <w:insideH w:val="nil"/>
          <w:insideV w:val="nil"/>
        </w:tcBorders>
        <w:shd w:val="clear" w:color="auto" w:fill="C5E2EC" w:themeFill="accent2"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EA64B4"/>
    <w:pPr>
      <w:spacing w:after="0" w:line="240" w:lineRule="auto"/>
    </w:pPr>
    <w:tblPr>
      <w:tblStyleRowBandSize w:val="1"/>
      <w:tblStyleColBandSize w:val="1"/>
      <w:tblBorders>
        <w:top w:val="single" w:sz="8" w:space="0" w:color="6FC7B7" w:themeColor="accent5"/>
        <w:left w:val="single" w:sz="8" w:space="0" w:color="6FC7B7" w:themeColor="accent5"/>
        <w:bottom w:val="single" w:sz="8" w:space="0" w:color="6FC7B7" w:themeColor="accent5"/>
        <w:right w:val="single" w:sz="8" w:space="0" w:color="6FC7B7" w:themeColor="accent5"/>
      </w:tblBorders>
    </w:tblPr>
    <w:tblStylePr w:type="firstRow">
      <w:pPr>
        <w:spacing w:before="0" w:after="0" w:line="240" w:lineRule="auto"/>
      </w:pPr>
      <w:rPr>
        <w:b/>
        <w:bCs/>
        <w:color w:val="FFFFFF" w:themeColor="background1"/>
      </w:rPr>
      <w:tblPr/>
      <w:tcPr>
        <w:shd w:val="clear" w:color="auto" w:fill="6FC7B7" w:themeFill="accent5"/>
      </w:tcPr>
    </w:tblStylePr>
    <w:tblStylePr w:type="lastRow">
      <w:pPr>
        <w:spacing w:before="0" w:after="0" w:line="240" w:lineRule="auto"/>
      </w:pPr>
      <w:rPr>
        <w:b/>
        <w:bCs/>
      </w:rPr>
      <w:tblPr/>
      <w:tcPr>
        <w:tcBorders>
          <w:top w:val="double" w:sz="6" w:space="0" w:color="6FC7B7" w:themeColor="accent5"/>
          <w:left w:val="single" w:sz="8" w:space="0" w:color="6FC7B7" w:themeColor="accent5"/>
          <w:bottom w:val="single" w:sz="8" w:space="0" w:color="6FC7B7" w:themeColor="accent5"/>
          <w:right w:val="single" w:sz="8" w:space="0" w:color="6FC7B7" w:themeColor="accent5"/>
        </w:tcBorders>
      </w:tcPr>
    </w:tblStylePr>
    <w:tblStylePr w:type="firstCol">
      <w:rPr>
        <w:b/>
        <w:bCs/>
      </w:rPr>
    </w:tblStylePr>
    <w:tblStylePr w:type="lastCol">
      <w:rPr>
        <w:b/>
        <w:bCs/>
      </w:rPr>
    </w:tblStylePr>
    <w:tblStylePr w:type="band1Vert">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tblStylePr w:type="band1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style>
  <w:style w:type="table" w:styleId="LightGrid-Accent5">
    <w:name w:val="Light Grid Accent 5"/>
    <w:basedOn w:val="TableNormal"/>
    <w:uiPriority w:val="62"/>
    <w:rsid w:val="00EA64B4"/>
    <w:pPr>
      <w:spacing w:after="0" w:line="240" w:lineRule="auto"/>
    </w:pPr>
    <w:tblPr>
      <w:tblStyleRowBandSize w:val="1"/>
      <w:tblStyleColBandSize w:val="1"/>
      <w:tblBorders>
        <w:top w:val="single" w:sz="8" w:space="0" w:color="6FC7B7" w:themeColor="accent5"/>
        <w:left w:val="single" w:sz="8" w:space="0" w:color="6FC7B7" w:themeColor="accent5"/>
        <w:bottom w:val="single" w:sz="8" w:space="0" w:color="6FC7B7" w:themeColor="accent5"/>
        <w:right w:val="single" w:sz="8" w:space="0" w:color="6FC7B7" w:themeColor="accent5"/>
        <w:insideH w:val="single" w:sz="8" w:space="0" w:color="6FC7B7" w:themeColor="accent5"/>
        <w:insideV w:val="single" w:sz="8" w:space="0" w:color="6FC7B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C7B7" w:themeColor="accent5"/>
          <w:left w:val="single" w:sz="8" w:space="0" w:color="6FC7B7" w:themeColor="accent5"/>
          <w:bottom w:val="single" w:sz="18" w:space="0" w:color="6FC7B7" w:themeColor="accent5"/>
          <w:right w:val="single" w:sz="8" w:space="0" w:color="6FC7B7" w:themeColor="accent5"/>
          <w:insideH w:val="nil"/>
          <w:insideV w:val="single" w:sz="8" w:space="0" w:color="6FC7B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C7B7" w:themeColor="accent5"/>
          <w:left w:val="single" w:sz="8" w:space="0" w:color="6FC7B7" w:themeColor="accent5"/>
          <w:bottom w:val="single" w:sz="8" w:space="0" w:color="6FC7B7" w:themeColor="accent5"/>
          <w:right w:val="single" w:sz="8" w:space="0" w:color="6FC7B7" w:themeColor="accent5"/>
          <w:insideH w:val="nil"/>
          <w:insideV w:val="single" w:sz="8" w:space="0" w:color="6FC7B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tblStylePr w:type="band1Vert">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shd w:val="clear" w:color="auto" w:fill="DBF1ED" w:themeFill="accent5" w:themeFillTint="3F"/>
      </w:tcPr>
    </w:tblStylePr>
    <w:tblStylePr w:type="band1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insideV w:val="single" w:sz="8" w:space="0" w:color="6FC7B7" w:themeColor="accent5"/>
        </w:tcBorders>
        <w:shd w:val="clear" w:color="auto" w:fill="DBF1ED" w:themeFill="accent5" w:themeFillTint="3F"/>
      </w:tcPr>
    </w:tblStylePr>
    <w:tblStylePr w:type="band2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insideV w:val="single" w:sz="8" w:space="0" w:color="6FC7B7" w:themeColor="accent5"/>
        </w:tcBorders>
      </w:tcPr>
    </w:tblStylePr>
  </w:style>
  <w:style w:type="table" w:customStyle="1" w:styleId="LightGrid-Accent11">
    <w:name w:val="Light Grid - Accent 11"/>
    <w:basedOn w:val="TableNormal"/>
    <w:uiPriority w:val="62"/>
    <w:rsid w:val="00EA64B4"/>
    <w:pPr>
      <w:spacing w:after="0" w:line="240" w:lineRule="auto"/>
    </w:pPr>
    <w:tblPr>
      <w:tblStyleRowBandSize w:val="1"/>
      <w:tblStyleColBandSize w:val="1"/>
      <w:tblBorders>
        <w:top w:val="single" w:sz="8" w:space="0" w:color="1C556C" w:themeColor="accent1"/>
        <w:left w:val="single" w:sz="8" w:space="0" w:color="1C556C" w:themeColor="accent1"/>
        <w:bottom w:val="single" w:sz="8" w:space="0" w:color="1C556C" w:themeColor="accent1"/>
        <w:right w:val="single" w:sz="8" w:space="0" w:color="1C556C" w:themeColor="accent1"/>
        <w:insideH w:val="single" w:sz="8" w:space="0" w:color="1C556C" w:themeColor="accent1"/>
        <w:insideV w:val="single" w:sz="8" w:space="0" w:color="1C556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556C" w:themeColor="accent1"/>
          <w:left w:val="single" w:sz="8" w:space="0" w:color="1C556C" w:themeColor="accent1"/>
          <w:bottom w:val="single" w:sz="18" w:space="0" w:color="1C556C" w:themeColor="accent1"/>
          <w:right w:val="single" w:sz="8" w:space="0" w:color="1C556C" w:themeColor="accent1"/>
          <w:insideH w:val="nil"/>
          <w:insideV w:val="single" w:sz="8" w:space="0" w:color="1C55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556C" w:themeColor="accent1"/>
          <w:left w:val="single" w:sz="8" w:space="0" w:color="1C556C" w:themeColor="accent1"/>
          <w:bottom w:val="single" w:sz="8" w:space="0" w:color="1C556C" w:themeColor="accent1"/>
          <w:right w:val="single" w:sz="8" w:space="0" w:color="1C556C" w:themeColor="accent1"/>
          <w:insideH w:val="nil"/>
          <w:insideV w:val="single" w:sz="8" w:space="0" w:color="1C55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tcPr>
    </w:tblStylePr>
    <w:tblStylePr w:type="band1Vert">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shd w:val="clear" w:color="auto" w:fill="B5DCEC" w:themeFill="accent1" w:themeFillTint="3F"/>
      </w:tcPr>
    </w:tblStylePr>
    <w:tblStylePr w:type="band1Horz">
      <w:tblPr/>
      <w:tcPr>
        <w:tcBorders>
          <w:top w:val="single" w:sz="8" w:space="0" w:color="1C556C" w:themeColor="accent1"/>
          <w:left w:val="single" w:sz="8" w:space="0" w:color="1C556C" w:themeColor="accent1"/>
          <w:bottom w:val="single" w:sz="8" w:space="0" w:color="1C556C" w:themeColor="accent1"/>
          <w:right w:val="single" w:sz="8" w:space="0" w:color="1C556C" w:themeColor="accent1"/>
          <w:insideV w:val="single" w:sz="8" w:space="0" w:color="1C556C" w:themeColor="accent1"/>
        </w:tcBorders>
        <w:shd w:val="clear" w:color="auto" w:fill="B5DCEC" w:themeFill="accent1" w:themeFillTint="3F"/>
      </w:tcPr>
    </w:tblStylePr>
    <w:tblStylePr w:type="band2Horz">
      <w:tblPr/>
      <w:tcPr>
        <w:tcBorders>
          <w:top w:val="single" w:sz="8" w:space="0" w:color="1C556C" w:themeColor="accent1"/>
          <w:left w:val="single" w:sz="8" w:space="0" w:color="1C556C" w:themeColor="accent1"/>
          <w:bottom w:val="single" w:sz="8" w:space="0" w:color="1C556C" w:themeColor="accent1"/>
          <w:right w:val="single" w:sz="8" w:space="0" w:color="1C556C" w:themeColor="accent1"/>
          <w:insideV w:val="single" w:sz="8" w:space="0" w:color="1C556C" w:themeColor="accent1"/>
        </w:tcBorders>
      </w:tcPr>
    </w:tblStylePr>
  </w:style>
  <w:style w:type="table" w:customStyle="1" w:styleId="LightShading-Accent11">
    <w:name w:val="Light Shading - Accent 11"/>
    <w:basedOn w:val="TableNormal"/>
    <w:uiPriority w:val="60"/>
    <w:rsid w:val="00EA64B4"/>
    <w:pPr>
      <w:spacing w:after="0" w:line="240" w:lineRule="auto"/>
    </w:pPr>
    <w:rPr>
      <w:color w:val="153F50" w:themeColor="accent1" w:themeShade="BF"/>
    </w:rPr>
    <w:tblPr>
      <w:tblStyleRowBandSize w:val="1"/>
      <w:tblStyleColBandSize w:val="1"/>
      <w:tblBorders>
        <w:top w:val="single" w:sz="8" w:space="0" w:color="1C556C" w:themeColor="accent1"/>
        <w:bottom w:val="single" w:sz="8" w:space="0" w:color="1C556C" w:themeColor="accent1"/>
      </w:tblBorders>
    </w:tblPr>
    <w:tblStylePr w:type="firstRow">
      <w:pPr>
        <w:spacing w:before="0" w:after="0" w:line="240" w:lineRule="auto"/>
      </w:pPr>
      <w:rPr>
        <w:b/>
        <w:bCs/>
      </w:rPr>
      <w:tblPr/>
      <w:tcPr>
        <w:tcBorders>
          <w:top w:val="single" w:sz="8" w:space="0" w:color="1C556C" w:themeColor="accent1"/>
          <w:left w:val="nil"/>
          <w:bottom w:val="single" w:sz="8" w:space="0" w:color="1C556C" w:themeColor="accent1"/>
          <w:right w:val="nil"/>
          <w:insideH w:val="nil"/>
          <w:insideV w:val="nil"/>
        </w:tcBorders>
      </w:tcPr>
    </w:tblStylePr>
    <w:tblStylePr w:type="lastRow">
      <w:pPr>
        <w:spacing w:before="0" w:after="0" w:line="240" w:lineRule="auto"/>
      </w:pPr>
      <w:rPr>
        <w:b/>
        <w:bCs/>
      </w:rPr>
      <w:tblPr/>
      <w:tcPr>
        <w:tcBorders>
          <w:top w:val="single" w:sz="8" w:space="0" w:color="1C556C" w:themeColor="accent1"/>
          <w:left w:val="nil"/>
          <w:bottom w:val="single" w:sz="8" w:space="0" w:color="1C55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CEC" w:themeFill="accent1" w:themeFillTint="3F"/>
      </w:tcPr>
    </w:tblStylePr>
    <w:tblStylePr w:type="band1Horz">
      <w:tblPr/>
      <w:tcPr>
        <w:tcBorders>
          <w:left w:val="nil"/>
          <w:right w:val="nil"/>
          <w:insideH w:val="nil"/>
          <w:insideV w:val="nil"/>
        </w:tcBorders>
        <w:shd w:val="clear" w:color="auto" w:fill="B5DCEC" w:themeFill="accent1" w:themeFillTint="3F"/>
      </w:tcPr>
    </w:tblStylePr>
  </w:style>
  <w:style w:type="table" w:customStyle="1" w:styleId="LightList-Accent11">
    <w:name w:val="Light List - Accent 11"/>
    <w:basedOn w:val="TableNormal"/>
    <w:uiPriority w:val="61"/>
    <w:rsid w:val="00EA64B4"/>
    <w:pPr>
      <w:spacing w:after="0" w:line="240" w:lineRule="auto"/>
    </w:pPr>
    <w:tblPr>
      <w:tblStyleRowBandSize w:val="1"/>
      <w:tblStyleColBandSize w:val="1"/>
      <w:tblBorders>
        <w:top w:val="single" w:sz="8" w:space="0" w:color="1C556C" w:themeColor="accent1"/>
        <w:left w:val="single" w:sz="8" w:space="0" w:color="1C556C" w:themeColor="accent1"/>
        <w:bottom w:val="single" w:sz="8" w:space="0" w:color="1C556C" w:themeColor="accent1"/>
        <w:right w:val="single" w:sz="8" w:space="0" w:color="1C556C" w:themeColor="accent1"/>
      </w:tblBorders>
    </w:tblPr>
    <w:tblStylePr w:type="firstRow">
      <w:pPr>
        <w:spacing w:before="0" w:after="0" w:line="240" w:lineRule="auto"/>
      </w:pPr>
      <w:rPr>
        <w:b/>
        <w:bCs/>
        <w:color w:val="FFFFFF" w:themeColor="background1"/>
      </w:rPr>
      <w:tblPr/>
      <w:tcPr>
        <w:shd w:val="clear" w:color="auto" w:fill="1C556C" w:themeFill="accent1"/>
      </w:tcPr>
    </w:tblStylePr>
    <w:tblStylePr w:type="lastRow">
      <w:pPr>
        <w:spacing w:before="0" w:after="0" w:line="240" w:lineRule="auto"/>
      </w:pPr>
      <w:rPr>
        <w:b/>
        <w:bCs/>
      </w:rPr>
      <w:tblPr/>
      <w:tcPr>
        <w:tcBorders>
          <w:top w:val="double" w:sz="6" w:space="0" w:color="1C556C" w:themeColor="accent1"/>
          <w:left w:val="single" w:sz="8" w:space="0" w:color="1C556C" w:themeColor="accent1"/>
          <w:bottom w:val="single" w:sz="8" w:space="0" w:color="1C556C" w:themeColor="accent1"/>
          <w:right w:val="single" w:sz="8" w:space="0" w:color="1C556C" w:themeColor="accent1"/>
        </w:tcBorders>
      </w:tcPr>
    </w:tblStylePr>
    <w:tblStylePr w:type="firstCol">
      <w:rPr>
        <w:b/>
        <w:bCs/>
      </w:rPr>
    </w:tblStylePr>
    <w:tblStylePr w:type="lastCol">
      <w:rPr>
        <w:b/>
        <w:bCs/>
      </w:rPr>
    </w:tblStylePr>
    <w:tblStylePr w:type="band1Vert">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tcPr>
    </w:tblStylePr>
    <w:tblStylePr w:type="band1Horz">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tcPr>
    </w:tblStylePr>
  </w:style>
  <w:style w:type="character" w:styleId="CommentReference">
    <w:name w:val="annotation reference"/>
    <w:basedOn w:val="DefaultParagraphFont"/>
    <w:uiPriority w:val="99"/>
    <w:semiHidden/>
    <w:rsid w:val="00EA64B4"/>
    <w:rPr>
      <w:sz w:val="16"/>
      <w:szCs w:val="16"/>
    </w:rPr>
  </w:style>
  <w:style w:type="paragraph" w:styleId="Revision">
    <w:name w:val="Revision"/>
    <w:hidden/>
    <w:uiPriority w:val="99"/>
    <w:semiHidden/>
    <w:rsid w:val="0080531E"/>
    <w:pPr>
      <w:spacing w:after="0" w:line="240" w:lineRule="auto"/>
    </w:pPr>
    <w:rPr>
      <w:rFonts w:ascii="Times New Roman" w:eastAsia="Times New Roman" w:hAnsi="Times New Roman" w:cs="Times New Roman"/>
      <w:szCs w:val="20"/>
    </w:rPr>
  </w:style>
  <w:style w:type="character" w:styleId="Strong">
    <w:name w:val="Strong"/>
    <w:basedOn w:val="DefaultParagraphFont"/>
    <w:uiPriority w:val="22"/>
    <w:semiHidden/>
    <w:qFormat/>
    <w:rsid w:val="00EA64B4"/>
    <w:rPr>
      <w:b/>
      <w:bCs/>
    </w:rPr>
  </w:style>
  <w:style w:type="character" w:styleId="EndnoteReference">
    <w:name w:val="endnote reference"/>
    <w:basedOn w:val="DefaultParagraphFont"/>
    <w:uiPriority w:val="99"/>
    <w:semiHidden/>
    <w:unhideWhenUsed/>
    <w:rsid w:val="00EA64B4"/>
    <w:rPr>
      <w:vertAlign w:val="superscript"/>
    </w:rPr>
  </w:style>
  <w:style w:type="character" w:styleId="FollowedHyperlink">
    <w:name w:val="FollowedHyperlink"/>
    <w:basedOn w:val="DefaultParagraphFont"/>
    <w:uiPriority w:val="99"/>
    <w:semiHidden/>
    <w:rsid w:val="00D56B52"/>
    <w:rPr>
      <w:color w:val="32809C" w:themeColor="accent2"/>
      <w:u w:val="none"/>
    </w:rPr>
  </w:style>
  <w:style w:type="character" w:customStyle="1" w:styleId="Heading6Char">
    <w:name w:val="Heading 6 Char"/>
    <w:basedOn w:val="DefaultParagraphFont"/>
    <w:link w:val="Heading6"/>
    <w:rsid w:val="007C477E"/>
    <w:rPr>
      <w:rFonts w:eastAsia="Times New Roman" w:cs="Times New Roman"/>
      <w:b/>
      <w:i/>
      <w:szCs w:val="20"/>
      <w:lang w:val="en-AU"/>
    </w:rPr>
  </w:style>
  <w:style w:type="character" w:customStyle="1" w:styleId="Heading7Char">
    <w:name w:val="Heading 7 Char"/>
    <w:basedOn w:val="DefaultParagraphFont"/>
    <w:link w:val="Heading7"/>
    <w:semiHidden/>
    <w:rsid w:val="00EA64B4"/>
    <w:rPr>
      <w:rFonts w:ascii="Times New Roman" w:eastAsia="Times New Roman" w:hAnsi="Times New Roman" w:cs="Times New Roman"/>
      <w:szCs w:val="20"/>
      <w:lang w:val="en-AU"/>
    </w:rPr>
  </w:style>
  <w:style w:type="character" w:customStyle="1" w:styleId="Heading8Char">
    <w:name w:val="Heading 8 Char"/>
    <w:basedOn w:val="DefaultParagraphFont"/>
    <w:link w:val="Heading8"/>
    <w:semiHidden/>
    <w:rsid w:val="00EA64B4"/>
    <w:rPr>
      <w:rFonts w:ascii="Times New Roman" w:eastAsia="Times New Roman" w:hAnsi="Times New Roman" w:cs="Times New Roman"/>
      <w:i/>
      <w:szCs w:val="20"/>
      <w:lang w:val="en-AU"/>
    </w:rPr>
  </w:style>
  <w:style w:type="character" w:customStyle="1" w:styleId="Heading9Char">
    <w:name w:val="Heading 9 Char"/>
    <w:basedOn w:val="DefaultParagraphFont"/>
    <w:link w:val="Heading9"/>
    <w:semiHidden/>
    <w:rsid w:val="00EA64B4"/>
    <w:rPr>
      <w:rFonts w:ascii="Arial" w:eastAsia="Times New Roman" w:hAnsi="Arial" w:cs="Times New Roman"/>
      <w:b/>
      <w:color w:val="FFFFFF"/>
      <w:kern w:val="28"/>
      <w:sz w:val="2"/>
      <w:szCs w:val="20"/>
      <w:lang w:val="en-AU"/>
    </w:rPr>
  </w:style>
  <w:style w:type="paragraph" w:styleId="TOC4">
    <w:name w:val="toc 4"/>
    <w:basedOn w:val="Normal"/>
    <w:next w:val="Normal"/>
    <w:uiPriority w:val="99"/>
    <w:semiHidden/>
    <w:rsid w:val="00EA64B4"/>
    <w:pPr>
      <w:tabs>
        <w:tab w:val="right" w:pos="8505"/>
      </w:tabs>
      <w:spacing w:before="180" w:after="0" w:line="240" w:lineRule="auto"/>
      <w:ind w:left="1134" w:right="567" w:hanging="1134"/>
      <w:jc w:val="left"/>
    </w:pPr>
    <w:rPr>
      <w:rFonts w:ascii="Arial" w:eastAsia="Times New Roman" w:hAnsi="Arial" w:cs="Times New Roman"/>
      <w:sz w:val="20"/>
      <w:szCs w:val="20"/>
      <w:lang w:eastAsia="en-GB"/>
    </w:rPr>
  </w:style>
  <w:style w:type="paragraph" w:styleId="Caption">
    <w:name w:val="caption"/>
    <w:basedOn w:val="Normal"/>
    <w:next w:val="Normal"/>
    <w:uiPriority w:val="35"/>
    <w:semiHidden/>
    <w:qFormat/>
    <w:rsid w:val="00EA64B4"/>
    <w:pPr>
      <w:spacing w:before="0" w:after="200" w:line="240" w:lineRule="auto"/>
    </w:pPr>
    <w:rPr>
      <w:rFonts w:ascii="Times New Roman" w:eastAsia="Times New Roman" w:hAnsi="Times New Roman" w:cs="Times New Roman"/>
      <w:b/>
      <w:bCs/>
      <w:color w:val="1C556C" w:themeColor="accent1"/>
      <w:sz w:val="18"/>
      <w:szCs w:val="18"/>
      <w:lang w:eastAsia="en-US"/>
    </w:rPr>
  </w:style>
  <w:style w:type="character" w:customStyle="1" w:styleId="BulletChar">
    <w:name w:val="Bullet Char"/>
    <w:basedOn w:val="DefaultParagraphFont"/>
    <w:link w:val="Bullet"/>
    <w:locked/>
    <w:rsid w:val="00664368"/>
    <w:rPr>
      <w:rFonts w:ascii="Calibri" w:eastAsia="Times New Roman" w:hAnsi="Calibri" w:cs="Times New Roman"/>
      <w:szCs w:val="20"/>
      <w:lang w:eastAsia="en-NZ"/>
    </w:rPr>
  </w:style>
  <w:style w:type="table" w:styleId="LightShading-Accent1">
    <w:name w:val="Light Shading Accent 1"/>
    <w:basedOn w:val="TableNormal"/>
    <w:uiPriority w:val="60"/>
    <w:rsid w:val="00E05569"/>
    <w:pPr>
      <w:spacing w:after="0" w:line="240" w:lineRule="auto"/>
    </w:pPr>
    <w:rPr>
      <w:rFonts w:eastAsiaTheme="minorEastAsia"/>
      <w:color w:val="153F50" w:themeColor="accent1" w:themeShade="BF"/>
      <w:lang w:val="en-US"/>
    </w:rPr>
    <w:tblPr>
      <w:tblStyleRowBandSize w:val="1"/>
      <w:tblStyleColBandSize w:val="1"/>
      <w:tblBorders>
        <w:top w:val="single" w:sz="8" w:space="0" w:color="1C556C" w:themeColor="accent1"/>
        <w:bottom w:val="single" w:sz="8" w:space="0" w:color="1C556C" w:themeColor="accent1"/>
      </w:tblBorders>
    </w:tblPr>
    <w:tblStylePr w:type="firstRow">
      <w:pPr>
        <w:spacing w:before="0" w:after="0" w:line="240" w:lineRule="auto"/>
      </w:pPr>
      <w:rPr>
        <w:b/>
        <w:bCs/>
      </w:rPr>
      <w:tblPr/>
      <w:tcPr>
        <w:tcBorders>
          <w:top w:val="single" w:sz="8" w:space="0" w:color="1C556C" w:themeColor="accent1"/>
          <w:left w:val="nil"/>
          <w:bottom w:val="single" w:sz="8" w:space="0" w:color="1C556C" w:themeColor="accent1"/>
          <w:right w:val="nil"/>
          <w:insideH w:val="nil"/>
          <w:insideV w:val="nil"/>
        </w:tcBorders>
      </w:tcPr>
    </w:tblStylePr>
    <w:tblStylePr w:type="lastRow">
      <w:pPr>
        <w:spacing w:before="0" w:after="0" w:line="240" w:lineRule="auto"/>
      </w:pPr>
      <w:rPr>
        <w:b/>
        <w:bCs/>
      </w:rPr>
      <w:tblPr/>
      <w:tcPr>
        <w:tcBorders>
          <w:top w:val="single" w:sz="8" w:space="0" w:color="1C556C" w:themeColor="accent1"/>
          <w:left w:val="nil"/>
          <w:bottom w:val="single" w:sz="8" w:space="0" w:color="1C55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CEC" w:themeFill="accent1" w:themeFillTint="3F"/>
      </w:tcPr>
    </w:tblStylePr>
    <w:tblStylePr w:type="band1Horz">
      <w:tblPr/>
      <w:tcPr>
        <w:tcBorders>
          <w:left w:val="nil"/>
          <w:right w:val="nil"/>
          <w:insideH w:val="nil"/>
          <w:insideV w:val="nil"/>
        </w:tcBorders>
        <w:shd w:val="clear" w:color="auto" w:fill="B5DCEC" w:themeFill="accent1" w:themeFillTint="3F"/>
      </w:tcPr>
    </w:tblStylePr>
  </w:style>
  <w:style w:type="table" w:styleId="LightList-Accent3">
    <w:name w:val="Light List Accent 3"/>
    <w:basedOn w:val="TableNormal"/>
    <w:uiPriority w:val="61"/>
    <w:rsid w:val="00416330"/>
    <w:pPr>
      <w:spacing w:after="0" w:line="240" w:lineRule="auto"/>
    </w:pPr>
    <w:rPr>
      <w:rFonts w:eastAsiaTheme="minorEastAsia"/>
      <w:lang w:val="en-US"/>
    </w:rPr>
    <w:tblPr>
      <w:tblStyleRowBandSize w:val="1"/>
      <w:tblStyleColBandSize w:val="1"/>
      <w:tblBorders>
        <w:top w:val="single" w:sz="8" w:space="0" w:color="D5EBE8" w:themeColor="accent3"/>
        <w:left w:val="single" w:sz="8" w:space="0" w:color="D5EBE8" w:themeColor="accent3"/>
        <w:bottom w:val="single" w:sz="8" w:space="0" w:color="D5EBE8" w:themeColor="accent3"/>
        <w:right w:val="single" w:sz="8" w:space="0" w:color="D5EBE8" w:themeColor="accent3"/>
      </w:tblBorders>
    </w:tblPr>
    <w:tblStylePr w:type="firstRow">
      <w:pPr>
        <w:spacing w:before="0" w:after="0" w:line="240" w:lineRule="auto"/>
      </w:pPr>
      <w:rPr>
        <w:b/>
        <w:bCs/>
        <w:color w:val="FFFFFF" w:themeColor="background1"/>
      </w:rPr>
      <w:tblPr/>
      <w:tcPr>
        <w:shd w:val="clear" w:color="auto" w:fill="D5EBE8" w:themeFill="accent3"/>
      </w:tcPr>
    </w:tblStylePr>
    <w:tblStylePr w:type="lastRow">
      <w:pPr>
        <w:spacing w:before="0" w:after="0" w:line="240" w:lineRule="auto"/>
      </w:pPr>
      <w:rPr>
        <w:b/>
        <w:bCs/>
      </w:rPr>
      <w:tblPr/>
      <w:tcPr>
        <w:tcBorders>
          <w:top w:val="double" w:sz="6" w:space="0" w:color="D5EBE8" w:themeColor="accent3"/>
          <w:left w:val="single" w:sz="8" w:space="0" w:color="D5EBE8" w:themeColor="accent3"/>
          <w:bottom w:val="single" w:sz="8" w:space="0" w:color="D5EBE8" w:themeColor="accent3"/>
          <w:right w:val="single" w:sz="8" w:space="0" w:color="D5EBE8" w:themeColor="accent3"/>
        </w:tcBorders>
      </w:tcPr>
    </w:tblStylePr>
    <w:tblStylePr w:type="firstCol">
      <w:rPr>
        <w:b/>
        <w:bCs/>
      </w:rPr>
    </w:tblStylePr>
    <w:tblStylePr w:type="lastCol">
      <w:rPr>
        <w:b/>
        <w:bCs/>
      </w:rPr>
    </w:tblStylePr>
    <w:tblStylePr w:type="band1Vert">
      <w:tblPr/>
      <w:tcPr>
        <w:tcBorders>
          <w:top w:val="single" w:sz="8" w:space="0" w:color="D5EBE8" w:themeColor="accent3"/>
          <w:left w:val="single" w:sz="8" w:space="0" w:color="D5EBE8" w:themeColor="accent3"/>
          <w:bottom w:val="single" w:sz="8" w:space="0" w:color="D5EBE8" w:themeColor="accent3"/>
          <w:right w:val="single" w:sz="8" w:space="0" w:color="D5EBE8" w:themeColor="accent3"/>
        </w:tcBorders>
      </w:tcPr>
    </w:tblStylePr>
    <w:tblStylePr w:type="band1Horz">
      <w:tblPr/>
      <w:tcPr>
        <w:tcBorders>
          <w:top w:val="single" w:sz="8" w:space="0" w:color="D5EBE8" w:themeColor="accent3"/>
          <w:left w:val="single" w:sz="8" w:space="0" w:color="D5EBE8" w:themeColor="accent3"/>
          <w:bottom w:val="single" w:sz="8" w:space="0" w:color="D5EBE8" w:themeColor="accent3"/>
          <w:right w:val="single" w:sz="8" w:space="0" w:color="D5EBE8" w:themeColor="accent3"/>
        </w:tcBorders>
      </w:tcPr>
    </w:tblStylePr>
  </w:style>
  <w:style w:type="numbering" w:customStyle="1" w:styleId="Style1">
    <w:name w:val="Style1"/>
    <w:uiPriority w:val="99"/>
    <w:rsid w:val="00B07CE9"/>
    <w:pPr>
      <w:numPr>
        <w:numId w:val="2"/>
      </w:numPr>
    </w:pPr>
  </w:style>
  <w:style w:type="numbering" w:customStyle="1" w:styleId="Style2">
    <w:name w:val="Style2"/>
    <w:uiPriority w:val="99"/>
    <w:rsid w:val="008E0688"/>
    <w:pPr>
      <w:numPr>
        <w:numId w:val="3"/>
      </w:numPr>
    </w:pPr>
  </w:style>
  <w:style w:type="numbering" w:customStyle="1" w:styleId="Style3">
    <w:name w:val="Style3"/>
    <w:uiPriority w:val="99"/>
    <w:rsid w:val="008B5A2D"/>
    <w:pPr>
      <w:numPr>
        <w:numId w:val="5"/>
      </w:numPr>
    </w:pPr>
  </w:style>
  <w:style w:type="paragraph" w:customStyle="1" w:styleId="Boxtext">
    <w:name w:val="Box text"/>
    <w:basedOn w:val="Normal"/>
    <w:uiPriority w:val="1"/>
    <w:semiHidden/>
    <w:qFormat/>
    <w:rsid w:val="00664368"/>
    <w:pPr>
      <w:spacing w:line="260" w:lineRule="atLeast"/>
      <w:ind w:left="284" w:right="284"/>
      <w:jc w:val="left"/>
    </w:pPr>
    <w:rPr>
      <w:color w:val="1B556B"/>
      <w:sz w:val="20"/>
    </w:rPr>
  </w:style>
  <w:style w:type="paragraph" w:customStyle="1" w:styleId="Boxbullet">
    <w:name w:val="Box bullet"/>
    <w:basedOn w:val="Boxtext"/>
    <w:uiPriority w:val="1"/>
    <w:semiHidden/>
    <w:qFormat/>
    <w:rsid w:val="00664368"/>
    <w:pPr>
      <w:numPr>
        <w:numId w:val="9"/>
      </w:numPr>
      <w:tabs>
        <w:tab w:val="left" w:pos="680"/>
      </w:tabs>
      <w:spacing w:before="0"/>
    </w:pPr>
    <w:rPr>
      <w:rFonts w:cs="Times New Roman"/>
      <w:szCs w:val="20"/>
    </w:rPr>
  </w:style>
  <w:style w:type="paragraph" w:customStyle="1" w:styleId="Boxheading">
    <w:name w:val="Box heading"/>
    <w:basedOn w:val="Boxtext"/>
    <w:next w:val="Boxtext"/>
    <w:uiPriority w:val="1"/>
    <w:semiHidden/>
    <w:qFormat/>
    <w:rsid w:val="00664368"/>
    <w:pPr>
      <w:keepNext/>
      <w:spacing w:before="240" w:after="0"/>
    </w:pPr>
    <w:rPr>
      <w:rFonts w:cs="Times New Roman"/>
      <w:b/>
      <w:sz w:val="22"/>
      <w:szCs w:val="20"/>
    </w:rPr>
  </w:style>
  <w:style w:type="paragraph" w:customStyle="1" w:styleId="Boxsub-bullet">
    <w:name w:val="Box sub-bullet"/>
    <w:basedOn w:val="Boxtext"/>
    <w:uiPriority w:val="1"/>
    <w:semiHidden/>
    <w:qFormat/>
    <w:rsid w:val="00664368"/>
    <w:pPr>
      <w:numPr>
        <w:numId w:val="10"/>
      </w:numPr>
      <w:spacing w:before="0"/>
    </w:pPr>
    <w:rPr>
      <w:rFonts w:cs="Times New Roman"/>
      <w:szCs w:val="20"/>
    </w:rPr>
  </w:style>
  <w:style w:type="character" w:styleId="UnresolvedMention">
    <w:name w:val="Unresolved Mention"/>
    <w:basedOn w:val="DefaultParagraphFont"/>
    <w:uiPriority w:val="99"/>
    <w:semiHidden/>
    <w:unhideWhenUsed/>
    <w:rsid w:val="00563317"/>
    <w:rPr>
      <w:color w:val="605E5C"/>
      <w:shd w:val="clear" w:color="auto" w:fill="E1DFDD"/>
    </w:rPr>
  </w:style>
  <w:style w:type="paragraph" w:styleId="CommentText">
    <w:name w:val="annotation text"/>
    <w:basedOn w:val="Normal"/>
    <w:link w:val="CommentTextChar"/>
    <w:uiPriority w:val="99"/>
    <w:semiHidden/>
    <w:rsid w:val="00456E90"/>
    <w:pPr>
      <w:spacing w:line="240" w:lineRule="auto"/>
    </w:pPr>
    <w:rPr>
      <w:sz w:val="20"/>
      <w:szCs w:val="20"/>
    </w:rPr>
  </w:style>
  <w:style w:type="character" w:customStyle="1" w:styleId="CommentTextChar">
    <w:name w:val="Comment Text Char"/>
    <w:basedOn w:val="DefaultParagraphFont"/>
    <w:link w:val="CommentText"/>
    <w:uiPriority w:val="99"/>
    <w:semiHidden/>
    <w:rsid w:val="00DE4E1D"/>
    <w:rPr>
      <w:rFonts w:ascii="Calibri" w:eastAsiaTheme="minorEastAsia" w:hAnsi="Calibri"/>
      <w:sz w:val="20"/>
      <w:szCs w:val="20"/>
      <w:lang w:eastAsia="en-NZ"/>
    </w:rPr>
  </w:style>
  <w:style w:type="table" w:styleId="GridTable1Light">
    <w:name w:val="Grid Table 1 Light"/>
    <w:basedOn w:val="TableNormal"/>
    <w:uiPriority w:val="46"/>
    <w:rsid w:val="00B2022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B20229"/>
    <w:rPr>
      <w:color w:val="808080"/>
    </w:rPr>
  </w:style>
  <w:style w:type="paragraph" w:styleId="TOC5">
    <w:name w:val="toc 5"/>
    <w:basedOn w:val="Normal"/>
    <w:next w:val="Normal"/>
    <w:autoRedefine/>
    <w:uiPriority w:val="99"/>
    <w:semiHidden/>
    <w:rsid w:val="00B20229"/>
    <w:pPr>
      <w:spacing w:before="0" w:after="100" w:line="259" w:lineRule="auto"/>
      <w:ind w:left="880"/>
      <w:jc w:val="left"/>
    </w:pPr>
    <w:rPr>
      <w:rFonts w:asciiTheme="minorHAnsi" w:hAnsiTheme="minorHAnsi"/>
    </w:rPr>
  </w:style>
  <w:style w:type="paragraph" w:styleId="TOC6">
    <w:name w:val="toc 6"/>
    <w:basedOn w:val="Normal"/>
    <w:next w:val="Normal"/>
    <w:autoRedefine/>
    <w:uiPriority w:val="99"/>
    <w:semiHidden/>
    <w:rsid w:val="00B20229"/>
    <w:pPr>
      <w:spacing w:before="0" w:after="100" w:line="259" w:lineRule="auto"/>
      <w:ind w:left="1100"/>
      <w:jc w:val="left"/>
    </w:pPr>
    <w:rPr>
      <w:rFonts w:asciiTheme="minorHAnsi" w:hAnsiTheme="minorHAnsi"/>
    </w:rPr>
  </w:style>
  <w:style w:type="paragraph" w:styleId="TOC7">
    <w:name w:val="toc 7"/>
    <w:basedOn w:val="Normal"/>
    <w:next w:val="Normal"/>
    <w:autoRedefine/>
    <w:uiPriority w:val="99"/>
    <w:semiHidden/>
    <w:rsid w:val="00B20229"/>
    <w:pPr>
      <w:spacing w:before="0" w:after="100" w:line="259" w:lineRule="auto"/>
      <w:ind w:left="1320"/>
      <w:jc w:val="left"/>
    </w:pPr>
    <w:rPr>
      <w:rFonts w:asciiTheme="minorHAnsi" w:hAnsiTheme="minorHAnsi"/>
    </w:rPr>
  </w:style>
  <w:style w:type="paragraph" w:styleId="TOC8">
    <w:name w:val="toc 8"/>
    <w:basedOn w:val="Normal"/>
    <w:next w:val="Normal"/>
    <w:autoRedefine/>
    <w:uiPriority w:val="99"/>
    <w:semiHidden/>
    <w:rsid w:val="00B20229"/>
    <w:pPr>
      <w:spacing w:before="0" w:after="100" w:line="259" w:lineRule="auto"/>
      <w:ind w:left="1540"/>
      <w:jc w:val="left"/>
    </w:pPr>
    <w:rPr>
      <w:rFonts w:asciiTheme="minorHAnsi" w:hAnsiTheme="minorHAnsi"/>
    </w:rPr>
  </w:style>
  <w:style w:type="paragraph" w:styleId="TOC9">
    <w:name w:val="toc 9"/>
    <w:basedOn w:val="Normal"/>
    <w:next w:val="Normal"/>
    <w:autoRedefine/>
    <w:uiPriority w:val="99"/>
    <w:semiHidden/>
    <w:rsid w:val="00B20229"/>
    <w:pPr>
      <w:spacing w:before="0" w:after="100" w:line="259" w:lineRule="auto"/>
      <w:ind w:left="1760"/>
      <w:jc w:val="left"/>
    </w:pPr>
    <w:rPr>
      <w:rFonts w:asciiTheme="minorHAnsi" w:hAnsiTheme="minorHAnsi"/>
    </w:rPr>
  </w:style>
  <w:style w:type="table" w:styleId="GridTable1Light-Accent2">
    <w:name w:val="Grid Table 1 Light Accent 2"/>
    <w:basedOn w:val="TableNormal"/>
    <w:uiPriority w:val="46"/>
    <w:rsid w:val="00B20229"/>
    <w:pPr>
      <w:spacing w:after="0" w:line="240" w:lineRule="auto"/>
    </w:pPr>
    <w:tblPr>
      <w:tblStyleRowBandSize w:val="1"/>
      <w:tblStyleColBandSize w:val="1"/>
      <w:tblBorders>
        <w:top w:val="single" w:sz="4" w:space="0" w:color="A2D0E1" w:themeColor="accent2" w:themeTint="66"/>
        <w:left w:val="single" w:sz="4" w:space="0" w:color="A2D0E1" w:themeColor="accent2" w:themeTint="66"/>
        <w:bottom w:val="single" w:sz="4" w:space="0" w:color="A2D0E1" w:themeColor="accent2" w:themeTint="66"/>
        <w:right w:val="single" w:sz="4" w:space="0" w:color="A2D0E1" w:themeColor="accent2" w:themeTint="66"/>
        <w:insideH w:val="single" w:sz="4" w:space="0" w:color="A2D0E1" w:themeColor="accent2" w:themeTint="66"/>
        <w:insideV w:val="single" w:sz="4" w:space="0" w:color="A2D0E1" w:themeColor="accent2" w:themeTint="66"/>
      </w:tblBorders>
    </w:tblPr>
    <w:tblStylePr w:type="firstRow">
      <w:rPr>
        <w:b/>
        <w:bCs/>
      </w:rPr>
      <w:tblPr/>
      <w:tcPr>
        <w:tcBorders>
          <w:bottom w:val="single" w:sz="12" w:space="0" w:color="74B9D2" w:themeColor="accent2" w:themeTint="99"/>
        </w:tcBorders>
      </w:tcPr>
    </w:tblStylePr>
    <w:tblStylePr w:type="lastRow">
      <w:rPr>
        <w:b/>
        <w:bCs/>
      </w:rPr>
      <w:tblPr/>
      <w:tcPr>
        <w:tcBorders>
          <w:top w:val="double" w:sz="2" w:space="0" w:color="74B9D2" w:themeColor="accent2" w:themeTint="99"/>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B20229"/>
    <w:pPr>
      <w:spacing w:after="0" w:line="240" w:lineRule="auto"/>
    </w:pPr>
    <w:tblPr>
      <w:tblStyleRowBandSize w:val="1"/>
      <w:tblStyleColBandSize w:val="1"/>
      <w:tblBorders>
        <w:top w:val="single" w:sz="4" w:space="0" w:color="74B9D2" w:themeColor="accent2" w:themeTint="99"/>
        <w:left w:val="single" w:sz="4" w:space="0" w:color="74B9D2" w:themeColor="accent2" w:themeTint="99"/>
        <w:bottom w:val="single" w:sz="4" w:space="0" w:color="74B9D2" w:themeColor="accent2" w:themeTint="99"/>
        <w:right w:val="single" w:sz="4" w:space="0" w:color="74B9D2" w:themeColor="accent2" w:themeTint="99"/>
        <w:insideH w:val="single" w:sz="4" w:space="0" w:color="74B9D2" w:themeColor="accent2" w:themeTint="99"/>
        <w:insideV w:val="single" w:sz="4" w:space="0" w:color="74B9D2" w:themeColor="accent2" w:themeTint="99"/>
      </w:tblBorders>
    </w:tblPr>
    <w:tblStylePr w:type="firstRow">
      <w:rPr>
        <w:b/>
        <w:bCs/>
        <w:color w:val="FFFFFF" w:themeColor="background1"/>
      </w:rPr>
      <w:tblPr/>
      <w:tcPr>
        <w:tcBorders>
          <w:top w:val="single" w:sz="4" w:space="0" w:color="32809C" w:themeColor="accent2"/>
          <w:left w:val="single" w:sz="4" w:space="0" w:color="32809C" w:themeColor="accent2"/>
          <w:bottom w:val="single" w:sz="4" w:space="0" w:color="32809C" w:themeColor="accent2"/>
          <w:right w:val="single" w:sz="4" w:space="0" w:color="32809C" w:themeColor="accent2"/>
          <w:insideH w:val="nil"/>
          <w:insideV w:val="nil"/>
        </w:tcBorders>
        <w:shd w:val="clear" w:color="auto" w:fill="32809C" w:themeFill="accent2"/>
      </w:tcPr>
    </w:tblStylePr>
    <w:tblStylePr w:type="lastRow">
      <w:rPr>
        <w:b/>
        <w:bCs/>
      </w:rPr>
      <w:tblPr/>
      <w:tcPr>
        <w:tcBorders>
          <w:top w:val="double" w:sz="4" w:space="0" w:color="32809C" w:themeColor="accent2"/>
        </w:tcBorders>
      </w:tcPr>
    </w:tblStylePr>
    <w:tblStylePr w:type="firstCol">
      <w:rPr>
        <w:b/>
        <w:bCs/>
      </w:rPr>
    </w:tblStylePr>
    <w:tblStylePr w:type="lastCol">
      <w:rPr>
        <w:b/>
        <w:bCs/>
      </w:rPr>
    </w:tblStylePr>
    <w:tblStylePr w:type="band1Vert">
      <w:tblPr/>
      <w:tcPr>
        <w:shd w:val="clear" w:color="auto" w:fill="D0E7F0" w:themeFill="accent2" w:themeFillTint="33"/>
      </w:tcPr>
    </w:tblStylePr>
    <w:tblStylePr w:type="band1Horz">
      <w:tblPr/>
      <w:tcPr>
        <w:shd w:val="clear" w:color="auto" w:fill="D0E7F0" w:themeFill="accent2" w:themeFillTint="33"/>
      </w:tcPr>
    </w:tblStylePr>
  </w:style>
  <w:style w:type="table" w:styleId="GridTable1Light-Accent1">
    <w:name w:val="Grid Table 1 Light Accent 1"/>
    <w:basedOn w:val="TableNormal"/>
    <w:uiPriority w:val="46"/>
    <w:rsid w:val="00B20229"/>
    <w:pPr>
      <w:spacing w:after="0" w:line="240" w:lineRule="auto"/>
    </w:pPr>
    <w:rPr>
      <w:kern w:val="2"/>
      <w14:ligatures w14:val="standardContextual"/>
    </w:rPr>
    <w:tblPr>
      <w:tblStyleRowBandSize w:val="1"/>
      <w:tblStyleColBandSize w:val="1"/>
      <w:tblBorders>
        <w:top w:val="single" w:sz="4" w:space="0" w:color="88C6E0" w:themeColor="accent1" w:themeTint="66"/>
        <w:left w:val="single" w:sz="4" w:space="0" w:color="88C6E0" w:themeColor="accent1" w:themeTint="66"/>
        <w:bottom w:val="single" w:sz="4" w:space="0" w:color="88C6E0" w:themeColor="accent1" w:themeTint="66"/>
        <w:right w:val="single" w:sz="4" w:space="0" w:color="88C6E0" w:themeColor="accent1" w:themeTint="66"/>
        <w:insideH w:val="single" w:sz="4" w:space="0" w:color="88C6E0" w:themeColor="accent1" w:themeTint="66"/>
        <w:insideV w:val="single" w:sz="4" w:space="0" w:color="88C6E0" w:themeColor="accent1" w:themeTint="66"/>
      </w:tblBorders>
    </w:tblPr>
    <w:tblStylePr w:type="firstRow">
      <w:rPr>
        <w:b/>
        <w:bCs/>
      </w:rPr>
      <w:tblPr/>
      <w:tcPr>
        <w:tcBorders>
          <w:bottom w:val="single" w:sz="12" w:space="0" w:color="4CAAD0" w:themeColor="accent1" w:themeTint="99"/>
        </w:tcBorders>
      </w:tcPr>
    </w:tblStylePr>
    <w:tblStylePr w:type="lastRow">
      <w:rPr>
        <w:b/>
        <w:bCs/>
      </w:rPr>
      <w:tblPr/>
      <w:tcPr>
        <w:tcBorders>
          <w:top w:val="double" w:sz="2" w:space="0" w:color="4CAAD0"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rsid w:val="00B20229"/>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NoSpacing">
    <w:name w:val="No Spacing"/>
    <w:uiPriority w:val="1"/>
    <w:semiHidden/>
    <w:qFormat/>
    <w:rsid w:val="002C5584"/>
    <w:pPr>
      <w:spacing w:after="0" w:line="240" w:lineRule="auto"/>
    </w:pPr>
    <w:rPr>
      <w:kern w:val="2"/>
    </w:rPr>
  </w:style>
  <w:style w:type="paragraph" w:customStyle="1" w:styleId="Default">
    <w:name w:val="Default"/>
    <w:semiHidden/>
    <w:rsid w:val="002C5584"/>
    <w:pPr>
      <w:autoSpaceDE w:val="0"/>
      <w:autoSpaceDN w:val="0"/>
      <w:adjustRightInd w:val="0"/>
      <w:spacing w:after="0" w:line="240" w:lineRule="auto"/>
    </w:pPr>
    <w:rPr>
      <w:rFonts w:ascii="Arial" w:hAnsi="Arial" w:cs="Arial"/>
      <w:color w:val="000000"/>
      <w:sz w:val="24"/>
      <w:szCs w:val="24"/>
    </w:rPr>
  </w:style>
  <w:style w:type="character" w:styleId="SubtleEmphasis">
    <w:name w:val="Subtle Emphasis"/>
    <w:basedOn w:val="DefaultParagraphFont"/>
    <w:uiPriority w:val="19"/>
    <w:semiHidden/>
    <w:qFormat/>
    <w:rsid w:val="002C5584"/>
    <w:rPr>
      <w:i/>
      <w:iCs/>
    </w:rPr>
  </w:style>
  <w:style w:type="table" w:styleId="MediumShading2-Accent5">
    <w:name w:val="Medium Shading 2 Accent 5"/>
    <w:basedOn w:val="TableNormal"/>
    <w:uiPriority w:val="64"/>
    <w:rsid w:val="002C5584"/>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C7B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FC7B7" w:themeFill="accent5"/>
      </w:tcPr>
    </w:tblStylePr>
    <w:tblStylePr w:type="lastCol">
      <w:rPr>
        <w:b/>
        <w:bCs/>
        <w:color w:val="FFFFFF" w:themeColor="background1"/>
      </w:rPr>
      <w:tblPr/>
      <w:tcPr>
        <w:tcBorders>
          <w:left w:val="nil"/>
          <w:right w:val="nil"/>
          <w:insideH w:val="nil"/>
          <w:insideV w:val="nil"/>
        </w:tcBorders>
        <w:shd w:val="clear" w:color="auto" w:fill="6FC7B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Bullet">
    <w:name w:val="List Bullet"/>
    <w:basedOn w:val="Normal"/>
    <w:uiPriority w:val="99"/>
    <w:semiHidden/>
    <w:rsid w:val="002C5584"/>
    <w:pPr>
      <w:numPr>
        <w:numId w:val="8"/>
      </w:numPr>
      <w:contextualSpacing/>
    </w:pPr>
  </w:style>
  <w:style w:type="paragraph" w:styleId="NormalIndent">
    <w:name w:val="Normal Indent"/>
    <w:basedOn w:val="Normal"/>
    <w:uiPriority w:val="99"/>
    <w:semiHidden/>
    <w:rsid w:val="002C5584"/>
    <w:pPr>
      <w:ind w:left="720"/>
    </w:pPr>
  </w:style>
  <w:style w:type="paragraph" w:customStyle="1" w:styleId="Heading11">
    <w:name w:val="Heading 11"/>
    <w:basedOn w:val="Normal"/>
    <w:next w:val="BodyText"/>
    <w:uiPriority w:val="99"/>
    <w:semiHidden/>
    <w:qFormat/>
    <w:rsid w:val="002C5584"/>
    <w:pPr>
      <w:keepNext/>
      <w:tabs>
        <w:tab w:val="left" w:pos="851"/>
      </w:tabs>
      <w:spacing w:before="0" w:after="360" w:line="600" w:lineRule="atLeast"/>
      <w:jc w:val="left"/>
      <w:outlineLvl w:val="0"/>
    </w:pPr>
    <w:rPr>
      <w:rFonts w:ascii="Georgia" w:eastAsia="MS Gothic" w:hAnsi="Georgia" w:cs="Times New Roman"/>
      <w:b/>
      <w:bCs/>
      <w:color w:val="1B556B"/>
      <w:kern w:val="2"/>
      <w:sz w:val="48"/>
      <w:szCs w:val="28"/>
    </w:rPr>
  </w:style>
  <w:style w:type="paragraph" w:customStyle="1" w:styleId="Heading21">
    <w:name w:val="Heading 21"/>
    <w:basedOn w:val="Normal"/>
    <w:next w:val="BodyText"/>
    <w:uiPriority w:val="99"/>
    <w:semiHidden/>
    <w:qFormat/>
    <w:rsid w:val="002C5584"/>
    <w:pPr>
      <w:keepNext/>
      <w:tabs>
        <w:tab w:val="left" w:pos="851"/>
      </w:tabs>
      <w:spacing w:before="360" w:after="0" w:line="440" w:lineRule="exact"/>
      <w:jc w:val="left"/>
      <w:outlineLvl w:val="1"/>
    </w:pPr>
    <w:rPr>
      <w:rFonts w:ascii="Georgia" w:eastAsia="MS Gothic" w:hAnsi="Georgia" w:cs="Times New Roman"/>
      <w:b/>
      <w:bCs/>
      <w:color w:val="1B556B"/>
      <w:sz w:val="36"/>
      <w:szCs w:val="26"/>
    </w:rPr>
  </w:style>
  <w:style w:type="paragraph" w:customStyle="1" w:styleId="Heading31">
    <w:name w:val="Heading 31"/>
    <w:basedOn w:val="Normal"/>
    <w:next w:val="BodyText"/>
    <w:uiPriority w:val="99"/>
    <w:semiHidden/>
    <w:qFormat/>
    <w:rsid w:val="002C5584"/>
    <w:pPr>
      <w:keepNext/>
      <w:tabs>
        <w:tab w:val="left" w:pos="851"/>
      </w:tabs>
      <w:spacing w:before="360" w:after="0" w:line="360" w:lineRule="exact"/>
      <w:jc w:val="left"/>
      <w:outlineLvl w:val="2"/>
    </w:pPr>
    <w:rPr>
      <w:rFonts w:ascii="Georgia" w:eastAsia="MS Gothic" w:hAnsi="Georgia" w:cs="Times New Roman"/>
      <w:b/>
      <w:bCs/>
      <w:kern w:val="2"/>
      <w:sz w:val="28"/>
    </w:rPr>
  </w:style>
  <w:style w:type="paragraph" w:customStyle="1" w:styleId="Heading41">
    <w:name w:val="Heading 41"/>
    <w:basedOn w:val="Heading3"/>
    <w:next w:val="BodyText"/>
    <w:uiPriority w:val="99"/>
    <w:semiHidden/>
    <w:qFormat/>
    <w:rsid w:val="002C5584"/>
    <w:pPr>
      <w:outlineLvl w:val="3"/>
    </w:pPr>
    <w:rPr>
      <w:sz w:val="24"/>
    </w:rPr>
  </w:style>
  <w:style w:type="paragraph" w:customStyle="1" w:styleId="Heading51">
    <w:name w:val="Heading 51"/>
    <w:basedOn w:val="Normal"/>
    <w:next w:val="BodyText"/>
    <w:uiPriority w:val="99"/>
    <w:semiHidden/>
    <w:qFormat/>
    <w:rsid w:val="002C5584"/>
    <w:pPr>
      <w:keepNext/>
      <w:spacing w:before="320" w:after="0" w:line="240" w:lineRule="auto"/>
      <w:jc w:val="left"/>
      <w:outlineLvl w:val="4"/>
    </w:pPr>
    <w:rPr>
      <w:rFonts w:eastAsia="MS Gothic" w:cs="Times New Roman"/>
      <w:i/>
      <w:sz w:val="24"/>
    </w:rPr>
  </w:style>
  <w:style w:type="numbering" w:customStyle="1" w:styleId="NoList1">
    <w:name w:val="No List1"/>
    <w:next w:val="NoList"/>
    <w:uiPriority w:val="99"/>
    <w:semiHidden/>
    <w:unhideWhenUsed/>
    <w:rsid w:val="002C5584"/>
  </w:style>
  <w:style w:type="paragraph" w:customStyle="1" w:styleId="TOC11">
    <w:name w:val="TOC 11"/>
    <w:basedOn w:val="Normal"/>
    <w:next w:val="Normal"/>
    <w:uiPriority w:val="99"/>
    <w:semiHidden/>
    <w:rsid w:val="002C5584"/>
    <w:pPr>
      <w:tabs>
        <w:tab w:val="right" w:pos="8505"/>
      </w:tabs>
      <w:spacing w:before="280" w:after="0" w:line="240" w:lineRule="auto"/>
      <w:ind w:left="567" w:right="567" w:hanging="567"/>
      <w:jc w:val="left"/>
    </w:pPr>
    <w:rPr>
      <w:rFonts w:eastAsia="MS Mincho"/>
    </w:rPr>
  </w:style>
  <w:style w:type="paragraph" w:customStyle="1" w:styleId="TOC21">
    <w:name w:val="TOC 21"/>
    <w:basedOn w:val="Normal"/>
    <w:next w:val="Normal"/>
    <w:uiPriority w:val="99"/>
    <w:semiHidden/>
    <w:rsid w:val="002C5584"/>
    <w:pPr>
      <w:tabs>
        <w:tab w:val="right" w:pos="8505"/>
      </w:tabs>
      <w:spacing w:before="60" w:after="60" w:line="240" w:lineRule="auto"/>
      <w:ind w:left="1134" w:right="567" w:hanging="567"/>
      <w:jc w:val="left"/>
    </w:pPr>
    <w:rPr>
      <w:rFonts w:eastAsia="MS Mincho"/>
    </w:rPr>
  </w:style>
  <w:style w:type="paragraph" w:customStyle="1" w:styleId="EndnoteText1">
    <w:name w:val="Endnote Text1"/>
    <w:basedOn w:val="Normal"/>
    <w:next w:val="EndnoteText"/>
    <w:uiPriority w:val="99"/>
    <w:semiHidden/>
    <w:rsid w:val="002C5584"/>
    <w:pPr>
      <w:spacing w:after="60"/>
    </w:pPr>
    <w:rPr>
      <w:rFonts w:eastAsia="MS Mincho"/>
      <w:kern w:val="2"/>
      <w:sz w:val="20"/>
    </w:rPr>
  </w:style>
  <w:style w:type="paragraph" w:customStyle="1" w:styleId="TOC31">
    <w:name w:val="TOC 31"/>
    <w:basedOn w:val="Normal"/>
    <w:next w:val="Normal"/>
    <w:autoRedefine/>
    <w:uiPriority w:val="99"/>
    <w:semiHidden/>
    <w:rsid w:val="002C5584"/>
    <w:pPr>
      <w:ind w:left="440"/>
    </w:pPr>
    <w:rPr>
      <w:rFonts w:eastAsia="MS Mincho"/>
    </w:rPr>
  </w:style>
  <w:style w:type="paragraph" w:customStyle="1" w:styleId="CommentSubject1">
    <w:name w:val="Comment Subject1"/>
    <w:basedOn w:val="Normal"/>
    <w:next w:val="CommentSubject"/>
    <w:uiPriority w:val="99"/>
    <w:semiHidden/>
    <w:rsid w:val="002C5584"/>
    <w:rPr>
      <w:rFonts w:eastAsia="MS Mincho"/>
      <w:b/>
      <w:bCs/>
      <w:kern w:val="2"/>
      <w:sz w:val="20"/>
      <w:szCs w:val="20"/>
    </w:rPr>
  </w:style>
  <w:style w:type="paragraph" w:customStyle="1" w:styleId="BalloonText1">
    <w:name w:val="Balloon Text1"/>
    <w:basedOn w:val="Normal"/>
    <w:next w:val="BalloonText"/>
    <w:semiHidden/>
    <w:unhideWhenUsed/>
    <w:rsid w:val="002C5584"/>
    <w:rPr>
      <w:rFonts w:ascii="Tahoma" w:eastAsia="MS Mincho" w:hAnsi="Tahoma"/>
      <w:kern w:val="2"/>
      <w:sz w:val="16"/>
      <w:szCs w:val="16"/>
    </w:rPr>
  </w:style>
  <w:style w:type="paragraph" w:customStyle="1" w:styleId="z-BottomofForm1">
    <w:name w:val="z-Bottom of Form1"/>
    <w:basedOn w:val="Normal"/>
    <w:next w:val="Normal"/>
    <w:hidden/>
    <w:uiPriority w:val="99"/>
    <w:semiHidden/>
    <w:unhideWhenUsed/>
    <w:rsid w:val="002C5584"/>
    <w:pPr>
      <w:pBdr>
        <w:top w:val="single" w:sz="6" w:space="1" w:color="auto"/>
      </w:pBdr>
      <w:jc w:val="center"/>
    </w:pPr>
    <w:rPr>
      <w:rFonts w:ascii="Arial" w:eastAsia="Calibri" w:hAnsi="Arial"/>
      <w:vanish/>
      <w:sz w:val="16"/>
      <w:szCs w:val="16"/>
      <w:lang w:val="en-US"/>
    </w:rPr>
  </w:style>
  <w:style w:type="paragraph" w:customStyle="1" w:styleId="z-TopofForm1">
    <w:name w:val="z-Top of Form1"/>
    <w:basedOn w:val="Normal"/>
    <w:next w:val="Normal"/>
    <w:hidden/>
    <w:uiPriority w:val="99"/>
    <w:semiHidden/>
    <w:unhideWhenUsed/>
    <w:rsid w:val="002C5584"/>
    <w:pPr>
      <w:pBdr>
        <w:bottom w:val="single" w:sz="6" w:space="1" w:color="auto"/>
      </w:pBdr>
      <w:jc w:val="center"/>
    </w:pPr>
    <w:rPr>
      <w:rFonts w:ascii="Arial" w:eastAsia="Calibri" w:hAnsi="Arial"/>
      <w:vanish/>
      <w:sz w:val="16"/>
      <w:szCs w:val="16"/>
      <w:lang w:val="en-US"/>
    </w:rPr>
  </w:style>
  <w:style w:type="table" w:customStyle="1" w:styleId="MediumShading1-Accent21">
    <w:name w:val="Medium Shading 1 - Accent 21"/>
    <w:basedOn w:val="TableNormal"/>
    <w:next w:val="MediumShading1-Accent2"/>
    <w:uiPriority w:val="63"/>
    <w:rsid w:val="002C5584"/>
    <w:pPr>
      <w:spacing w:after="0" w:line="240" w:lineRule="auto"/>
    </w:pPr>
    <w:tblPr>
      <w:tblStyleRowBandSize w:val="1"/>
      <w:tblStyleColBandSize w:val="1"/>
      <w:tblBorders>
        <w:top w:val="single" w:sz="8" w:space="0" w:color="52A8C7"/>
        <w:left w:val="single" w:sz="8" w:space="0" w:color="52A8C7"/>
        <w:bottom w:val="single" w:sz="8" w:space="0" w:color="52A8C7"/>
        <w:right w:val="single" w:sz="8" w:space="0" w:color="52A8C7"/>
        <w:insideH w:val="single" w:sz="8" w:space="0" w:color="52A8C7"/>
      </w:tblBorders>
    </w:tblPr>
    <w:tblStylePr w:type="firstRow">
      <w:pPr>
        <w:spacing w:before="0" w:after="0" w:line="240" w:lineRule="auto"/>
      </w:pPr>
      <w:rPr>
        <w:b/>
        <w:bCs/>
        <w:color w:val="FFFFFF"/>
      </w:rPr>
      <w:tblPr/>
      <w:tcPr>
        <w:tcBorders>
          <w:top w:val="single" w:sz="8" w:space="0" w:color="52A8C7"/>
          <w:left w:val="single" w:sz="8" w:space="0" w:color="52A8C7"/>
          <w:bottom w:val="single" w:sz="8" w:space="0" w:color="52A8C7"/>
          <w:right w:val="single" w:sz="8" w:space="0" w:color="52A8C7"/>
          <w:insideH w:val="nil"/>
          <w:insideV w:val="nil"/>
        </w:tcBorders>
        <w:shd w:val="clear" w:color="auto" w:fill="32809C"/>
      </w:tcPr>
    </w:tblStylePr>
    <w:tblStylePr w:type="lastRow">
      <w:pPr>
        <w:spacing w:before="0" w:after="0" w:line="240" w:lineRule="auto"/>
      </w:pPr>
      <w:rPr>
        <w:b/>
        <w:bCs/>
      </w:rPr>
      <w:tblPr/>
      <w:tcPr>
        <w:tcBorders>
          <w:top w:val="double" w:sz="6" w:space="0" w:color="52A8C7"/>
          <w:left w:val="single" w:sz="8" w:space="0" w:color="52A8C7"/>
          <w:bottom w:val="single" w:sz="8" w:space="0" w:color="52A8C7"/>
          <w:right w:val="single" w:sz="8" w:space="0" w:color="52A8C7"/>
          <w:insideH w:val="nil"/>
          <w:insideV w:val="nil"/>
        </w:tcBorders>
      </w:tcPr>
    </w:tblStylePr>
    <w:tblStylePr w:type="firstCol">
      <w:rPr>
        <w:b/>
        <w:bCs/>
      </w:rPr>
    </w:tblStylePr>
    <w:tblStylePr w:type="lastCol">
      <w:rPr>
        <w:b/>
        <w:bCs/>
      </w:rPr>
    </w:tblStylePr>
    <w:tblStylePr w:type="band1Vert">
      <w:tblPr/>
      <w:tcPr>
        <w:shd w:val="clear" w:color="auto" w:fill="C5E2EC"/>
      </w:tcPr>
    </w:tblStylePr>
    <w:tblStylePr w:type="band1Horz">
      <w:tblPr/>
      <w:tcPr>
        <w:tcBorders>
          <w:insideH w:val="nil"/>
          <w:insideV w:val="nil"/>
        </w:tcBorders>
        <w:shd w:val="clear" w:color="auto" w:fill="C5E2EC"/>
      </w:tcPr>
    </w:tblStylePr>
    <w:tblStylePr w:type="band2Horz">
      <w:tblPr/>
      <w:tcPr>
        <w:tcBorders>
          <w:insideH w:val="nil"/>
          <w:insideV w:val="nil"/>
        </w:tcBorders>
      </w:tcPr>
    </w:tblStylePr>
  </w:style>
  <w:style w:type="table" w:customStyle="1" w:styleId="LightList-Accent51">
    <w:name w:val="Light List - Accent 51"/>
    <w:basedOn w:val="TableNormal"/>
    <w:next w:val="LightList-Accent5"/>
    <w:uiPriority w:val="61"/>
    <w:rsid w:val="002C5584"/>
    <w:pPr>
      <w:spacing w:after="0" w:line="240" w:lineRule="auto"/>
    </w:pPr>
    <w:tblPr>
      <w:tblStyleRowBandSize w:val="1"/>
      <w:tblStyleColBandSize w:val="1"/>
      <w:tblBorders>
        <w:top w:val="single" w:sz="8" w:space="0" w:color="6FC7B7"/>
        <w:left w:val="single" w:sz="8" w:space="0" w:color="6FC7B7"/>
        <w:bottom w:val="single" w:sz="8" w:space="0" w:color="6FC7B7"/>
        <w:right w:val="single" w:sz="8" w:space="0" w:color="6FC7B7"/>
      </w:tblBorders>
    </w:tblPr>
    <w:tblStylePr w:type="firstRow">
      <w:pPr>
        <w:spacing w:before="0" w:after="0" w:line="240" w:lineRule="auto"/>
      </w:pPr>
      <w:rPr>
        <w:b/>
        <w:bCs/>
        <w:color w:val="FFFFFF"/>
      </w:rPr>
      <w:tblPr/>
      <w:tcPr>
        <w:shd w:val="clear" w:color="auto" w:fill="6FC7B7"/>
      </w:tcPr>
    </w:tblStylePr>
    <w:tblStylePr w:type="lastRow">
      <w:pPr>
        <w:spacing w:before="0" w:after="0" w:line="240" w:lineRule="auto"/>
      </w:pPr>
      <w:rPr>
        <w:b/>
        <w:bCs/>
      </w:rPr>
      <w:tblPr/>
      <w:tcPr>
        <w:tcBorders>
          <w:top w:val="double" w:sz="6" w:space="0" w:color="6FC7B7"/>
          <w:left w:val="single" w:sz="8" w:space="0" w:color="6FC7B7"/>
          <w:bottom w:val="single" w:sz="8" w:space="0" w:color="6FC7B7"/>
          <w:right w:val="single" w:sz="8" w:space="0" w:color="6FC7B7"/>
        </w:tcBorders>
      </w:tcPr>
    </w:tblStylePr>
    <w:tblStylePr w:type="firstCol">
      <w:rPr>
        <w:b/>
        <w:bCs/>
      </w:rPr>
    </w:tblStylePr>
    <w:tblStylePr w:type="lastCol">
      <w:rPr>
        <w:b/>
        <w:bCs/>
      </w:rPr>
    </w:tblStylePr>
    <w:tblStylePr w:type="band1Vert">
      <w:tblPr/>
      <w:tcPr>
        <w:tcBorders>
          <w:top w:val="single" w:sz="8" w:space="0" w:color="6FC7B7"/>
          <w:left w:val="single" w:sz="8" w:space="0" w:color="6FC7B7"/>
          <w:bottom w:val="single" w:sz="8" w:space="0" w:color="6FC7B7"/>
          <w:right w:val="single" w:sz="8" w:space="0" w:color="6FC7B7"/>
        </w:tcBorders>
      </w:tcPr>
    </w:tblStylePr>
    <w:tblStylePr w:type="band1Horz">
      <w:tblPr/>
      <w:tcPr>
        <w:tcBorders>
          <w:top w:val="single" w:sz="8" w:space="0" w:color="6FC7B7"/>
          <w:left w:val="single" w:sz="8" w:space="0" w:color="6FC7B7"/>
          <w:bottom w:val="single" w:sz="8" w:space="0" w:color="6FC7B7"/>
          <w:right w:val="single" w:sz="8" w:space="0" w:color="6FC7B7"/>
        </w:tcBorders>
      </w:tcPr>
    </w:tblStylePr>
  </w:style>
  <w:style w:type="table" w:customStyle="1" w:styleId="LightGrid-Accent51">
    <w:name w:val="Light Grid - Accent 51"/>
    <w:basedOn w:val="TableNormal"/>
    <w:next w:val="LightGrid-Accent5"/>
    <w:uiPriority w:val="62"/>
    <w:rsid w:val="002C5584"/>
    <w:pPr>
      <w:spacing w:after="0" w:line="240" w:lineRule="auto"/>
    </w:pPr>
    <w:tblPr>
      <w:tblStyleRowBandSize w:val="1"/>
      <w:tblStyleColBandSize w:val="1"/>
      <w:tblBorders>
        <w:top w:val="single" w:sz="8" w:space="0" w:color="6FC7B7"/>
        <w:left w:val="single" w:sz="8" w:space="0" w:color="6FC7B7"/>
        <w:bottom w:val="single" w:sz="8" w:space="0" w:color="6FC7B7"/>
        <w:right w:val="single" w:sz="8" w:space="0" w:color="6FC7B7"/>
        <w:insideH w:val="single" w:sz="8" w:space="0" w:color="6FC7B7"/>
        <w:insideV w:val="single" w:sz="8" w:space="0" w:color="6FC7B7"/>
      </w:tblBorders>
    </w:tblPr>
    <w:tblStylePr w:type="firstRow">
      <w:pPr>
        <w:spacing w:before="0" w:after="0" w:line="240" w:lineRule="auto"/>
      </w:pPr>
      <w:rPr>
        <w:rFonts w:ascii="Lato" w:eastAsia="MS Gothic" w:hAnsi="Lato" w:cs="Times New Roman"/>
        <w:b/>
        <w:bCs/>
      </w:rPr>
      <w:tblPr/>
      <w:tcPr>
        <w:tcBorders>
          <w:top w:val="single" w:sz="8" w:space="0" w:color="6FC7B7"/>
          <w:left w:val="single" w:sz="8" w:space="0" w:color="6FC7B7"/>
          <w:bottom w:val="single" w:sz="18" w:space="0" w:color="6FC7B7"/>
          <w:right w:val="single" w:sz="8" w:space="0" w:color="6FC7B7"/>
          <w:insideH w:val="nil"/>
          <w:insideV w:val="single" w:sz="8" w:space="0" w:color="6FC7B7"/>
        </w:tcBorders>
      </w:tcPr>
    </w:tblStylePr>
    <w:tblStylePr w:type="lastRow">
      <w:pPr>
        <w:spacing w:before="0" w:after="0" w:line="240" w:lineRule="auto"/>
      </w:pPr>
      <w:rPr>
        <w:rFonts w:ascii="Lato" w:eastAsia="MS Gothic" w:hAnsi="Lato" w:cs="Times New Roman"/>
        <w:b/>
        <w:bCs/>
      </w:rPr>
      <w:tblPr/>
      <w:tcPr>
        <w:tcBorders>
          <w:top w:val="double" w:sz="6" w:space="0" w:color="6FC7B7"/>
          <w:left w:val="single" w:sz="8" w:space="0" w:color="6FC7B7"/>
          <w:bottom w:val="single" w:sz="8" w:space="0" w:color="6FC7B7"/>
          <w:right w:val="single" w:sz="8" w:space="0" w:color="6FC7B7"/>
          <w:insideH w:val="nil"/>
          <w:insideV w:val="single" w:sz="8" w:space="0" w:color="6FC7B7"/>
        </w:tcBorders>
      </w:tcPr>
    </w:tblStylePr>
    <w:tblStylePr w:type="firstCol">
      <w:rPr>
        <w:rFonts w:ascii="Lato" w:eastAsia="MS Gothic" w:hAnsi="Lato" w:cs="Times New Roman"/>
        <w:b/>
        <w:bCs/>
      </w:rPr>
    </w:tblStylePr>
    <w:tblStylePr w:type="lastCol">
      <w:rPr>
        <w:rFonts w:ascii="Lato" w:eastAsia="MS Gothic" w:hAnsi="Lato" w:cs="Times New Roman"/>
        <w:b/>
        <w:bCs/>
      </w:rPr>
      <w:tblPr/>
      <w:tcPr>
        <w:tcBorders>
          <w:top w:val="single" w:sz="8" w:space="0" w:color="6FC7B7"/>
          <w:left w:val="single" w:sz="8" w:space="0" w:color="6FC7B7"/>
          <w:bottom w:val="single" w:sz="8" w:space="0" w:color="6FC7B7"/>
          <w:right w:val="single" w:sz="8" w:space="0" w:color="6FC7B7"/>
        </w:tcBorders>
      </w:tcPr>
    </w:tblStylePr>
    <w:tblStylePr w:type="band1Vert">
      <w:tblPr/>
      <w:tcPr>
        <w:tcBorders>
          <w:top w:val="single" w:sz="8" w:space="0" w:color="6FC7B7"/>
          <w:left w:val="single" w:sz="8" w:space="0" w:color="6FC7B7"/>
          <w:bottom w:val="single" w:sz="8" w:space="0" w:color="6FC7B7"/>
          <w:right w:val="single" w:sz="8" w:space="0" w:color="6FC7B7"/>
        </w:tcBorders>
        <w:shd w:val="clear" w:color="auto" w:fill="DBF1ED"/>
      </w:tcPr>
    </w:tblStylePr>
    <w:tblStylePr w:type="band1Horz">
      <w:tblPr/>
      <w:tcPr>
        <w:tcBorders>
          <w:top w:val="single" w:sz="8" w:space="0" w:color="6FC7B7"/>
          <w:left w:val="single" w:sz="8" w:space="0" w:color="6FC7B7"/>
          <w:bottom w:val="single" w:sz="8" w:space="0" w:color="6FC7B7"/>
          <w:right w:val="single" w:sz="8" w:space="0" w:color="6FC7B7"/>
          <w:insideV w:val="single" w:sz="8" w:space="0" w:color="6FC7B7"/>
        </w:tcBorders>
        <w:shd w:val="clear" w:color="auto" w:fill="DBF1ED"/>
      </w:tcPr>
    </w:tblStylePr>
    <w:tblStylePr w:type="band2Horz">
      <w:tblPr/>
      <w:tcPr>
        <w:tcBorders>
          <w:top w:val="single" w:sz="8" w:space="0" w:color="6FC7B7"/>
          <w:left w:val="single" w:sz="8" w:space="0" w:color="6FC7B7"/>
          <w:bottom w:val="single" w:sz="8" w:space="0" w:color="6FC7B7"/>
          <w:right w:val="single" w:sz="8" w:space="0" w:color="6FC7B7"/>
          <w:insideV w:val="single" w:sz="8" w:space="0" w:color="6FC7B7"/>
        </w:tcBorders>
      </w:tcPr>
    </w:tblStylePr>
  </w:style>
  <w:style w:type="table" w:customStyle="1" w:styleId="LightShading-Accent12">
    <w:name w:val="Light Shading - Accent 12"/>
    <w:basedOn w:val="TableNormal"/>
    <w:next w:val="LightShading-Accent1"/>
    <w:uiPriority w:val="60"/>
    <w:rsid w:val="002C5584"/>
    <w:pPr>
      <w:spacing w:after="0" w:line="240" w:lineRule="auto"/>
    </w:pPr>
    <w:rPr>
      <w:rFonts w:eastAsia="MS Mincho"/>
      <w:color w:val="153F50"/>
      <w:lang w:val="en-US"/>
    </w:rPr>
    <w:tblPr>
      <w:tblStyleRowBandSize w:val="1"/>
      <w:tblStyleColBandSize w:val="1"/>
      <w:tblBorders>
        <w:top w:val="single" w:sz="8" w:space="0" w:color="1C556C"/>
        <w:bottom w:val="single" w:sz="8" w:space="0" w:color="1C556C"/>
      </w:tblBorders>
    </w:tblPr>
    <w:tblStylePr w:type="firstRow">
      <w:pPr>
        <w:spacing w:before="0" w:after="0" w:line="240" w:lineRule="auto"/>
      </w:pPr>
      <w:rPr>
        <w:b/>
        <w:bCs/>
      </w:rPr>
      <w:tblPr/>
      <w:tcPr>
        <w:tcBorders>
          <w:top w:val="single" w:sz="8" w:space="0" w:color="1C556C"/>
          <w:left w:val="nil"/>
          <w:bottom w:val="single" w:sz="8" w:space="0" w:color="1C556C"/>
          <w:right w:val="nil"/>
          <w:insideH w:val="nil"/>
          <w:insideV w:val="nil"/>
        </w:tcBorders>
      </w:tcPr>
    </w:tblStylePr>
    <w:tblStylePr w:type="lastRow">
      <w:pPr>
        <w:spacing w:before="0" w:after="0" w:line="240" w:lineRule="auto"/>
      </w:pPr>
      <w:rPr>
        <w:b/>
        <w:bCs/>
      </w:rPr>
      <w:tblPr/>
      <w:tcPr>
        <w:tcBorders>
          <w:top w:val="single" w:sz="8" w:space="0" w:color="1C556C"/>
          <w:left w:val="nil"/>
          <w:bottom w:val="single" w:sz="8" w:space="0" w:color="1C556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CEC"/>
      </w:tcPr>
    </w:tblStylePr>
    <w:tblStylePr w:type="band1Horz">
      <w:tblPr/>
      <w:tcPr>
        <w:tcBorders>
          <w:left w:val="nil"/>
          <w:right w:val="nil"/>
          <w:insideH w:val="nil"/>
          <w:insideV w:val="nil"/>
        </w:tcBorders>
        <w:shd w:val="clear" w:color="auto" w:fill="B5DCEC"/>
      </w:tcPr>
    </w:tblStylePr>
  </w:style>
  <w:style w:type="table" w:customStyle="1" w:styleId="LightList-Accent31">
    <w:name w:val="Light List - Accent 31"/>
    <w:basedOn w:val="TableNormal"/>
    <w:next w:val="LightList-Accent3"/>
    <w:uiPriority w:val="61"/>
    <w:rsid w:val="002C5584"/>
    <w:pPr>
      <w:spacing w:after="0" w:line="240" w:lineRule="auto"/>
    </w:pPr>
    <w:rPr>
      <w:rFonts w:eastAsia="MS Mincho"/>
      <w:lang w:val="en-US"/>
    </w:rPr>
    <w:tblPr>
      <w:tblStyleRowBandSize w:val="1"/>
      <w:tblStyleColBandSize w:val="1"/>
      <w:tblBorders>
        <w:top w:val="single" w:sz="8" w:space="0" w:color="D5EBE8"/>
        <w:left w:val="single" w:sz="8" w:space="0" w:color="D5EBE8"/>
        <w:bottom w:val="single" w:sz="8" w:space="0" w:color="D5EBE8"/>
        <w:right w:val="single" w:sz="8" w:space="0" w:color="D5EBE8"/>
      </w:tblBorders>
    </w:tblPr>
    <w:tblStylePr w:type="firstRow">
      <w:pPr>
        <w:spacing w:before="0" w:after="0" w:line="240" w:lineRule="auto"/>
      </w:pPr>
      <w:rPr>
        <w:b/>
        <w:bCs/>
        <w:color w:val="FFFFFF"/>
      </w:rPr>
      <w:tblPr/>
      <w:tcPr>
        <w:shd w:val="clear" w:color="auto" w:fill="D5EBE8"/>
      </w:tcPr>
    </w:tblStylePr>
    <w:tblStylePr w:type="lastRow">
      <w:pPr>
        <w:spacing w:before="0" w:after="0" w:line="240" w:lineRule="auto"/>
      </w:pPr>
      <w:rPr>
        <w:b/>
        <w:bCs/>
      </w:rPr>
      <w:tblPr/>
      <w:tcPr>
        <w:tcBorders>
          <w:top w:val="double" w:sz="6" w:space="0" w:color="D5EBE8"/>
          <w:left w:val="single" w:sz="8" w:space="0" w:color="D5EBE8"/>
          <w:bottom w:val="single" w:sz="8" w:space="0" w:color="D5EBE8"/>
          <w:right w:val="single" w:sz="8" w:space="0" w:color="D5EBE8"/>
        </w:tcBorders>
      </w:tcPr>
    </w:tblStylePr>
    <w:tblStylePr w:type="firstCol">
      <w:rPr>
        <w:b/>
        <w:bCs/>
      </w:rPr>
    </w:tblStylePr>
    <w:tblStylePr w:type="lastCol">
      <w:rPr>
        <w:b/>
        <w:bCs/>
      </w:rPr>
    </w:tblStylePr>
    <w:tblStylePr w:type="band1Vert">
      <w:tblPr/>
      <w:tcPr>
        <w:tcBorders>
          <w:top w:val="single" w:sz="8" w:space="0" w:color="D5EBE8"/>
          <w:left w:val="single" w:sz="8" w:space="0" w:color="D5EBE8"/>
          <w:bottom w:val="single" w:sz="8" w:space="0" w:color="D5EBE8"/>
          <w:right w:val="single" w:sz="8" w:space="0" w:color="D5EBE8"/>
        </w:tcBorders>
      </w:tcPr>
    </w:tblStylePr>
    <w:tblStylePr w:type="band1Horz">
      <w:tblPr/>
      <w:tcPr>
        <w:tcBorders>
          <w:top w:val="single" w:sz="8" w:space="0" w:color="D5EBE8"/>
          <w:left w:val="single" w:sz="8" w:space="0" w:color="D5EBE8"/>
          <w:bottom w:val="single" w:sz="8" w:space="0" w:color="D5EBE8"/>
          <w:right w:val="single" w:sz="8" w:space="0" w:color="D5EBE8"/>
        </w:tcBorders>
      </w:tcPr>
    </w:tblStylePr>
  </w:style>
  <w:style w:type="table" w:customStyle="1" w:styleId="GridTable1Light1">
    <w:name w:val="Grid Table 1 Light1"/>
    <w:basedOn w:val="TableNormal"/>
    <w:next w:val="GridTable1Light"/>
    <w:uiPriority w:val="46"/>
    <w:rsid w:val="002C5584"/>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TOC51">
    <w:name w:val="TOC 51"/>
    <w:basedOn w:val="Normal"/>
    <w:next w:val="Normal"/>
    <w:autoRedefine/>
    <w:uiPriority w:val="99"/>
    <w:semiHidden/>
    <w:rsid w:val="002C5584"/>
    <w:pPr>
      <w:spacing w:before="0" w:after="100" w:line="259" w:lineRule="auto"/>
      <w:ind w:left="880"/>
      <w:jc w:val="left"/>
    </w:pPr>
    <w:rPr>
      <w:rFonts w:asciiTheme="minorHAnsi" w:eastAsia="MS Mincho" w:hAnsiTheme="minorHAnsi"/>
    </w:rPr>
  </w:style>
  <w:style w:type="paragraph" w:customStyle="1" w:styleId="TOC61">
    <w:name w:val="TOC 61"/>
    <w:basedOn w:val="Normal"/>
    <w:next w:val="Normal"/>
    <w:autoRedefine/>
    <w:uiPriority w:val="99"/>
    <w:semiHidden/>
    <w:rsid w:val="002C5584"/>
    <w:pPr>
      <w:spacing w:before="0" w:after="100" w:line="259" w:lineRule="auto"/>
      <w:ind w:left="1100"/>
      <w:jc w:val="left"/>
    </w:pPr>
    <w:rPr>
      <w:rFonts w:asciiTheme="minorHAnsi" w:eastAsia="MS Mincho" w:hAnsiTheme="minorHAnsi"/>
    </w:rPr>
  </w:style>
  <w:style w:type="paragraph" w:customStyle="1" w:styleId="TOC71">
    <w:name w:val="TOC 71"/>
    <w:basedOn w:val="Normal"/>
    <w:next w:val="Normal"/>
    <w:autoRedefine/>
    <w:uiPriority w:val="99"/>
    <w:semiHidden/>
    <w:rsid w:val="002C5584"/>
    <w:pPr>
      <w:spacing w:before="0" w:after="100" w:line="259" w:lineRule="auto"/>
      <w:ind w:left="1320"/>
      <w:jc w:val="left"/>
    </w:pPr>
    <w:rPr>
      <w:rFonts w:asciiTheme="minorHAnsi" w:eastAsia="MS Mincho" w:hAnsiTheme="minorHAnsi"/>
    </w:rPr>
  </w:style>
  <w:style w:type="paragraph" w:customStyle="1" w:styleId="TOC81">
    <w:name w:val="TOC 81"/>
    <w:basedOn w:val="Normal"/>
    <w:next w:val="Normal"/>
    <w:autoRedefine/>
    <w:uiPriority w:val="99"/>
    <w:semiHidden/>
    <w:rsid w:val="002C5584"/>
    <w:pPr>
      <w:spacing w:before="0" w:after="100" w:line="259" w:lineRule="auto"/>
      <w:ind w:left="1540"/>
      <w:jc w:val="left"/>
    </w:pPr>
    <w:rPr>
      <w:rFonts w:asciiTheme="minorHAnsi" w:eastAsia="MS Mincho" w:hAnsiTheme="minorHAnsi"/>
    </w:rPr>
  </w:style>
  <w:style w:type="paragraph" w:customStyle="1" w:styleId="TOC91">
    <w:name w:val="TOC 91"/>
    <w:basedOn w:val="Normal"/>
    <w:next w:val="Normal"/>
    <w:autoRedefine/>
    <w:uiPriority w:val="99"/>
    <w:semiHidden/>
    <w:rsid w:val="002C5584"/>
    <w:pPr>
      <w:spacing w:before="0" w:after="100" w:line="259" w:lineRule="auto"/>
      <w:ind w:left="1760"/>
      <w:jc w:val="left"/>
    </w:pPr>
    <w:rPr>
      <w:rFonts w:asciiTheme="minorHAnsi" w:eastAsia="MS Mincho" w:hAnsiTheme="minorHAnsi"/>
    </w:rPr>
  </w:style>
  <w:style w:type="table" w:customStyle="1" w:styleId="MediumShading2-Accent51">
    <w:name w:val="Medium Shading 2 - Accent 51"/>
    <w:basedOn w:val="TableNormal"/>
    <w:next w:val="MediumShading2-Accent5"/>
    <w:uiPriority w:val="64"/>
    <w:rsid w:val="002C5584"/>
    <w:pPr>
      <w:spacing w:after="0" w:line="240" w:lineRule="auto"/>
    </w:pPr>
    <w:rPr>
      <w:rFonts w:eastAsia="MS Mincho"/>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6FC7B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6FC7B7"/>
      </w:tcPr>
    </w:tblStylePr>
    <w:tblStylePr w:type="lastCol">
      <w:rPr>
        <w:b/>
        <w:bCs/>
        <w:color w:val="FFFFFF"/>
      </w:rPr>
      <w:tblPr/>
      <w:tcPr>
        <w:tcBorders>
          <w:left w:val="nil"/>
          <w:right w:val="nil"/>
          <w:insideH w:val="nil"/>
          <w:insideV w:val="nil"/>
        </w:tcBorders>
        <w:shd w:val="clear" w:color="auto" w:fill="6FC7B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HeaderChar1">
    <w:name w:val="Header Char1"/>
    <w:basedOn w:val="DefaultParagraphFont"/>
    <w:uiPriority w:val="99"/>
    <w:semiHidden/>
    <w:rsid w:val="002C5584"/>
  </w:style>
  <w:style w:type="character" w:customStyle="1" w:styleId="EndnoteTextChar1">
    <w:name w:val="Endnote Text Char1"/>
    <w:basedOn w:val="DefaultParagraphFont"/>
    <w:uiPriority w:val="99"/>
    <w:semiHidden/>
    <w:rsid w:val="002C5584"/>
    <w:rPr>
      <w:sz w:val="20"/>
      <w:szCs w:val="20"/>
    </w:rPr>
  </w:style>
  <w:style w:type="character" w:customStyle="1" w:styleId="CommentSubjectChar1">
    <w:name w:val="Comment Subject Char1"/>
    <w:basedOn w:val="DefaultParagraphFont"/>
    <w:uiPriority w:val="99"/>
    <w:semiHidden/>
    <w:rsid w:val="00CD63C3"/>
    <w:rPr>
      <w:b/>
      <w:bCs/>
      <w:sz w:val="20"/>
      <w:szCs w:val="20"/>
    </w:rPr>
  </w:style>
  <w:style w:type="character" w:customStyle="1" w:styleId="BalloonTextChar1">
    <w:name w:val="Balloon Text Char1"/>
    <w:basedOn w:val="DefaultParagraphFont"/>
    <w:uiPriority w:val="99"/>
    <w:semiHidden/>
    <w:rsid w:val="002C5584"/>
    <w:rPr>
      <w:rFonts w:ascii="Segoe UI" w:hAnsi="Segoe UI" w:cs="Segoe UI"/>
      <w:sz w:val="18"/>
      <w:szCs w:val="18"/>
    </w:rPr>
  </w:style>
  <w:style w:type="table" w:customStyle="1" w:styleId="TableGrid1">
    <w:name w:val="Table Grid1"/>
    <w:basedOn w:val="TableNormal"/>
    <w:next w:val="TableGrid"/>
    <w:uiPriority w:val="59"/>
    <w:rsid w:val="002C5584"/>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DD3E7F"/>
    <w:pPr>
      <w:spacing w:after="0" w:line="240" w:lineRule="auto"/>
    </w:pPr>
    <w:tblPr>
      <w:tblStyleRowBandSize w:val="1"/>
      <w:tblStyleColBandSize w:val="1"/>
      <w:tblBorders>
        <w:top w:val="single" w:sz="4" w:space="0" w:color="EEF7F5" w:themeColor="accent3" w:themeTint="66"/>
        <w:left w:val="single" w:sz="4" w:space="0" w:color="EEF7F5" w:themeColor="accent3" w:themeTint="66"/>
        <w:bottom w:val="single" w:sz="4" w:space="0" w:color="EEF7F5" w:themeColor="accent3" w:themeTint="66"/>
        <w:right w:val="single" w:sz="4" w:space="0" w:color="EEF7F5" w:themeColor="accent3" w:themeTint="66"/>
        <w:insideH w:val="single" w:sz="4" w:space="0" w:color="EEF7F5" w:themeColor="accent3" w:themeTint="66"/>
        <w:insideV w:val="single" w:sz="4" w:space="0" w:color="EEF7F5" w:themeColor="accent3" w:themeTint="66"/>
      </w:tblBorders>
    </w:tblPr>
    <w:tblStylePr w:type="firstRow">
      <w:rPr>
        <w:b/>
        <w:bCs/>
      </w:rPr>
      <w:tblPr/>
      <w:tcPr>
        <w:tcBorders>
          <w:bottom w:val="single" w:sz="12" w:space="0" w:color="E5F3F1" w:themeColor="accent3" w:themeTint="99"/>
        </w:tcBorders>
      </w:tcPr>
    </w:tblStylePr>
    <w:tblStylePr w:type="lastRow">
      <w:rPr>
        <w:b/>
        <w:bCs/>
      </w:rPr>
      <w:tblPr/>
      <w:tcPr>
        <w:tcBorders>
          <w:top w:val="double" w:sz="2" w:space="0" w:color="E5F3F1" w:themeColor="accent3" w:themeTint="99"/>
        </w:tcBorders>
      </w:tcPr>
    </w:tblStylePr>
    <w:tblStylePr w:type="firstCol">
      <w:rPr>
        <w:b/>
        <w:bCs/>
      </w:rPr>
    </w:tblStylePr>
    <w:tblStylePr w:type="lastCol">
      <w:rPr>
        <w:b/>
        <w:bCs/>
      </w:rPr>
    </w:tblStylePr>
  </w:style>
  <w:style w:type="table" w:styleId="PlainTable4">
    <w:name w:val="Plain Table 4"/>
    <w:basedOn w:val="TableNormal"/>
    <w:uiPriority w:val="44"/>
    <w:rsid w:val="00DD3E7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D3E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tionheading">
    <w:name w:val="Section heading"/>
    <w:basedOn w:val="Heading1"/>
    <w:qFormat/>
    <w:rsid w:val="00F733C8"/>
  </w:style>
  <w:style w:type="character" w:styleId="Mention">
    <w:name w:val="Mention"/>
    <w:basedOn w:val="DefaultParagraphFont"/>
    <w:uiPriority w:val="99"/>
    <w:semiHidden/>
    <w:rsid w:val="003E17BE"/>
    <w:rPr>
      <w:color w:val="2B579A"/>
      <w:shd w:val="clear" w:color="auto" w:fill="E6E6E6"/>
    </w:rPr>
  </w:style>
  <w:style w:type="paragraph" w:customStyle="1" w:styleId="Heading1green">
    <w:name w:val="Heading 1 green"/>
    <w:basedOn w:val="Heading1"/>
    <w:link w:val="Heading1greenChar"/>
    <w:qFormat/>
    <w:rsid w:val="006531E8"/>
    <w:rPr>
      <w:color w:val="0E7B7E"/>
      <w:sz w:val="56"/>
      <w:szCs w:val="36"/>
    </w:rPr>
  </w:style>
  <w:style w:type="paragraph" w:customStyle="1" w:styleId="ERH3">
    <w:name w:val="ER H3"/>
    <w:basedOn w:val="Normal"/>
    <w:link w:val="ERH3Char"/>
    <w:semiHidden/>
    <w:qFormat/>
    <w:rsid w:val="00E1073E"/>
    <w:pPr>
      <w:keepNext/>
      <w:tabs>
        <w:tab w:val="left" w:pos="851"/>
      </w:tabs>
      <w:spacing w:before="360" w:after="0" w:line="240" w:lineRule="auto"/>
      <w:outlineLvl w:val="2"/>
    </w:pPr>
    <w:rPr>
      <w:rFonts w:eastAsia="Times New Roman" w:cs="Times New Roman"/>
      <w:b/>
      <w:bCs/>
      <w:sz w:val="28"/>
    </w:rPr>
  </w:style>
  <w:style w:type="character" w:customStyle="1" w:styleId="ERH3Char">
    <w:name w:val="ER H3 Char"/>
    <w:basedOn w:val="DefaultParagraphFont"/>
    <w:link w:val="ERH3"/>
    <w:semiHidden/>
    <w:rsid w:val="00E1073E"/>
    <w:rPr>
      <w:rFonts w:ascii="Calibri" w:eastAsia="Times New Roman" w:hAnsi="Calibri" w:cs="Times New Roman"/>
      <w:b/>
      <w:bCs/>
      <w:sz w:val="28"/>
      <w:lang w:eastAsia="en-NZ"/>
    </w:rPr>
  </w:style>
  <w:style w:type="paragraph" w:customStyle="1" w:styleId="Heading2green">
    <w:name w:val="Heading 2 green"/>
    <w:basedOn w:val="Heading2"/>
    <w:next w:val="BodyText"/>
    <w:link w:val="Heading2greenChar"/>
    <w:qFormat/>
    <w:rsid w:val="00B164F3"/>
    <w:rPr>
      <w:color w:val="0E7B7E"/>
    </w:rPr>
  </w:style>
  <w:style w:type="paragraph" w:customStyle="1" w:styleId="TableboldGreen">
    <w:name w:val="Tablebold Green"/>
    <w:basedOn w:val="TableTextbold"/>
    <w:qFormat/>
    <w:rsid w:val="00E1073E"/>
    <w:rPr>
      <w:rFonts w:cs="Times New Roman"/>
      <w:color w:val="0E7B7E"/>
      <w:szCs w:val="20"/>
    </w:rPr>
  </w:style>
  <w:style w:type="paragraph" w:customStyle="1" w:styleId="DecimalAligned">
    <w:name w:val="Decimal Aligned"/>
    <w:basedOn w:val="Normal"/>
    <w:uiPriority w:val="40"/>
    <w:semiHidden/>
    <w:qFormat/>
    <w:rsid w:val="00E1073E"/>
    <w:pPr>
      <w:tabs>
        <w:tab w:val="decimal" w:pos="360"/>
      </w:tabs>
      <w:spacing w:before="0" w:after="200" w:line="276" w:lineRule="auto"/>
      <w:jc w:val="left"/>
    </w:pPr>
    <w:rPr>
      <w:rFonts w:asciiTheme="minorHAnsi" w:hAnsiTheme="minorHAnsi" w:cs="Times New Roman"/>
      <w:lang w:val="en-US" w:eastAsia="en-US"/>
    </w:rPr>
  </w:style>
  <w:style w:type="paragraph" w:customStyle="1" w:styleId="Tablegreen">
    <w:name w:val="Table green"/>
    <w:basedOn w:val="TableboldGreen"/>
    <w:qFormat/>
    <w:rsid w:val="00E1073E"/>
    <w:rPr>
      <w:b w:val="0"/>
      <w:bCs/>
    </w:rPr>
  </w:style>
  <w:style w:type="paragraph" w:customStyle="1" w:styleId="FootnoteText1">
    <w:name w:val="Footnote Text1"/>
    <w:basedOn w:val="Normal"/>
    <w:next w:val="FootnoteText"/>
    <w:uiPriority w:val="99"/>
    <w:semiHidden/>
    <w:rsid w:val="00E1073E"/>
    <w:pPr>
      <w:spacing w:before="0" w:after="60" w:line="240" w:lineRule="atLeast"/>
      <w:ind w:left="284" w:hanging="284"/>
      <w:jc w:val="left"/>
    </w:pPr>
    <w:rPr>
      <w:rFonts w:eastAsia="MS Mincho"/>
      <w:kern w:val="2"/>
      <w:sz w:val="19"/>
    </w:rPr>
  </w:style>
  <w:style w:type="paragraph" w:customStyle="1" w:styleId="CommentText1">
    <w:name w:val="Comment Text1"/>
    <w:basedOn w:val="Normal"/>
    <w:next w:val="CommentText"/>
    <w:uiPriority w:val="99"/>
    <w:semiHidden/>
    <w:rsid w:val="00E1073E"/>
    <w:pPr>
      <w:spacing w:line="240" w:lineRule="auto"/>
    </w:pPr>
    <w:rPr>
      <w:rFonts w:eastAsia="MS Mincho"/>
      <w:kern w:val="2"/>
      <w:sz w:val="20"/>
      <w:szCs w:val="20"/>
    </w:rPr>
  </w:style>
  <w:style w:type="character" w:customStyle="1" w:styleId="FollowedHyperlink1">
    <w:name w:val="FollowedHyperlink1"/>
    <w:basedOn w:val="DefaultParagraphFont"/>
    <w:uiPriority w:val="99"/>
    <w:semiHidden/>
    <w:rsid w:val="00E1073E"/>
    <w:rPr>
      <w:color w:val="800080"/>
      <w:u w:val="none"/>
    </w:rPr>
  </w:style>
  <w:style w:type="character" w:customStyle="1" w:styleId="BodyTextChar1">
    <w:name w:val="Body Text Char1"/>
    <w:basedOn w:val="DefaultParagraphFont"/>
    <w:uiPriority w:val="99"/>
    <w:semiHidden/>
    <w:rsid w:val="00E1073E"/>
  </w:style>
  <w:style w:type="table" w:customStyle="1" w:styleId="TableGrid13">
    <w:name w:val="Table Grid13"/>
    <w:basedOn w:val="TableNormal"/>
    <w:next w:val="TableGrid"/>
    <w:uiPriority w:val="59"/>
    <w:rsid w:val="00452E06"/>
    <w:pPr>
      <w:spacing w:after="0" w:line="240" w:lineRule="auto"/>
      <w:jc w:val="both"/>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ubbullet">
    <w:name w:val="TableSubbullet"/>
    <w:basedOn w:val="TableBullet"/>
    <w:semiHidden/>
    <w:qFormat/>
    <w:rsid w:val="003B4A7F"/>
    <w:pPr>
      <w:numPr>
        <w:numId w:val="0"/>
      </w:numPr>
      <w:ind w:left="680" w:hanging="226"/>
    </w:pPr>
    <w:rPr>
      <w:rFonts w:cs="Times New Roman"/>
      <w:szCs w:val="20"/>
    </w:rPr>
  </w:style>
  <w:style w:type="character" w:customStyle="1" w:styleId="Heading1greenChar">
    <w:name w:val="Heading 1 green Char"/>
    <w:basedOn w:val="Heading1Char"/>
    <w:link w:val="Heading1green"/>
    <w:rsid w:val="006531E8"/>
    <w:rPr>
      <w:rFonts w:ascii="Georgia" w:eastAsiaTheme="majorEastAsia" w:hAnsi="Georgia" w:cstheme="majorBidi"/>
      <w:b/>
      <w:bCs/>
      <w:color w:val="0E7B7E"/>
      <w:sz w:val="56"/>
      <w:szCs w:val="36"/>
      <w:lang w:eastAsia="en-NZ"/>
    </w:rPr>
  </w:style>
  <w:style w:type="character" w:customStyle="1" w:styleId="Heading2greenChar">
    <w:name w:val="Heading 2 green Char"/>
    <w:basedOn w:val="Heading2Char"/>
    <w:link w:val="Heading2green"/>
    <w:rsid w:val="006A1545"/>
    <w:rPr>
      <w:rFonts w:ascii="Georgia" w:eastAsiaTheme="majorEastAsia" w:hAnsi="Georgia" w:cstheme="majorBidi"/>
      <w:b/>
      <w:bCs/>
      <w:color w:val="0E7B7E"/>
      <w:sz w:val="36"/>
      <w:szCs w:val="26"/>
      <w:lang w:eastAsia="en-NZ"/>
    </w:rPr>
  </w:style>
  <w:style w:type="paragraph" w:styleId="TOCHeading">
    <w:name w:val="TOC Heading"/>
    <w:basedOn w:val="Heading1"/>
    <w:next w:val="Normal"/>
    <w:uiPriority w:val="99"/>
    <w:semiHidden/>
    <w:qFormat/>
    <w:rsid w:val="007836EC"/>
    <w:pPr>
      <w:keepLines/>
      <w:tabs>
        <w:tab w:val="clear" w:pos="851"/>
      </w:tabs>
      <w:spacing w:before="240" w:after="0" w:line="259" w:lineRule="auto"/>
      <w:outlineLvl w:val="9"/>
    </w:pPr>
    <w:rPr>
      <w:rFonts w:asciiTheme="majorHAnsi" w:hAnsiTheme="majorHAnsi"/>
      <w:b w:val="0"/>
      <w:bCs w:val="0"/>
      <w:color w:val="153F50" w:themeColor="accent1" w:themeShade="BF"/>
      <w:sz w:val="32"/>
      <w:szCs w:val="32"/>
      <w:lang w:val="en-US" w:eastAsia="en-US"/>
    </w:rPr>
  </w:style>
  <w:style w:type="character" w:customStyle="1" w:styleId="TableTextChar">
    <w:name w:val="TableText Char"/>
    <w:basedOn w:val="DefaultParagraphFont"/>
    <w:link w:val="TableText"/>
    <w:rsid w:val="0012676C"/>
    <w:rPr>
      <w:rFonts w:ascii="Calibri" w:eastAsiaTheme="minorEastAsia" w:hAnsi="Calibri"/>
      <w:sz w:val="18"/>
      <w:lang w:eastAsia="en-NZ"/>
    </w:rPr>
  </w:style>
  <w:style w:type="paragraph" w:customStyle="1" w:styleId="TableSubheading">
    <w:name w:val="TableSubheading"/>
    <w:basedOn w:val="TableText"/>
    <w:semiHidden/>
    <w:qFormat/>
    <w:rsid w:val="000F373B"/>
    <w:pPr>
      <w:keepNext/>
      <w:spacing w:before="40" w:after="40" w:line="230" w:lineRule="atLeast"/>
    </w:pPr>
    <w:rPr>
      <w:rFonts w:cs="Times New Roman"/>
      <w:b/>
      <w:bCs/>
      <w:sz w:val="20"/>
      <w:szCs w:val="20"/>
    </w:rPr>
  </w:style>
  <w:style w:type="paragraph" w:customStyle="1" w:styleId="AOBodyText">
    <w:name w:val="AO Body Text"/>
    <w:basedOn w:val="Normal"/>
    <w:link w:val="AOBodyTextChar"/>
    <w:qFormat/>
    <w:rsid w:val="00024DC0"/>
    <w:pPr>
      <w:spacing w:before="0" w:after="240" w:line="300" w:lineRule="atLeast"/>
      <w:jc w:val="left"/>
    </w:pPr>
    <w:rPr>
      <w:rFonts w:eastAsia="Times New Roman" w:cs="Times New Roman"/>
      <w:color w:val="000000" w:themeColor="text1"/>
      <w:lang w:eastAsia="en-GB"/>
    </w:rPr>
  </w:style>
  <w:style w:type="character" w:customStyle="1" w:styleId="AOBodyTextChar">
    <w:name w:val="AO Body Text Char"/>
    <w:basedOn w:val="DefaultParagraphFont"/>
    <w:link w:val="AOBodyText"/>
    <w:rsid w:val="00024DC0"/>
    <w:rPr>
      <w:rFonts w:ascii="Calibri" w:eastAsia="Times New Roman" w:hAnsi="Calibri" w:cs="Times New Roman"/>
      <w:color w:val="000000" w:themeColor="text1"/>
      <w:lang w:eastAsia="en-GB"/>
    </w:rPr>
  </w:style>
  <w:style w:type="paragraph" w:customStyle="1" w:styleId="AOBulletLevel1">
    <w:name w:val="AO Bullet Level 1"/>
    <w:basedOn w:val="AOBodyText"/>
    <w:qFormat/>
    <w:rsid w:val="00024DC0"/>
    <w:pPr>
      <w:numPr>
        <w:numId w:val="83"/>
      </w:numPr>
      <w:ind w:left="397" w:hanging="397"/>
    </w:pPr>
  </w:style>
  <w:style w:type="paragraph" w:customStyle="1" w:styleId="AOBulletLevel2">
    <w:name w:val="AO Bullet Level 2"/>
    <w:basedOn w:val="Normal"/>
    <w:qFormat/>
    <w:rsid w:val="00024DC0"/>
    <w:pPr>
      <w:numPr>
        <w:ilvl w:val="1"/>
        <w:numId w:val="83"/>
      </w:numPr>
      <w:spacing w:before="0" w:after="240" w:line="300" w:lineRule="atLeast"/>
      <w:jc w:val="left"/>
    </w:pPr>
    <w:rPr>
      <w:rFonts w:eastAsia="Times New Roman" w:cs="Times New Roman"/>
      <w:color w:val="000000" w:themeColor="text1"/>
      <w:lang w:eastAsia="en-GB"/>
    </w:rPr>
  </w:style>
  <w:style w:type="paragraph" w:customStyle="1" w:styleId="AOBulletLevel3">
    <w:name w:val="AO Bullet Level 3"/>
    <w:basedOn w:val="Normal"/>
    <w:qFormat/>
    <w:rsid w:val="00024DC0"/>
    <w:pPr>
      <w:numPr>
        <w:ilvl w:val="2"/>
        <w:numId w:val="83"/>
      </w:numPr>
      <w:spacing w:before="0" w:after="240" w:line="300" w:lineRule="atLeast"/>
      <w:jc w:val="left"/>
    </w:pPr>
    <w:rPr>
      <w:rFonts w:eastAsia="Times New Roman" w:cs="Times New Roman"/>
      <w:color w:val="000000" w:themeColor="text1"/>
      <w:lang w:eastAsia="en-GB"/>
    </w:rPr>
  </w:style>
  <w:style w:type="paragraph" w:customStyle="1" w:styleId="AOHeading-L2">
    <w:name w:val="AO Heading - L2"/>
    <w:basedOn w:val="Normal"/>
    <w:next w:val="AOBodyText"/>
    <w:qFormat/>
    <w:rsid w:val="00024DC0"/>
    <w:pPr>
      <w:keepNext/>
      <w:numPr>
        <w:ilvl w:val="1"/>
      </w:numPr>
      <w:spacing w:before="360" w:after="240" w:line="300" w:lineRule="atLeast"/>
      <w:jc w:val="left"/>
    </w:pPr>
    <w:rPr>
      <w:rFonts w:eastAsia="Times New Roman" w:cs="Times New Roman"/>
      <w:b/>
      <w:color w:val="000000" w:themeColor="text1"/>
      <w:kern w:val="28"/>
      <w:sz w:val="26"/>
      <w:szCs w:val="20"/>
      <w:lang w:eastAsia="en-US"/>
    </w:rPr>
  </w:style>
  <w:style w:type="paragraph" w:customStyle="1" w:styleId="ANZBodyText">
    <w:name w:val="ANZ Body Text"/>
    <w:basedOn w:val="Normal"/>
    <w:link w:val="ANZBodyTextChar"/>
    <w:qFormat/>
    <w:rsid w:val="00024DC0"/>
    <w:pPr>
      <w:spacing w:before="0" w:after="240" w:line="300" w:lineRule="atLeast"/>
      <w:jc w:val="left"/>
    </w:pPr>
    <w:rPr>
      <w:rFonts w:eastAsia="Times New Roman" w:cs="Times New Roman"/>
      <w:color w:val="000000" w:themeColor="text1"/>
      <w:lang w:eastAsia="en-GB"/>
    </w:rPr>
  </w:style>
  <w:style w:type="character" w:customStyle="1" w:styleId="ANZBodyTextChar">
    <w:name w:val="ANZ Body Text Char"/>
    <w:basedOn w:val="DefaultParagraphFont"/>
    <w:link w:val="ANZBodyText"/>
    <w:rsid w:val="00024DC0"/>
    <w:rPr>
      <w:rFonts w:ascii="Calibri" w:eastAsia="Times New Roman" w:hAnsi="Calibri" w:cs="Times New Roman"/>
      <w:color w:val="000000" w:themeColor="text1"/>
      <w:lang w:eastAsia="en-GB"/>
    </w:rPr>
  </w:style>
  <w:style w:type="paragraph" w:customStyle="1" w:styleId="ANZHeading-L1">
    <w:name w:val="ANZ Heading - L1"/>
    <w:basedOn w:val="Normal"/>
    <w:next w:val="Normal"/>
    <w:qFormat/>
    <w:rsid w:val="00024DC0"/>
    <w:pPr>
      <w:keepNext/>
      <w:spacing w:before="360" w:after="240" w:line="300" w:lineRule="atLeast"/>
      <w:jc w:val="left"/>
    </w:pPr>
    <w:rPr>
      <w:rFonts w:eastAsia="Times New Roman" w:cs="Times New Roman"/>
      <w:b/>
      <w:color w:val="000000" w:themeColor="text1"/>
      <w:kern w:val="28"/>
      <w:sz w:val="26"/>
      <w:szCs w:val="20"/>
      <w:lang w:eastAsia="en-US"/>
    </w:rPr>
  </w:style>
  <w:style w:type="paragraph" w:customStyle="1" w:styleId="Bullet-dash">
    <w:name w:val="Bullet - dash"/>
    <w:basedOn w:val="Normal"/>
    <w:qFormat/>
    <w:rsid w:val="00C11BE0"/>
    <w:pPr>
      <w:tabs>
        <w:tab w:val="left" w:pos="794"/>
      </w:tabs>
      <w:spacing w:before="0"/>
      <w:ind w:left="794" w:hanging="397"/>
      <w:jc w:val="left"/>
    </w:pPr>
  </w:style>
  <w:style w:type="paragraph" w:customStyle="1" w:styleId="Tabletext0">
    <w:name w:val="Table text"/>
    <w:basedOn w:val="Normal"/>
    <w:qFormat/>
    <w:rsid w:val="00C11BE0"/>
    <w:pPr>
      <w:spacing w:before="60" w:after="60" w:line="240" w:lineRule="atLeast"/>
      <w:jc w:val="left"/>
    </w:pPr>
    <w:rPr>
      <w:sz w:val="18"/>
    </w:rPr>
  </w:style>
  <w:style w:type="paragraph" w:customStyle="1" w:styleId="Tabletextbold0">
    <w:name w:val="Table text bold"/>
    <w:basedOn w:val="Tabletext0"/>
    <w:rsid w:val="00C11BE0"/>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66888">
      <w:bodyDiv w:val="1"/>
      <w:marLeft w:val="0"/>
      <w:marRight w:val="0"/>
      <w:marTop w:val="0"/>
      <w:marBottom w:val="0"/>
      <w:divBdr>
        <w:top w:val="none" w:sz="0" w:space="0" w:color="auto"/>
        <w:left w:val="none" w:sz="0" w:space="0" w:color="auto"/>
        <w:bottom w:val="none" w:sz="0" w:space="0" w:color="auto"/>
        <w:right w:val="none" w:sz="0" w:space="0" w:color="auto"/>
      </w:divBdr>
    </w:div>
    <w:div w:id="122355866">
      <w:bodyDiv w:val="1"/>
      <w:marLeft w:val="0"/>
      <w:marRight w:val="0"/>
      <w:marTop w:val="0"/>
      <w:marBottom w:val="0"/>
      <w:divBdr>
        <w:top w:val="none" w:sz="0" w:space="0" w:color="auto"/>
        <w:left w:val="none" w:sz="0" w:space="0" w:color="auto"/>
        <w:bottom w:val="none" w:sz="0" w:space="0" w:color="auto"/>
        <w:right w:val="none" w:sz="0" w:space="0" w:color="auto"/>
      </w:divBdr>
    </w:div>
    <w:div w:id="145709521">
      <w:bodyDiv w:val="1"/>
      <w:marLeft w:val="0"/>
      <w:marRight w:val="0"/>
      <w:marTop w:val="0"/>
      <w:marBottom w:val="0"/>
      <w:divBdr>
        <w:top w:val="none" w:sz="0" w:space="0" w:color="auto"/>
        <w:left w:val="none" w:sz="0" w:space="0" w:color="auto"/>
        <w:bottom w:val="none" w:sz="0" w:space="0" w:color="auto"/>
        <w:right w:val="none" w:sz="0" w:space="0" w:color="auto"/>
      </w:divBdr>
    </w:div>
    <w:div w:id="175116054">
      <w:bodyDiv w:val="1"/>
      <w:marLeft w:val="0"/>
      <w:marRight w:val="0"/>
      <w:marTop w:val="0"/>
      <w:marBottom w:val="0"/>
      <w:divBdr>
        <w:top w:val="none" w:sz="0" w:space="0" w:color="auto"/>
        <w:left w:val="none" w:sz="0" w:space="0" w:color="auto"/>
        <w:bottom w:val="none" w:sz="0" w:space="0" w:color="auto"/>
        <w:right w:val="none" w:sz="0" w:space="0" w:color="auto"/>
      </w:divBdr>
      <w:divsChild>
        <w:div w:id="1397432706">
          <w:marLeft w:val="994"/>
          <w:marRight w:val="0"/>
          <w:marTop w:val="0"/>
          <w:marBottom w:val="0"/>
          <w:divBdr>
            <w:top w:val="none" w:sz="0" w:space="0" w:color="auto"/>
            <w:left w:val="none" w:sz="0" w:space="0" w:color="auto"/>
            <w:bottom w:val="none" w:sz="0" w:space="0" w:color="auto"/>
            <w:right w:val="none" w:sz="0" w:space="0" w:color="auto"/>
          </w:divBdr>
        </w:div>
      </w:divsChild>
    </w:div>
    <w:div w:id="182328547">
      <w:bodyDiv w:val="1"/>
      <w:marLeft w:val="0"/>
      <w:marRight w:val="0"/>
      <w:marTop w:val="0"/>
      <w:marBottom w:val="0"/>
      <w:divBdr>
        <w:top w:val="none" w:sz="0" w:space="0" w:color="auto"/>
        <w:left w:val="none" w:sz="0" w:space="0" w:color="auto"/>
        <w:bottom w:val="none" w:sz="0" w:space="0" w:color="auto"/>
        <w:right w:val="none" w:sz="0" w:space="0" w:color="auto"/>
      </w:divBdr>
    </w:div>
    <w:div w:id="220798895">
      <w:bodyDiv w:val="1"/>
      <w:marLeft w:val="0"/>
      <w:marRight w:val="0"/>
      <w:marTop w:val="0"/>
      <w:marBottom w:val="0"/>
      <w:divBdr>
        <w:top w:val="none" w:sz="0" w:space="0" w:color="auto"/>
        <w:left w:val="none" w:sz="0" w:space="0" w:color="auto"/>
        <w:bottom w:val="none" w:sz="0" w:space="0" w:color="auto"/>
        <w:right w:val="none" w:sz="0" w:space="0" w:color="auto"/>
      </w:divBdr>
    </w:div>
    <w:div w:id="324940519">
      <w:bodyDiv w:val="1"/>
      <w:marLeft w:val="0"/>
      <w:marRight w:val="0"/>
      <w:marTop w:val="0"/>
      <w:marBottom w:val="0"/>
      <w:divBdr>
        <w:top w:val="none" w:sz="0" w:space="0" w:color="auto"/>
        <w:left w:val="none" w:sz="0" w:space="0" w:color="auto"/>
        <w:bottom w:val="none" w:sz="0" w:space="0" w:color="auto"/>
        <w:right w:val="none" w:sz="0" w:space="0" w:color="auto"/>
      </w:divBdr>
    </w:div>
    <w:div w:id="391738172">
      <w:bodyDiv w:val="1"/>
      <w:marLeft w:val="0"/>
      <w:marRight w:val="0"/>
      <w:marTop w:val="0"/>
      <w:marBottom w:val="0"/>
      <w:divBdr>
        <w:top w:val="none" w:sz="0" w:space="0" w:color="auto"/>
        <w:left w:val="none" w:sz="0" w:space="0" w:color="auto"/>
        <w:bottom w:val="none" w:sz="0" w:space="0" w:color="auto"/>
        <w:right w:val="none" w:sz="0" w:space="0" w:color="auto"/>
      </w:divBdr>
    </w:div>
    <w:div w:id="407534916">
      <w:bodyDiv w:val="1"/>
      <w:marLeft w:val="0"/>
      <w:marRight w:val="0"/>
      <w:marTop w:val="0"/>
      <w:marBottom w:val="0"/>
      <w:divBdr>
        <w:top w:val="none" w:sz="0" w:space="0" w:color="auto"/>
        <w:left w:val="none" w:sz="0" w:space="0" w:color="auto"/>
        <w:bottom w:val="none" w:sz="0" w:space="0" w:color="auto"/>
        <w:right w:val="none" w:sz="0" w:space="0" w:color="auto"/>
      </w:divBdr>
    </w:div>
    <w:div w:id="437407027">
      <w:bodyDiv w:val="1"/>
      <w:marLeft w:val="0"/>
      <w:marRight w:val="0"/>
      <w:marTop w:val="0"/>
      <w:marBottom w:val="0"/>
      <w:divBdr>
        <w:top w:val="none" w:sz="0" w:space="0" w:color="auto"/>
        <w:left w:val="none" w:sz="0" w:space="0" w:color="auto"/>
        <w:bottom w:val="none" w:sz="0" w:space="0" w:color="auto"/>
        <w:right w:val="none" w:sz="0" w:space="0" w:color="auto"/>
      </w:divBdr>
    </w:div>
    <w:div w:id="547650921">
      <w:bodyDiv w:val="1"/>
      <w:marLeft w:val="0"/>
      <w:marRight w:val="0"/>
      <w:marTop w:val="0"/>
      <w:marBottom w:val="0"/>
      <w:divBdr>
        <w:top w:val="none" w:sz="0" w:space="0" w:color="auto"/>
        <w:left w:val="none" w:sz="0" w:space="0" w:color="auto"/>
        <w:bottom w:val="none" w:sz="0" w:space="0" w:color="auto"/>
        <w:right w:val="none" w:sz="0" w:space="0" w:color="auto"/>
      </w:divBdr>
    </w:div>
    <w:div w:id="639193799">
      <w:bodyDiv w:val="1"/>
      <w:marLeft w:val="0"/>
      <w:marRight w:val="0"/>
      <w:marTop w:val="0"/>
      <w:marBottom w:val="0"/>
      <w:divBdr>
        <w:top w:val="none" w:sz="0" w:space="0" w:color="auto"/>
        <w:left w:val="none" w:sz="0" w:space="0" w:color="auto"/>
        <w:bottom w:val="none" w:sz="0" w:space="0" w:color="auto"/>
        <w:right w:val="none" w:sz="0" w:space="0" w:color="auto"/>
      </w:divBdr>
    </w:div>
    <w:div w:id="809706990">
      <w:bodyDiv w:val="1"/>
      <w:marLeft w:val="0"/>
      <w:marRight w:val="0"/>
      <w:marTop w:val="0"/>
      <w:marBottom w:val="0"/>
      <w:divBdr>
        <w:top w:val="none" w:sz="0" w:space="0" w:color="auto"/>
        <w:left w:val="none" w:sz="0" w:space="0" w:color="auto"/>
        <w:bottom w:val="none" w:sz="0" w:space="0" w:color="auto"/>
        <w:right w:val="none" w:sz="0" w:space="0" w:color="auto"/>
      </w:divBdr>
    </w:div>
    <w:div w:id="819736709">
      <w:bodyDiv w:val="1"/>
      <w:marLeft w:val="0"/>
      <w:marRight w:val="0"/>
      <w:marTop w:val="0"/>
      <w:marBottom w:val="0"/>
      <w:divBdr>
        <w:top w:val="none" w:sz="0" w:space="0" w:color="auto"/>
        <w:left w:val="none" w:sz="0" w:space="0" w:color="auto"/>
        <w:bottom w:val="none" w:sz="0" w:space="0" w:color="auto"/>
        <w:right w:val="none" w:sz="0" w:space="0" w:color="auto"/>
      </w:divBdr>
      <w:divsChild>
        <w:div w:id="1704552917">
          <w:marLeft w:val="0"/>
          <w:marRight w:val="0"/>
          <w:marTop w:val="0"/>
          <w:marBottom w:val="0"/>
          <w:divBdr>
            <w:top w:val="none" w:sz="0" w:space="0" w:color="auto"/>
            <w:left w:val="none" w:sz="0" w:space="0" w:color="auto"/>
            <w:bottom w:val="none" w:sz="0" w:space="0" w:color="auto"/>
            <w:right w:val="none" w:sz="0" w:space="0" w:color="auto"/>
          </w:divBdr>
        </w:div>
      </w:divsChild>
    </w:div>
    <w:div w:id="843738132">
      <w:bodyDiv w:val="1"/>
      <w:marLeft w:val="0"/>
      <w:marRight w:val="0"/>
      <w:marTop w:val="0"/>
      <w:marBottom w:val="0"/>
      <w:divBdr>
        <w:top w:val="none" w:sz="0" w:space="0" w:color="auto"/>
        <w:left w:val="none" w:sz="0" w:space="0" w:color="auto"/>
        <w:bottom w:val="none" w:sz="0" w:space="0" w:color="auto"/>
        <w:right w:val="none" w:sz="0" w:space="0" w:color="auto"/>
      </w:divBdr>
    </w:div>
    <w:div w:id="847905440">
      <w:bodyDiv w:val="1"/>
      <w:marLeft w:val="0"/>
      <w:marRight w:val="0"/>
      <w:marTop w:val="0"/>
      <w:marBottom w:val="0"/>
      <w:divBdr>
        <w:top w:val="none" w:sz="0" w:space="0" w:color="auto"/>
        <w:left w:val="none" w:sz="0" w:space="0" w:color="auto"/>
        <w:bottom w:val="none" w:sz="0" w:space="0" w:color="auto"/>
        <w:right w:val="none" w:sz="0" w:space="0" w:color="auto"/>
      </w:divBdr>
    </w:div>
    <w:div w:id="881213933">
      <w:bodyDiv w:val="1"/>
      <w:marLeft w:val="0"/>
      <w:marRight w:val="0"/>
      <w:marTop w:val="0"/>
      <w:marBottom w:val="0"/>
      <w:divBdr>
        <w:top w:val="none" w:sz="0" w:space="0" w:color="auto"/>
        <w:left w:val="none" w:sz="0" w:space="0" w:color="auto"/>
        <w:bottom w:val="none" w:sz="0" w:space="0" w:color="auto"/>
        <w:right w:val="none" w:sz="0" w:space="0" w:color="auto"/>
      </w:divBdr>
    </w:div>
    <w:div w:id="954479668">
      <w:bodyDiv w:val="1"/>
      <w:marLeft w:val="0"/>
      <w:marRight w:val="0"/>
      <w:marTop w:val="0"/>
      <w:marBottom w:val="0"/>
      <w:divBdr>
        <w:top w:val="none" w:sz="0" w:space="0" w:color="auto"/>
        <w:left w:val="none" w:sz="0" w:space="0" w:color="auto"/>
        <w:bottom w:val="none" w:sz="0" w:space="0" w:color="auto"/>
        <w:right w:val="none" w:sz="0" w:space="0" w:color="auto"/>
      </w:divBdr>
    </w:div>
    <w:div w:id="998966760">
      <w:bodyDiv w:val="1"/>
      <w:marLeft w:val="0"/>
      <w:marRight w:val="0"/>
      <w:marTop w:val="0"/>
      <w:marBottom w:val="0"/>
      <w:divBdr>
        <w:top w:val="none" w:sz="0" w:space="0" w:color="auto"/>
        <w:left w:val="none" w:sz="0" w:space="0" w:color="auto"/>
        <w:bottom w:val="none" w:sz="0" w:space="0" w:color="auto"/>
        <w:right w:val="none" w:sz="0" w:space="0" w:color="auto"/>
      </w:divBdr>
    </w:div>
    <w:div w:id="1020930472">
      <w:bodyDiv w:val="1"/>
      <w:marLeft w:val="0"/>
      <w:marRight w:val="0"/>
      <w:marTop w:val="0"/>
      <w:marBottom w:val="0"/>
      <w:divBdr>
        <w:top w:val="none" w:sz="0" w:space="0" w:color="auto"/>
        <w:left w:val="none" w:sz="0" w:space="0" w:color="auto"/>
        <w:bottom w:val="none" w:sz="0" w:space="0" w:color="auto"/>
        <w:right w:val="none" w:sz="0" w:space="0" w:color="auto"/>
      </w:divBdr>
    </w:div>
    <w:div w:id="1025327570">
      <w:bodyDiv w:val="1"/>
      <w:marLeft w:val="0"/>
      <w:marRight w:val="0"/>
      <w:marTop w:val="0"/>
      <w:marBottom w:val="0"/>
      <w:divBdr>
        <w:top w:val="none" w:sz="0" w:space="0" w:color="auto"/>
        <w:left w:val="none" w:sz="0" w:space="0" w:color="auto"/>
        <w:bottom w:val="none" w:sz="0" w:space="0" w:color="auto"/>
        <w:right w:val="none" w:sz="0" w:space="0" w:color="auto"/>
      </w:divBdr>
    </w:div>
    <w:div w:id="1083530599">
      <w:bodyDiv w:val="1"/>
      <w:marLeft w:val="0"/>
      <w:marRight w:val="0"/>
      <w:marTop w:val="0"/>
      <w:marBottom w:val="0"/>
      <w:divBdr>
        <w:top w:val="none" w:sz="0" w:space="0" w:color="auto"/>
        <w:left w:val="none" w:sz="0" w:space="0" w:color="auto"/>
        <w:bottom w:val="none" w:sz="0" w:space="0" w:color="auto"/>
        <w:right w:val="none" w:sz="0" w:space="0" w:color="auto"/>
      </w:divBdr>
    </w:div>
    <w:div w:id="1100300017">
      <w:bodyDiv w:val="1"/>
      <w:marLeft w:val="0"/>
      <w:marRight w:val="0"/>
      <w:marTop w:val="0"/>
      <w:marBottom w:val="0"/>
      <w:divBdr>
        <w:top w:val="none" w:sz="0" w:space="0" w:color="auto"/>
        <w:left w:val="none" w:sz="0" w:space="0" w:color="auto"/>
        <w:bottom w:val="none" w:sz="0" w:space="0" w:color="auto"/>
        <w:right w:val="none" w:sz="0" w:space="0" w:color="auto"/>
      </w:divBdr>
    </w:div>
    <w:div w:id="1114977159">
      <w:bodyDiv w:val="1"/>
      <w:marLeft w:val="0"/>
      <w:marRight w:val="0"/>
      <w:marTop w:val="0"/>
      <w:marBottom w:val="0"/>
      <w:divBdr>
        <w:top w:val="none" w:sz="0" w:space="0" w:color="auto"/>
        <w:left w:val="none" w:sz="0" w:space="0" w:color="auto"/>
        <w:bottom w:val="none" w:sz="0" w:space="0" w:color="auto"/>
        <w:right w:val="none" w:sz="0" w:space="0" w:color="auto"/>
      </w:divBdr>
    </w:div>
    <w:div w:id="1286883600">
      <w:bodyDiv w:val="1"/>
      <w:marLeft w:val="0"/>
      <w:marRight w:val="0"/>
      <w:marTop w:val="0"/>
      <w:marBottom w:val="0"/>
      <w:divBdr>
        <w:top w:val="none" w:sz="0" w:space="0" w:color="auto"/>
        <w:left w:val="none" w:sz="0" w:space="0" w:color="auto"/>
        <w:bottom w:val="none" w:sz="0" w:space="0" w:color="auto"/>
        <w:right w:val="none" w:sz="0" w:space="0" w:color="auto"/>
      </w:divBdr>
    </w:div>
    <w:div w:id="1298072580">
      <w:bodyDiv w:val="1"/>
      <w:marLeft w:val="0"/>
      <w:marRight w:val="0"/>
      <w:marTop w:val="0"/>
      <w:marBottom w:val="0"/>
      <w:divBdr>
        <w:top w:val="none" w:sz="0" w:space="0" w:color="auto"/>
        <w:left w:val="none" w:sz="0" w:space="0" w:color="auto"/>
        <w:bottom w:val="none" w:sz="0" w:space="0" w:color="auto"/>
        <w:right w:val="none" w:sz="0" w:space="0" w:color="auto"/>
      </w:divBdr>
    </w:div>
    <w:div w:id="1301691331">
      <w:bodyDiv w:val="1"/>
      <w:marLeft w:val="0"/>
      <w:marRight w:val="0"/>
      <w:marTop w:val="0"/>
      <w:marBottom w:val="0"/>
      <w:divBdr>
        <w:top w:val="none" w:sz="0" w:space="0" w:color="auto"/>
        <w:left w:val="none" w:sz="0" w:space="0" w:color="auto"/>
        <w:bottom w:val="none" w:sz="0" w:space="0" w:color="auto"/>
        <w:right w:val="none" w:sz="0" w:space="0" w:color="auto"/>
      </w:divBdr>
    </w:div>
    <w:div w:id="1368481157">
      <w:bodyDiv w:val="1"/>
      <w:marLeft w:val="0"/>
      <w:marRight w:val="0"/>
      <w:marTop w:val="0"/>
      <w:marBottom w:val="0"/>
      <w:divBdr>
        <w:top w:val="none" w:sz="0" w:space="0" w:color="auto"/>
        <w:left w:val="none" w:sz="0" w:space="0" w:color="auto"/>
        <w:bottom w:val="none" w:sz="0" w:space="0" w:color="auto"/>
        <w:right w:val="none" w:sz="0" w:space="0" w:color="auto"/>
      </w:divBdr>
    </w:div>
    <w:div w:id="1405562452">
      <w:bodyDiv w:val="1"/>
      <w:marLeft w:val="0"/>
      <w:marRight w:val="0"/>
      <w:marTop w:val="0"/>
      <w:marBottom w:val="0"/>
      <w:divBdr>
        <w:top w:val="none" w:sz="0" w:space="0" w:color="auto"/>
        <w:left w:val="none" w:sz="0" w:space="0" w:color="auto"/>
        <w:bottom w:val="none" w:sz="0" w:space="0" w:color="auto"/>
        <w:right w:val="none" w:sz="0" w:space="0" w:color="auto"/>
      </w:divBdr>
    </w:div>
    <w:div w:id="1418134086">
      <w:bodyDiv w:val="1"/>
      <w:marLeft w:val="0"/>
      <w:marRight w:val="0"/>
      <w:marTop w:val="0"/>
      <w:marBottom w:val="0"/>
      <w:divBdr>
        <w:top w:val="none" w:sz="0" w:space="0" w:color="auto"/>
        <w:left w:val="none" w:sz="0" w:space="0" w:color="auto"/>
        <w:bottom w:val="none" w:sz="0" w:space="0" w:color="auto"/>
        <w:right w:val="none" w:sz="0" w:space="0" w:color="auto"/>
      </w:divBdr>
    </w:div>
    <w:div w:id="1502546598">
      <w:bodyDiv w:val="1"/>
      <w:marLeft w:val="0"/>
      <w:marRight w:val="0"/>
      <w:marTop w:val="0"/>
      <w:marBottom w:val="0"/>
      <w:divBdr>
        <w:top w:val="none" w:sz="0" w:space="0" w:color="auto"/>
        <w:left w:val="none" w:sz="0" w:space="0" w:color="auto"/>
        <w:bottom w:val="none" w:sz="0" w:space="0" w:color="auto"/>
        <w:right w:val="none" w:sz="0" w:space="0" w:color="auto"/>
      </w:divBdr>
    </w:div>
    <w:div w:id="1523132223">
      <w:bodyDiv w:val="1"/>
      <w:marLeft w:val="0"/>
      <w:marRight w:val="0"/>
      <w:marTop w:val="0"/>
      <w:marBottom w:val="0"/>
      <w:divBdr>
        <w:top w:val="none" w:sz="0" w:space="0" w:color="auto"/>
        <w:left w:val="none" w:sz="0" w:space="0" w:color="auto"/>
        <w:bottom w:val="none" w:sz="0" w:space="0" w:color="auto"/>
        <w:right w:val="none" w:sz="0" w:space="0" w:color="auto"/>
      </w:divBdr>
    </w:div>
    <w:div w:id="1542086908">
      <w:bodyDiv w:val="1"/>
      <w:marLeft w:val="0"/>
      <w:marRight w:val="0"/>
      <w:marTop w:val="0"/>
      <w:marBottom w:val="0"/>
      <w:divBdr>
        <w:top w:val="none" w:sz="0" w:space="0" w:color="auto"/>
        <w:left w:val="none" w:sz="0" w:space="0" w:color="auto"/>
        <w:bottom w:val="none" w:sz="0" w:space="0" w:color="auto"/>
        <w:right w:val="none" w:sz="0" w:space="0" w:color="auto"/>
      </w:divBdr>
    </w:div>
    <w:div w:id="1551764148">
      <w:bodyDiv w:val="1"/>
      <w:marLeft w:val="0"/>
      <w:marRight w:val="0"/>
      <w:marTop w:val="0"/>
      <w:marBottom w:val="0"/>
      <w:divBdr>
        <w:top w:val="none" w:sz="0" w:space="0" w:color="auto"/>
        <w:left w:val="none" w:sz="0" w:space="0" w:color="auto"/>
        <w:bottom w:val="none" w:sz="0" w:space="0" w:color="auto"/>
        <w:right w:val="none" w:sz="0" w:space="0" w:color="auto"/>
      </w:divBdr>
      <w:divsChild>
        <w:div w:id="300574896">
          <w:marLeft w:val="0"/>
          <w:marRight w:val="0"/>
          <w:marTop w:val="0"/>
          <w:marBottom w:val="0"/>
          <w:divBdr>
            <w:top w:val="none" w:sz="0" w:space="0" w:color="auto"/>
            <w:left w:val="none" w:sz="0" w:space="0" w:color="auto"/>
            <w:bottom w:val="none" w:sz="0" w:space="0" w:color="auto"/>
            <w:right w:val="none" w:sz="0" w:space="0" w:color="auto"/>
          </w:divBdr>
          <w:divsChild>
            <w:div w:id="131749640">
              <w:marLeft w:val="0"/>
              <w:marRight w:val="0"/>
              <w:marTop w:val="0"/>
              <w:marBottom w:val="0"/>
              <w:divBdr>
                <w:top w:val="none" w:sz="0" w:space="0" w:color="auto"/>
                <w:left w:val="none" w:sz="0" w:space="0" w:color="auto"/>
                <w:bottom w:val="none" w:sz="0" w:space="0" w:color="auto"/>
                <w:right w:val="none" w:sz="0" w:space="0" w:color="auto"/>
              </w:divBdr>
            </w:div>
            <w:div w:id="217985018">
              <w:marLeft w:val="0"/>
              <w:marRight w:val="0"/>
              <w:marTop w:val="0"/>
              <w:marBottom w:val="0"/>
              <w:divBdr>
                <w:top w:val="none" w:sz="0" w:space="0" w:color="auto"/>
                <w:left w:val="none" w:sz="0" w:space="0" w:color="auto"/>
                <w:bottom w:val="none" w:sz="0" w:space="0" w:color="auto"/>
                <w:right w:val="none" w:sz="0" w:space="0" w:color="auto"/>
              </w:divBdr>
            </w:div>
            <w:div w:id="498228202">
              <w:marLeft w:val="0"/>
              <w:marRight w:val="0"/>
              <w:marTop w:val="0"/>
              <w:marBottom w:val="0"/>
              <w:divBdr>
                <w:top w:val="none" w:sz="0" w:space="0" w:color="auto"/>
                <w:left w:val="none" w:sz="0" w:space="0" w:color="auto"/>
                <w:bottom w:val="none" w:sz="0" w:space="0" w:color="auto"/>
                <w:right w:val="none" w:sz="0" w:space="0" w:color="auto"/>
              </w:divBdr>
            </w:div>
            <w:div w:id="498539848">
              <w:marLeft w:val="0"/>
              <w:marRight w:val="0"/>
              <w:marTop w:val="0"/>
              <w:marBottom w:val="0"/>
              <w:divBdr>
                <w:top w:val="none" w:sz="0" w:space="0" w:color="auto"/>
                <w:left w:val="none" w:sz="0" w:space="0" w:color="auto"/>
                <w:bottom w:val="none" w:sz="0" w:space="0" w:color="auto"/>
                <w:right w:val="none" w:sz="0" w:space="0" w:color="auto"/>
              </w:divBdr>
            </w:div>
            <w:div w:id="635644617">
              <w:marLeft w:val="0"/>
              <w:marRight w:val="0"/>
              <w:marTop w:val="0"/>
              <w:marBottom w:val="0"/>
              <w:divBdr>
                <w:top w:val="none" w:sz="0" w:space="0" w:color="auto"/>
                <w:left w:val="none" w:sz="0" w:space="0" w:color="auto"/>
                <w:bottom w:val="none" w:sz="0" w:space="0" w:color="auto"/>
                <w:right w:val="none" w:sz="0" w:space="0" w:color="auto"/>
              </w:divBdr>
            </w:div>
            <w:div w:id="835419372">
              <w:marLeft w:val="0"/>
              <w:marRight w:val="0"/>
              <w:marTop w:val="0"/>
              <w:marBottom w:val="0"/>
              <w:divBdr>
                <w:top w:val="none" w:sz="0" w:space="0" w:color="auto"/>
                <w:left w:val="none" w:sz="0" w:space="0" w:color="auto"/>
                <w:bottom w:val="none" w:sz="0" w:space="0" w:color="auto"/>
                <w:right w:val="none" w:sz="0" w:space="0" w:color="auto"/>
              </w:divBdr>
            </w:div>
            <w:div w:id="838276934">
              <w:marLeft w:val="0"/>
              <w:marRight w:val="0"/>
              <w:marTop w:val="0"/>
              <w:marBottom w:val="0"/>
              <w:divBdr>
                <w:top w:val="none" w:sz="0" w:space="0" w:color="auto"/>
                <w:left w:val="none" w:sz="0" w:space="0" w:color="auto"/>
                <w:bottom w:val="none" w:sz="0" w:space="0" w:color="auto"/>
                <w:right w:val="none" w:sz="0" w:space="0" w:color="auto"/>
              </w:divBdr>
            </w:div>
            <w:div w:id="963342882">
              <w:marLeft w:val="0"/>
              <w:marRight w:val="0"/>
              <w:marTop w:val="0"/>
              <w:marBottom w:val="0"/>
              <w:divBdr>
                <w:top w:val="none" w:sz="0" w:space="0" w:color="auto"/>
                <w:left w:val="none" w:sz="0" w:space="0" w:color="auto"/>
                <w:bottom w:val="none" w:sz="0" w:space="0" w:color="auto"/>
                <w:right w:val="none" w:sz="0" w:space="0" w:color="auto"/>
              </w:divBdr>
            </w:div>
            <w:div w:id="1283879463">
              <w:marLeft w:val="0"/>
              <w:marRight w:val="0"/>
              <w:marTop w:val="0"/>
              <w:marBottom w:val="0"/>
              <w:divBdr>
                <w:top w:val="none" w:sz="0" w:space="0" w:color="auto"/>
                <w:left w:val="none" w:sz="0" w:space="0" w:color="auto"/>
                <w:bottom w:val="none" w:sz="0" w:space="0" w:color="auto"/>
                <w:right w:val="none" w:sz="0" w:space="0" w:color="auto"/>
              </w:divBdr>
            </w:div>
            <w:div w:id="1416050308">
              <w:marLeft w:val="0"/>
              <w:marRight w:val="0"/>
              <w:marTop w:val="0"/>
              <w:marBottom w:val="0"/>
              <w:divBdr>
                <w:top w:val="none" w:sz="0" w:space="0" w:color="auto"/>
                <w:left w:val="none" w:sz="0" w:space="0" w:color="auto"/>
                <w:bottom w:val="none" w:sz="0" w:space="0" w:color="auto"/>
                <w:right w:val="none" w:sz="0" w:space="0" w:color="auto"/>
              </w:divBdr>
            </w:div>
            <w:div w:id="1661302070">
              <w:marLeft w:val="0"/>
              <w:marRight w:val="0"/>
              <w:marTop w:val="0"/>
              <w:marBottom w:val="0"/>
              <w:divBdr>
                <w:top w:val="none" w:sz="0" w:space="0" w:color="auto"/>
                <w:left w:val="none" w:sz="0" w:space="0" w:color="auto"/>
                <w:bottom w:val="none" w:sz="0" w:space="0" w:color="auto"/>
                <w:right w:val="none" w:sz="0" w:space="0" w:color="auto"/>
              </w:divBdr>
            </w:div>
            <w:div w:id="1797992772">
              <w:marLeft w:val="0"/>
              <w:marRight w:val="0"/>
              <w:marTop w:val="0"/>
              <w:marBottom w:val="0"/>
              <w:divBdr>
                <w:top w:val="none" w:sz="0" w:space="0" w:color="auto"/>
                <w:left w:val="none" w:sz="0" w:space="0" w:color="auto"/>
                <w:bottom w:val="none" w:sz="0" w:space="0" w:color="auto"/>
                <w:right w:val="none" w:sz="0" w:space="0" w:color="auto"/>
              </w:divBdr>
            </w:div>
            <w:div w:id="1860073866">
              <w:marLeft w:val="0"/>
              <w:marRight w:val="0"/>
              <w:marTop w:val="0"/>
              <w:marBottom w:val="0"/>
              <w:divBdr>
                <w:top w:val="none" w:sz="0" w:space="0" w:color="auto"/>
                <w:left w:val="none" w:sz="0" w:space="0" w:color="auto"/>
                <w:bottom w:val="none" w:sz="0" w:space="0" w:color="auto"/>
                <w:right w:val="none" w:sz="0" w:space="0" w:color="auto"/>
              </w:divBdr>
            </w:div>
            <w:div w:id="1979260206">
              <w:marLeft w:val="0"/>
              <w:marRight w:val="0"/>
              <w:marTop w:val="0"/>
              <w:marBottom w:val="0"/>
              <w:divBdr>
                <w:top w:val="none" w:sz="0" w:space="0" w:color="auto"/>
                <w:left w:val="none" w:sz="0" w:space="0" w:color="auto"/>
                <w:bottom w:val="none" w:sz="0" w:space="0" w:color="auto"/>
                <w:right w:val="none" w:sz="0" w:space="0" w:color="auto"/>
              </w:divBdr>
            </w:div>
            <w:div w:id="2122022601">
              <w:marLeft w:val="0"/>
              <w:marRight w:val="0"/>
              <w:marTop w:val="0"/>
              <w:marBottom w:val="0"/>
              <w:divBdr>
                <w:top w:val="none" w:sz="0" w:space="0" w:color="auto"/>
                <w:left w:val="none" w:sz="0" w:space="0" w:color="auto"/>
                <w:bottom w:val="none" w:sz="0" w:space="0" w:color="auto"/>
                <w:right w:val="none" w:sz="0" w:space="0" w:color="auto"/>
              </w:divBdr>
            </w:div>
          </w:divsChild>
        </w:div>
        <w:div w:id="621695661">
          <w:marLeft w:val="0"/>
          <w:marRight w:val="0"/>
          <w:marTop w:val="0"/>
          <w:marBottom w:val="0"/>
          <w:divBdr>
            <w:top w:val="none" w:sz="0" w:space="0" w:color="auto"/>
            <w:left w:val="none" w:sz="0" w:space="0" w:color="auto"/>
            <w:bottom w:val="none" w:sz="0" w:space="0" w:color="auto"/>
            <w:right w:val="none" w:sz="0" w:space="0" w:color="auto"/>
          </w:divBdr>
          <w:divsChild>
            <w:div w:id="88670531">
              <w:marLeft w:val="0"/>
              <w:marRight w:val="0"/>
              <w:marTop w:val="0"/>
              <w:marBottom w:val="0"/>
              <w:divBdr>
                <w:top w:val="none" w:sz="0" w:space="0" w:color="auto"/>
                <w:left w:val="none" w:sz="0" w:space="0" w:color="auto"/>
                <w:bottom w:val="none" w:sz="0" w:space="0" w:color="auto"/>
                <w:right w:val="none" w:sz="0" w:space="0" w:color="auto"/>
              </w:divBdr>
            </w:div>
            <w:div w:id="101152417">
              <w:marLeft w:val="0"/>
              <w:marRight w:val="0"/>
              <w:marTop w:val="0"/>
              <w:marBottom w:val="0"/>
              <w:divBdr>
                <w:top w:val="none" w:sz="0" w:space="0" w:color="auto"/>
                <w:left w:val="none" w:sz="0" w:space="0" w:color="auto"/>
                <w:bottom w:val="none" w:sz="0" w:space="0" w:color="auto"/>
                <w:right w:val="none" w:sz="0" w:space="0" w:color="auto"/>
              </w:divBdr>
            </w:div>
            <w:div w:id="172837842">
              <w:marLeft w:val="0"/>
              <w:marRight w:val="0"/>
              <w:marTop w:val="0"/>
              <w:marBottom w:val="0"/>
              <w:divBdr>
                <w:top w:val="none" w:sz="0" w:space="0" w:color="auto"/>
                <w:left w:val="none" w:sz="0" w:space="0" w:color="auto"/>
                <w:bottom w:val="none" w:sz="0" w:space="0" w:color="auto"/>
                <w:right w:val="none" w:sz="0" w:space="0" w:color="auto"/>
              </w:divBdr>
            </w:div>
            <w:div w:id="191185909">
              <w:marLeft w:val="0"/>
              <w:marRight w:val="0"/>
              <w:marTop w:val="0"/>
              <w:marBottom w:val="0"/>
              <w:divBdr>
                <w:top w:val="none" w:sz="0" w:space="0" w:color="auto"/>
                <w:left w:val="none" w:sz="0" w:space="0" w:color="auto"/>
                <w:bottom w:val="none" w:sz="0" w:space="0" w:color="auto"/>
                <w:right w:val="none" w:sz="0" w:space="0" w:color="auto"/>
              </w:divBdr>
            </w:div>
            <w:div w:id="204685457">
              <w:marLeft w:val="0"/>
              <w:marRight w:val="0"/>
              <w:marTop w:val="0"/>
              <w:marBottom w:val="0"/>
              <w:divBdr>
                <w:top w:val="none" w:sz="0" w:space="0" w:color="auto"/>
                <w:left w:val="none" w:sz="0" w:space="0" w:color="auto"/>
                <w:bottom w:val="none" w:sz="0" w:space="0" w:color="auto"/>
                <w:right w:val="none" w:sz="0" w:space="0" w:color="auto"/>
              </w:divBdr>
            </w:div>
            <w:div w:id="598484797">
              <w:marLeft w:val="0"/>
              <w:marRight w:val="0"/>
              <w:marTop w:val="0"/>
              <w:marBottom w:val="0"/>
              <w:divBdr>
                <w:top w:val="none" w:sz="0" w:space="0" w:color="auto"/>
                <w:left w:val="none" w:sz="0" w:space="0" w:color="auto"/>
                <w:bottom w:val="none" w:sz="0" w:space="0" w:color="auto"/>
                <w:right w:val="none" w:sz="0" w:space="0" w:color="auto"/>
              </w:divBdr>
            </w:div>
            <w:div w:id="601038740">
              <w:marLeft w:val="0"/>
              <w:marRight w:val="0"/>
              <w:marTop w:val="0"/>
              <w:marBottom w:val="0"/>
              <w:divBdr>
                <w:top w:val="none" w:sz="0" w:space="0" w:color="auto"/>
                <w:left w:val="none" w:sz="0" w:space="0" w:color="auto"/>
                <w:bottom w:val="none" w:sz="0" w:space="0" w:color="auto"/>
                <w:right w:val="none" w:sz="0" w:space="0" w:color="auto"/>
              </w:divBdr>
            </w:div>
            <w:div w:id="673532446">
              <w:marLeft w:val="0"/>
              <w:marRight w:val="0"/>
              <w:marTop w:val="0"/>
              <w:marBottom w:val="0"/>
              <w:divBdr>
                <w:top w:val="none" w:sz="0" w:space="0" w:color="auto"/>
                <w:left w:val="none" w:sz="0" w:space="0" w:color="auto"/>
                <w:bottom w:val="none" w:sz="0" w:space="0" w:color="auto"/>
                <w:right w:val="none" w:sz="0" w:space="0" w:color="auto"/>
              </w:divBdr>
            </w:div>
            <w:div w:id="751662160">
              <w:marLeft w:val="0"/>
              <w:marRight w:val="0"/>
              <w:marTop w:val="0"/>
              <w:marBottom w:val="0"/>
              <w:divBdr>
                <w:top w:val="none" w:sz="0" w:space="0" w:color="auto"/>
                <w:left w:val="none" w:sz="0" w:space="0" w:color="auto"/>
                <w:bottom w:val="none" w:sz="0" w:space="0" w:color="auto"/>
                <w:right w:val="none" w:sz="0" w:space="0" w:color="auto"/>
              </w:divBdr>
            </w:div>
            <w:div w:id="768548357">
              <w:marLeft w:val="0"/>
              <w:marRight w:val="0"/>
              <w:marTop w:val="0"/>
              <w:marBottom w:val="0"/>
              <w:divBdr>
                <w:top w:val="none" w:sz="0" w:space="0" w:color="auto"/>
                <w:left w:val="none" w:sz="0" w:space="0" w:color="auto"/>
                <w:bottom w:val="none" w:sz="0" w:space="0" w:color="auto"/>
                <w:right w:val="none" w:sz="0" w:space="0" w:color="auto"/>
              </w:divBdr>
            </w:div>
            <w:div w:id="956252136">
              <w:marLeft w:val="0"/>
              <w:marRight w:val="0"/>
              <w:marTop w:val="0"/>
              <w:marBottom w:val="0"/>
              <w:divBdr>
                <w:top w:val="none" w:sz="0" w:space="0" w:color="auto"/>
                <w:left w:val="none" w:sz="0" w:space="0" w:color="auto"/>
                <w:bottom w:val="none" w:sz="0" w:space="0" w:color="auto"/>
                <w:right w:val="none" w:sz="0" w:space="0" w:color="auto"/>
              </w:divBdr>
            </w:div>
            <w:div w:id="1173104279">
              <w:marLeft w:val="0"/>
              <w:marRight w:val="0"/>
              <w:marTop w:val="0"/>
              <w:marBottom w:val="0"/>
              <w:divBdr>
                <w:top w:val="none" w:sz="0" w:space="0" w:color="auto"/>
                <w:left w:val="none" w:sz="0" w:space="0" w:color="auto"/>
                <w:bottom w:val="none" w:sz="0" w:space="0" w:color="auto"/>
                <w:right w:val="none" w:sz="0" w:space="0" w:color="auto"/>
              </w:divBdr>
            </w:div>
            <w:div w:id="1421682688">
              <w:marLeft w:val="0"/>
              <w:marRight w:val="0"/>
              <w:marTop w:val="0"/>
              <w:marBottom w:val="0"/>
              <w:divBdr>
                <w:top w:val="none" w:sz="0" w:space="0" w:color="auto"/>
                <w:left w:val="none" w:sz="0" w:space="0" w:color="auto"/>
                <w:bottom w:val="none" w:sz="0" w:space="0" w:color="auto"/>
                <w:right w:val="none" w:sz="0" w:space="0" w:color="auto"/>
              </w:divBdr>
            </w:div>
            <w:div w:id="1447239111">
              <w:marLeft w:val="0"/>
              <w:marRight w:val="0"/>
              <w:marTop w:val="0"/>
              <w:marBottom w:val="0"/>
              <w:divBdr>
                <w:top w:val="none" w:sz="0" w:space="0" w:color="auto"/>
                <w:left w:val="none" w:sz="0" w:space="0" w:color="auto"/>
                <w:bottom w:val="none" w:sz="0" w:space="0" w:color="auto"/>
                <w:right w:val="none" w:sz="0" w:space="0" w:color="auto"/>
              </w:divBdr>
            </w:div>
            <w:div w:id="1541242313">
              <w:marLeft w:val="0"/>
              <w:marRight w:val="0"/>
              <w:marTop w:val="0"/>
              <w:marBottom w:val="0"/>
              <w:divBdr>
                <w:top w:val="none" w:sz="0" w:space="0" w:color="auto"/>
                <w:left w:val="none" w:sz="0" w:space="0" w:color="auto"/>
                <w:bottom w:val="none" w:sz="0" w:space="0" w:color="auto"/>
                <w:right w:val="none" w:sz="0" w:space="0" w:color="auto"/>
              </w:divBdr>
            </w:div>
            <w:div w:id="1547599069">
              <w:marLeft w:val="0"/>
              <w:marRight w:val="0"/>
              <w:marTop w:val="0"/>
              <w:marBottom w:val="0"/>
              <w:divBdr>
                <w:top w:val="none" w:sz="0" w:space="0" w:color="auto"/>
                <w:left w:val="none" w:sz="0" w:space="0" w:color="auto"/>
                <w:bottom w:val="none" w:sz="0" w:space="0" w:color="auto"/>
                <w:right w:val="none" w:sz="0" w:space="0" w:color="auto"/>
              </w:divBdr>
            </w:div>
            <w:div w:id="1727411563">
              <w:marLeft w:val="0"/>
              <w:marRight w:val="0"/>
              <w:marTop w:val="0"/>
              <w:marBottom w:val="0"/>
              <w:divBdr>
                <w:top w:val="none" w:sz="0" w:space="0" w:color="auto"/>
                <w:left w:val="none" w:sz="0" w:space="0" w:color="auto"/>
                <w:bottom w:val="none" w:sz="0" w:space="0" w:color="auto"/>
                <w:right w:val="none" w:sz="0" w:space="0" w:color="auto"/>
              </w:divBdr>
            </w:div>
            <w:div w:id="1845825338">
              <w:marLeft w:val="0"/>
              <w:marRight w:val="0"/>
              <w:marTop w:val="0"/>
              <w:marBottom w:val="0"/>
              <w:divBdr>
                <w:top w:val="none" w:sz="0" w:space="0" w:color="auto"/>
                <w:left w:val="none" w:sz="0" w:space="0" w:color="auto"/>
                <w:bottom w:val="none" w:sz="0" w:space="0" w:color="auto"/>
                <w:right w:val="none" w:sz="0" w:space="0" w:color="auto"/>
              </w:divBdr>
            </w:div>
            <w:div w:id="1905018482">
              <w:marLeft w:val="0"/>
              <w:marRight w:val="0"/>
              <w:marTop w:val="0"/>
              <w:marBottom w:val="0"/>
              <w:divBdr>
                <w:top w:val="none" w:sz="0" w:space="0" w:color="auto"/>
                <w:left w:val="none" w:sz="0" w:space="0" w:color="auto"/>
                <w:bottom w:val="none" w:sz="0" w:space="0" w:color="auto"/>
                <w:right w:val="none" w:sz="0" w:space="0" w:color="auto"/>
              </w:divBdr>
            </w:div>
            <w:div w:id="1989743848">
              <w:marLeft w:val="0"/>
              <w:marRight w:val="0"/>
              <w:marTop w:val="0"/>
              <w:marBottom w:val="0"/>
              <w:divBdr>
                <w:top w:val="none" w:sz="0" w:space="0" w:color="auto"/>
                <w:left w:val="none" w:sz="0" w:space="0" w:color="auto"/>
                <w:bottom w:val="none" w:sz="0" w:space="0" w:color="auto"/>
                <w:right w:val="none" w:sz="0" w:space="0" w:color="auto"/>
              </w:divBdr>
            </w:div>
          </w:divsChild>
        </w:div>
        <w:div w:id="795804380">
          <w:marLeft w:val="0"/>
          <w:marRight w:val="0"/>
          <w:marTop w:val="0"/>
          <w:marBottom w:val="0"/>
          <w:divBdr>
            <w:top w:val="none" w:sz="0" w:space="0" w:color="auto"/>
            <w:left w:val="none" w:sz="0" w:space="0" w:color="auto"/>
            <w:bottom w:val="none" w:sz="0" w:space="0" w:color="auto"/>
            <w:right w:val="none" w:sz="0" w:space="0" w:color="auto"/>
          </w:divBdr>
          <w:divsChild>
            <w:div w:id="87970176">
              <w:marLeft w:val="0"/>
              <w:marRight w:val="0"/>
              <w:marTop w:val="0"/>
              <w:marBottom w:val="0"/>
              <w:divBdr>
                <w:top w:val="none" w:sz="0" w:space="0" w:color="auto"/>
                <w:left w:val="none" w:sz="0" w:space="0" w:color="auto"/>
                <w:bottom w:val="none" w:sz="0" w:space="0" w:color="auto"/>
                <w:right w:val="none" w:sz="0" w:space="0" w:color="auto"/>
              </w:divBdr>
            </w:div>
            <w:div w:id="127018026">
              <w:marLeft w:val="0"/>
              <w:marRight w:val="0"/>
              <w:marTop w:val="0"/>
              <w:marBottom w:val="0"/>
              <w:divBdr>
                <w:top w:val="none" w:sz="0" w:space="0" w:color="auto"/>
                <w:left w:val="none" w:sz="0" w:space="0" w:color="auto"/>
                <w:bottom w:val="none" w:sz="0" w:space="0" w:color="auto"/>
                <w:right w:val="none" w:sz="0" w:space="0" w:color="auto"/>
              </w:divBdr>
            </w:div>
            <w:div w:id="151415416">
              <w:marLeft w:val="0"/>
              <w:marRight w:val="0"/>
              <w:marTop w:val="0"/>
              <w:marBottom w:val="0"/>
              <w:divBdr>
                <w:top w:val="none" w:sz="0" w:space="0" w:color="auto"/>
                <w:left w:val="none" w:sz="0" w:space="0" w:color="auto"/>
                <w:bottom w:val="none" w:sz="0" w:space="0" w:color="auto"/>
                <w:right w:val="none" w:sz="0" w:space="0" w:color="auto"/>
              </w:divBdr>
            </w:div>
            <w:div w:id="385301791">
              <w:marLeft w:val="0"/>
              <w:marRight w:val="0"/>
              <w:marTop w:val="0"/>
              <w:marBottom w:val="0"/>
              <w:divBdr>
                <w:top w:val="none" w:sz="0" w:space="0" w:color="auto"/>
                <w:left w:val="none" w:sz="0" w:space="0" w:color="auto"/>
                <w:bottom w:val="none" w:sz="0" w:space="0" w:color="auto"/>
                <w:right w:val="none" w:sz="0" w:space="0" w:color="auto"/>
              </w:divBdr>
            </w:div>
            <w:div w:id="450173602">
              <w:marLeft w:val="0"/>
              <w:marRight w:val="0"/>
              <w:marTop w:val="0"/>
              <w:marBottom w:val="0"/>
              <w:divBdr>
                <w:top w:val="none" w:sz="0" w:space="0" w:color="auto"/>
                <w:left w:val="none" w:sz="0" w:space="0" w:color="auto"/>
                <w:bottom w:val="none" w:sz="0" w:space="0" w:color="auto"/>
                <w:right w:val="none" w:sz="0" w:space="0" w:color="auto"/>
              </w:divBdr>
            </w:div>
            <w:div w:id="502668875">
              <w:marLeft w:val="0"/>
              <w:marRight w:val="0"/>
              <w:marTop w:val="0"/>
              <w:marBottom w:val="0"/>
              <w:divBdr>
                <w:top w:val="none" w:sz="0" w:space="0" w:color="auto"/>
                <w:left w:val="none" w:sz="0" w:space="0" w:color="auto"/>
                <w:bottom w:val="none" w:sz="0" w:space="0" w:color="auto"/>
                <w:right w:val="none" w:sz="0" w:space="0" w:color="auto"/>
              </w:divBdr>
            </w:div>
            <w:div w:id="1005085360">
              <w:marLeft w:val="0"/>
              <w:marRight w:val="0"/>
              <w:marTop w:val="0"/>
              <w:marBottom w:val="0"/>
              <w:divBdr>
                <w:top w:val="none" w:sz="0" w:space="0" w:color="auto"/>
                <w:left w:val="none" w:sz="0" w:space="0" w:color="auto"/>
                <w:bottom w:val="none" w:sz="0" w:space="0" w:color="auto"/>
                <w:right w:val="none" w:sz="0" w:space="0" w:color="auto"/>
              </w:divBdr>
            </w:div>
            <w:div w:id="1169784654">
              <w:marLeft w:val="0"/>
              <w:marRight w:val="0"/>
              <w:marTop w:val="0"/>
              <w:marBottom w:val="0"/>
              <w:divBdr>
                <w:top w:val="none" w:sz="0" w:space="0" w:color="auto"/>
                <w:left w:val="none" w:sz="0" w:space="0" w:color="auto"/>
                <w:bottom w:val="none" w:sz="0" w:space="0" w:color="auto"/>
                <w:right w:val="none" w:sz="0" w:space="0" w:color="auto"/>
              </w:divBdr>
            </w:div>
            <w:div w:id="1192915168">
              <w:marLeft w:val="0"/>
              <w:marRight w:val="0"/>
              <w:marTop w:val="0"/>
              <w:marBottom w:val="0"/>
              <w:divBdr>
                <w:top w:val="none" w:sz="0" w:space="0" w:color="auto"/>
                <w:left w:val="none" w:sz="0" w:space="0" w:color="auto"/>
                <w:bottom w:val="none" w:sz="0" w:space="0" w:color="auto"/>
                <w:right w:val="none" w:sz="0" w:space="0" w:color="auto"/>
              </w:divBdr>
            </w:div>
            <w:div w:id="1271281113">
              <w:marLeft w:val="0"/>
              <w:marRight w:val="0"/>
              <w:marTop w:val="0"/>
              <w:marBottom w:val="0"/>
              <w:divBdr>
                <w:top w:val="none" w:sz="0" w:space="0" w:color="auto"/>
                <w:left w:val="none" w:sz="0" w:space="0" w:color="auto"/>
                <w:bottom w:val="none" w:sz="0" w:space="0" w:color="auto"/>
                <w:right w:val="none" w:sz="0" w:space="0" w:color="auto"/>
              </w:divBdr>
            </w:div>
            <w:div w:id="1320647528">
              <w:marLeft w:val="0"/>
              <w:marRight w:val="0"/>
              <w:marTop w:val="0"/>
              <w:marBottom w:val="0"/>
              <w:divBdr>
                <w:top w:val="none" w:sz="0" w:space="0" w:color="auto"/>
                <w:left w:val="none" w:sz="0" w:space="0" w:color="auto"/>
                <w:bottom w:val="none" w:sz="0" w:space="0" w:color="auto"/>
                <w:right w:val="none" w:sz="0" w:space="0" w:color="auto"/>
              </w:divBdr>
            </w:div>
            <w:div w:id="1500077637">
              <w:marLeft w:val="0"/>
              <w:marRight w:val="0"/>
              <w:marTop w:val="0"/>
              <w:marBottom w:val="0"/>
              <w:divBdr>
                <w:top w:val="none" w:sz="0" w:space="0" w:color="auto"/>
                <w:left w:val="none" w:sz="0" w:space="0" w:color="auto"/>
                <w:bottom w:val="none" w:sz="0" w:space="0" w:color="auto"/>
                <w:right w:val="none" w:sz="0" w:space="0" w:color="auto"/>
              </w:divBdr>
            </w:div>
            <w:div w:id="1552962285">
              <w:marLeft w:val="0"/>
              <w:marRight w:val="0"/>
              <w:marTop w:val="0"/>
              <w:marBottom w:val="0"/>
              <w:divBdr>
                <w:top w:val="none" w:sz="0" w:space="0" w:color="auto"/>
                <w:left w:val="none" w:sz="0" w:space="0" w:color="auto"/>
                <w:bottom w:val="none" w:sz="0" w:space="0" w:color="auto"/>
                <w:right w:val="none" w:sz="0" w:space="0" w:color="auto"/>
              </w:divBdr>
            </w:div>
            <w:div w:id="1670865294">
              <w:marLeft w:val="0"/>
              <w:marRight w:val="0"/>
              <w:marTop w:val="0"/>
              <w:marBottom w:val="0"/>
              <w:divBdr>
                <w:top w:val="none" w:sz="0" w:space="0" w:color="auto"/>
                <w:left w:val="none" w:sz="0" w:space="0" w:color="auto"/>
                <w:bottom w:val="none" w:sz="0" w:space="0" w:color="auto"/>
                <w:right w:val="none" w:sz="0" w:space="0" w:color="auto"/>
              </w:divBdr>
            </w:div>
            <w:div w:id="1744141990">
              <w:marLeft w:val="0"/>
              <w:marRight w:val="0"/>
              <w:marTop w:val="0"/>
              <w:marBottom w:val="0"/>
              <w:divBdr>
                <w:top w:val="none" w:sz="0" w:space="0" w:color="auto"/>
                <w:left w:val="none" w:sz="0" w:space="0" w:color="auto"/>
                <w:bottom w:val="none" w:sz="0" w:space="0" w:color="auto"/>
                <w:right w:val="none" w:sz="0" w:space="0" w:color="auto"/>
              </w:divBdr>
            </w:div>
            <w:div w:id="1840457728">
              <w:marLeft w:val="0"/>
              <w:marRight w:val="0"/>
              <w:marTop w:val="0"/>
              <w:marBottom w:val="0"/>
              <w:divBdr>
                <w:top w:val="none" w:sz="0" w:space="0" w:color="auto"/>
                <w:left w:val="none" w:sz="0" w:space="0" w:color="auto"/>
                <w:bottom w:val="none" w:sz="0" w:space="0" w:color="auto"/>
                <w:right w:val="none" w:sz="0" w:space="0" w:color="auto"/>
              </w:divBdr>
            </w:div>
            <w:div w:id="1862818547">
              <w:marLeft w:val="0"/>
              <w:marRight w:val="0"/>
              <w:marTop w:val="0"/>
              <w:marBottom w:val="0"/>
              <w:divBdr>
                <w:top w:val="none" w:sz="0" w:space="0" w:color="auto"/>
                <w:left w:val="none" w:sz="0" w:space="0" w:color="auto"/>
                <w:bottom w:val="none" w:sz="0" w:space="0" w:color="auto"/>
                <w:right w:val="none" w:sz="0" w:space="0" w:color="auto"/>
              </w:divBdr>
            </w:div>
            <w:div w:id="2003580032">
              <w:marLeft w:val="0"/>
              <w:marRight w:val="0"/>
              <w:marTop w:val="0"/>
              <w:marBottom w:val="0"/>
              <w:divBdr>
                <w:top w:val="none" w:sz="0" w:space="0" w:color="auto"/>
                <w:left w:val="none" w:sz="0" w:space="0" w:color="auto"/>
                <w:bottom w:val="none" w:sz="0" w:space="0" w:color="auto"/>
                <w:right w:val="none" w:sz="0" w:space="0" w:color="auto"/>
              </w:divBdr>
            </w:div>
            <w:div w:id="2005736673">
              <w:marLeft w:val="0"/>
              <w:marRight w:val="0"/>
              <w:marTop w:val="0"/>
              <w:marBottom w:val="0"/>
              <w:divBdr>
                <w:top w:val="none" w:sz="0" w:space="0" w:color="auto"/>
                <w:left w:val="none" w:sz="0" w:space="0" w:color="auto"/>
                <w:bottom w:val="none" w:sz="0" w:space="0" w:color="auto"/>
                <w:right w:val="none" w:sz="0" w:space="0" w:color="auto"/>
              </w:divBdr>
            </w:div>
            <w:div w:id="2090498746">
              <w:marLeft w:val="0"/>
              <w:marRight w:val="0"/>
              <w:marTop w:val="0"/>
              <w:marBottom w:val="0"/>
              <w:divBdr>
                <w:top w:val="none" w:sz="0" w:space="0" w:color="auto"/>
                <w:left w:val="none" w:sz="0" w:space="0" w:color="auto"/>
                <w:bottom w:val="none" w:sz="0" w:space="0" w:color="auto"/>
                <w:right w:val="none" w:sz="0" w:space="0" w:color="auto"/>
              </w:divBdr>
            </w:div>
          </w:divsChild>
        </w:div>
        <w:div w:id="1647320525">
          <w:marLeft w:val="0"/>
          <w:marRight w:val="0"/>
          <w:marTop w:val="0"/>
          <w:marBottom w:val="0"/>
          <w:divBdr>
            <w:top w:val="none" w:sz="0" w:space="0" w:color="auto"/>
            <w:left w:val="none" w:sz="0" w:space="0" w:color="auto"/>
            <w:bottom w:val="none" w:sz="0" w:space="0" w:color="auto"/>
            <w:right w:val="none" w:sz="0" w:space="0" w:color="auto"/>
          </w:divBdr>
          <w:divsChild>
            <w:div w:id="19864875">
              <w:marLeft w:val="0"/>
              <w:marRight w:val="0"/>
              <w:marTop w:val="0"/>
              <w:marBottom w:val="0"/>
              <w:divBdr>
                <w:top w:val="none" w:sz="0" w:space="0" w:color="auto"/>
                <w:left w:val="none" w:sz="0" w:space="0" w:color="auto"/>
                <w:bottom w:val="none" w:sz="0" w:space="0" w:color="auto"/>
                <w:right w:val="none" w:sz="0" w:space="0" w:color="auto"/>
              </w:divBdr>
            </w:div>
            <w:div w:id="287247228">
              <w:marLeft w:val="0"/>
              <w:marRight w:val="0"/>
              <w:marTop w:val="0"/>
              <w:marBottom w:val="0"/>
              <w:divBdr>
                <w:top w:val="none" w:sz="0" w:space="0" w:color="auto"/>
                <w:left w:val="none" w:sz="0" w:space="0" w:color="auto"/>
                <w:bottom w:val="none" w:sz="0" w:space="0" w:color="auto"/>
                <w:right w:val="none" w:sz="0" w:space="0" w:color="auto"/>
              </w:divBdr>
            </w:div>
            <w:div w:id="292447127">
              <w:marLeft w:val="0"/>
              <w:marRight w:val="0"/>
              <w:marTop w:val="0"/>
              <w:marBottom w:val="0"/>
              <w:divBdr>
                <w:top w:val="none" w:sz="0" w:space="0" w:color="auto"/>
                <w:left w:val="none" w:sz="0" w:space="0" w:color="auto"/>
                <w:bottom w:val="none" w:sz="0" w:space="0" w:color="auto"/>
                <w:right w:val="none" w:sz="0" w:space="0" w:color="auto"/>
              </w:divBdr>
            </w:div>
            <w:div w:id="357392576">
              <w:marLeft w:val="0"/>
              <w:marRight w:val="0"/>
              <w:marTop w:val="0"/>
              <w:marBottom w:val="0"/>
              <w:divBdr>
                <w:top w:val="none" w:sz="0" w:space="0" w:color="auto"/>
                <w:left w:val="none" w:sz="0" w:space="0" w:color="auto"/>
                <w:bottom w:val="none" w:sz="0" w:space="0" w:color="auto"/>
                <w:right w:val="none" w:sz="0" w:space="0" w:color="auto"/>
              </w:divBdr>
            </w:div>
            <w:div w:id="433213114">
              <w:marLeft w:val="0"/>
              <w:marRight w:val="0"/>
              <w:marTop w:val="0"/>
              <w:marBottom w:val="0"/>
              <w:divBdr>
                <w:top w:val="none" w:sz="0" w:space="0" w:color="auto"/>
                <w:left w:val="none" w:sz="0" w:space="0" w:color="auto"/>
                <w:bottom w:val="none" w:sz="0" w:space="0" w:color="auto"/>
                <w:right w:val="none" w:sz="0" w:space="0" w:color="auto"/>
              </w:divBdr>
            </w:div>
            <w:div w:id="475295176">
              <w:marLeft w:val="0"/>
              <w:marRight w:val="0"/>
              <w:marTop w:val="0"/>
              <w:marBottom w:val="0"/>
              <w:divBdr>
                <w:top w:val="none" w:sz="0" w:space="0" w:color="auto"/>
                <w:left w:val="none" w:sz="0" w:space="0" w:color="auto"/>
                <w:bottom w:val="none" w:sz="0" w:space="0" w:color="auto"/>
                <w:right w:val="none" w:sz="0" w:space="0" w:color="auto"/>
              </w:divBdr>
            </w:div>
            <w:div w:id="718825895">
              <w:marLeft w:val="0"/>
              <w:marRight w:val="0"/>
              <w:marTop w:val="0"/>
              <w:marBottom w:val="0"/>
              <w:divBdr>
                <w:top w:val="none" w:sz="0" w:space="0" w:color="auto"/>
                <w:left w:val="none" w:sz="0" w:space="0" w:color="auto"/>
                <w:bottom w:val="none" w:sz="0" w:space="0" w:color="auto"/>
                <w:right w:val="none" w:sz="0" w:space="0" w:color="auto"/>
              </w:divBdr>
            </w:div>
            <w:div w:id="726807866">
              <w:marLeft w:val="0"/>
              <w:marRight w:val="0"/>
              <w:marTop w:val="0"/>
              <w:marBottom w:val="0"/>
              <w:divBdr>
                <w:top w:val="none" w:sz="0" w:space="0" w:color="auto"/>
                <w:left w:val="none" w:sz="0" w:space="0" w:color="auto"/>
                <w:bottom w:val="none" w:sz="0" w:space="0" w:color="auto"/>
                <w:right w:val="none" w:sz="0" w:space="0" w:color="auto"/>
              </w:divBdr>
            </w:div>
            <w:div w:id="747117201">
              <w:marLeft w:val="0"/>
              <w:marRight w:val="0"/>
              <w:marTop w:val="0"/>
              <w:marBottom w:val="0"/>
              <w:divBdr>
                <w:top w:val="none" w:sz="0" w:space="0" w:color="auto"/>
                <w:left w:val="none" w:sz="0" w:space="0" w:color="auto"/>
                <w:bottom w:val="none" w:sz="0" w:space="0" w:color="auto"/>
                <w:right w:val="none" w:sz="0" w:space="0" w:color="auto"/>
              </w:divBdr>
            </w:div>
            <w:div w:id="976302002">
              <w:marLeft w:val="0"/>
              <w:marRight w:val="0"/>
              <w:marTop w:val="0"/>
              <w:marBottom w:val="0"/>
              <w:divBdr>
                <w:top w:val="none" w:sz="0" w:space="0" w:color="auto"/>
                <w:left w:val="none" w:sz="0" w:space="0" w:color="auto"/>
                <w:bottom w:val="none" w:sz="0" w:space="0" w:color="auto"/>
                <w:right w:val="none" w:sz="0" w:space="0" w:color="auto"/>
              </w:divBdr>
            </w:div>
            <w:div w:id="1036545626">
              <w:marLeft w:val="0"/>
              <w:marRight w:val="0"/>
              <w:marTop w:val="0"/>
              <w:marBottom w:val="0"/>
              <w:divBdr>
                <w:top w:val="none" w:sz="0" w:space="0" w:color="auto"/>
                <w:left w:val="none" w:sz="0" w:space="0" w:color="auto"/>
                <w:bottom w:val="none" w:sz="0" w:space="0" w:color="auto"/>
                <w:right w:val="none" w:sz="0" w:space="0" w:color="auto"/>
              </w:divBdr>
            </w:div>
            <w:div w:id="1235701235">
              <w:marLeft w:val="0"/>
              <w:marRight w:val="0"/>
              <w:marTop w:val="0"/>
              <w:marBottom w:val="0"/>
              <w:divBdr>
                <w:top w:val="none" w:sz="0" w:space="0" w:color="auto"/>
                <w:left w:val="none" w:sz="0" w:space="0" w:color="auto"/>
                <w:bottom w:val="none" w:sz="0" w:space="0" w:color="auto"/>
                <w:right w:val="none" w:sz="0" w:space="0" w:color="auto"/>
              </w:divBdr>
            </w:div>
            <w:div w:id="1253734380">
              <w:marLeft w:val="0"/>
              <w:marRight w:val="0"/>
              <w:marTop w:val="0"/>
              <w:marBottom w:val="0"/>
              <w:divBdr>
                <w:top w:val="none" w:sz="0" w:space="0" w:color="auto"/>
                <w:left w:val="none" w:sz="0" w:space="0" w:color="auto"/>
                <w:bottom w:val="none" w:sz="0" w:space="0" w:color="auto"/>
                <w:right w:val="none" w:sz="0" w:space="0" w:color="auto"/>
              </w:divBdr>
            </w:div>
            <w:div w:id="1728606205">
              <w:marLeft w:val="0"/>
              <w:marRight w:val="0"/>
              <w:marTop w:val="0"/>
              <w:marBottom w:val="0"/>
              <w:divBdr>
                <w:top w:val="none" w:sz="0" w:space="0" w:color="auto"/>
                <w:left w:val="none" w:sz="0" w:space="0" w:color="auto"/>
                <w:bottom w:val="none" w:sz="0" w:space="0" w:color="auto"/>
                <w:right w:val="none" w:sz="0" w:space="0" w:color="auto"/>
              </w:divBdr>
            </w:div>
            <w:div w:id="1786928174">
              <w:marLeft w:val="0"/>
              <w:marRight w:val="0"/>
              <w:marTop w:val="0"/>
              <w:marBottom w:val="0"/>
              <w:divBdr>
                <w:top w:val="none" w:sz="0" w:space="0" w:color="auto"/>
                <w:left w:val="none" w:sz="0" w:space="0" w:color="auto"/>
                <w:bottom w:val="none" w:sz="0" w:space="0" w:color="auto"/>
                <w:right w:val="none" w:sz="0" w:space="0" w:color="auto"/>
              </w:divBdr>
            </w:div>
            <w:div w:id="1961497031">
              <w:marLeft w:val="0"/>
              <w:marRight w:val="0"/>
              <w:marTop w:val="0"/>
              <w:marBottom w:val="0"/>
              <w:divBdr>
                <w:top w:val="none" w:sz="0" w:space="0" w:color="auto"/>
                <w:left w:val="none" w:sz="0" w:space="0" w:color="auto"/>
                <w:bottom w:val="none" w:sz="0" w:space="0" w:color="auto"/>
                <w:right w:val="none" w:sz="0" w:space="0" w:color="auto"/>
              </w:divBdr>
            </w:div>
            <w:div w:id="1997805172">
              <w:marLeft w:val="0"/>
              <w:marRight w:val="0"/>
              <w:marTop w:val="0"/>
              <w:marBottom w:val="0"/>
              <w:divBdr>
                <w:top w:val="none" w:sz="0" w:space="0" w:color="auto"/>
                <w:left w:val="none" w:sz="0" w:space="0" w:color="auto"/>
                <w:bottom w:val="none" w:sz="0" w:space="0" w:color="auto"/>
                <w:right w:val="none" w:sz="0" w:space="0" w:color="auto"/>
              </w:divBdr>
            </w:div>
            <w:div w:id="2017345857">
              <w:marLeft w:val="0"/>
              <w:marRight w:val="0"/>
              <w:marTop w:val="0"/>
              <w:marBottom w:val="0"/>
              <w:divBdr>
                <w:top w:val="none" w:sz="0" w:space="0" w:color="auto"/>
                <w:left w:val="none" w:sz="0" w:space="0" w:color="auto"/>
                <w:bottom w:val="none" w:sz="0" w:space="0" w:color="auto"/>
                <w:right w:val="none" w:sz="0" w:space="0" w:color="auto"/>
              </w:divBdr>
            </w:div>
            <w:div w:id="2048137923">
              <w:marLeft w:val="0"/>
              <w:marRight w:val="0"/>
              <w:marTop w:val="0"/>
              <w:marBottom w:val="0"/>
              <w:divBdr>
                <w:top w:val="none" w:sz="0" w:space="0" w:color="auto"/>
                <w:left w:val="none" w:sz="0" w:space="0" w:color="auto"/>
                <w:bottom w:val="none" w:sz="0" w:space="0" w:color="auto"/>
                <w:right w:val="none" w:sz="0" w:space="0" w:color="auto"/>
              </w:divBdr>
            </w:div>
            <w:div w:id="2075006893">
              <w:marLeft w:val="0"/>
              <w:marRight w:val="0"/>
              <w:marTop w:val="0"/>
              <w:marBottom w:val="0"/>
              <w:divBdr>
                <w:top w:val="none" w:sz="0" w:space="0" w:color="auto"/>
                <w:left w:val="none" w:sz="0" w:space="0" w:color="auto"/>
                <w:bottom w:val="none" w:sz="0" w:space="0" w:color="auto"/>
                <w:right w:val="none" w:sz="0" w:space="0" w:color="auto"/>
              </w:divBdr>
            </w:div>
          </w:divsChild>
        </w:div>
        <w:div w:id="1939562133">
          <w:marLeft w:val="0"/>
          <w:marRight w:val="0"/>
          <w:marTop w:val="0"/>
          <w:marBottom w:val="0"/>
          <w:divBdr>
            <w:top w:val="none" w:sz="0" w:space="0" w:color="auto"/>
            <w:left w:val="none" w:sz="0" w:space="0" w:color="auto"/>
            <w:bottom w:val="none" w:sz="0" w:space="0" w:color="auto"/>
            <w:right w:val="none" w:sz="0" w:space="0" w:color="auto"/>
          </w:divBdr>
          <w:divsChild>
            <w:div w:id="43137786">
              <w:marLeft w:val="0"/>
              <w:marRight w:val="0"/>
              <w:marTop w:val="0"/>
              <w:marBottom w:val="0"/>
              <w:divBdr>
                <w:top w:val="none" w:sz="0" w:space="0" w:color="auto"/>
                <w:left w:val="none" w:sz="0" w:space="0" w:color="auto"/>
                <w:bottom w:val="none" w:sz="0" w:space="0" w:color="auto"/>
                <w:right w:val="none" w:sz="0" w:space="0" w:color="auto"/>
              </w:divBdr>
            </w:div>
            <w:div w:id="240142783">
              <w:marLeft w:val="0"/>
              <w:marRight w:val="0"/>
              <w:marTop w:val="0"/>
              <w:marBottom w:val="0"/>
              <w:divBdr>
                <w:top w:val="none" w:sz="0" w:space="0" w:color="auto"/>
                <w:left w:val="none" w:sz="0" w:space="0" w:color="auto"/>
                <w:bottom w:val="none" w:sz="0" w:space="0" w:color="auto"/>
                <w:right w:val="none" w:sz="0" w:space="0" w:color="auto"/>
              </w:divBdr>
            </w:div>
            <w:div w:id="334917055">
              <w:marLeft w:val="0"/>
              <w:marRight w:val="0"/>
              <w:marTop w:val="0"/>
              <w:marBottom w:val="0"/>
              <w:divBdr>
                <w:top w:val="none" w:sz="0" w:space="0" w:color="auto"/>
                <w:left w:val="none" w:sz="0" w:space="0" w:color="auto"/>
                <w:bottom w:val="none" w:sz="0" w:space="0" w:color="auto"/>
                <w:right w:val="none" w:sz="0" w:space="0" w:color="auto"/>
              </w:divBdr>
            </w:div>
            <w:div w:id="639724821">
              <w:marLeft w:val="0"/>
              <w:marRight w:val="0"/>
              <w:marTop w:val="0"/>
              <w:marBottom w:val="0"/>
              <w:divBdr>
                <w:top w:val="none" w:sz="0" w:space="0" w:color="auto"/>
                <w:left w:val="none" w:sz="0" w:space="0" w:color="auto"/>
                <w:bottom w:val="none" w:sz="0" w:space="0" w:color="auto"/>
                <w:right w:val="none" w:sz="0" w:space="0" w:color="auto"/>
              </w:divBdr>
            </w:div>
            <w:div w:id="660042762">
              <w:marLeft w:val="0"/>
              <w:marRight w:val="0"/>
              <w:marTop w:val="0"/>
              <w:marBottom w:val="0"/>
              <w:divBdr>
                <w:top w:val="none" w:sz="0" w:space="0" w:color="auto"/>
                <w:left w:val="none" w:sz="0" w:space="0" w:color="auto"/>
                <w:bottom w:val="none" w:sz="0" w:space="0" w:color="auto"/>
                <w:right w:val="none" w:sz="0" w:space="0" w:color="auto"/>
              </w:divBdr>
            </w:div>
            <w:div w:id="752507773">
              <w:marLeft w:val="0"/>
              <w:marRight w:val="0"/>
              <w:marTop w:val="0"/>
              <w:marBottom w:val="0"/>
              <w:divBdr>
                <w:top w:val="none" w:sz="0" w:space="0" w:color="auto"/>
                <w:left w:val="none" w:sz="0" w:space="0" w:color="auto"/>
                <w:bottom w:val="none" w:sz="0" w:space="0" w:color="auto"/>
                <w:right w:val="none" w:sz="0" w:space="0" w:color="auto"/>
              </w:divBdr>
            </w:div>
            <w:div w:id="789666468">
              <w:marLeft w:val="0"/>
              <w:marRight w:val="0"/>
              <w:marTop w:val="0"/>
              <w:marBottom w:val="0"/>
              <w:divBdr>
                <w:top w:val="none" w:sz="0" w:space="0" w:color="auto"/>
                <w:left w:val="none" w:sz="0" w:space="0" w:color="auto"/>
                <w:bottom w:val="none" w:sz="0" w:space="0" w:color="auto"/>
                <w:right w:val="none" w:sz="0" w:space="0" w:color="auto"/>
              </w:divBdr>
            </w:div>
            <w:div w:id="803889266">
              <w:marLeft w:val="0"/>
              <w:marRight w:val="0"/>
              <w:marTop w:val="0"/>
              <w:marBottom w:val="0"/>
              <w:divBdr>
                <w:top w:val="none" w:sz="0" w:space="0" w:color="auto"/>
                <w:left w:val="none" w:sz="0" w:space="0" w:color="auto"/>
                <w:bottom w:val="none" w:sz="0" w:space="0" w:color="auto"/>
                <w:right w:val="none" w:sz="0" w:space="0" w:color="auto"/>
              </w:divBdr>
            </w:div>
            <w:div w:id="1239052447">
              <w:marLeft w:val="0"/>
              <w:marRight w:val="0"/>
              <w:marTop w:val="0"/>
              <w:marBottom w:val="0"/>
              <w:divBdr>
                <w:top w:val="none" w:sz="0" w:space="0" w:color="auto"/>
                <w:left w:val="none" w:sz="0" w:space="0" w:color="auto"/>
                <w:bottom w:val="none" w:sz="0" w:space="0" w:color="auto"/>
                <w:right w:val="none" w:sz="0" w:space="0" w:color="auto"/>
              </w:divBdr>
            </w:div>
            <w:div w:id="1437948761">
              <w:marLeft w:val="0"/>
              <w:marRight w:val="0"/>
              <w:marTop w:val="0"/>
              <w:marBottom w:val="0"/>
              <w:divBdr>
                <w:top w:val="none" w:sz="0" w:space="0" w:color="auto"/>
                <w:left w:val="none" w:sz="0" w:space="0" w:color="auto"/>
                <w:bottom w:val="none" w:sz="0" w:space="0" w:color="auto"/>
                <w:right w:val="none" w:sz="0" w:space="0" w:color="auto"/>
              </w:divBdr>
            </w:div>
            <w:div w:id="1524243382">
              <w:marLeft w:val="0"/>
              <w:marRight w:val="0"/>
              <w:marTop w:val="0"/>
              <w:marBottom w:val="0"/>
              <w:divBdr>
                <w:top w:val="none" w:sz="0" w:space="0" w:color="auto"/>
                <w:left w:val="none" w:sz="0" w:space="0" w:color="auto"/>
                <w:bottom w:val="none" w:sz="0" w:space="0" w:color="auto"/>
                <w:right w:val="none" w:sz="0" w:space="0" w:color="auto"/>
              </w:divBdr>
            </w:div>
            <w:div w:id="1711496405">
              <w:marLeft w:val="0"/>
              <w:marRight w:val="0"/>
              <w:marTop w:val="0"/>
              <w:marBottom w:val="0"/>
              <w:divBdr>
                <w:top w:val="none" w:sz="0" w:space="0" w:color="auto"/>
                <w:left w:val="none" w:sz="0" w:space="0" w:color="auto"/>
                <w:bottom w:val="none" w:sz="0" w:space="0" w:color="auto"/>
                <w:right w:val="none" w:sz="0" w:space="0" w:color="auto"/>
              </w:divBdr>
            </w:div>
            <w:div w:id="193227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50613">
      <w:bodyDiv w:val="1"/>
      <w:marLeft w:val="0"/>
      <w:marRight w:val="0"/>
      <w:marTop w:val="0"/>
      <w:marBottom w:val="0"/>
      <w:divBdr>
        <w:top w:val="none" w:sz="0" w:space="0" w:color="auto"/>
        <w:left w:val="none" w:sz="0" w:space="0" w:color="auto"/>
        <w:bottom w:val="none" w:sz="0" w:space="0" w:color="auto"/>
        <w:right w:val="none" w:sz="0" w:space="0" w:color="auto"/>
      </w:divBdr>
    </w:div>
    <w:div w:id="1667131218">
      <w:bodyDiv w:val="1"/>
      <w:marLeft w:val="0"/>
      <w:marRight w:val="0"/>
      <w:marTop w:val="0"/>
      <w:marBottom w:val="0"/>
      <w:divBdr>
        <w:top w:val="none" w:sz="0" w:space="0" w:color="auto"/>
        <w:left w:val="none" w:sz="0" w:space="0" w:color="auto"/>
        <w:bottom w:val="none" w:sz="0" w:space="0" w:color="auto"/>
        <w:right w:val="none" w:sz="0" w:space="0" w:color="auto"/>
      </w:divBdr>
    </w:div>
    <w:div w:id="1697123852">
      <w:bodyDiv w:val="1"/>
      <w:marLeft w:val="0"/>
      <w:marRight w:val="0"/>
      <w:marTop w:val="0"/>
      <w:marBottom w:val="0"/>
      <w:divBdr>
        <w:top w:val="none" w:sz="0" w:space="0" w:color="auto"/>
        <w:left w:val="none" w:sz="0" w:space="0" w:color="auto"/>
        <w:bottom w:val="none" w:sz="0" w:space="0" w:color="auto"/>
        <w:right w:val="none" w:sz="0" w:space="0" w:color="auto"/>
      </w:divBdr>
    </w:div>
    <w:div w:id="1707557136">
      <w:bodyDiv w:val="1"/>
      <w:marLeft w:val="0"/>
      <w:marRight w:val="0"/>
      <w:marTop w:val="0"/>
      <w:marBottom w:val="0"/>
      <w:divBdr>
        <w:top w:val="none" w:sz="0" w:space="0" w:color="auto"/>
        <w:left w:val="none" w:sz="0" w:space="0" w:color="auto"/>
        <w:bottom w:val="none" w:sz="0" w:space="0" w:color="auto"/>
        <w:right w:val="none" w:sz="0" w:space="0" w:color="auto"/>
      </w:divBdr>
    </w:div>
    <w:div w:id="1712261248">
      <w:bodyDiv w:val="1"/>
      <w:marLeft w:val="0"/>
      <w:marRight w:val="0"/>
      <w:marTop w:val="0"/>
      <w:marBottom w:val="0"/>
      <w:divBdr>
        <w:top w:val="none" w:sz="0" w:space="0" w:color="auto"/>
        <w:left w:val="none" w:sz="0" w:space="0" w:color="auto"/>
        <w:bottom w:val="none" w:sz="0" w:space="0" w:color="auto"/>
        <w:right w:val="none" w:sz="0" w:space="0" w:color="auto"/>
      </w:divBdr>
    </w:div>
    <w:div w:id="1733036817">
      <w:bodyDiv w:val="1"/>
      <w:marLeft w:val="0"/>
      <w:marRight w:val="0"/>
      <w:marTop w:val="0"/>
      <w:marBottom w:val="0"/>
      <w:divBdr>
        <w:top w:val="none" w:sz="0" w:space="0" w:color="auto"/>
        <w:left w:val="none" w:sz="0" w:space="0" w:color="auto"/>
        <w:bottom w:val="none" w:sz="0" w:space="0" w:color="auto"/>
        <w:right w:val="none" w:sz="0" w:space="0" w:color="auto"/>
      </w:divBdr>
    </w:div>
    <w:div w:id="1769425738">
      <w:bodyDiv w:val="1"/>
      <w:marLeft w:val="0"/>
      <w:marRight w:val="0"/>
      <w:marTop w:val="0"/>
      <w:marBottom w:val="0"/>
      <w:divBdr>
        <w:top w:val="none" w:sz="0" w:space="0" w:color="auto"/>
        <w:left w:val="none" w:sz="0" w:space="0" w:color="auto"/>
        <w:bottom w:val="none" w:sz="0" w:space="0" w:color="auto"/>
        <w:right w:val="none" w:sz="0" w:space="0" w:color="auto"/>
      </w:divBdr>
    </w:div>
    <w:div w:id="1773015357">
      <w:bodyDiv w:val="1"/>
      <w:marLeft w:val="0"/>
      <w:marRight w:val="0"/>
      <w:marTop w:val="0"/>
      <w:marBottom w:val="0"/>
      <w:divBdr>
        <w:top w:val="none" w:sz="0" w:space="0" w:color="auto"/>
        <w:left w:val="none" w:sz="0" w:space="0" w:color="auto"/>
        <w:bottom w:val="none" w:sz="0" w:space="0" w:color="auto"/>
        <w:right w:val="none" w:sz="0" w:space="0" w:color="auto"/>
      </w:divBdr>
      <w:divsChild>
        <w:div w:id="337004812">
          <w:marLeft w:val="0"/>
          <w:marRight w:val="0"/>
          <w:marTop w:val="0"/>
          <w:marBottom w:val="0"/>
          <w:divBdr>
            <w:top w:val="none" w:sz="0" w:space="0" w:color="auto"/>
            <w:left w:val="none" w:sz="0" w:space="0" w:color="auto"/>
            <w:bottom w:val="none" w:sz="0" w:space="0" w:color="auto"/>
            <w:right w:val="none" w:sz="0" w:space="0" w:color="auto"/>
          </w:divBdr>
        </w:div>
      </w:divsChild>
    </w:div>
    <w:div w:id="1831873600">
      <w:bodyDiv w:val="1"/>
      <w:marLeft w:val="0"/>
      <w:marRight w:val="0"/>
      <w:marTop w:val="0"/>
      <w:marBottom w:val="0"/>
      <w:divBdr>
        <w:top w:val="none" w:sz="0" w:space="0" w:color="auto"/>
        <w:left w:val="none" w:sz="0" w:space="0" w:color="auto"/>
        <w:bottom w:val="none" w:sz="0" w:space="0" w:color="auto"/>
        <w:right w:val="none" w:sz="0" w:space="0" w:color="auto"/>
      </w:divBdr>
      <w:divsChild>
        <w:div w:id="100342467">
          <w:marLeft w:val="0"/>
          <w:marRight w:val="0"/>
          <w:marTop w:val="0"/>
          <w:marBottom w:val="0"/>
          <w:divBdr>
            <w:top w:val="none" w:sz="0" w:space="0" w:color="auto"/>
            <w:left w:val="none" w:sz="0" w:space="0" w:color="auto"/>
            <w:bottom w:val="none" w:sz="0" w:space="0" w:color="auto"/>
            <w:right w:val="none" w:sz="0" w:space="0" w:color="auto"/>
          </w:divBdr>
        </w:div>
        <w:div w:id="147404817">
          <w:marLeft w:val="0"/>
          <w:marRight w:val="0"/>
          <w:marTop w:val="0"/>
          <w:marBottom w:val="0"/>
          <w:divBdr>
            <w:top w:val="none" w:sz="0" w:space="0" w:color="auto"/>
            <w:left w:val="none" w:sz="0" w:space="0" w:color="auto"/>
            <w:bottom w:val="none" w:sz="0" w:space="0" w:color="auto"/>
            <w:right w:val="none" w:sz="0" w:space="0" w:color="auto"/>
          </w:divBdr>
        </w:div>
        <w:div w:id="250478694">
          <w:marLeft w:val="0"/>
          <w:marRight w:val="0"/>
          <w:marTop w:val="0"/>
          <w:marBottom w:val="0"/>
          <w:divBdr>
            <w:top w:val="none" w:sz="0" w:space="0" w:color="auto"/>
            <w:left w:val="none" w:sz="0" w:space="0" w:color="auto"/>
            <w:bottom w:val="none" w:sz="0" w:space="0" w:color="auto"/>
            <w:right w:val="none" w:sz="0" w:space="0" w:color="auto"/>
          </w:divBdr>
        </w:div>
        <w:div w:id="395013908">
          <w:marLeft w:val="0"/>
          <w:marRight w:val="0"/>
          <w:marTop w:val="0"/>
          <w:marBottom w:val="0"/>
          <w:divBdr>
            <w:top w:val="none" w:sz="0" w:space="0" w:color="auto"/>
            <w:left w:val="none" w:sz="0" w:space="0" w:color="auto"/>
            <w:bottom w:val="none" w:sz="0" w:space="0" w:color="auto"/>
            <w:right w:val="none" w:sz="0" w:space="0" w:color="auto"/>
          </w:divBdr>
        </w:div>
        <w:div w:id="397292187">
          <w:marLeft w:val="0"/>
          <w:marRight w:val="0"/>
          <w:marTop w:val="0"/>
          <w:marBottom w:val="0"/>
          <w:divBdr>
            <w:top w:val="none" w:sz="0" w:space="0" w:color="auto"/>
            <w:left w:val="none" w:sz="0" w:space="0" w:color="auto"/>
            <w:bottom w:val="none" w:sz="0" w:space="0" w:color="auto"/>
            <w:right w:val="none" w:sz="0" w:space="0" w:color="auto"/>
          </w:divBdr>
        </w:div>
        <w:div w:id="408576002">
          <w:marLeft w:val="0"/>
          <w:marRight w:val="0"/>
          <w:marTop w:val="0"/>
          <w:marBottom w:val="0"/>
          <w:divBdr>
            <w:top w:val="none" w:sz="0" w:space="0" w:color="auto"/>
            <w:left w:val="none" w:sz="0" w:space="0" w:color="auto"/>
            <w:bottom w:val="none" w:sz="0" w:space="0" w:color="auto"/>
            <w:right w:val="none" w:sz="0" w:space="0" w:color="auto"/>
          </w:divBdr>
        </w:div>
        <w:div w:id="781149950">
          <w:marLeft w:val="0"/>
          <w:marRight w:val="0"/>
          <w:marTop w:val="0"/>
          <w:marBottom w:val="0"/>
          <w:divBdr>
            <w:top w:val="none" w:sz="0" w:space="0" w:color="auto"/>
            <w:left w:val="none" w:sz="0" w:space="0" w:color="auto"/>
            <w:bottom w:val="none" w:sz="0" w:space="0" w:color="auto"/>
            <w:right w:val="none" w:sz="0" w:space="0" w:color="auto"/>
          </w:divBdr>
        </w:div>
        <w:div w:id="860631312">
          <w:marLeft w:val="0"/>
          <w:marRight w:val="0"/>
          <w:marTop w:val="0"/>
          <w:marBottom w:val="0"/>
          <w:divBdr>
            <w:top w:val="none" w:sz="0" w:space="0" w:color="auto"/>
            <w:left w:val="none" w:sz="0" w:space="0" w:color="auto"/>
            <w:bottom w:val="none" w:sz="0" w:space="0" w:color="auto"/>
            <w:right w:val="none" w:sz="0" w:space="0" w:color="auto"/>
          </w:divBdr>
        </w:div>
        <w:div w:id="876965298">
          <w:marLeft w:val="0"/>
          <w:marRight w:val="0"/>
          <w:marTop w:val="0"/>
          <w:marBottom w:val="0"/>
          <w:divBdr>
            <w:top w:val="none" w:sz="0" w:space="0" w:color="auto"/>
            <w:left w:val="none" w:sz="0" w:space="0" w:color="auto"/>
            <w:bottom w:val="none" w:sz="0" w:space="0" w:color="auto"/>
            <w:right w:val="none" w:sz="0" w:space="0" w:color="auto"/>
          </w:divBdr>
        </w:div>
        <w:div w:id="919561234">
          <w:marLeft w:val="0"/>
          <w:marRight w:val="0"/>
          <w:marTop w:val="0"/>
          <w:marBottom w:val="0"/>
          <w:divBdr>
            <w:top w:val="none" w:sz="0" w:space="0" w:color="auto"/>
            <w:left w:val="none" w:sz="0" w:space="0" w:color="auto"/>
            <w:bottom w:val="none" w:sz="0" w:space="0" w:color="auto"/>
            <w:right w:val="none" w:sz="0" w:space="0" w:color="auto"/>
          </w:divBdr>
        </w:div>
        <w:div w:id="1224293623">
          <w:marLeft w:val="0"/>
          <w:marRight w:val="0"/>
          <w:marTop w:val="0"/>
          <w:marBottom w:val="0"/>
          <w:divBdr>
            <w:top w:val="none" w:sz="0" w:space="0" w:color="auto"/>
            <w:left w:val="none" w:sz="0" w:space="0" w:color="auto"/>
            <w:bottom w:val="none" w:sz="0" w:space="0" w:color="auto"/>
            <w:right w:val="none" w:sz="0" w:space="0" w:color="auto"/>
          </w:divBdr>
        </w:div>
        <w:div w:id="1377393729">
          <w:marLeft w:val="0"/>
          <w:marRight w:val="0"/>
          <w:marTop w:val="0"/>
          <w:marBottom w:val="0"/>
          <w:divBdr>
            <w:top w:val="none" w:sz="0" w:space="0" w:color="auto"/>
            <w:left w:val="none" w:sz="0" w:space="0" w:color="auto"/>
            <w:bottom w:val="none" w:sz="0" w:space="0" w:color="auto"/>
            <w:right w:val="none" w:sz="0" w:space="0" w:color="auto"/>
          </w:divBdr>
        </w:div>
        <w:div w:id="1553035120">
          <w:marLeft w:val="0"/>
          <w:marRight w:val="0"/>
          <w:marTop w:val="0"/>
          <w:marBottom w:val="0"/>
          <w:divBdr>
            <w:top w:val="none" w:sz="0" w:space="0" w:color="auto"/>
            <w:left w:val="none" w:sz="0" w:space="0" w:color="auto"/>
            <w:bottom w:val="none" w:sz="0" w:space="0" w:color="auto"/>
            <w:right w:val="none" w:sz="0" w:space="0" w:color="auto"/>
          </w:divBdr>
        </w:div>
        <w:div w:id="1747796446">
          <w:marLeft w:val="0"/>
          <w:marRight w:val="0"/>
          <w:marTop w:val="0"/>
          <w:marBottom w:val="0"/>
          <w:divBdr>
            <w:top w:val="none" w:sz="0" w:space="0" w:color="auto"/>
            <w:left w:val="none" w:sz="0" w:space="0" w:color="auto"/>
            <w:bottom w:val="none" w:sz="0" w:space="0" w:color="auto"/>
            <w:right w:val="none" w:sz="0" w:space="0" w:color="auto"/>
          </w:divBdr>
        </w:div>
        <w:div w:id="1791707981">
          <w:marLeft w:val="0"/>
          <w:marRight w:val="0"/>
          <w:marTop w:val="0"/>
          <w:marBottom w:val="0"/>
          <w:divBdr>
            <w:top w:val="none" w:sz="0" w:space="0" w:color="auto"/>
            <w:left w:val="none" w:sz="0" w:space="0" w:color="auto"/>
            <w:bottom w:val="none" w:sz="0" w:space="0" w:color="auto"/>
            <w:right w:val="none" w:sz="0" w:space="0" w:color="auto"/>
          </w:divBdr>
        </w:div>
        <w:div w:id="1815364927">
          <w:marLeft w:val="0"/>
          <w:marRight w:val="0"/>
          <w:marTop w:val="0"/>
          <w:marBottom w:val="0"/>
          <w:divBdr>
            <w:top w:val="none" w:sz="0" w:space="0" w:color="auto"/>
            <w:left w:val="none" w:sz="0" w:space="0" w:color="auto"/>
            <w:bottom w:val="none" w:sz="0" w:space="0" w:color="auto"/>
            <w:right w:val="none" w:sz="0" w:space="0" w:color="auto"/>
          </w:divBdr>
        </w:div>
        <w:div w:id="1836801901">
          <w:marLeft w:val="0"/>
          <w:marRight w:val="0"/>
          <w:marTop w:val="0"/>
          <w:marBottom w:val="0"/>
          <w:divBdr>
            <w:top w:val="none" w:sz="0" w:space="0" w:color="auto"/>
            <w:left w:val="none" w:sz="0" w:space="0" w:color="auto"/>
            <w:bottom w:val="none" w:sz="0" w:space="0" w:color="auto"/>
            <w:right w:val="none" w:sz="0" w:space="0" w:color="auto"/>
          </w:divBdr>
        </w:div>
        <w:div w:id="1851751229">
          <w:marLeft w:val="0"/>
          <w:marRight w:val="0"/>
          <w:marTop w:val="0"/>
          <w:marBottom w:val="0"/>
          <w:divBdr>
            <w:top w:val="none" w:sz="0" w:space="0" w:color="auto"/>
            <w:left w:val="none" w:sz="0" w:space="0" w:color="auto"/>
            <w:bottom w:val="none" w:sz="0" w:space="0" w:color="auto"/>
            <w:right w:val="none" w:sz="0" w:space="0" w:color="auto"/>
          </w:divBdr>
        </w:div>
        <w:div w:id="1922448513">
          <w:marLeft w:val="0"/>
          <w:marRight w:val="0"/>
          <w:marTop w:val="0"/>
          <w:marBottom w:val="0"/>
          <w:divBdr>
            <w:top w:val="none" w:sz="0" w:space="0" w:color="auto"/>
            <w:left w:val="none" w:sz="0" w:space="0" w:color="auto"/>
            <w:bottom w:val="none" w:sz="0" w:space="0" w:color="auto"/>
            <w:right w:val="none" w:sz="0" w:space="0" w:color="auto"/>
          </w:divBdr>
        </w:div>
        <w:div w:id="1983536622">
          <w:marLeft w:val="0"/>
          <w:marRight w:val="0"/>
          <w:marTop w:val="0"/>
          <w:marBottom w:val="0"/>
          <w:divBdr>
            <w:top w:val="none" w:sz="0" w:space="0" w:color="auto"/>
            <w:left w:val="none" w:sz="0" w:space="0" w:color="auto"/>
            <w:bottom w:val="none" w:sz="0" w:space="0" w:color="auto"/>
            <w:right w:val="none" w:sz="0" w:space="0" w:color="auto"/>
          </w:divBdr>
        </w:div>
        <w:div w:id="2023044371">
          <w:marLeft w:val="0"/>
          <w:marRight w:val="0"/>
          <w:marTop w:val="0"/>
          <w:marBottom w:val="0"/>
          <w:divBdr>
            <w:top w:val="none" w:sz="0" w:space="0" w:color="auto"/>
            <w:left w:val="none" w:sz="0" w:space="0" w:color="auto"/>
            <w:bottom w:val="none" w:sz="0" w:space="0" w:color="auto"/>
            <w:right w:val="none" w:sz="0" w:space="0" w:color="auto"/>
          </w:divBdr>
        </w:div>
      </w:divsChild>
    </w:div>
    <w:div w:id="1832672075">
      <w:bodyDiv w:val="1"/>
      <w:marLeft w:val="0"/>
      <w:marRight w:val="0"/>
      <w:marTop w:val="0"/>
      <w:marBottom w:val="0"/>
      <w:divBdr>
        <w:top w:val="none" w:sz="0" w:space="0" w:color="auto"/>
        <w:left w:val="none" w:sz="0" w:space="0" w:color="auto"/>
        <w:bottom w:val="none" w:sz="0" w:space="0" w:color="auto"/>
        <w:right w:val="none" w:sz="0" w:space="0" w:color="auto"/>
      </w:divBdr>
    </w:div>
    <w:div w:id="1937902829">
      <w:bodyDiv w:val="1"/>
      <w:marLeft w:val="0"/>
      <w:marRight w:val="0"/>
      <w:marTop w:val="0"/>
      <w:marBottom w:val="0"/>
      <w:divBdr>
        <w:top w:val="none" w:sz="0" w:space="0" w:color="auto"/>
        <w:left w:val="none" w:sz="0" w:space="0" w:color="auto"/>
        <w:bottom w:val="none" w:sz="0" w:space="0" w:color="auto"/>
        <w:right w:val="none" w:sz="0" w:space="0" w:color="auto"/>
      </w:divBdr>
    </w:div>
    <w:div w:id="2038314479">
      <w:bodyDiv w:val="1"/>
      <w:marLeft w:val="0"/>
      <w:marRight w:val="0"/>
      <w:marTop w:val="0"/>
      <w:marBottom w:val="0"/>
      <w:divBdr>
        <w:top w:val="none" w:sz="0" w:space="0" w:color="auto"/>
        <w:left w:val="none" w:sz="0" w:space="0" w:color="auto"/>
        <w:bottom w:val="none" w:sz="0" w:space="0" w:color="auto"/>
        <w:right w:val="none" w:sz="0" w:space="0" w:color="auto"/>
      </w:divBdr>
    </w:div>
    <w:div w:id="2051151739">
      <w:bodyDiv w:val="1"/>
      <w:marLeft w:val="0"/>
      <w:marRight w:val="0"/>
      <w:marTop w:val="0"/>
      <w:marBottom w:val="0"/>
      <w:divBdr>
        <w:top w:val="none" w:sz="0" w:space="0" w:color="auto"/>
        <w:left w:val="none" w:sz="0" w:space="0" w:color="auto"/>
        <w:bottom w:val="none" w:sz="0" w:space="0" w:color="auto"/>
        <w:right w:val="none" w:sz="0" w:space="0" w:color="auto"/>
      </w:divBdr>
    </w:div>
    <w:div w:id="2051880630">
      <w:bodyDiv w:val="1"/>
      <w:marLeft w:val="0"/>
      <w:marRight w:val="0"/>
      <w:marTop w:val="0"/>
      <w:marBottom w:val="0"/>
      <w:divBdr>
        <w:top w:val="none" w:sz="0" w:space="0" w:color="auto"/>
        <w:left w:val="none" w:sz="0" w:space="0" w:color="auto"/>
        <w:bottom w:val="none" w:sz="0" w:space="0" w:color="auto"/>
        <w:right w:val="none" w:sz="0" w:space="0" w:color="auto"/>
      </w:divBdr>
      <w:divsChild>
        <w:div w:id="145518330">
          <w:marLeft w:val="0"/>
          <w:marRight w:val="0"/>
          <w:marTop w:val="0"/>
          <w:marBottom w:val="0"/>
          <w:divBdr>
            <w:top w:val="none" w:sz="0" w:space="0" w:color="auto"/>
            <w:left w:val="none" w:sz="0" w:space="0" w:color="auto"/>
            <w:bottom w:val="none" w:sz="0" w:space="0" w:color="auto"/>
            <w:right w:val="none" w:sz="0" w:space="0" w:color="auto"/>
          </w:divBdr>
        </w:div>
        <w:div w:id="179785015">
          <w:marLeft w:val="0"/>
          <w:marRight w:val="0"/>
          <w:marTop w:val="0"/>
          <w:marBottom w:val="0"/>
          <w:divBdr>
            <w:top w:val="none" w:sz="0" w:space="0" w:color="auto"/>
            <w:left w:val="none" w:sz="0" w:space="0" w:color="auto"/>
            <w:bottom w:val="none" w:sz="0" w:space="0" w:color="auto"/>
            <w:right w:val="none" w:sz="0" w:space="0" w:color="auto"/>
          </w:divBdr>
        </w:div>
        <w:div w:id="195848968">
          <w:marLeft w:val="0"/>
          <w:marRight w:val="0"/>
          <w:marTop w:val="0"/>
          <w:marBottom w:val="0"/>
          <w:divBdr>
            <w:top w:val="none" w:sz="0" w:space="0" w:color="auto"/>
            <w:left w:val="none" w:sz="0" w:space="0" w:color="auto"/>
            <w:bottom w:val="none" w:sz="0" w:space="0" w:color="auto"/>
            <w:right w:val="none" w:sz="0" w:space="0" w:color="auto"/>
          </w:divBdr>
        </w:div>
        <w:div w:id="647631650">
          <w:marLeft w:val="0"/>
          <w:marRight w:val="0"/>
          <w:marTop w:val="0"/>
          <w:marBottom w:val="0"/>
          <w:divBdr>
            <w:top w:val="none" w:sz="0" w:space="0" w:color="auto"/>
            <w:left w:val="none" w:sz="0" w:space="0" w:color="auto"/>
            <w:bottom w:val="none" w:sz="0" w:space="0" w:color="auto"/>
            <w:right w:val="none" w:sz="0" w:space="0" w:color="auto"/>
          </w:divBdr>
        </w:div>
        <w:div w:id="648752033">
          <w:marLeft w:val="0"/>
          <w:marRight w:val="0"/>
          <w:marTop w:val="0"/>
          <w:marBottom w:val="0"/>
          <w:divBdr>
            <w:top w:val="none" w:sz="0" w:space="0" w:color="auto"/>
            <w:left w:val="none" w:sz="0" w:space="0" w:color="auto"/>
            <w:bottom w:val="none" w:sz="0" w:space="0" w:color="auto"/>
            <w:right w:val="none" w:sz="0" w:space="0" w:color="auto"/>
          </w:divBdr>
        </w:div>
        <w:div w:id="731075840">
          <w:marLeft w:val="0"/>
          <w:marRight w:val="0"/>
          <w:marTop w:val="0"/>
          <w:marBottom w:val="0"/>
          <w:divBdr>
            <w:top w:val="none" w:sz="0" w:space="0" w:color="auto"/>
            <w:left w:val="none" w:sz="0" w:space="0" w:color="auto"/>
            <w:bottom w:val="none" w:sz="0" w:space="0" w:color="auto"/>
            <w:right w:val="none" w:sz="0" w:space="0" w:color="auto"/>
          </w:divBdr>
        </w:div>
        <w:div w:id="756249453">
          <w:marLeft w:val="0"/>
          <w:marRight w:val="0"/>
          <w:marTop w:val="0"/>
          <w:marBottom w:val="0"/>
          <w:divBdr>
            <w:top w:val="none" w:sz="0" w:space="0" w:color="auto"/>
            <w:left w:val="none" w:sz="0" w:space="0" w:color="auto"/>
            <w:bottom w:val="none" w:sz="0" w:space="0" w:color="auto"/>
            <w:right w:val="none" w:sz="0" w:space="0" w:color="auto"/>
          </w:divBdr>
        </w:div>
        <w:div w:id="806749156">
          <w:marLeft w:val="0"/>
          <w:marRight w:val="0"/>
          <w:marTop w:val="0"/>
          <w:marBottom w:val="0"/>
          <w:divBdr>
            <w:top w:val="none" w:sz="0" w:space="0" w:color="auto"/>
            <w:left w:val="none" w:sz="0" w:space="0" w:color="auto"/>
            <w:bottom w:val="none" w:sz="0" w:space="0" w:color="auto"/>
            <w:right w:val="none" w:sz="0" w:space="0" w:color="auto"/>
          </w:divBdr>
        </w:div>
        <w:div w:id="952176392">
          <w:marLeft w:val="0"/>
          <w:marRight w:val="0"/>
          <w:marTop w:val="0"/>
          <w:marBottom w:val="0"/>
          <w:divBdr>
            <w:top w:val="none" w:sz="0" w:space="0" w:color="auto"/>
            <w:left w:val="none" w:sz="0" w:space="0" w:color="auto"/>
            <w:bottom w:val="none" w:sz="0" w:space="0" w:color="auto"/>
            <w:right w:val="none" w:sz="0" w:space="0" w:color="auto"/>
          </w:divBdr>
        </w:div>
        <w:div w:id="1028873138">
          <w:marLeft w:val="0"/>
          <w:marRight w:val="0"/>
          <w:marTop w:val="0"/>
          <w:marBottom w:val="0"/>
          <w:divBdr>
            <w:top w:val="none" w:sz="0" w:space="0" w:color="auto"/>
            <w:left w:val="none" w:sz="0" w:space="0" w:color="auto"/>
            <w:bottom w:val="none" w:sz="0" w:space="0" w:color="auto"/>
            <w:right w:val="none" w:sz="0" w:space="0" w:color="auto"/>
          </w:divBdr>
        </w:div>
        <w:div w:id="1192034323">
          <w:marLeft w:val="0"/>
          <w:marRight w:val="0"/>
          <w:marTop w:val="0"/>
          <w:marBottom w:val="0"/>
          <w:divBdr>
            <w:top w:val="none" w:sz="0" w:space="0" w:color="auto"/>
            <w:left w:val="none" w:sz="0" w:space="0" w:color="auto"/>
            <w:bottom w:val="none" w:sz="0" w:space="0" w:color="auto"/>
            <w:right w:val="none" w:sz="0" w:space="0" w:color="auto"/>
          </w:divBdr>
        </w:div>
        <w:div w:id="1227689026">
          <w:marLeft w:val="0"/>
          <w:marRight w:val="0"/>
          <w:marTop w:val="0"/>
          <w:marBottom w:val="0"/>
          <w:divBdr>
            <w:top w:val="none" w:sz="0" w:space="0" w:color="auto"/>
            <w:left w:val="none" w:sz="0" w:space="0" w:color="auto"/>
            <w:bottom w:val="none" w:sz="0" w:space="0" w:color="auto"/>
            <w:right w:val="none" w:sz="0" w:space="0" w:color="auto"/>
          </w:divBdr>
        </w:div>
        <w:div w:id="1451512196">
          <w:marLeft w:val="0"/>
          <w:marRight w:val="0"/>
          <w:marTop w:val="0"/>
          <w:marBottom w:val="0"/>
          <w:divBdr>
            <w:top w:val="none" w:sz="0" w:space="0" w:color="auto"/>
            <w:left w:val="none" w:sz="0" w:space="0" w:color="auto"/>
            <w:bottom w:val="none" w:sz="0" w:space="0" w:color="auto"/>
            <w:right w:val="none" w:sz="0" w:space="0" w:color="auto"/>
          </w:divBdr>
        </w:div>
        <w:div w:id="1493178752">
          <w:marLeft w:val="0"/>
          <w:marRight w:val="0"/>
          <w:marTop w:val="0"/>
          <w:marBottom w:val="0"/>
          <w:divBdr>
            <w:top w:val="none" w:sz="0" w:space="0" w:color="auto"/>
            <w:left w:val="none" w:sz="0" w:space="0" w:color="auto"/>
            <w:bottom w:val="none" w:sz="0" w:space="0" w:color="auto"/>
            <w:right w:val="none" w:sz="0" w:space="0" w:color="auto"/>
          </w:divBdr>
        </w:div>
        <w:div w:id="1506673060">
          <w:marLeft w:val="0"/>
          <w:marRight w:val="0"/>
          <w:marTop w:val="0"/>
          <w:marBottom w:val="0"/>
          <w:divBdr>
            <w:top w:val="none" w:sz="0" w:space="0" w:color="auto"/>
            <w:left w:val="none" w:sz="0" w:space="0" w:color="auto"/>
            <w:bottom w:val="none" w:sz="0" w:space="0" w:color="auto"/>
            <w:right w:val="none" w:sz="0" w:space="0" w:color="auto"/>
          </w:divBdr>
        </w:div>
        <w:div w:id="1780491321">
          <w:marLeft w:val="0"/>
          <w:marRight w:val="0"/>
          <w:marTop w:val="0"/>
          <w:marBottom w:val="0"/>
          <w:divBdr>
            <w:top w:val="none" w:sz="0" w:space="0" w:color="auto"/>
            <w:left w:val="none" w:sz="0" w:space="0" w:color="auto"/>
            <w:bottom w:val="none" w:sz="0" w:space="0" w:color="auto"/>
            <w:right w:val="none" w:sz="0" w:space="0" w:color="auto"/>
          </w:divBdr>
        </w:div>
        <w:div w:id="1809011633">
          <w:marLeft w:val="0"/>
          <w:marRight w:val="0"/>
          <w:marTop w:val="0"/>
          <w:marBottom w:val="0"/>
          <w:divBdr>
            <w:top w:val="none" w:sz="0" w:space="0" w:color="auto"/>
            <w:left w:val="none" w:sz="0" w:space="0" w:color="auto"/>
            <w:bottom w:val="none" w:sz="0" w:space="0" w:color="auto"/>
            <w:right w:val="none" w:sz="0" w:space="0" w:color="auto"/>
          </w:divBdr>
        </w:div>
        <w:div w:id="1823814470">
          <w:marLeft w:val="0"/>
          <w:marRight w:val="0"/>
          <w:marTop w:val="0"/>
          <w:marBottom w:val="0"/>
          <w:divBdr>
            <w:top w:val="none" w:sz="0" w:space="0" w:color="auto"/>
            <w:left w:val="none" w:sz="0" w:space="0" w:color="auto"/>
            <w:bottom w:val="none" w:sz="0" w:space="0" w:color="auto"/>
            <w:right w:val="none" w:sz="0" w:space="0" w:color="auto"/>
          </w:divBdr>
        </w:div>
        <w:div w:id="1848865964">
          <w:marLeft w:val="0"/>
          <w:marRight w:val="0"/>
          <w:marTop w:val="0"/>
          <w:marBottom w:val="0"/>
          <w:divBdr>
            <w:top w:val="none" w:sz="0" w:space="0" w:color="auto"/>
            <w:left w:val="none" w:sz="0" w:space="0" w:color="auto"/>
            <w:bottom w:val="none" w:sz="0" w:space="0" w:color="auto"/>
            <w:right w:val="none" w:sz="0" w:space="0" w:color="auto"/>
          </w:divBdr>
        </w:div>
        <w:div w:id="1871332503">
          <w:marLeft w:val="0"/>
          <w:marRight w:val="0"/>
          <w:marTop w:val="0"/>
          <w:marBottom w:val="0"/>
          <w:divBdr>
            <w:top w:val="none" w:sz="0" w:space="0" w:color="auto"/>
            <w:left w:val="none" w:sz="0" w:space="0" w:color="auto"/>
            <w:bottom w:val="none" w:sz="0" w:space="0" w:color="auto"/>
            <w:right w:val="none" w:sz="0" w:space="0" w:color="auto"/>
          </w:divBdr>
        </w:div>
        <w:div w:id="2048067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dpmc.govt.nz/sites/default/files/2024-04/factsheet-target-9-reduced-net-greenhouse-gas-emissions-8april24.pdf" TargetMode="External"/><Relationship Id="rId21" Type="http://schemas.openxmlformats.org/officeDocument/2006/relationships/hyperlink" Target="https://environment.govt.nz/news/rma-national-direction-updated/" TargetMode="External"/><Relationship Id="rId42" Type="http://schemas.openxmlformats.org/officeDocument/2006/relationships/hyperlink" Target="https://environment.govt.nz/assets/publications/strategic-intentions-2025-29-web.pdf" TargetMode="External"/><Relationship Id="rId63" Type="http://schemas.openxmlformats.org/officeDocument/2006/relationships/hyperlink" Target="https://environment.govt.nz/publications/our-marine-environment-2025/" TargetMode="External"/><Relationship Id="rId84" Type="http://schemas.openxmlformats.org/officeDocument/2006/relationships/hyperlink" Target="https://environment.govt.nz/facts-and-science/environmental-reporting/" TargetMode="External"/><Relationship Id="rId16" Type="http://schemas.openxmlformats.org/officeDocument/2006/relationships/image" Target="media/image2.png"/><Relationship Id="rId107" Type="http://schemas.openxmlformats.org/officeDocument/2006/relationships/header" Target="header1.xml"/><Relationship Id="rId11" Type="http://schemas.openxmlformats.org/officeDocument/2006/relationships/endnotes" Target="endnotes.xml"/><Relationship Id="rId32" Type="http://schemas.openxmlformats.org/officeDocument/2006/relationships/image" Target="media/image4.jpg"/><Relationship Id="rId37" Type="http://schemas.openxmlformats.org/officeDocument/2006/relationships/hyperlink" Target="https://environment.govt.nz/facts-and-science/climate-change/new-zealands-greenhouse-gas-inventory/" TargetMode="External"/><Relationship Id="rId53" Type="http://schemas.openxmlformats.org/officeDocument/2006/relationships/hyperlink" Target="https://www.dpmc.govt.nz/our-programmes/government-targets/government-targets-quarterly-reports" TargetMode="External"/><Relationship Id="rId58" Type="http://schemas.openxmlformats.org/officeDocument/2006/relationships/hyperlink" Target="https://www.etsauctions.govt.nz/" TargetMode="External"/><Relationship Id="rId74" Type="http://schemas.openxmlformats.org/officeDocument/2006/relationships/hyperlink" Target="https://www.legislation.govt.nz/secondary-legislation/pco-drafted/2009/144/en/latest/" TargetMode="External"/><Relationship Id="rId79" Type="http://schemas.openxmlformats.org/officeDocument/2006/relationships/hyperlink" Target="https://environment.govt.nz/assets/publications/strategic-intentions-2025-29-web.pdf" TargetMode="External"/><Relationship Id="rId102" Type="http://schemas.openxmlformats.org/officeDocument/2006/relationships/hyperlink" Target="https://environment.govt.nz/what-government-is-doing/areas-of-work/climate-change/emissions-budgets-and-the-emissions-reduction-plan/" TargetMode="External"/><Relationship Id="rId123" Type="http://schemas.openxmlformats.org/officeDocument/2006/relationships/image" Target="media/image16.png"/><Relationship Id="rId128" Type="http://schemas.openxmlformats.org/officeDocument/2006/relationships/header" Target="header7.xml"/><Relationship Id="rId5" Type="http://schemas.openxmlformats.org/officeDocument/2006/relationships/customXml" Target="../customXml/item5.xml"/><Relationship Id="rId90" Type="http://schemas.openxmlformats.org/officeDocument/2006/relationships/hyperlink" Target="https://environment.govt.nz/assets/publications/CCCE-Board/Climate-Change-Chief-Executives-Board-Statement-of-Intent-2023-2027.pdf" TargetMode="External"/><Relationship Id="rId95" Type="http://schemas.openxmlformats.org/officeDocument/2006/relationships/image" Target="media/image9.jpg"/><Relationship Id="rId22" Type="http://schemas.openxmlformats.org/officeDocument/2006/relationships/hyperlink" Target="https://bills.parliament.nz/v/6/ba467863-d6b0-4968-1027-08de369d9192?lang=en" TargetMode="External"/><Relationship Id="rId27" Type="http://schemas.openxmlformats.org/officeDocument/2006/relationships/hyperlink" Target="https://bills.parliament.nz/v/6/82757c25-6c68-4899-d446-08dee1f07e09?lang=en&amp;Tab=history" TargetMode="External"/><Relationship Id="rId43" Type="http://schemas.openxmlformats.org/officeDocument/2006/relationships/hyperlink" Target="https://environment.govt.nz/what-government-is-doing/areas-of-work/climate-change/emissions-reductions/emissions-reduction-targets/government-target-9-quarterly-reporting/" TargetMode="External"/><Relationship Id="rId48" Type="http://schemas.openxmlformats.org/officeDocument/2006/relationships/hyperlink" Target="https://environment.govt.nz/what-government-is-doing/areas-of-work/climate-change/emissions-reductions/emissions-budgets-and-the-emissions-reduction-plan/" TargetMode="External"/><Relationship Id="rId64" Type="http://schemas.openxmlformats.org/officeDocument/2006/relationships/hyperlink" Target="https://environment.govt.nz/publications/our-freshwater-2026/" TargetMode="External"/><Relationship Id="rId69" Type="http://schemas.openxmlformats.org/officeDocument/2006/relationships/hyperlink" Target="https://environment.govt.nz/news/budget-2026/" TargetMode="External"/><Relationship Id="rId113" Type="http://schemas.openxmlformats.org/officeDocument/2006/relationships/header" Target="header5.xml"/><Relationship Id="rId118" Type="http://schemas.openxmlformats.org/officeDocument/2006/relationships/hyperlink" Target="https://environment.govt.nz/assets/publications/climate-change/2025-government-response-to-CCC-emissions-reduction-monitoring-report.pdf" TargetMode="External"/><Relationship Id="rId134" Type="http://schemas.openxmlformats.org/officeDocument/2006/relationships/footer" Target="footer5.xml"/><Relationship Id="rId80" Type="http://schemas.openxmlformats.org/officeDocument/2006/relationships/hyperlink" Target="https://www.dpmc.govt.nz/our-programmes/policy-project/policy-quality" TargetMode="External"/><Relationship Id="rId85" Type="http://schemas.openxmlformats.org/officeDocument/2006/relationships/hyperlink" Target="https://www.tyrewise.co.nz/category/reports/" TargetMode="External"/><Relationship Id="rId12" Type="http://schemas.openxmlformats.org/officeDocument/2006/relationships/image" Target="media/image1.jpg"/><Relationship Id="rId17" Type="http://schemas.openxmlformats.org/officeDocument/2006/relationships/image" Target="media/image3.jpg"/><Relationship Id="rId33" Type="http://schemas.openxmlformats.org/officeDocument/2006/relationships/image" Target="media/image5.jpg"/><Relationship Id="rId38" Type="http://schemas.openxmlformats.org/officeDocument/2006/relationships/hyperlink" Target="https://environment.govt.nz/assets/publications/New-Zealands-first-Biennial-Transparency-Report-2024.pdf" TargetMode="External"/><Relationship Id="rId59" Type="http://schemas.openxmlformats.org/officeDocument/2006/relationships/hyperlink" Target="https://environment.govt.nz/publications/new-zealands-greenhouse-gas-inventory-19902024/" TargetMode="External"/><Relationship Id="rId103" Type="http://schemas.openxmlformats.org/officeDocument/2006/relationships/image" Target="media/image12.png"/><Relationship Id="rId108" Type="http://schemas.openxmlformats.org/officeDocument/2006/relationships/header" Target="header2.xml"/><Relationship Id="rId124" Type="http://schemas.openxmlformats.org/officeDocument/2006/relationships/image" Target="media/image17.png"/><Relationship Id="rId129" Type="http://schemas.openxmlformats.org/officeDocument/2006/relationships/hyperlink" Target="mailto:info@mfe.govt.nz" TargetMode="External"/><Relationship Id="rId54" Type="http://schemas.openxmlformats.org/officeDocument/2006/relationships/hyperlink" Target="https://www.treasury.govt.nz/sites/default/files/2025-05/b25-sum-initiatives.pdf" TargetMode="External"/><Relationship Id="rId70" Type="http://schemas.openxmlformats.org/officeDocument/2006/relationships/hyperlink" Target="https://mfenz.shinyapps.io/waste_wmf_app/" TargetMode="External"/><Relationship Id="rId75" Type="http://schemas.openxmlformats.org/officeDocument/2006/relationships/hyperlink" Target="https://www.legislation.govt.nz/act/public/2008/89/en/2016-01-01/" TargetMode="External"/><Relationship Id="rId91" Type="http://schemas.openxmlformats.org/officeDocument/2006/relationships/image" Target="media/image6.jpg"/><Relationship Id="rId96"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bills.parliament.nz/v/6/394369fc-5ba2-4d8a-1026-08de369d9192?lang=en&amp;Tab=history" TargetMode="External"/><Relationship Id="rId28" Type="http://schemas.openxmlformats.org/officeDocument/2006/relationships/hyperlink" Target="https://www.legislation.govt.nz/secondary-legislation/pco-drafted/2024/83/en/latest/" TargetMode="External"/><Relationship Id="rId49" Type="http://schemas.openxmlformats.org/officeDocument/2006/relationships/hyperlink" Target="https://environment.govt.nz/assets/publications/climate-change/ERP2/New-Zealands-second-emissions-reduction-plan-Technical-annex-Amended-January-2026.pdf" TargetMode="External"/><Relationship Id="rId114" Type="http://schemas.openxmlformats.org/officeDocument/2006/relationships/header" Target="header6.xml"/><Relationship Id="rId119" Type="http://schemas.openxmlformats.org/officeDocument/2006/relationships/hyperlink" Target="https://www.xrb.govt.nz/standards/accounting-standards/public-sector-standards/standards-list/pbe-frs-48/" TargetMode="External"/><Relationship Id="rId44" Type="http://schemas.openxmlformats.org/officeDocument/2006/relationships/hyperlink" Target="https://environment.govt.nz/facts-and-science/climate-change/new-zealands-greenhouse-gas-inventory/" TargetMode="External"/><Relationship Id="rId60" Type="http://schemas.openxmlformats.org/officeDocument/2006/relationships/hyperlink" Target="https://environment.govt.nz/assets/publications/climate-change/2025-government-response-to-CCC-emissions-reduction-monitoring-report.pdf" TargetMode="External"/><Relationship Id="rId65" Type="http://schemas.openxmlformats.org/officeDocument/2006/relationships/hyperlink" Target="https://bills.parliament.nz/v/6/394369fc-5ba2-4d8a-1026-08de369d9192?lang=en&amp;Tab=history" TargetMode="External"/><Relationship Id="rId81" Type="http://schemas.openxmlformats.org/officeDocument/2006/relationships/hyperlink" Target="https://www.regulation.govt.nz/for-agencies/developing-policy/regulatory-impact-analysis-ria/" TargetMode="External"/><Relationship Id="rId86" Type="http://schemas.openxmlformats.org/officeDocument/2006/relationships/hyperlink" Target="https://environment.govt.nz/assets/publications/waste-and-resource-efficiency-work-programme-2024-26.pdf" TargetMode="External"/><Relationship Id="rId130" Type="http://schemas.openxmlformats.org/officeDocument/2006/relationships/hyperlink" Target="https://environment.govt.nz/" TargetMode="External"/><Relationship Id="rId135" Type="http://schemas.openxmlformats.org/officeDocument/2006/relationships/fontTable" Target="fontTable.xml"/><Relationship Id="rId13" Type="http://schemas.openxmlformats.org/officeDocument/2006/relationships/hyperlink" Target="https://creativecommons.org/licenses/by/4.0/" TargetMode="External"/><Relationship Id="rId18" Type="http://schemas.openxmlformats.org/officeDocument/2006/relationships/hyperlink" Target="https://environment.govt.nz/assets/publications/strategic-intentions-2025-29-web.pdf" TargetMode="External"/><Relationship Id="rId39" Type="http://schemas.openxmlformats.org/officeDocument/2006/relationships/hyperlink" Target="https://environment.govt.nz/assets/publications/Environmental-Reporting/our-water-our-lives.pdf" TargetMode="External"/><Relationship Id="rId109" Type="http://schemas.openxmlformats.org/officeDocument/2006/relationships/hyperlink" Target="https://www.legislation.govt.nz/act/public/2002/40/en/latest/" TargetMode="External"/><Relationship Id="rId34" Type="http://schemas.openxmlformats.org/officeDocument/2006/relationships/hyperlink" Target="https://environment.govt.nz/assets/publications/Environmental-Reporting/our-marine-environment-2025.pdf?v=72da60e234c87b8b741d62b7b9511e96f18d801e" TargetMode="External"/><Relationship Id="rId50" Type="http://schemas.openxmlformats.org/officeDocument/2006/relationships/hyperlink" Target="https://www.legislation.govt.nz/act/public/2002/40/en/latest/" TargetMode="External"/><Relationship Id="rId55" Type="http://schemas.openxmlformats.org/officeDocument/2006/relationships/hyperlink" Target="https://www.treasury.govt.nz/sites/default/files/2025-05/b25-sum-initiatives.pdf" TargetMode="External"/><Relationship Id="rId76" Type="http://schemas.openxmlformats.org/officeDocument/2006/relationships/hyperlink" Target="https://environment.govt.nz/what-government-is-doing/areas-of-work/climate-change/emissions-reductions/emissions-reduction-targets/government-target-9-quarterly-reporting/" TargetMode="External"/><Relationship Id="rId97" Type="http://schemas.openxmlformats.org/officeDocument/2006/relationships/hyperlink" Target="https://tehaeata.govt.nz/nau-mai-haere-mai-ki-te-haeata?destination=/kia-ora" TargetMode="External"/><Relationship Id="rId104" Type="http://schemas.openxmlformats.org/officeDocument/2006/relationships/image" Target="media/image13.svg"/><Relationship Id="rId120" Type="http://schemas.openxmlformats.org/officeDocument/2006/relationships/hyperlink" Target="https://environment.govt.nz/assets/publications/CCCE-Board/Climate-Change-Chief-Executives-Board-Statement-of-Intent-2023-2027.pdf" TargetMode="External"/><Relationship Id="rId125" Type="http://schemas.openxmlformats.org/officeDocument/2006/relationships/image" Target="media/image18.png"/><Relationship Id="rId7" Type="http://schemas.openxmlformats.org/officeDocument/2006/relationships/styles" Target="styles.xml"/><Relationship Id="rId71" Type="http://schemas.openxmlformats.org/officeDocument/2006/relationships/hyperlink" Target="https://environment.govt.nz/assets/publications/waste-and-resource-efficiency-work-programme-2024-26.pdf" TargetMode="External"/><Relationship Id="rId92" Type="http://schemas.openxmlformats.org/officeDocument/2006/relationships/hyperlink" Target="https://environment.govt.nz/assets/MfE-Sustainability-Strategy-2026-28.pdf?v=687ef9264962e26cc43a9d6fc623d23ee60a2bd2" TargetMode="External"/><Relationship Id="rId2" Type="http://schemas.openxmlformats.org/officeDocument/2006/relationships/customXml" Target="../customXml/item2.xml"/><Relationship Id="rId29" Type="http://schemas.openxmlformats.org/officeDocument/2006/relationships/hyperlink" Target="https://environment.govt.nz/what-government-is-doing/areas-of-work/climate-change/adapting-to-climate-change/national-adaptation-framework/new-zealand-flood-map/" TargetMode="External"/><Relationship Id="rId24" Type="http://schemas.openxmlformats.org/officeDocument/2006/relationships/hyperlink" Target="https://www.legislation.govt.nz/act/public/2025/41/en/latest/" TargetMode="External"/><Relationship Id="rId40" Type="http://schemas.openxmlformats.org/officeDocument/2006/relationships/hyperlink" Target="https://environment.govt.nz/assets/publications/Jobs-for-Nature-Impact-Assessment-2025.pdf" TargetMode="External"/><Relationship Id="rId45" Type="http://schemas.openxmlformats.org/officeDocument/2006/relationships/hyperlink" Target="https://unfccc.int/documents/655625" TargetMode="External"/><Relationship Id="rId66" Type="http://schemas.openxmlformats.org/officeDocument/2006/relationships/hyperlink" Target="https://bills.parliament.nz/v/6/ba467863-d6b0-4968-1027-08de369d9192?lang=en&amp;Tab=history" TargetMode="External"/><Relationship Id="rId87" Type="http://schemas.openxmlformats.org/officeDocument/2006/relationships/hyperlink" Target="https://environment.govt.nz/assets/publications/Files/contaminated-land-management-guidelines-no-1.pdf" TargetMode="External"/><Relationship Id="rId110" Type="http://schemas.openxmlformats.org/officeDocument/2006/relationships/hyperlink" Target="https://environment.govt.nz/news/maori-climate-platform-funding-supports-climate-resilience/" TargetMode="External"/><Relationship Id="rId115" Type="http://schemas.openxmlformats.org/officeDocument/2006/relationships/hyperlink" Target="https://www.lawa.org.nz/learn/factsheets/lake-trophic-level-index" TargetMode="External"/><Relationship Id="rId131" Type="http://schemas.openxmlformats.org/officeDocument/2006/relationships/image" Target="media/image21.jpeg"/><Relationship Id="rId136" Type="http://schemas.openxmlformats.org/officeDocument/2006/relationships/theme" Target="theme/theme1.xml"/><Relationship Id="rId61" Type="http://schemas.openxmlformats.org/officeDocument/2006/relationships/hyperlink" Target="https://unfccc.int/sites/default/files/resource/terr1_2024_NZL.pdf" TargetMode="External"/><Relationship Id="rId82" Type="http://schemas.openxmlformats.org/officeDocument/2006/relationships/hyperlink" Target="https://www.dpmc.govt.nz/publications/guide-ministerial-policy-satisfaction-survey" TargetMode="External"/><Relationship Id="rId19" Type="http://schemas.openxmlformats.org/officeDocument/2006/relationships/hyperlink" Target="https://www.xrb.govt.nz/standards/accounting-standards/public-sector-standards/standards-list/pbe-frs-48/" TargetMode="External"/><Relationship Id="rId14" Type="http://schemas.openxmlformats.org/officeDocument/2006/relationships/footer" Target="footer1.xml"/><Relationship Id="rId30" Type="http://schemas.openxmlformats.org/officeDocument/2006/relationships/hyperlink" Target="https://environment.govt.nz/what-government-is-doing/areas-of-work/climate-change/emissions-reductions/emissions-reduction-targets/government-target-9-quarterly-reporting/" TargetMode="External"/><Relationship Id="rId35" Type="http://schemas.openxmlformats.org/officeDocument/2006/relationships/hyperlink" Target="https://environment.govt.nz/assets/publications/Freshwater/our-freshwater-2026.pdf" TargetMode="External"/><Relationship Id="rId56" Type="http://schemas.openxmlformats.org/officeDocument/2006/relationships/hyperlink" Target="https://environment.govt.nz/assets/publications/waste-and-resource-efficiency-work-programme-2024-26.pdf" TargetMode="External"/><Relationship Id="rId77" Type="http://schemas.openxmlformats.org/officeDocument/2006/relationships/hyperlink" Target="https://www.dpmc.govt.nz/our-programmes/government-targets/government-targets-quarterly-reports" TargetMode="External"/><Relationship Id="rId100" Type="http://schemas.openxmlformats.org/officeDocument/2006/relationships/hyperlink" Target="https://environment.govt.nz/what-government-is-doing/areas-of-work/climate-change/ets/about-nz-ets/" TargetMode="External"/><Relationship Id="rId105" Type="http://schemas.openxmlformats.org/officeDocument/2006/relationships/image" Target="media/image14.jpg"/><Relationship Id="rId126" Type="http://schemas.openxmlformats.org/officeDocument/2006/relationships/image" Target="media/image19.png"/><Relationship Id="rId8" Type="http://schemas.openxmlformats.org/officeDocument/2006/relationships/settings" Target="settings.xml"/><Relationship Id="rId51" Type="http://schemas.openxmlformats.org/officeDocument/2006/relationships/hyperlink" Target="https://www.climatecommission.govt.nz/assets/Monitoring-and-reporting/ERM-2026/CCC-6233-ERM-2026_FA2_web.pdf" TargetMode="External"/><Relationship Id="rId72" Type="http://schemas.openxmlformats.org/officeDocument/2006/relationships/hyperlink" Target="https://environment.govt.nz/what-you-can-do/funding/waste-investments-snapshot/" TargetMode="External"/><Relationship Id="rId93" Type="http://schemas.openxmlformats.org/officeDocument/2006/relationships/image" Target="media/image7.jpg"/><Relationship Id="rId98" Type="http://schemas.openxmlformats.org/officeDocument/2006/relationships/image" Target="media/image11.jpg"/><Relationship Id="rId121" Type="http://schemas.openxmlformats.org/officeDocument/2006/relationships/hyperlink" Target="https://www.legislation.govt.nz/act/public/1989/44/en/latest/" TargetMode="External"/><Relationship Id="rId3" Type="http://schemas.openxmlformats.org/officeDocument/2006/relationships/customXml" Target="../customXml/item3.xml"/><Relationship Id="rId25" Type="http://schemas.openxmlformats.org/officeDocument/2006/relationships/hyperlink" Target="https://environment.govt.nz/assets/publications/RMA/npsnh-2025.pdf?v=ac2fa623f71b96b8714897bc64270e816d61d384" TargetMode="External"/><Relationship Id="rId46" Type="http://schemas.openxmlformats.org/officeDocument/2006/relationships/hyperlink" Target="https://environment.govt.nz/assets/publications/New-Zealands-first-Biennial-Transparency-Report-2024.pdf" TargetMode="External"/><Relationship Id="rId67" Type="http://schemas.openxmlformats.org/officeDocument/2006/relationships/hyperlink" Target="https://www.legislation.govt.nz/act/public/2025/41/en/latest/" TargetMode="External"/><Relationship Id="rId116" Type="http://schemas.openxmlformats.org/officeDocument/2006/relationships/hyperlink" Target="https://www.boprc.govt.nz/environment/maps-and-data/state-of-the-environment/" TargetMode="External"/><Relationship Id="rId137" Type="http://schemas.microsoft.com/office/2019/05/relationships/documenttasks" Target="documenttasks/documenttasks1.xml"/><Relationship Id="rId20" Type="http://schemas.openxmlformats.org/officeDocument/2006/relationships/hyperlink" Target="https://legislation.govt.nz/act/public/2025/41/en/latest/" TargetMode="External"/><Relationship Id="rId41" Type="http://schemas.openxmlformats.org/officeDocument/2006/relationships/hyperlink" Target="https://environment.govt.nz/publications/investing-in-minimising-waste-impact-assessment/" TargetMode="External"/><Relationship Id="rId62" Type="http://schemas.openxmlformats.org/officeDocument/2006/relationships/hyperlink" Target="https://environment.govt.nz/what-government-is-doing/areas-of-work/rma/national-monitoring-system/" TargetMode="External"/><Relationship Id="rId83" Type="http://schemas.openxmlformats.org/officeDocument/2006/relationships/hyperlink" Target="https://www.legislation.govt.nz/act/public/2015/87/en/latest/" TargetMode="External"/><Relationship Id="rId88" Type="http://schemas.openxmlformats.org/officeDocument/2006/relationships/hyperlink" Target="https://environment.govt.nz/assets/publications/Files/contaminated-land-management-guidelines-no-5.pdf" TargetMode="External"/><Relationship Id="rId111" Type="http://schemas.openxmlformats.org/officeDocument/2006/relationships/header" Target="header3.xml"/><Relationship Id="rId132" Type="http://schemas.openxmlformats.org/officeDocument/2006/relationships/image" Target="media/image22.png"/><Relationship Id="rId15" Type="http://schemas.openxmlformats.org/officeDocument/2006/relationships/footer" Target="footer2.xml"/><Relationship Id="rId36" Type="http://schemas.openxmlformats.org/officeDocument/2006/relationships/hyperlink" Target="https://environment.govt.nz/publications/new-zealands-greenhouse-gas-inventory-19902024/" TargetMode="External"/><Relationship Id="rId57" Type="http://schemas.openxmlformats.org/officeDocument/2006/relationships/hyperlink" Target="https://www.xrb.govt.nz/standards/accounting-standards/public-sector-standards/standards-list/pbe-frs-48/" TargetMode="External"/><Relationship Id="rId106" Type="http://schemas.openxmlformats.org/officeDocument/2006/relationships/footer" Target="footer3.xml"/><Relationship Id="rId127" Type="http://schemas.openxmlformats.org/officeDocument/2006/relationships/image" Target="media/image20.png"/><Relationship Id="rId10" Type="http://schemas.openxmlformats.org/officeDocument/2006/relationships/footnotes" Target="footnotes.xml"/><Relationship Id="rId31" Type="http://schemas.openxmlformats.org/officeDocument/2006/relationships/hyperlink" Target="https://www.dpmc.govt.nz/our-programmes/government-targets/government-targets-quarterly-reports" TargetMode="External"/><Relationship Id="rId52" Type="http://schemas.openxmlformats.org/officeDocument/2006/relationships/hyperlink" Target="https://environment.govt.nz/what-government-is-doing/areas-of-work/climate-change/emissions-reductions/emissions-reduction-targets/government-target-9-quarterly-reporting/" TargetMode="External"/><Relationship Id="rId73" Type="http://schemas.openxmlformats.org/officeDocument/2006/relationships/hyperlink" Target="https://www.legislation.govt.nz/act/public/2008/89/en/2016-01-01/" TargetMode="External"/><Relationship Id="rId78" Type="http://schemas.openxmlformats.org/officeDocument/2006/relationships/hyperlink" Target="https://www.xrb.govt.nz/standards/accounting-standards/public-sector-standards/standards-list/pbe-frs-48/" TargetMode="External"/><Relationship Id="rId94" Type="http://schemas.openxmlformats.org/officeDocument/2006/relationships/image" Target="media/image8.jpg"/><Relationship Id="rId99" Type="http://schemas.openxmlformats.org/officeDocument/2006/relationships/hyperlink" Target="https://environment.govt.nz/what-government-is-doing/areas-of-work/climate-change/ets/about-nz-ets/" TargetMode="External"/><Relationship Id="rId101" Type="http://schemas.openxmlformats.org/officeDocument/2006/relationships/hyperlink" Target="https://environment.govt.nz/what-government-is-doing/areas-of-work/climate-change/ets/nz-ets-market/where-to-buy-new-zealand-emissions-units/" TargetMode="External"/><Relationship Id="rId122"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beehive.govt.nz/sites/default/files/2025-10/New%20Zealand-National-Adaptation-Framework.pdf" TargetMode="External"/><Relationship Id="rId47" Type="http://schemas.openxmlformats.org/officeDocument/2006/relationships/hyperlink" Target="https://environment.govt.nz/what-government-is-doing/areas-of-work/climate-change/emissions-reductions/emissions-reduction-targets/new-zealands-projected-greenhouse-gas-emissions-to-2050/" TargetMode="External"/><Relationship Id="rId68" Type="http://schemas.openxmlformats.org/officeDocument/2006/relationships/hyperlink" Target="https://environment.govt.nz/news/rma-national-direction-updated/" TargetMode="External"/><Relationship Id="rId89" Type="http://schemas.openxmlformats.org/officeDocument/2006/relationships/hyperlink" Target="https://www.dpmc.govt.nz/our-programmes/government-targets/government-targets-quarterly-reports" TargetMode="External"/><Relationship Id="rId112" Type="http://schemas.openxmlformats.org/officeDocument/2006/relationships/header" Target="header4.xml"/><Relationship Id="rId133"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legislation.govt.nz/act/public/2002/40/en/latest/" TargetMode="External"/><Relationship Id="rId3" Type="http://schemas.openxmlformats.org/officeDocument/2006/relationships/hyperlink" Target="https://environment.govt.nz/facts-and-science/waste/waste-facilities-and-disposal/" TargetMode="External"/><Relationship Id="rId7" Type="http://schemas.openxmlformats.org/officeDocument/2006/relationships/hyperlink" Target="https://www.dpmc.govt.nz/our-programmes/government-targets/government-targets-quarterly-reports" TargetMode="External"/><Relationship Id="rId2" Type="http://schemas.openxmlformats.org/officeDocument/2006/relationships/hyperlink" Target="https://environment.govt.nz/facts-and-science/waste/waste-statistics/" TargetMode="External"/><Relationship Id="rId1" Type="http://schemas.openxmlformats.org/officeDocument/2006/relationships/hyperlink" Target="https://environment.govt.nz/publications/target-9-technical-annex-for-quarter-ending-31-march-2026/" TargetMode="External"/><Relationship Id="rId6" Type="http://schemas.openxmlformats.org/officeDocument/2006/relationships/hyperlink" Target="https://environment.govt.nz/what-government-is-doing/areas-of-work/climate-change/emissions-reductions/emissions-reduction-targets/government-target-9-quarterly-reporting/" TargetMode="External"/><Relationship Id="rId5" Type="http://schemas.openxmlformats.org/officeDocument/2006/relationships/hyperlink" Target="https://www.legislation.govt.nz/act/public/2020/0040/latest/LMS207451.html" TargetMode="External"/><Relationship Id="rId4" Type="http://schemas.openxmlformats.org/officeDocument/2006/relationships/hyperlink" Target="https://www.dpmc.govt.nz/sites/default/files/2025-06/gt-factsheet-target-9-mar2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fE\Templates\MfE%20Publication%20template.dotx" TargetMode="External"/></Relationships>
</file>

<file path=word/documenttasks/documenttasks1.xml><?xml version="1.0" encoding="utf-8"?>
<t:Tasks xmlns:t="http://schemas.microsoft.com/office/tasks/2019/documenttasks" xmlns:oel="http://schemas.microsoft.com/office/2019/extlst">
  <t:Task id="{B31DAAEB-0451-4084-A96B-34CC68AA298D}">
    <t:Anchor>
      <t:Comment id="1233520124"/>
    </t:Anchor>
    <t:History>
      <t:Event id="{391F73CE-376D-49D5-BCBD-9E3C3288341B}" time="2026-09-24T19:02:00.143Z">
        <t:Attribution userId="S::linda.stirling@mfe.govt.nz::7f7e442e-5dc5-45f0-a6fc-97b955ca0757" userProvider="AD" userName="Linda Stirling"/>
        <t:Anchor>
          <t:Comment id="579775974"/>
        </t:Anchor>
        <t:Create/>
      </t:Event>
      <t:Event id="{A8FC4715-B510-4CC9-BBFD-A05CD2AC89FC}" time="2026-09-24T19:02:00.143Z">
        <t:Attribution userId="S::linda.stirling@mfe.govt.nz::7f7e442e-5dc5-45f0-a6fc-97b955ca0757" userProvider="AD" userName="Linda Stirling"/>
        <t:Anchor>
          <t:Comment id="579775974"/>
        </t:Anchor>
        <t:Assign userId="S::Elena.Danson@mfe.govt.nz::6caa51ef-f118-461d-bf92-709a627641da" userProvider="AD" userName="Elena Danson"/>
      </t:Event>
      <t:Event id="{F9A04875-73A3-4F00-B1DE-561B77CE1B5C}" time="2026-09-24T19:02:00.143Z">
        <t:Attribution userId="S::linda.stirling@mfe.govt.nz::7f7e442e-5dc5-45f0-a6fc-97b955ca0757" userProvider="AD" userName="Linda Stirling"/>
        <t:Anchor>
          <t:Comment id="579775974"/>
        </t:Anchor>
        <t:SetTitle title="@Elena Danson - Checked and looks fine. "/>
      </t:Event>
      <t:Event id="{4CF3323D-0B42-47F2-B1A4-71BFB9D1D562}" time="2026-09-24T22:45:02.347Z">
        <t:Attribution userId="S::Kimberley.Turrell@mfe.govt.nz::2b0501d2-510d-4447-b4c0-0281646bf13f" userProvider="AD" userName="Kimberley Turrell"/>
        <t:Progress percentComplete="100"/>
      </t:Event>
    </t:History>
  </t:Task>
  <t:Task id="{C2B431CC-B4E4-4665-90AC-CD8030EA3D23}">
    <t:Anchor>
      <t:Comment id="99475414"/>
    </t:Anchor>
    <t:History>
      <t:Event id="{856846D5-9B71-431F-BF56-E63C22927921}" time="2024-08-12T02:01:32.366Z">
        <t:Attribution userId="S::Kimberley.Turrell@mfe.govt.nz::2b0501d2-510d-4447-b4c0-0281646bf13f" userProvider="AD" userName="Kimberley Turrell"/>
        <t:Anchor>
          <t:Comment id="99475414"/>
        </t:Anchor>
        <t:Create/>
      </t:Event>
      <t:Event id="{C9C98DA5-3D93-41F4-AD7E-D03F51005661}" time="2024-08-12T02:01:32.366Z">
        <t:Attribution userId="S::Kimberley.Turrell@mfe.govt.nz::2b0501d2-510d-4447-b4c0-0281646bf13f" userProvider="AD" userName="Kimberley Turrell"/>
        <t:Anchor>
          <t:Comment id="99475414"/>
        </t:Anchor>
        <t:Assign userId="S::Rebecca.Morgan@mfe.govt.nz::9ff9a476-95a6-484f-9dd1-13412e4e38f9" userProvider="AD" userName="Rebecca Morgan"/>
      </t:Event>
      <t:Event id="{8613B271-BE9C-4D56-803F-3202E1920D4C}" time="2024-08-12T02:01:32.366Z">
        <t:Attribution userId="S::Kimberley.Turrell@mfe.govt.nz::2b0501d2-510d-4447-b4c0-0281646bf13f" userProvider="AD" userName="Kimberley Turrell"/>
        <t:Anchor>
          <t:Comment id="99475414"/>
        </t:Anchor>
        <t:SetTitle title="@Rebecca Morgan Kia ora! I think this little section got a bit confused between versions - can you confirm the tracked changes here are correct?"/>
      </t:Event>
      <t:Event id="{F72CB2D6-3718-41E3-994C-F00BE8145A15}" time="2024-08-12T21:47:22.566Z">
        <t:Attribution userId="S::Kimberley.Turrell@mfe.govt.nz::2b0501d2-510d-4447-b4c0-0281646bf13f" userProvider="AD" userName="Kimberley Turrell"/>
        <t:Progress percentComplete="100"/>
      </t:Event>
    </t:History>
  </t:Task>
  <t:Task id="{1F3B9366-573B-46A4-ABDC-6F0F6C2DA073}">
    <t:Anchor>
      <t:Comment id="127937248"/>
    </t:Anchor>
    <t:History>
      <t:Event id="{BC126187-AB57-4E1F-9B80-FCFBCF9BB073}" time="2024-09-23T02:46:08.939Z">
        <t:Attribution userId="S::linda.stirling@mfe.govt.nz::7f7e442e-5dc5-45f0-a6fc-97b955ca0757" userProvider="AD" userName="Linda Stirling"/>
        <t:Anchor>
          <t:Comment id="127937248"/>
        </t:Anchor>
        <t:Create/>
      </t:Event>
      <t:Event id="{F779D46B-D7F4-4B2A-9814-278DC6D706A3}" time="2024-09-23T02:46:08.939Z">
        <t:Attribution userId="S::linda.stirling@mfe.govt.nz::7f7e442e-5dc5-45f0-a6fc-97b955ca0757" userProvider="AD" userName="Linda Stirling"/>
        <t:Anchor>
          <t:Comment id="127937248"/>
        </t:Anchor>
        <t:Assign userId="S::Kimberley.Turrell@mfe.govt.nz::2b0501d2-510d-4447-b4c0-0281646bf13f" userProvider="AD" userName="Kimberley Turrell"/>
      </t:Event>
      <t:Event id="{D4E0113B-CD1D-4A70-9671-B3AEB8343182}" time="2024-09-23T02:46:08.939Z">
        <t:Attribution userId="S::linda.stirling@mfe.govt.nz::7f7e442e-5dc5-45f0-a6fc-97b955ca0757" userProvider="AD" userName="Linda Stirling"/>
        <t:Anchor>
          <t:Comment id="127937248"/>
        </t:Anchor>
        <t:SetTitle title="@Kimberley Turrell - should this be $000 not $00?"/>
      </t:Event>
      <t:Event id="{8DBB8665-0D7F-42B0-971C-412C5DE62813}" time="2024-09-23T02:51:37.965Z">
        <t:Attribution userId="S::Kimberley.Turrell@mfe.govt.nz::2b0501d2-510d-4447-b4c0-0281646bf13f" userProvider="AD" userName="Kimberley Turrell"/>
        <t:Progress percentComplete="100"/>
      </t:Event>
    </t:History>
  </t:Task>
  <t:Task id="{F9A34F91-F858-4A8A-96E9-B4A56CFA50CD}">
    <t:Anchor>
      <t:Comment id="1176945203"/>
    </t:Anchor>
    <t:History>
      <t:Event id="{A5F0F146-D112-40D7-9ABC-F31FC01097DB}" time="2024-09-24T21:21:57.5Z">
        <t:Attribution userId="S::Kimberley.Turrell@mfe.govt.nz::2b0501d2-510d-4447-b4c0-0281646bf13f" userProvider="AD" userName="Kimberley Turrell"/>
        <t:Anchor>
          <t:Comment id="218147638"/>
        </t:Anchor>
        <t:Create/>
      </t:Event>
      <t:Event id="{D33E7FC4-EF69-4AF0-A172-E90789B02DDB}" time="2024-09-24T21:21:57.5Z">
        <t:Attribution userId="S::Kimberley.Turrell@mfe.govt.nz::2b0501d2-510d-4447-b4c0-0281646bf13f" userProvider="AD" userName="Kimberley Turrell"/>
        <t:Anchor>
          <t:Comment id="218147638"/>
        </t:Anchor>
        <t:Assign userId="S::Mukesh.Vakharia@mfe.govt.nz::24542360-2e77-4dd2-8225-6c43f750192c" userProvider="AD" userName="Mukesh Vakharia"/>
      </t:Event>
      <t:Event id="{FB86C12F-34E6-4079-AAE0-EDF56C2DE59D}" time="2024-09-24T21:21:57.5Z">
        <t:Attribution userId="S::Kimberley.Turrell@mfe.govt.nz::2b0501d2-510d-4447-b4c0-0281646bf13f" userProvider="AD" userName="Kimberley Turrell"/>
        <t:Anchor>
          <t:Comment id="218147638"/>
        </t:Anchor>
        <t:SetTitle title="@Mukesh Vakharia could you confirm?"/>
      </t:Event>
      <t:Event id="{71525B6E-7E0E-44CE-9061-52218AD6B386}" time="2024-09-25T21:05:12.376Z">
        <t:Attribution userId="S::Kimberley.Turrell@mfe.govt.nz::2b0501d2-510d-4447-b4c0-0281646bf13f" userProvider="AD" userName="Kimberley Turrell"/>
        <t:Progress percentComplete="100"/>
      </t:Event>
    </t:History>
  </t:Task>
  <t:Task id="{E4C33C0A-A2C5-41DD-8E39-B4C0E834CE5C}">
    <t:Anchor>
      <t:Comment id="800517552"/>
    </t:Anchor>
    <t:History>
      <t:Event id="{1A53013B-57FA-49AA-8F3A-103A5C4553A7}" time="2026-09-28T20:16:29.067Z">
        <t:Attribution userId="S::linda.stirling@mfe.govt.nz::7f7e442e-5dc5-45f0-a6fc-97b955ca0757" userProvider="AD" userName="Linda Stirling"/>
        <t:Anchor>
          <t:Comment id="800517552"/>
        </t:Anchor>
        <t:Create/>
      </t:Event>
      <t:Event id="{5269CB71-2CF7-4C38-BA6E-F108ED546EFC}" time="2026-09-28T20:16:29.067Z">
        <t:Attribution userId="S::linda.stirling@mfe.govt.nz::7f7e442e-5dc5-45f0-a6fc-97b955ca0757" userProvider="AD" userName="Linda Stirling"/>
        <t:Anchor>
          <t:Comment id="800517552"/>
        </t:Anchor>
        <t:Assign userId="S::Kimberley.Turrell@mfe.govt.nz::2b0501d2-510d-4447-b4c0-0281646bf13f" userProvider="AD" userName="Kimberley Turrell"/>
      </t:Event>
      <t:Event id="{90ADFAA5-1084-41D1-A5F1-80FD3A1D0B78}" time="2026-09-28T20:16:29.067Z">
        <t:Attribution userId="S::linda.stirling@mfe.govt.nz::7f7e442e-5dc5-45f0-a6fc-97b955ca0757" userProvider="AD" userName="Linda Stirling"/>
        <t:Anchor>
          <t:Comment id="800517552"/>
        </t:Anchor>
        <t:SetTitle title="@Kimberley Turrell - for consistency with the rest of the audit opinion this should be a capital M"/>
      </t:Event>
      <t:Event id="{E175FDE9-143A-43A4-AFEA-425301E2CEF3}" time="2026-09-28T22:54:26.408Z">
        <t:Attribution userId="S::Kimberley.Turrell@mfe.govt.nz::2b0501d2-510d-4447-b4c0-0281646bf13f" userProvider="AD" userName="Kimberley Turrell"/>
        <t:Progress percentComplete="100"/>
      </t:Event>
      <t:Event id="{83ED2084-7A59-4A7A-A564-BF47F71791F0}" time="2026-09-28T22:57:45.802Z">
        <t:Attribution userId="S::Kimberley.Turrell@mfe.govt.nz::2b0501d2-510d-4447-b4c0-0281646bf13f" userProvider="AD" userName="Kimberley Turrell"/>
        <t:Undo id="{E175FDE9-143A-43A4-AFEA-425301E2CEF3}"/>
      </t:Event>
      <t:Event id="{26306D2F-76A4-47F0-8FF7-60C95A42FF26}" time="2026-09-28T22:57:48.992Z">
        <t:Attribution userId="S::Kimberley.Turrell@mfe.govt.nz::2b0501d2-510d-4447-b4c0-0281646bf13f" userProvider="AD" userName="Kimberley Turrell"/>
        <t:Progress percentComplete="100"/>
      </t:Event>
    </t:History>
  </t:Task>
</t:Tasks>
</file>

<file path=word/theme/theme1.xml><?xml version="1.0" encoding="utf-8"?>
<a:theme xmlns:a="http://schemas.openxmlformats.org/drawingml/2006/main" name="MFE">
  <a:themeElements>
    <a:clrScheme name="MfE new colours">
      <a:dk1>
        <a:sysClr val="windowText" lastClr="000000"/>
      </a:dk1>
      <a:lt1>
        <a:sysClr val="window" lastClr="FFFFFF"/>
      </a:lt1>
      <a:dk2>
        <a:srgbClr val="1B556B"/>
      </a:dk2>
      <a:lt2>
        <a:srgbClr val="D2DDE1"/>
      </a:lt2>
      <a:accent1>
        <a:srgbClr val="1C556C"/>
      </a:accent1>
      <a:accent2>
        <a:srgbClr val="32809C"/>
      </a:accent2>
      <a:accent3>
        <a:srgbClr val="D5EBE8"/>
      </a:accent3>
      <a:accent4>
        <a:srgbClr val="2C9986"/>
      </a:accent4>
      <a:accent5>
        <a:srgbClr val="6FC7B7"/>
      </a:accent5>
      <a:accent6>
        <a:srgbClr val="DA6C28"/>
      </a:accent6>
      <a:hlink>
        <a:srgbClr val="32809C"/>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58a6f171-52cb-4404-b47d-af1c8daf8fd1">ECM-1122293896-131834</_dlc_DocId>
    <_dlc_DocIdUrl xmlns="58a6f171-52cb-4404-b47d-af1c8daf8fd1">
      <Url>https://ministryforenvironment.sharepoint.com/sites/ECM-ER-Comms/_layouts/15/DocIdRedir.aspx?ID=ECM-1122293896-131834</Url>
      <Description>ECM-1122293896-131834</Description>
    </_dlc_DocIdUrl>
    <lcf76f155ced4ddcb4097134ff3c332f xmlns="4a94300e-a927-4b92-9d3a-682523035cb6" xsi:nil="true"/>
    <OpenText_x0020_Path xmlns="4a94300e-a927-4b92-9d3a-682523035cb6" xsi:nil="true"/>
    <Legacy_x0020_DocID xmlns="4a94300e-a927-4b92-9d3a-682523035cb6" xsi:nil="true"/>
    <Year xmlns="4a94300e-a927-4b92-9d3a-682523035cb6" xsi:nil="true"/>
    <Legacy_x0020_Version xmlns="4a94300e-a927-4b92-9d3a-682523035cb6" xsi:nil="true"/>
    <Nickname xmlns="4a94300e-a927-4b92-9d3a-682523035cb6" xsi:nil="true"/>
    <Sender_x0020_Date xmlns="4a94300e-a927-4b92-9d3a-682523035cb6" xsi:nil="true"/>
    <Library xmlns="4a94300e-a927-4b92-9d3a-682523035cb6" xsi:nil="true"/>
    <Current_x0020_Security_x0020_Clearance_x0020_Level xmlns="4a94300e-a927-4b92-9d3a-682523035cb6" xsi:nil="true"/>
    <Class xmlns="4a94300e-a927-4b92-9d3a-682523035cb6" xsi:nil="true"/>
    <From xmlns="4a94300e-a927-4b92-9d3a-682523035cb6" xsi:nil="true"/>
    <Sender xmlns="4a94300e-a927-4b92-9d3a-682523035cb6" xsi:nil="true"/>
    <Owned_x0020_By xmlns="4a94300e-a927-4b92-9d3a-682523035cb6">
      <UserInfo>
        <DisplayName/>
        <AccountId xsi:nil="true"/>
        <AccountType/>
      </UserInfo>
    </Owned_x0020_By>
    <Te_x0020_Puna_x0020_Created_x0020_By xmlns="4a94300e-a927-4b92-9d3a-682523035cb6" xsi:nil="true"/>
    <Te_x0020_Puna_x0020_Owned_x0020_By xmlns="4a94300e-a927-4b92-9d3a-682523035cb6" xsi:nil="true"/>
    <_ExtendedDescription xmlns="http://schemas.microsoft.com/sharepoint/v3" xsi:nil="true"/>
    <Other_x0020_Details xmlns="4a94300e-a927-4b92-9d3a-682523035cb6" xsi:nil="true"/>
    <Best_x0020_Bets_x0020_Expiry xmlns="4a94300e-a927-4b92-9d3a-682523035cb6" xsi:nil="true"/>
    <Carbon_x0020_Copy xmlns="4a94300e-a927-4b92-9d3a-682523035cb6" xsi:nil="true"/>
    <Author0 xmlns="4a94300e-a927-4b92-9d3a-682523035cb6" xsi:nil="true"/>
    <Te_x0020_Puna_x0020_Name xmlns="4a94300e-a927-4b92-9d3a-682523035cb6" xsi:nil="true"/>
    <Audit xmlns="4a94300e-a927-4b92-9d3a-682523035cb6" xsi:nil="true"/>
    <Email_x0020_Table xmlns="4a94300e-a927-4b92-9d3a-682523035cb6" xsi:nil="true"/>
    <MTS_x0020_ID xmlns="4a94300e-a927-4b92-9d3a-682523035cb6" xsi:nil="true"/>
    <TaxCatchAll xmlns="58a6f171-52cb-4404-b47d-af1c8daf8fd1" xsi:nil="true"/>
    <Best_x0020_Bets_x0020_Value xmlns="4a94300e-a927-4b92-9d3a-682523035cb6" xsi:nil="true"/>
    <MTS_x0020_Type xmlns="4a94300e-a927-4b92-9d3a-682523035cb6" xsi:nil="true"/>
    <Receiver xmlns="4a94300e-a927-4b92-9d3a-682523035cb6" xsi:nil="true"/>
    <Other_x0020_Details_2 xmlns="4a94300e-a927-4b92-9d3a-682523035cb6" xsi:nil="true"/>
    <Sent_x002f_Received xmlns="4a94300e-a927-4b92-9d3a-682523035cb6" xsi:nil="true"/>
    <Other_x0020_Details_3 xmlns="4a94300e-a927-4b92-9d3a-682523035cb6" xsi:nil="true"/>
    <To xmlns="4a94300e-a927-4b92-9d3a-682523035cb6" xsi:nil="true"/>
    <Te_x0020_Puna_x0020_Modified_x0020_By xmlns="4a94300e-a927-4b92-9d3a-682523035cb6" xsi:nil="true"/>
    <Receiver_x0020_Date xmlns="4a94300e-a927-4b92-9d3a-682523035cb6" xsi:nil="true"/>
    <Status xmlns="4a94300e-a927-4b92-9d3a-682523035cb6" xsi:nil="true"/>
    <Document_x0020_Type xmlns="4a94300e-a927-4b92-9d3a-682523035cb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Te Puna Document" ma:contentTypeID="0x010100518E371133CCE642B43BCA53582D18C3001E7148EB803E95428156EF7EEB60794B" ma:contentTypeVersion="27" ma:contentTypeDescription="Create a new document." ma:contentTypeScope="" ma:versionID="a1a2637c9ea8cb6f9a2071d3f0da4aef">
  <xsd:schema xmlns:xsd="http://www.w3.org/2001/XMLSchema" xmlns:xs="http://www.w3.org/2001/XMLSchema" xmlns:p="http://schemas.microsoft.com/office/2006/metadata/properties" xmlns:ns1="http://schemas.microsoft.com/sharepoint/v3" xmlns:ns2="58a6f171-52cb-4404-b47d-af1c8daf8fd1" xmlns:ns3="4a94300e-a927-4b92-9d3a-682523035cb6" targetNamespace="http://schemas.microsoft.com/office/2006/metadata/properties" ma:root="true" ma:fieldsID="7b736ba95f945757a54e146121a3c46b" ns1:_="" ns2:_="" ns3:_="">
    <xsd:import namespace="http://schemas.microsoft.com/sharepoint/v3"/>
    <xsd:import namespace="58a6f171-52cb-4404-b47d-af1c8daf8fd1"/>
    <xsd:import namespace="4a94300e-a927-4b92-9d3a-682523035cb6"/>
    <xsd:element name="properties">
      <xsd:complexType>
        <xsd:sequence>
          <xsd:element name="documentManagement">
            <xsd:complexType>
              <xsd:all>
                <xsd:element ref="ns2:_dlc_DocId" minOccurs="0"/>
                <xsd:element ref="ns2:_dlc_DocIdUrl" minOccurs="0"/>
                <xsd:element ref="ns2:_dlc_DocIdPersistId" minOccurs="0"/>
                <xsd:element ref="ns1:_ExtendedDescription" minOccurs="0"/>
                <xsd:element ref="ns3:Owned_x0020_By" minOccurs="0"/>
                <xsd:element ref="ns3:Te_x0020_Puna_x0020_Created_x0020_By" minOccurs="0"/>
                <xsd:element ref="ns3:Te_x0020_Puna_x0020_Modified_x0020_By" minOccurs="0"/>
                <xsd:element ref="ns3:Te_x0020_Puna_x0020_Owned_x0020_By" minOccurs="0"/>
                <xsd:element ref="ns3:Te_x0020_Puna_x0020_Name" minOccurs="0"/>
                <xsd:element ref="ns3:Nickname" minOccurs="0"/>
                <xsd:element ref="ns3:Best_x0020_Bets_x0020_Value" minOccurs="0"/>
                <xsd:element ref="ns3:Best_x0020_Bets_x0020_Expiry" minOccurs="0"/>
                <xsd:element ref="ns3:Audit" minOccurs="0"/>
                <xsd:element ref="ns3:Current_x0020_Security_x0020_Clearance_x0020_Level" minOccurs="0"/>
                <xsd:element ref="ns3:OpenText_x0020_Path" minOccurs="0"/>
                <xsd:element ref="ns3:Document_x0020_Type" minOccurs="0"/>
                <xsd:element ref="ns3:Sender" minOccurs="0"/>
                <xsd:element ref="ns3:Receiver" minOccurs="0"/>
                <xsd:element ref="ns3:Sender_x0020_Date" minOccurs="0"/>
                <xsd:element ref="ns3:Receiver_x0020_Date" minOccurs="0"/>
                <xsd:element ref="ns3:Carbon_x0020_Copy" minOccurs="0"/>
                <xsd:element ref="ns3:Email_x0020_Table" minOccurs="0"/>
                <xsd:element ref="ns3:Library" minOccurs="0"/>
                <xsd:element ref="ns3:Legacy_x0020_DocID" minOccurs="0"/>
                <xsd:element ref="ns3:Legacy_x0020_Version" minOccurs="0"/>
                <xsd:element ref="ns3:Class" minOccurs="0"/>
                <xsd:element ref="ns3:Author0" minOccurs="0"/>
                <xsd:element ref="ns3:Status" minOccurs="0"/>
                <xsd:element ref="ns3:Year" minOccurs="0"/>
                <xsd:element ref="ns3:Other_x0020_Details" minOccurs="0"/>
                <xsd:element ref="ns3:MTS_x0020_Type" minOccurs="0"/>
                <xsd:element ref="ns3:MTS_x0020_ID" minOccurs="0"/>
                <xsd:element ref="ns3:Other_x0020_Details_2" minOccurs="0"/>
                <xsd:element ref="ns3:Other_x0020_Details_3" minOccurs="0"/>
                <xsd:element ref="ns3:To" minOccurs="0"/>
                <xsd:element ref="ns3:From" minOccurs="0"/>
                <xsd:element ref="ns3:Sent_x002f_Received"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11" nillable="true" ma:displayName="Description" ma:internalName="_Extended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47" nillable="true" ma:displayName="Taxonomy Catch All Column" ma:hidden="true" ma:list="{0667bd51-75f8-4035-9f2e-4aaf1cd86fb2}" ma:internalName="TaxCatchAll" ma:showField="CatchAllData" ma:web="0a5b0190-e301-4766-933d-448c7c363f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94300e-a927-4b92-9d3a-682523035cb6" elementFormDefault="qualified">
    <xsd:import namespace="http://schemas.microsoft.com/office/2006/documentManagement/types"/>
    <xsd:import namespace="http://schemas.microsoft.com/office/infopath/2007/PartnerControls"/>
    <xsd:element name="Owned_x0020_By" ma:index="12" nillable="true" ma:displayName="Owned By" ma:description="" ma:list="UserInfo" ma:SharePointGroup="0" ma:internalName="Owned_x0020_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_x0020_Puna_x0020_Created_x0020_By" ma:index="13" nillable="true" ma:displayName="Te Puna Created By" ma:default="" ma:description="" ma:internalName="Te_x0020_Puna_x0020_Created_x0020_By" ma:readOnly="false">
      <xsd:simpleType>
        <xsd:restriction base="dms:Text">
          <xsd:maxLength value="255"/>
        </xsd:restriction>
      </xsd:simpleType>
    </xsd:element>
    <xsd:element name="Te_x0020_Puna_x0020_Modified_x0020_By" ma:index="14" nillable="true" ma:displayName="Te Puna Modified By" ma:default="" ma:description="" ma:internalName="Te_x0020_Puna_x0020_Modified_x0020_By" ma:readOnly="false">
      <xsd:simpleType>
        <xsd:restriction base="dms:Text">
          <xsd:maxLength value="255"/>
        </xsd:restriction>
      </xsd:simpleType>
    </xsd:element>
    <xsd:element name="Te_x0020_Puna_x0020_Owned_x0020_By" ma:index="15" nillable="true" ma:displayName="Te Puna Owned By" ma:default="" ma:description="" ma:internalName="Te_x0020_Puna_x0020_Owned_x0020_By" ma:readOnly="false">
      <xsd:simpleType>
        <xsd:restriction base="dms:Text">
          <xsd:maxLength value="255"/>
        </xsd:restriction>
      </xsd:simpleType>
    </xsd:element>
    <xsd:element name="Te_x0020_Puna_x0020_Name" ma:index="16" nillable="true" ma:displayName="Te Puna Name" ma:default="" ma:description="" ma:internalName="Te_x0020_Puna_x0020_Name" ma:readOnly="false">
      <xsd:simpleType>
        <xsd:restriction base="dms:Note"/>
      </xsd:simpleType>
    </xsd:element>
    <xsd:element name="Nickname" ma:index="17" nillable="true" ma:displayName="Nickname" ma:default="" ma:description="" ma:internalName="Nickname" ma:readOnly="false">
      <xsd:simpleType>
        <xsd:restriction base="dms:Text">
          <xsd:maxLength value="255"/>
        </xsd:restriction>
      </xsd:simpleType>
    </xsd:element>
    <xsd:element name="Best_x0020_Bets_x0020_Value" ma:index="18" nillable="true" ma:displayName="Best Bets Value" ma:default="" ma:description="" ma:internalName="Best_x0020_Bets_x0020_Value" ma:readOnly="false">
      <xsd:simpleType>
        <xsd:restriction base="dms:Text">
          <xsd:maxLength value="255"/>
        </xsd:restriction>
      </xsd:simpleType>
    </xsd:element>
    <xsd:element name="Best_x0020_Bets_x0020_Expiry" ma:index="19" nillable="true" ma:displayName="Best Bets Expiry" ma:default="" ma:description="" ma:format="DateTime" ma:internalName="Best_x0020_Bets_x0020_Expiry" ma:readOnly="false">
      <xsd:simpleType>
        <xsd:restriction base="dms:DateTime"/>
      </xsd:simpleType>
    </xsd:element>
    <xsd:element name="Audit" ma:index="20" nillable="true" ma:displayName="Audit" ma:default="" ma:description="" ma:internalName="Audit" ma:readOnly="false">
      <xsd:simpleType>
        <xsd:restriction base="dms:Note"/>
      </xsd:simpleType>
    </xsd:element>
    <xsd:element name="Current_x0020_Security_x0020_Clearance_x0020_Level" ma:index="21" nillable="true" ma:displayName="Current Security Clearance Level" ma:default="" ma:description="" ma:internalName="Current_x0020_Security_x0020_Clearance_x0020_Level" ma:readOnly="false">
      <xsd:simpleType>
        <xsd:restriction base="dms:Text">
          <xsd:maxLength value="255"/>
        </xsd:restriction>
      </xsd:simpleType>
    </xsd:element>
    <xsd:element name="OpenText_x0020_Path" ma:index="22" nillable="true" ma:displayName="OpenText Path" ma:default="" ma:description="" ma:internalName="OpenText_x0020_Path" ma:readOnly="false">
      <xsd:simpleType>
        <xsd:restriction base="dms:Note"/>
      </xsd:simpleType>
    </xsd:element>
    <xsd:element name="Document_x0020_Type" ma:index="23" nillable="true" ma:displayName="Document Type" ma:default="" ma:description="" ma:internalName="Document_x0020_Type">
      <xsd:simpleType>
        <xsd:restriction base="dms:Note">
          <xsd:maxLength value="255"/>
        </xsd:restriction>
      </xsd:simpleType>
    </xsd:element>
    <xsd:element name="Sender" ma:index="24" nillable="true" ma:displayName="Sender" ma:description="" ma:internalName="Sender">
      <xsd:simpleType>
        <xsd:restriction base="dms:Text">
          <xsd:maxLength value="255"/>
        </xsd:restriction>
      </xsd:simpleType>
    </xsd:element>
    <xsd:element name="Receiver" ma:index="25" nillable="true" ma:displayName="Receiver" ma:description="" ma:internalName="Receiver">
      <xsd:simpleType>
        <xsd:restriction base="dms:Text">
          <xsd:maxLength value="255"/>
        </xsd:restriction>
      </xsd:simpleType>
    </xsd:element>
    <xsd:element name="Sender_x0020_Date" ma:index="26" nillable="true" ma:displayName="Sender Date" ma:default="" ma:description="" ma:format="DateTime" ma:internalName="Sender_x0020_Date">
      <xsd:simpleType>
        <xsd:restriction base="dms:DateTime"/>
      </xsd:simpleType>
    </xsd:element>
    <xsd:element name="Receiver_x0020_Date" ma:index="27" nillable="true" ma:displayName="Receiver Date" ma:default="" ma:description="" ma:format="DateTime" ma:internalName="Receiver_x0020_Date">
      <xsd:simpleType>
        <xsd:restriction base="dms:DateTime"/>
      </xsd:simpleType>
    </xsd:element>
    <xsd:element name="Carbon_x0020_Copy" ma:index="28" nillable="true" ma:displayName="Carbon Copy" ma:description="" ma:internalName="Carbon_x0020_Copy">
      <xsd:simpleType>
        <xsd:restriction base="dms:Text">
          <xsd:maxLength value="255"/>
        </xsd:restriction>
      </xsd:simpleType>
    </xsd:element>
    <xsd:element name="Email_x0020_Table" ma:index="30" nillable="true" ma:displayName="Email Table" ma:description="" ma:internalName="Email_x0020_Table">
      <xsd:simpleType>
        <xsd:restriction base="dms:Note">
          <xsd:maxLength value="255"/>
        </xsd:restriction>
      </xsd:simpleType>
    </xsd:element>
    <xsd:element name="Library" ma:index="31" nillable="true" ma:displayName="Library" ma:default="" ma:description="" ma:internalName="Library">
      <xsd:simpleType>
        <xsd:restriction base="dms:Text">
          <xsd:maxLength value="255"/>
        </xsd:restriction>
      </xsd:simpleType>
    </xsd:element>
    <xsd:element name="Legacy_x0020_DocID" ma:index="32" nillable="true" ma:displayName="Legacy DocID" ma:decimals="-1" ma:default="" ma:description="" ma:internalName="Legacy_x0020_DocID">
      <xsd:simpleType>
        <xsd:restriction base="dms:Number"/>
      </xsd:simpleType>
    </xsd:element>
    <xsd:element name="Legacy_x0020_Version" ma:index="33" nillable="true" ma:displayName="Legacy Version" ma:default="" ma:description="" ma:internalName="Legacy_x0020_Version">
      <xsd:simpleType>
        <xsd:restriction base="dms:Text">
          <xsd:maxLength value="255"/>
        </xsd:restriction>
      </xsd:simpleType>
    </xsd:element>
    <xsd:element name="Class" ma:index="34" nillable="true" ma:displayName="Class" ma:default="" ma:description="" ma:internalName="Class">
      <xsd:simpleType>
        <xsd:restriction base="dms:Text">
          <xsd:maxLength value="255"/>
        </xsd:restriction>
      </xsd:simpleType>
    </xsd:element>
    <xsd:element name="Author0" ma:index="35" nillable="true" ma:displayName="Author" ma:default="" ma:description="" ma:internalName="Author0">
      <xsd:simpleType>
        <xsd:restriction base="dms:Text">
          <xsd:maxLength value="255"/>
        </xsd:restriction>
      </xsd:simpleType>
    </xsd:element>
    <xsd:element name="Status" ma:index="36" nillable="true" ma:displayName="Status" ma:default="" ma:description="" ma:internalName="Status">
      <xsd:simpleType>
        <xsd:restriction base="dms:Text">
          <xsd:maxLength value="255"/>
        </xsd:restriction>
      </xsd:simpleType>
    </xsd:element>
    <xsd:element name="Year" ma:index="37" nillable="true" ma:displayName="Year" ma:default="" ma:description="" ma:internalName="Year">
      <xsd:simpleType>
        <xsd:restriction base="dms:Text">
          <xsd:maxLength value="255"/>
        </xsd:restriction>
      </xsd:simpleType>
    </xsd:element>
    <xsd:element name="Other_x0020_Details" ma:index="38" nillable="true" ma:displayName="Other Details" ma:default="" ma:description="" ma:internalName="Other_x0020_Details">
      <xsd:simpleType>
        <xsd:restriction base="dms:Text">
          <xsd:maxLength value="255"/>
        </xsd:restriction>
      </xsd:simpleType>
    </xsd:element>
    <xsd:element name="MTS_x0020_Type" ma:index="39" nillable="true" ma:displayName="MTS Type" ma:default="" ma:description="" ma:internalName="MTS_x0020_Type">
      <xsd:simpleType>
        <xsd:restriction base="dms:Note">
          <xsd:maxLength value="255"/>
        </xsd:restriction>
      </xsd:simpleType>
    </xsd:element>
    <xsd:element name="MTS_x0020_ID" ma:index="40" nillable="true" ma:displayName="MTS ID" ma:default="" ma:description="" ma:internalName="MTS_x0020_ID">
      <xsd:simpleType>
        <xsd:restriction base="dms:Text">
          <xsd:maxLength value="255"/>
        </xsd:restriction>
      </xsd:simpleType>
    </xsd:element>
    <xsd:element name="Other_x0020_Details_2" ma:index="41" nillable="true" ma:displayName="Other Details_2" ma:description="" ma:internalName="Other_x0020_Details_2">
      <xsd:simpleType>
        <xsd:restriction base="dms:Text">
          <xsd:maxLength value="255"/>
        </xsd:restriction>
      </xsd:simpleType>
    </xsd:element>
    <xsd:element name="Other_x0020_Details_3" ma:index="42" nillable="true" ma:displayName="Other Details_3" ma:description="" ma:internalName="Other_x0020_Details_3">
      <xsd:simpleType>
        <xsd:restriction base="dms:Text">
          <xsd:maxLength value="255"/>
        </xsd:restriction>
      </xsd:simpleType>
    </xsd:element>
    <xsd:element name="To" ma:index="43" nillable="true" ma:displayName="To" ma:default="" ma:description="" ma:internalName="To">
      <xsd:simpleType>
        <xsd:restriction base="dms:Note">
          <xsd:maxLength value="255"/>
        </xsd:restriction>
      </xsd:simpleType>
    </xsd:element>
    <xsd:element name="From" ma:index="44" nillable="true" ma:displayName="From" ma:default="" ma:description="" ma:internalName="From">
      <xsd:simpleType>
        <xsd:restriction base="dms:Text">
          <xsd:maxLength value="255"/>
        </xsd:restriction>
      </xsd:simpleType>
    </xsd:element>
    <xsd:element name="Sent_x002f_Received" ma:index="45" nillable="true" ma:displayName="Sent/Received" ma:default="" ma:description="" ma:internalName="Sent_x002f_Received">
      <xsd:simpleType>
        <xsd:restriction base="dms:Text">
          <xsd:maxLength value="255"/>
        </xsd:restriction>
      </xsd:simpleType>
    </xsd:element>
    <xsd:element name="lcf76f155ced4ddcb4097134ff3c332f" ma:index="4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9"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0CDAC4-0417-4665-BFBD-38D6177B7AAE}">
  <ds:schemaRefs>
    <ds:schemaRef ds:uri="http://schemas.microsoft.com/sharepoint/v3/contenttype/forms"/>
  </ds:schemaRefs>
</ds:datastoreItem>
</file>

<file path=customXml/itemProps2.xml><?xml version="1.0" encoding="utf-8"?>
<ds:datastoreItem xmlns:ds="http://schemas.openxmlformats.org/officeDocument/2006/customXml" ds:itemID="{D27907E1-733D-40A2-9501-D22B1B74D9CB}">
  <ds:schemaRefs>
    <ds:schemaRef ds:uri="http://schemas.openxmlformats.org/officeDocument/2006/bibliography"/>
  </ds:schemaRefs>
</ds:datastoreItem>
</file>

<file path=customXml/itemProps3.xml><?xml version="1.0" encoding="utf-8"?>
<ds:datastoreItem xmlns:ds="http://schemas.openxmlformats.org/officeDocument/2006/customXml" ds:itemID="{4174610C-C779-4657-A9EC-323079BB5833}">
  <ds:schemaRefs>
    <ds:schemaRef ds:uri="http://schemas.microsoft.com/sharepoint/events"/>
  </ds:schemaRefs>
</ds:datastoreItem>
</file>

<file path=customXml/itemProps4.xml><?xml version="1.0" encoding="utf-8"?>
<ds:datastoreItem xmlns:ds="http://schemas.openxmlformats.org/officeDocument/2006/customXml" ds:itemID="{A6ABE385-CC81-41C6-A3F2-1BC9449571F7}">
  <ds:schemaRefs>
    <ds:schemaRef ds:uri="http://schemas.microsoft.com/office/2006/metadata/properties"/>
    <ds:schemaRef ds:uri="http://schemas.microsoft.com/office/infopath/2007/PartnerControls"/>
    <ds:schemaRef ds:uri="58a6f171-52cb-4404-b47d-af1c8daf8fd1"/>
    <ds:schemaRef ds:uri="542dbdac-318e-4f9a-a122-30b469d42701"/>
  </ds:schemaRefs>
</ds:datastoreItem>
</file>

<file path=customXml/itemProps5.xml><?xml version="1.0" encoding="utf-8"?>
<ds:datastoreItem xmlns:ds="http://schemas.openxmlformats.org/officeDocument/2006/customXml" ds:itemID="{A99BFB94-4CC4-4EE6-BAC9-E945C30DE837}"/>
</file>

<file path=docMetadata/LabelInfo.xml><?xml version="1.0" encoding="utf-8"?>
<clbl:labelList xmlns:clbl="http://schemas.microsoft.com/office/2020/mipLabelMetadata">
  <clbl:label id="{d1bdb5c6-e71b-4a4d-b135-1073d28955bb}" enabled="1" method="Privileged" siteId="{8763688f-b2d2-46f9-bc2c-cebbeeb58ec1}" contentBits="3" removed="0"/>
</clbl:labelList>
</file>

<file path=docProps/app.xml><?xml version="1.0" encoding="utf-8"?>
<Properties xmlns="http://schemas.openxmlformats.org/officeDocument/2006/extended-properties" xmlns:vt="http://schemas.openxmlformats.org/officeDocument/2006/docPropsVTypes">
  <Template>MfE Publication template</Template>
  <TotalTime>2</TotalTime>
  <Pages>155</Pages>
  <Words>46860</Words>
  <Characters>270852</Characters>
  <Application>Microsoft Office Word</Application>
  <DocSecurity>0</DocSecurity>
  <Lines>9028</Lines>
  <Paragraphs>5573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312139</CharactersWithSpaces>
  <SharedDoc>false</SharedDoc>
  <HLinks>
    <vt:vector size="1194" baseType="variant">
      <vt:variant>
        <vt:i4>917531</vt:i4>
      </vt:variant>
      <vt:variant>
        <vt:i4>750</vt:i4>
      </vt:variant>
      <vt:variant>
        <vt:i4>0</vt:i4>
      </vt:variant>
      <vt:variant>
        <vt:i4>5</vt:i4>
      </vt:variant>
      <vt:variant>
        <vt:lpwstr>https://environment.govt.nz/</vt:lpwstr>
      </vt:variant>
      <vt:variant>
        <vt:lpwstr/>
      </vt:variant>
      <vt:variant>
        <vt:i4>1048700</vt:i4>
      </vt:variant>
      <vt:variant>
        <vt:i4>747</vt:i4>
      </vt:variant>
      <vt:variant>
        <vt:i4>0</vt:i4>
      </vt:variant>
      <vt:variant>
        <vt:i4>5</vt:i4>
      </vt:variant>
      <vt:variant>
        <vt:lpwstr>mailto:info@mfe.govt.nz</vt:lpwstr>
      </vt:variant>
      <vt:variant>
        <vt:lpwstr/>
      </vt:variant>
      <vt:variant>
        <vt:i4>3473490</vt:i4>
      </vt:variant>
      <vt:variant>
        <vt:i4>744</vt:i4>
      </vt:variant>
      <vt:variant>
        <vt:i4>0</vt:i4>
      </vt:variant>
      <vt:variant>
        <vt:i4>5</vt:i4>
      </vt:variant>
      <vt:variant>
        <vt:lpwstr/>
      </vt:variant>
      <vt:variant>
        <vt:lpwstr>_19.__Climate</vt:lpwstr>
      </vt:variant>
      <vt:variant>
        <vt:i4>458842</vt:i4>
      </vt:variant>
      <vt:variant>
        <vt:i4>741</vt:i4>
      </vt:variant>
      <vt:variant>
        <vt:i4>0</vt:i4>
      </vt:variant>
      <vt:variant>
        <vt:i4>5</vt:i4>
      </vt:variant>
      <vt:variant>
        <vt:lpwstr>https://www.legislation.govt.nz/act/public/1989/44/en/latest/</vt:lpwstr>
      </vt:variant>
      <vt:variant>
        <vt:lpwstr>LMS398888</vt:lpwstr>
      </vt:variant>
      <vt:variant>
        <vt:i4>458844</vt:i4>
      </vt:variant>
      <vt:variant>
        <vt:i4>738</vt:i4>
      </vt:variant>
      <vt:variant>
        <vt:i4>0</vt:i4>
      </vt:variant>
      <vt:variant>
        <vt:i4>5</vt:i4>
      </vt:variant>
      <vt:variant>
        <vt:lpwstr/>
      </vt:variant>
      <vt:variant>
        <vt:lpwstr>_3._Our_organisational_1</vt:lpwstr>
      </vt:variant>
      <vt:variant>
        <vt:i4>3407923</vt:i4>
      </vt:variant>
      <vt:variant>
        <vt:i4>735</vt:i4>
      </vt:variant>
      <vt:variant>
        <vt:i4>0</vt:i4>
      </vt:variant>
      <vt:variant>
        <vt:i4>5</vt:i4>
      </vt:variant>
      <vt:variant>
        <vt:lpwstr>https://environment.govt.nz/assets/publications/CCCE-Board/Climate-Change-Chief-Executives-Board-Statement-of-Intent-2023-2027.pdf</vt:lpwstr>
      </vt:variant>
      <vt:variant>
        <vt:lpwstr/>
      </vt:variant>
      <vt:variant>
        <vt:i4>4718619</vt:i4>
      </vt:variant>
      <vt:variant>
        <vt:i4>732</vt:i4>
      </vt:variant>
      <vt:variant>
        <vt:i4>0</vt:i4>
      </vt:variant>
      <vt:variant>
        <vt:i4>5</vt:i4>
      </vt:variant>
      <vt:variant>
        <vt:lpwstr>https://www.xrb.govt.nz/standards/accounting-standards/public-sector-standards/standards-list/pbe-frs-48/</vt:lpwstr>
      </vt:variant>
      <vt:variant>
        <vt:lpwstr/>
      </vt:variant>
      <vt:variant>
        <vt:i4>5898250</vt:i4>
      </vt:variant>
      <vt:variant>
        <vt:i4>729</vt:i4>
      </vt:variant>
      <vt:variant>
        <vt:i4>0</vt:i4>
      </vt:variant>
      <vt:variant>
        <vt:i4>5</vt:i4>
      </vt:variant>
      <vt:variant>
        <vt:lpwstr>https://environment.govt.nz/assets/publications/climate-change/2025-government-response-to-CCC-emissions-reduction-monitoring-report.pdf</vt:lpwstr>
      </vt:variant>
      <vt:variant>
        <vt:lpwstr/>
      </vt:variant>
      <vt:variant>
        <vt:i4>6029322</vt:i4>
      </vt:variant>
      <vt:variant>
        <vt:i4>726</vt:i4>
      </vt:variant>
      <vt:variant>
        <vt:i4>0</vt:i4>
      </vt:variant>
      <vt:variant>
        <vt:i4>5</vt:i4>
      </vt:variant>
      <vt:variant>
        <vt:lpwstr>https://www.dpmc.govt.nz/sites/default/files/2024-04/factsheet-target-9-reduced-net-greenhouse-gas-emissions-8april24.pdf</vt:lpwstr>
      </vt:variant>
      <vt:variant>
        <vt:lpwstr/>
      </vt:variant>
      <vt:variant>
        <vt:i4>3735580</vt:i4>
      </vt:variant>
      <vt:variant>
        <vt:i4>723</vt:i4>
      </vt:variant>
      <vt:variant>
        <vt:i4>0</vt:i4>
      </vt:variant>
      <vt:variant>
        <vt:i4>5</vt:i4>
      </vt:variant>
      <vt:variant>
        <vt:lpwstr/>
      </vt:variant>
      <vt:variant>
        <vt:lpwstr>_Climate_Change_Chief</vt:lpwstr>
      </vt:variant>
      <vt:variant>
        <vt:i4>589826</vt:i4>
      </vt:variant>
      <vt:variant>
        <vt:i4>720</vt:i4>
      </vt:variant>
      <vt:variant>
        <vt:i4>0</vt:i4>
      </vt:variant>
      <vt:variant>
        <vt:i4>5</vt:i4>
      </vt:variant>
      <vt:variant>
        <vt:lpwstr>https://www.boprc.govt.nz/environment/maps-and-data/state-of-the-environment/</vt:lpwstr>
      </vt:variant>
      <vt:variant>
        <vt:lpwstr/>
      </vt:variant>
      <vt:variant>
        <vt:i4>1572887</vt:i4>
      </vt:variant>
      <vt:variant>
        <vt:i4>717</vt:i4>
      </vt:variant>
      <vt:variant>
        <vt:i4>0</vt:i4>
      </vt:variant>
      <vt:variant>
        <vt:i4>5</vt:i4>
      </vt:variant>
      <vt:variant>
        <vt:lpwstr>https://www.lawa.org.nz/learn/factsheets/lake-trophic-level-index</vt:lpwstr>
      </vt:variant>
      <vt:variant>
        <vt:lpwstr/>
      </vt:variant>
      <vt:variant>
        <vt:i4>3670042</vt:i4>
      </vt:variant>
      <vt:variant>
        <vt:i4>714</vt:i4>
      </vt:variant>
      <vt:variant>
        <vt:i4>0</vt:i4>
      </vt:variant>
      <vt:variant>
        <vt:i4>5</vt:i4>
      </vt:variant>
      <vt:variant>
        <vt:lpwstr/>
      </vt:variant>
      <vt:variant>
        <vt:lpwstr>_Waste_Minimisation_–</vt:lpwstr>
      </vt:variant>
      <vt:variant>
        <vt:i4>1900587</vt:i4>
      </vt:variant>
      <vt:variant>
        <vt:i4>711</vt:i4>
      </vt:variant>
      <vt:variant>
        <vt:i4>0</vt:i4>
      </vt:variant>
      <vt:variant>
        <vt:i4>5</vt:i4>
      </vt:variant>
      <vt:variant>
        <vt:lpwstr/>
      </vt:variant>
      <vt:variant>
        <vt:lpwstr>_Reducing_emissions_from</vt:lpwstr>
      </vt:variant>
      <vt:variant>
        <vt:i4>7274576</vt:i4>
      </vt:variant>
      <vt:variant>
        <vt:i4>708</vt:i4>
      </vt:variant>
      <vt:variant>
        <vt:i4>0</vt:i4>
      </vt:variant>
      <vt:variant>
        <vt:i4>5</vt:i4>
      </vt:variant>
      <vt:variant>
        <vt:lpwstr/>
      </vt:variant>
      <vt:variant>
        <vt:lpwstr>_Note_1:_Trophic</vt:lpwstr>
      </vt:variant>
      <vt:variant>
        <vt:i4>4784212</vt:i4>
      </vt:variant>
      <vt:variant>
        <vt:i4>705</vt:i4>
      </vt:variant>
      <vt:variant>
        <vt:i4>0</vt:i4>
      </vt:variant>
      <vt:variant>
        <vt:i4>5</vt:i4>
      </vt:variant>
      <vt:variant>
        <vt:lpwstr>https://environment.govt.nz/news/maori-climate-platform-funding-supports-climate-resilience/</vt:lpwstr>
      </vt:variant>
      <vt:variant>
        <vt:lpwstr/>
      </vt:variant>
      <vt:variant>
        <vt:i4>4530292</vt:i4>
      </vt:variant>
      <vt:variant>
        <vt:i4>702</vt:i4>
      </vt:variant>
      <vt:variant>
        <vt:i4>0</vt:i4>
      </vt:variant>
      <vt:variant>
        <vt:i4>5</vt:i4>
      </vt:variant>
      <vt:variant>
        <vt:lpwstr/>
      </vt:variant>
      <vt:variant>
        <vt:lpwstr>_Note_2_–_1</vt:lpwstr>
      </vt:variant>
      <vt:variant>
        <vt:i4>4530295</vt:i4>
      </vt:variant>
      <vt:variant>
        <vt:i4>699</vt:i4>
      </vt:variant>
      <vt:variant>
        <vt:i4>0</vt:i4>
      </vt:variant>
      <vt:variant>
        <vt:i4>5</vt:i4>
      </vt:variant>
      <vt:variant>
        <vt:lpwstr/>
      </vt:variant>
      <vt:variant>
        <vt:lpwstr>_Note_1_–_1</vt:lpwstr>
      </vt:variant>
      <vt:variant>
        <vt:i4>3997810</vt:i4>
      </vt:variant>
      <vt:variant>
        <vt:i4>696</vt:i4>
      </vt:variant>
      <vt:variant>
        <vt:i4>0</vt:i4>
      </vt:variant>
      <vt:variant>
        <vt:i4>5</vt:i4>
      </vt:variant>
      <vt:variant>
        <vt:lpwstr>https://www.legislation.govt.nz/act/public/2002/40/en/latest/</vt:lpwstr>
      </vt:variant>
      <vt:variant>
        <vt:lpwstr>DLM1662494</vt:lpwstr>
      </vt:variant>
      <vt:variant>
        <vt:i4>5898257</vt:i4>
      </vt:variant>
      <vt:variant>
        <vt:i4>693</vt:i4>
      </vt:variant>
      <vt:variant>
        <vt:i4>0</vt:i4>
      </vt:variant>
      <vt:variant>
        <vt:i4>5</vt:i4>
      </vt:variant>
      <vt:variant>
        <vt:lpwstr>https://environment.govt.nz/what-government-is-doing/areas-of-work/climate-change/emissions-budgets-and-the-emissions-reduction-plan/</vt:lpwstr>
      </vt:variant>
      <vt:variant>
        <vt:lpwstr/>
      </vt:variant>
      <vt:variant>
        <vt:i4>1638494</vt:i4>
      </vt:variant>
      <vt:variant>
        <vt:i4>690</vt:i4>
      </vt:variant>
      <vt:variant>
        <vt:i4>0</vt:i4>
      </vt:variant>
      <vt:variant>
        <vt:i4>5</vt:i4>
      </vt:variant>
      <vt:variant>
        <vt:lpwstr>https://environment.govt.nz/what-government-is-doing/areas-of-work/climate-change/ets/nz-ets-market/where-to-buy-new-zealand-emissions-units/</vt:lpwstr>
      </vt:variant>
      <vt:variant>
        <vt:lpwstr/>
      </vt:variant>
      <vt:variant>
        <vt:i4>4063277</vt:i4>
      </vt:variant>
      <vt:variant>
        <vt:i4>687</vt:i4>
      </vt:variant>
      <vt:variant>
        <vt:i4>0</vt:i4>
      </vt:variant>
      <vt:variant>
        <vt:i4>5</vt:i4>
      </vt:variant>
      <vt:variant>
        <vt:lpwstr>https://environment.govt.nz/what-government-is-doing/areas-of-work/climate-change/ets/about-nz-ets/</vt:lpwstr>
      </vt:variant>
      <vt:variant>
        <vt:lpwstr/>
      </vt:variant>
      <vt:variant>
        <vt:i4>3670042</vt:i4>
      </vt:variant>
      <vt:variant>
        <vt:i4>681</vt:i4>
      </vt:variant>
      <vt:variant>
        <vt:i4>0</vt:i4>
      </vt:variant>
      <vt:variant>
        <vt:i4>5</vt:i4>
      </vt:variant>
      <vt:variant>
        <vt:lpwstr/>
      </vt:variant>
      <vt:variant>
        <vt:lpwstr>_Waste_Minimisation_–</vt:lpwstr>
      </vt:variant>
      <vt:variant>
        <vt:i4>4063277</vt:i4>
      </vt:variant>
      <vt:variant>
        <vt:i4>672</vt:i4>
      </vt:variant>
      <vt:variant>
        <vt:i4>0</vt:i4>
      </vt:variant>
      <vt:variant>
        <vt:i4>5</vt:i4>
      </vt:variant>
      <vt:variant>
        <vt:lpwstr>https://environment.govt.nz/what-government-is-doing/areas-of-work/climate-change/ets/about-nz-ets/</vt:lpwstr>
      </vt:variant>
      <vt:variant>
        <vt:lpwstr/>
      </vt:variant>
      <vt:variant>
        <vt:i4>1769499</vt:i4>
      </vt:variant>
      <vt:variant>
        <vt:i4>666</vt:i4>
      </vt:variant>
      <vt:variant>
        <vt:i4>0</vt:i4>
      </vt:variant>
      <vt:variant>
        <vt:i4>5</vt:i4>
      </vt:variant>
      <vt:variant>
        <vt:lpwstr>https://tehaeata.govt.nz/nau-mai-haere-mai-ki-te-haeata?destination=/kia-ora</vt:lpwstr>
      </vt:variant>
      <vt:variant>
        <vt:lpwstr/>
      </vt:variant>
      <vt:variant>
        <vt:i4>1638418</vt:i4>
      </vt:variant>
      <vt:variant>
        <vt:i4>648</vt:i4>
      </vt:variant>
      <vt:variant>
        <vt:i4>0</vt:i4>
      </vt:variant>
      <vt:variant>
        <vt:i4>5</vt:i4>
      </vt:variant>
      <vt:variant>
        <vt:lpwstr>https://environment.govt.nz/assets/MfE-Sustainability-Strategy-2026-28.pdf?v=687ef9264962e26cc43a9d6fc623d23ee60a2bd2</vt:lpwstr>
      </vt:variant>
      <vt:variant>
        <vt:lpwstr/>
      </vt:variant>
      <vt:variant>
        <vt:i4>3407923</vt:i4>
      </vt:variant>
      <vt:variant>
        <vt:i4>615</vt:i4>
      </vt:variant>
      <vt:variant>
        <vt:i4>0</vt:i4>
      </vt:variant>
      <vt:variant>
        <vt:i4>5</vt:i4>
      </vt:variant>
      <vt:variant>
        <vt:lpwstr>https://environment.govt.nz/assets/publications/CCCE-Board/Climate-Change-Chief-Executives-Board-Statement-of-Intent-2023-2027.pdf</vt:lpwstr>
      </vt:variant>
      <vt:variant>
        <vt:lpwstr/>
      </vt:variant>
      <vt:variant>
        <vt:i4>6488165</vt:i4>
      </vt:variant>
      <vt:variant>
        <vt:i4>612</vt:i4>
      </vt:variant>
      <vt:variant>
        <vt:i4>0</vt:i4>
      </vt:variant>
      <vt:variant>
        <vt:i4>5</vt:i4>
      </vt:variant>
      <vt:variant>
        <vt:lpwstr>https://www.dpmc.govt.nz/our-programmes/government-targets/government-targets-quarterly-reports</vt:lpwstr>
      </vt:variant>
      <vt:variant>
        <vt:lpwstr/>
      </vt:variant>
      <vt:variant>
        <vt:i4>3080243</vt:i4>
      </vt:variant>
      <vt:variant>
        <vt:i4>609</vt:i4>
      </vt:variant>
      <vt:variant>
        <vt:i4>0</vt:i4>
      </vt:variant>
      <vt:variant>
        <vt:i4>5</vt:i4>
      </vt:variant>
      <vt:variant>
        <vt:lpwstr>https://environment.govt.nz/assets/publications/Files/contaminated-land-management-guidelines-no-5.pdf</vt:lpwstr>
      </vt:variant>
      <vt:variant>
        <vt:lpwstr/>
      </vt:variant>
      <vt:variant>
        <vt:i4>2818099</vt:i4>
      </vt:variant>
      <vt:variant>
        <vt:i4>606</vt:i4>
      </vt:variant>
      <vt:variant>
        <vt:i4>0</vt:i4>
      </vt:variant>
      <vt:variant>
        <vt:i4>5</vt:i4>
      </vt:variant>
      <vt:variant>
        <vt:lpwstr>https://environment.govt.nz/assets/publications/Files/contaminated-land-management-guidelines-no-1.pdf</vt:lpwstr>
      </vt:variant>
      <vt:variant>
        <vt:lpwstr/>
      </vt:variant>
      <vt:variant>
        <vt:i4>543555643</vt:i4>
      </vt:variant>
      <vt:variant>
        <vt:i4>603</vt:i4>
      </vt:variant>
      <vt:variant>
        <vt:i4>0</vt:i4>
      </vt:variant>
      <vt:variant>
        <vt:i4>5</vt:i4>
      </vt:variant>
      <vt:variant>
        <vt:lpwstr/>
      </vt:variant>
      <vt:variant>
        <vt:lpwstr>_Note_10_–</vt:lpwstr>
      </vt:variant>
      <vt:variant>
        <vt:i4>1572879</vt:i4>
      </vt:variant>
      <vt:variant>
        <vt:i4>600</vt:i4>
      </vt:variant>
      <vt:variant>
        <vt:i4>0</vt:i4>
      </vt:variant>
      <vt:variant>
        <vt:i4>5</vt:i4>
      </vt:variant>
      <vt:variant>
        <vt:lpwstr>https://environment.govt.nz/assets/publications/waste-and-resource-efficiency-work-programme-2024-26.pdf</vt:lpwstr>
      </vt:variant>
      <vt:variant>
        <vt:lpwstr/>
      </vt:variant>
      <vt:variant>
        <vt:i4>543490107</vt:i4>
      </vt:variant>
      <vt:variant>
        <vt:i4>597</vt:i4>
      </vt:variant>
      <vt:variant>
        <vt:i4>0</vt:i4>
      </vt:variant>
      <vt:variant>
        <vt:i4>5</vt:i4>
      </vt:variant>
      <vt:variant>
        <vt:lpwstr/>
      </vt:variant>
      <vt:variant>
        <vt:lpwstr>_Note_13_–</vt:lpwstr>
      </vt:variant>
      <vt:variant>
        <vt:i4>543555643</vt:i4>
      </vt:variant>
      <vt:variant>
        <vt:i4>594</vt:i4>
      </vt:variant>
      <vt:variant>
        <vt:i4>0</vt:i4>
      </vt:variant>
      <vt:variant>
        <vt:i4>5</vt:i4>
      </vt:variant>
      <vt:variant>
        <vt:lpwstr/>
      </vt:variant>
      <vt:variant>
        <vt:lpwstr>_Note_10_–</vt:lpwstr>
      </vt:variant>
      <vt:variant>
        <vt:i4>1245267</vt:i4>
      </vt:variant>
      <vt:variant>
        <vt:i4>591</vt:i4>
      </vt:variant>
      <vt:variant>
        <vt:i4>0</vt:i4>
      </vt:variant>
      <vt:variant>
        <vt:i4>5</vt:i4>
      </vt:variant>
      <vt:variant>
        <vt:lpwstr>https://www.tyrewise.co.nz/category/reports/</vt:lpwstr>
      </vt:variant>
      <vt:variant>
        <vt:lpwstr/>
      </vt:variant>
      <vt:variant>
        <vt:i4>2556021</vt:i4>
      </vt:variant>
      <vt:variant>
        <vt:i4>588</vt:i4>
      </vt:variant>
      <vt:variant>
        <vt:i4>0</vt:i4>
      </vt:variant>
      <vt:variant>
        <vt:i4>5</vt:i4>
      </vt:variant>
      <vt:variant>
        <vt:lpwstr>https://environment.govt.nz/facts-and-science/environmental-reporting/</vt:lpwstr>
      </vt:variant>
      <vt:variant>
        <vt:lpwstr/>
      </vt:variant>
      <vt:variant>
        <vt:i4>3932282</vt:i4>
      </vt:variant>
      <vt:variant>
        <vt:i4>585</vt:i4>
      </vt:variant>
      <vt:variant>
        <vt:i4>0</vt:i4>
      </vt:variant>
      <vt:variant>
        <vt:i4>5</vt:i4>
      </vt:variant>
      <vt:variant>
        <vt:lpwstr>https://www.legislation.govt.nz/act/public/2015/87/en/latest/</vt:lpwstr>
      </vt:variant>
      <vt:variant>
        <vt:lpwstr>DLM5941160</vt:lpwstr>
      </vt:variant>
      <vt:variant>
        <vt:i4>8126568</vt:i4>
      </vt:variant>
      <vt:variant>
        <vt:i4>582</vt:i4>
      </vt:variant>
      <vt:variant>
        <vt:i4>0</vt:i4>
      </vt:variant>
      <vt:variant>
        <vt:i4>5</vt:i4>
      </vt:variant>
      <vt:variant>
        <vt:lpwstr>https://www.dpmc.govt.nz/publications/guide-ministerial-policy-satisfaction-survey</vt:lpwstr>
      </vt:variant>
      <vt:variant>
        <vt:lpwstr/>
      </vt:variant>
      <vt:variant>
        <vt:i4>5374027</vt:i4>
      </vt:variant>
      <vt:variant>
        <vt:i4>579</vt:i4>
      </vt:variant>
      <vt:variant>
        <vt:i4>0</vt:i4>
      </vt:variant>
      <vt:variant>
        <vt:i4>5</vt:i4>
      </vt:variant>
      <vt:variant>
        <vt:lpwstr>https://www.regulation.govt.nz/for-agencies/developing-policy/regulatory-impact-analysis-ria/</vt:lpwstr>
      </vt:variant>
      <vt:variant>
        <vt:lpwstr/>
      </vt:variant>
      <vt:variant>
        <vt:i4>458767</vt:i4>
      </vt:variant>
      <vt:variant>
        <vt:i4>576</vt:i4>
      </vt:variant>
      <vt:variant>
        <vt:i4>0</vt:i4>
      </vt:variant>
      <vt:variant>
        <vt:i4>5</vt:i4>
      </vt:variant>
      <vt:variant>
        <vt:lpwstr>https://www.dpmc.govt.nz/our-programmes/policy-project/policy-quality</vt:lpwstr>
      </vt:variant>
      <vt:variant>
        <vt:lpwstr/>
      </vt:variant>
      <vt:variant>
        <vt:i4>3276825</vt:i4>
      </vt:variant>
      <vt:variant>
        <vt:i4>573</vt:i4>
      </vt:variant>
      <vt:variant>
        <vt:i4>0</vt:i4>
      </vt:variant>
      <vt:variant>
        <vt:i4>5</vt:i4>
      </vt:variant>
      <vt:variant>
        <vt:lpwstr/>
      </vt:variant>
      <vt:variant>
        <vt:lpwstr>_Progress_on_our</vt:lpwstr>
      </vt:variant>
      <vt:variant>
        <vt:i4>1638493</vt:i4>
      </vt:variant>
      <vt:variant>
        <vt:i4>570</vt:i4>
      </vt:variant>
      <vt:variant>
        <vt:i4>0</vt:i4>
      </vt:variant>
      <vt:variant>
        <vt:i4>5</vt:i4>
      </vt:variant>
      <vt:variant>
        <vt:lpwstr>https://environment.govt.nz/assets/publications/strategic-intentions-2025-29-web.pdf</vt:lpwstr>
      </vt:variant>
      <vt:variant>
        <vt:lpwstr/>
      </vt:variant>
      <vt:variant>
        <vt:i4>4718619</vt:i4>
      </vt:variant>
      <vt:variant>
        <vt:i4>567</vt:i4>
      </vt:variant>
      <vt:variant>
        <vt:i4>0</vt:i4>
      </vt:variant>
      <vt:variant>
        <vt:i4>5</vt:i4>
      </vt:variant>
      <vt:variant>
        <vt:lpwstr>https://www.xrb.govt.nz/standards/accounting-standards/public-sector-standards/standards-list/pbe-frs-48/</vt:lpwstr>
      </vt:variant>
      <vt:variant>
        <vt:lpwstr/>
      </vt:variant>
      <vt:variant>
        <vt:i4>6684794</vt:i4>
      </vt:variant>
      <vt:variant>
        <vt:i4>564</vt:i4>
      </vt:variant>
      <vt:variant>
        <vt:i4>0</vt:i4>
      </vt:variant>
      <vt:variant>
        <vt:i4>5</vt:i4>
      </vt:variant>
      <vt:variant>
        <vt:lpwstr/>
      </vt:variant>
      <vt:variant>
        <vt:lpwstr>_Climate_Change_Chief_1</vt:lpwstr>
      </vt:variant>
      <vt:variant>
        <vt:i4>6488165</vt:i4>
      </vt:variant>
      <vt:variant>
        <vt:i4>561</vt:i4>
      </vt:variant>
      <vt:variant>
        <vt:i4>0</vt:i4>
      </vt:variant>
      <vt:variant>
        <vt:i4>5</vt:i4>
      </vt:variant>
      <vt:variant>
        <vt:lpwstr>https://www.dpmc.govt.nz/our-programmes/government-targets/government-targets-quarterly-reports</vt:lpwstr>
      </vt:variant>
      <vt:variant>
        <vt:lpwstr/>
      </vt:variant>
      <vt:variant>
        <vt:i4>6881314</vt:i4>
      </vt:variant>
      <vt:variant>
        <vt:i4>558</vt:i4>
      </vt:variant>
      <vt:variant>
        <vt:i4>0</vt:i4>
      </vt:variant>
      <vt:variant>
        <vt:i4>5</vt:i4>
      </vt:variant>
      <vt:variant>
        <vt:lpwstr>https://environment.govt.nz/what-government-is-doing/areas-of-work/climate-change/emissions-reductions/emissions-reduction-targets/government-target-9-quarterly-reporting/</vt:lpwstr>
      </vt:variant>
      <vt:variant>
        <vt:lpwstr/>
      </vt:variant>
      <vt:variant>
        <vt:i4>543293499</vt:i4>
      </vt:variant>
      <vt:variant>
        <vt:i4>555</vt:i4>
      </vt:variant>
      <vt:variant>
        <vt:i4>0</vt:i4>
      </vt:variant>
      <vt:variant>
        <vt:i4>5</vt:i4>
      </vt:variant>
      <vt:variant>
        <vt:lpwstr/>
      </vt:variant>
      <vt:variant>
        <vt:lpwstr>_Note_14_–</vt:lpwstr>
      </vt:variant>
      <vt:variant>
        <vt:i4>7274552</vt:i4>
      </vt:variant>
      <vt:variant>
        <vt:i4>552</vt:i4>
      </vt:variant>
      <vt:variant>
        <vt:i4>0</vt:i4>
      </vt:variant>
      <vt:variant>
        <vt:i4>5</vt:i4>
      </vt:variant>
      <vt:variant>
        <vt:lpwstr>https://www.legislation.govt.nz/act/public/2008/89/en/2016-01-01/</vt:lpwstr>
      </vt:variant>
      <vt:variant>
        <vt:lpwstr>DLM1154604</vt:lpwstr>
      </vt:variant>
      <vt:variant>
        <vt:i4>7077985</vt:i4>
      </vt:variant>
      <vt:variant>
        <vt:i4>549</vt:i4>
      </vt:variant>
      <vt:variant>
        <vt:i4>0</vt:i4>
      </vt:variant>
      <vt:variant>
        <vt:i4>5</vt:i4>
      </vt:variant>
      <vt:variant>
        <vt:lpwstr>https://www.legislation.govt.nz/secondary-legislation/pco-drafted/2009/144/en/latest/</vt:lpwstr>
      </vt:variant>
      <vt:variant>
        <vt:lpwstr>DLM2055774</vt:lpwstr>
      </vt:variant>
      <vt:variant>
        <vt:i4>6357041</vt:i4>
      </vt:variant>
      <vt:variant>
        <vt:i4>546</vt:i4>
      </vt:variant>
      <vt:variant>
        <vt:i4>0</vt:i4>
      </vt:variant>
      <vt:variant>
        <vt:i4>5</vt:i4>
      </vt:variant>
      <vt:variant>
        <vt:lpwstr>https://www.legislation.govt.nz/act/public/2008/89/en/2016-01-01/</vt:lpwstr>
      </vt:variant>
      <vt:variant>
        <vt:lpwstr>DLM1154599</vt:lpwstr>
      </vt:variant>
      <vt:variant>
        <vt:i4>543490107</vt:i4>
      </vt:variant>
      <vt:variant>
        <vt:i4>543</vt:i4>
      </vt:variant>
      <vt:variant>
        <vt:i4>0</vt:i4>
      </vt:variant>
      <vt:variant>
        <vt:i4>5</vt:i4>
      </vt:variant>
      <vt:variant>
        <vt:lpwstr/>
      </vt:variant>
      <vt:variant>
        <vt:lpwstr>_Note_13_–</vt:lpwstr>
      </vt:variant>
      <vt:variant>
        <vt:i4>543490107</vt:i4>
      </vt:variant>
      <vt:variant>
        <vt:i4>540</vt:i4>
      </vt:variant>
      <vt:variant>
        <vt:i4>0</vt:i4>
      </vt:variant>
      <vt:variant>
        <vt:i4>5</vt:i4>
      </vt:variant>
      <vt:variant>
        <vt:lpwstr/>
      </vt:variant>
      <vt:variant>
        <vt:lpwstr>_Note_13_–</vt:lpwstr>
      </vt:variant>
      <vt:variant>
        <vt:i4>543490107</vt:i4>
      </vt:variant>
      <vt:variant>
        <vt:i4>537</vt:i4>
      </vt:variant>
      <vt:variant>
        <vt:i4>0</vt:i4>
      </vt:variant>
      <vt:variant>
        <vt:i4>5</vt:i4>
      </vt:variant>
      <vt:variant>
        <vt:lpwstr/>
      </vt:variant>
      <vt:variant>
        <vt:lpwstr>_Note_13_–</vt:lpwstr>
      </vt:variant>
      <vt:variant>
        <vt:i4>543490107</vt:i4>
      </vt:variant>
      <vt:variant>
        <vt:i4>534</vt:i4>
      </vt:variant>
      <vt:variant>
        <vt:i4>0</vt:i4>
      </vt:variant>
      <vt:variant>
        <vt:i4>5</vt:i4>
      </vt:variant>
      <vt:variant>
        <vt:lpwstr/>
      </vt:variant>
      <vt:variant>
        <vt:lpwstr>_Note_13_–</vt:lpwstr>
      </vt:variant>
      <vt:variant>
        <vt:i4>543490107</vt:i4>
      </vt:variant>
      <vt:variant>
        <vt:i4>531</vt:i4>
      </vt:variant>
      <vt:variant>
        <vt:i4>0</vt:i4>
      </vt:variant>
      <vt:variant>
        <vt:i4>5</vt:i4>
      </vt:variant>
      <vt:variant>
        <vt:lpwstr/>
      </vt:variant>
      <vt:variant>
        <vt:lpwstr>_Note_13_–</vt:lpwstr>
      </vt:variant>
      <vt:variant>
        <vt:i4>543424571</vt:i4>
      </vt:variant>
      <vt:variant>
        <vt:i4>528</vt:i4>
      </vt:variant>
      <vt:variant>
        <vt:i4>0</vt:i4>
      </vt:variant>
      <vt:variant>
        <vt:i4>5</vt:i4>
      </vt:variant>
      <vt:variant>
        <vt:lpwstr/>
      </vt:variant>
      <vt:variant>
        <vt:lpwstr>_Note_12_–</vt:lpwstr>
      </vt:variant>
      <vt:variant>
        <vt:i4>543621179</vt:i4>
      </vt:variant>
      <vt:variant>
        <vt:i4>525</vt:i4>
      </vt:variant>
      <vt:variant>
        <vt:i4>0</vt:i4>
      </vt:variant>
      <vt:variant>
        <vt:i4>5</vt:i4>
      </vt:variant>
      <vt:variant>
        <vt:lpwstr/>
      </vt:variant>
      <vt:variant>
        <vt:lpwstr>_Note_11_–</vt:lpwstr>
      </vt:variant>
      <vt:variant>
        <vt:i4>7405620</vt:i4>
      </vt:variant>
      <vt:variant>
        <vt:i4>522</vt:i4>
      </vt:variant>
      <vt:variant>
        <vt:i4>0</vt:i4>
      </vt:variant>
      <vt:variant>
        <vt:i4>5</vt:i4>
      </vt:variant>
      <vt:variant>
        <vt:lpwstr>https://environment.govt.nz/what-you-can-do/funding/waste-investments-snapshot/</vt:lpwstr>
      </vt:variant>
      <vt:variant>
        <vt:lpwstr/>
      </vt:variant>
      <vt:variant>
        <vt:i4>543555643</vt:i4>
      </vt:variant>
      <vt:variant>
        <vt:i4>519</vt:i4>
      </vt:variant>
      <vt:variant>
        <vt:i4>0</vt:i4>
      </vt:variant>
      <vt:variant>
        <vt:i4>5</vt:i4>
      </vt:variant>
      <vt:variant>
        <vt:lpwstr/>
      </vt:variant>
      <vt:variant>
        <vt:lpwstr>_Note_10_–</vt:lpwstr>
      </vt:variant>
      <vt:variant>
        <vt:i4>3276842</vt:i4>
      </vt:variant>
      <vt:variant>
        <vt:i4>516</vt:i4>
      </vt:variant>
      <vt:variant>
        <vt:i4>0</vt:i4>
      </vt:variant>
      <vt:variant>
        <vt:i4>5</vt:i4>
      </vt:variant>
      <vt:variant>
        <vt:lpwstr/>
      </vt:variant>
      <vt:variant>
        <vt:lpwstr>_Advice_and_support_1</vt:lpwstr>
      </vt:variant>
      <vt:variant>
        <vt:i4>1704036</vt:i4>
      </vt:variant>
      <vt:variant>
        <vt:i4>513</vt:i4>
      </vt:variant>
      <vt:variant>
        <vt:i4>0</vt:i4>
      </vt:variant>
      <vt:variant>
        <vt:i4>5</vt:i4>
      </vt:variant>
      <vt:variant>
        <vt:lpwstr/>
      </vt:variant>
      <vt:variant>
        <vt:lpwstr>_Note_1_–</vt:lpwstr>
      </vt:variant>
      <vt:variant>
        <vt:i4>1572879</vt:i4>
      </vt:variant>
      <vt:variant>
        <vt:i4>510</vt:i4>
      </vt:variant>
      <vt:variant>
        <vt:i4>0</vt:i4>
      </vt:variant>
      <vt:variant>
        <vt:i4>5</vt:i4>
      </vt:variant>
      <vt:variant>
        <vt:lpwstr>https://environment.govt.nz/assets/publications/waste-and-resource-efficiency-work-programme-2024-26.pdf</vt:lpwstr>
      </vt:variant>
      <vt:variant>
        <vt:lpwstr/>
      </vt:variant>
      <vt:variant>
        <vt:i4>1704044</vt:i4>
      </vt:variant>
      <vt:variant>
        <vt:i4>507</vt:i4>
      </vt:variant>
      <vt:variant>
        <vt:i4>0</vt:i4>
      </vt:variant>
      <vt:variant>
        <vt:i4>5</vt:i4>
      </vt:variant>
      <vt:variant>
        <vt:lpwstr/>
      </vt:variant>
      <vt:variant>
        <vt:lpwstr>_Note_9_–</vt:lpwstr>
      </vt:variant>
      <vt:variant>
        <vt:i4>28</vt:i4>
      </vt:variant>
      <vt:variant>
        <vt:i4>504</vt:i4>
      </vt:variant>
      <vt:variant>
        <vt:i4>0</vt:i4>
      </vt:variant>
      <vt:variant>
        <vt:i4>5</vt:i4>
      </vt:variant>
      <vt:variant>
        <vt:lpwstr>https://mfenz.shinyapps.io/waste_wmf_app/</vt:lpwstr>
      </vt:variant>
      <vt:variant>
        <vt:lpwstr/>
      </vt:variant>
      <vt:variant>
        <vt:i4>1704045</vt:i4>
      </vt:variant>
      <vt:variant>
        <vt:i4>501</vt:i4>
      </vt:variant>
      <vt:variant>
        <vt:i4>0</vt:i4>
      </vt:variant>
      <vt:variant>
        <vt:i4>5</vt:i4>
      </vt:variant>
      <vt:variant>
        <vt:lpwstr/>
      </vt:variant>
      <vt:variant>
        <vt:lpwstr>_Note_8_–</vt:lpwstr>
      </vt:variant>
      <vt:variant>
        <vt:i4>1704034</vt:i4>
      </vt:variant>
      <vt:variant>
        <vt:i4>498</vt:i4>
      </vt:variant>
      <vt:variant>
        <vt:i4>0</vt:i4>
      </vt:variant>
      <vt:variant>
        <vt:i4>5</vt:i4>
      </vt:variant>
      <vt:variant>
        <vt:lpwstr/>
      </vt:variant>
      <vt:variant>
        <vt:lpwstr>_Note_7_–</vt:lpwstr>
      </vt:variant>
      <vt:variant>
        <vt:i4>1704035</vt:i4>
      </vt:variant>
      <vt:variant>
        <vt:i4>495</vt:i4>
      </vt:variant>
      <vt:variant>
        <vt:i4>0</vt:i4>
      </vt:variant>
      <vt:variant>
        <vt:i4>5</vt:i4>
      </vt:variant>
      <vt:variant>
        <vt:lpwstr/>
      </vt:variant>
      <vt:variant>
        <vt:lpwstr>_Note_6_–</vt:lpwstr>
      </vt:variant>
      <vt:variant>
        <vt:i4>5242955</vt:i4>
      </vt:variant>
      <vt:variant>
        <vt:i4>492</vt:i4>
      </vt:variant>
      <vt:variant>
        <vt:i4>0</vt:i4>
      </vt:variant>
      <vt:variant>
        <vt:i4>5</vt:i4>
      </vt:variant>
      <vt:variant>
        <vt:lpwstr>https://environment.govt.nz/news/budget-2026/</vt:lpwstr>
      </vt:variant>
      <vt:variant>
        <vt:lpwstr/>
      </vt:variant>
      <vt:variant>
        <vt:i4>5439508</vt:i4>
      </vt:variant>
      <vt:variant>
        <vt:i4>489</vt:i4>
      </vt:variant>
      <vt:variant>
        <vt:i4>0</vt:i4>
      </vt:variant>
      <vt:variant>
        <vt:i4>5</vt:i4>
      </vt:variant>
      <vt:variant>
        <vt:lpwstr>https://environment.govt.nz/news/rma-national-direction-updated/</vt:lpwstr>
      </vt:variant>
      <vt:variant>
        <vt:lpwstr/>
      </vt:variant>
      <vt:variant>
        <vt:i4>3145839</vt:i4>
      </vt:variant>
      <vt:variant>
        <vt:i4>486</vt:i4>
      </vt:variant>
      <vt:variant>
        <vt:i4>0</vt:i4>
      </vt:variant>
      <vt:variant>
        <vt:i4>5</vt:i4>
      </vt:variant>
      <vt:variant>
        <vt:lpwstr>https://www.legislation.govt.nz/act/public/2025/41/en/latest/</vt:lpwstr>
      </vt:variant>
      <vt:variant>
        <vt:lpwstr>LMS1014951</vt:lpwstr>
      </vt:variant>
      <vt:variant>
        <vt:i4>1572866</vt:i4>
      </vt:variant>
      <vt:variant>
        <vt:i4>483</vt:i4>
      </vt:variant>
      <vt:variant>
        <vt:i4>0</vt:i4>
      </vt:variant>
      <vt:variant>
        <vt:i4>5</vt:i4>
      </vt:variant>
      <vt:variant>
        <vt:lpwstr>https://bills.parliament.nz/v/6/ba467863-d6b0-4968-1027-08de369d9192?lang=en&amp;Tab=history</vt:lpwstr>
      </vt:variant>
      <vt:variant>
        <vt:lpwstr/>
      </vt:variant>
      <vt:variant>
        <vt:i4>4325467</vt:i4>
      </vt:variant>
      <vt:variant>
        <vt:i4>480</vt:i4>
      </vt:variant>
      <vt:variant>
        <vt:i4>0</vt:i4>
      </vt:variant>
      <vt:variant>
        <vt:i4>5</vt:i4>
      </vt:variant>
      <vt:variant>
        <vt:lpwstr>https://bills.parliament.nz/v/6/394369fc-5ba2-4d8a-1026-08de369d9192?lang=en&amp;Tab=history</vt:lpwstr>
      </vt:variant>
      <vt:variant>
        <vt:lpwstr/>
      </vt:variant>
      <vt:variant>
        <vt:i4>4521985</vt:i4>
      </vt:variant>
      <vt:variant>
        <vt:i4>477</vt:i4>
      </vt:variant>
      <vt:variant>
        <vt:i4>0</vt:i4>
      </vt:variant>
      <vt:variant>
        <vt:i4>5</vt:i4>
      </vt:variant>
      <vt:variant>
        <vt:lpwstr>https://environment.govt.nz/publications/our-freshwater-2026/</vt:lpwstr>
      </vt:variant>
      <vt:variant>
        <vt:lpwstr/>
      </vt:variant>
      <vt:variant>
        <vt:i4>1966082</vt:i4>
      </vt:variant>
      <vt:variant>
        <vt:i4>474</vt:i4>
      </vt:variant>
      <vt:variant>
        <vt:i4>0</vt:i4>
      </vt:variant>
      <vt:variant>
        <vt:i4>5</vt:i4>
      </vt:variant>
      <vt:variant>
        <vt:lpwstr>https://environment.govt.nz/publications/our-marine-environment-2025/</vt:lpwstr>
      </vt:variant>
      <vt:variant>
        <vt:lpwstr/>
      </vt:variant>
      <vt:variant>
        <vt:i4>1704032</vt:i4>
      </vt:variant>
      <vt:variant>
        <vt:i4>471</vt:i4>
      </vt:variant>
      <vt:variant>
        <vt:i4>0</vt:i4>
      </vt:variant>
      <vt:variant>
        <vt:i4>5</vt:i4>
      </vt:variant>
      <vt:variant>
        <vt:lpwstr/>
      </vt:variant>
      <vt:variant>
        <vt:lpwstr>_Note_5_–</vt:lpwstr>
      </vt:variant>
      <vt:variant>
        <vt:i4>7340067</vt:i4>
      </vt:variant>
      <vt:variant>
        <vt:i4>468</vt:i4>
      </vt:variant>
      <vt:variant>
        <vt:i4>0</vt:i4>
      </vt:variant>
      <vt:variant>
        <vt:i4>5</vt:i4>
      </vt:variant>
      <vt:variant>
        <vt:lpwstr>https://environment.govt.nz/what-government-is-doing/areas-of-work/rma/national-monitoring-system/</vt:lpwstr>
      </vt:variant>
      <vt:variant>
        <vt:lpwstr/>
      </vt:variant>
      <vt:variant>
        <vt:i4>3276842</vt:i4>
      </vt:variant>
      <vt:variant>
        <vt:i4>465</vt:i4>
      </vt:variant>
      <vt:variant>
        <vt:i4>0</vt:i4>
      </vt:variant>
      <vt:variant>
        <vt:i4>5</vt:i4>
      </vt:variant>
      <vt:variant>
        <vt:lpwstr/>
      </vt:variant>
      <vt:variant>
        <vt:lpwstr>_Advice_and_support_1</vt:lpwstr>
      </vt:variant>
      <vt:variant>
        <vt:i4>1704036</vt:i4>
      </vt:variant>
      <vt:variant>
        <vt:i4>462</vt:i4>
      </vt:variant>
      <vt:variant>
        <vt:i4>0</vt:i4>
      </vt:variant>
      <vt:variant>
        <vt:i4>5</vt:i4>
      </vt:variant>
      <vt:variant>
        <vt:lpwstr/>
      </vt:variant>
      <vt:variant>
        <vt:lpwstr>_Note_1_–</vt:lpwstr>
      </vt:variant>
      <vt:variant>
        <vt:i4>1704033</vt:i4>
      </vt:variant>
      <vt:variant>
        <vt:i4>459</vt:i4>
      </vt:variant>
      <vt:variant>
        <vt:i4>0</vt:i4>
      </vt:variant>
      <vt:variant>
        <vt:i4>5</vt:i4>
      </vt:variant>
      <vt:variant>
        <vt:lpwstr/>
      </vt:variant>
      <vt:variant>
        <vt:lpwstr>_Note_4_–</vt:lpwstr>
      </vt:variant>
      <vt:variant>
        <vt:i4>1704038</vt:i4>
      </vt:variant>
      <vt:variant>
        <vt:i4>456</vt:i4>
      </vt:variant>
      <vt:variant>
        <vt:i4>0</vt:i4>
      </vt:variant>
      <vt:variant>
        <vt:i4>5</vt:i4>
      </vt:variant>
      <vt:variant>
        <vt:lpwstr/>
      </vt:variant>
      <vt:variant>
        <vt:lpwstr>_Note_3_–</vt:lpwstr>
      </vt:variant>
      <vt:variant>
        <vt:i4>1704039</vt:i4>
      </vt:variant>
      <vt:variant>
        <vt:i4>453</vt:i4>
      </vt:variant>
      <vt:variant>
        <vt:i4>0</vt:i4>
      </vt:variant>
      <vt:variant>
        <vt:i4>5</vt:i4>
      </vt:variant>
      <vt:variant>
        <vt:lpwstr/>
      </vt:variant>
      <vt:variant>
        <vt:lpwstr>_Note_2_–</vt:lpwstr>
      </vt:variant>
      <vt:variant>
        <vt:i4>786525</vt:i4>
      </vt:variant>
      <vt:variant>
        <vt:i4>450</vt:i4>
      </vt:variant>
      <vt:variant>
        <vt:i4>0</vt:i4>
      </vt:variant>
      <vt:variant>
        <vt:i4>5</vt:i4>
      </vt:variant>
      <vt:variant>
        <vt:lpwstr>https://unfccc.int/sites/default/files/resource/terr1_2024_NZL.pdf</vt:lpwstr>
      </vt:variant>
      <vt:variant>
        <vt:lpwstr/>
      </vt:variant>
      <vt:variant>
        <vt:i4>5898250</vt:i4>
      </vt:variant>
      <vt:variant>
        <vt:i4>447</vt:i4>
      </vt:variant>
      <vt:variant>
        <vt:i4>0</vt:i4>
      </vt:variant>
      <vt:variant>
        <vt:i4>5</vt:i4>
      </vt:variant>
      <vt:variant>
        <vt:lpwstr>https://environment.govt.nz/assets/publications/climate-change/2025-government-response-to-CCC-emissions-reduction-monitoring-report.pdf</vt:lpwstr>
      </vt:variant>
      <vt:variant>
        <vt:lpwstr/>
      </vt:variant>
      <vt:variant>
        <vt:i4>852041</vt:i4>
      </vt:variant>
      <vt:variant>
        <vt:i4>444</vt:i4>
      </vt:variant>
      <vt:variant>
        <vt:i4>0</vt:i4>
      </vt:variant>
      <vt:variant>
        <vt:i4>5</vt:i4>
      </vt:variant>
      <vt:variant>
        <vt:lpwstr>https://environment.govt.nz/publications/new-zealands-greenhouse-gas-inventory-19902024/</vt:lpwstr>
      </vt:variant>
      <vt:variant>
        <vt:lpwstr/>
      </vt:variant>
      <vt:variant>
        <vt:i4>5046286</vt:i4>
      </vt:variant>
      <vt:variant>
        <vt:i4>441</vt:i4>
      </vt:variant>
      <vt:variant>
        <vt:i4>0</vt:i4>
      </vt:variant>
      <vt:variant>
        <vt:i4>5</vt:i4>
      </vt:variant>
      <vt:variant>
        <vt:lpwstr>https://www.etsauctions.govt.nz/</vt:lpwstr>
      </vt:variant>
      <vt:variant>
        <vt:lpwstr/>
      </vt:variant>
      <vt:variant>
        <vt:i4>1704036</vt:i4>
      </vt:variant>
      <vt:variant>
        <vt:i4>438</vt:i4>
      </vt:variant>
      <vt:variant>
        <vt:i4>0</vt:i4>
      </vt:variant>
      <vt:variant>
        <vt:i4>5</vt:i4>
      </vt:variant>
      <vt:variant>
        <vt:lpwstr/>
      </vt:variant>
      <vt:variant>
        <vt:lpwstr>_Note_1_–</vt:lpwstr>
      </vt:variant>
      <vt:variant>
        <vt:i4>4718619</vt:i4>
      </vt:variant>
      <vt:variant>
        <vt:i4>435</vt:i4>
      </vt:variant>
      <vt:variant>
        <vt:i4>0</vt:i4>
      </vt:variant>
      <vt:variant>
        <vt:i4>5</vt:i4>
      </vt:variant>
      <vt:variant>
        <vt:lpwstr>https://www.xrb.govt.nz/standards/accounting-standards/public-sector-standards/standards-list/pbe-frs-48/</vt:lpwstr>
      </vt:variant>
      <vt:variant>
        <vt:lpwstr/>
      </vt:variant>
      <vt:variant>
        <vt:i4>3735580</vt:i4>
      </vt:variant>
      <vt:variant>
        <vt:i4>432</vt:i4>
      </vt:variant>
      <vt:variant>
        <vt:i4>0</vt:i4>
      </vt:variant>
      <vt:variant>
        <vt:i4>5</vt:i4>
      </vt:variant>
      <vt:variant>
        <vt:lpwstr/>
      </vt:variant>
      <vt:variant>
        <vt:lpwstr>_Climate_Change_Chief</vt:lpwstr>
      </vt:variant>
      <vt:variant>
        <vt:i4>3801208</vt:i4>
      </vt:variant>
      <vt:variant>
        <vt:i4>429</vt:i4>
      </vt:variant>
      <vt:variant>
        <vt:i4>0</vt:i4>
      </vt:variant>
      <vt:variant>
        <vt:i4>5</vt:i4>
      </vt:variant>
      <vt:variant>
        <vt:lpwstr/>
      </vt:variant>
      <vt:variant>
        <vt:lpwstr>_Strategic_priority_3:_1</vt:lpwstr>
      </vt:variant>
      <vt:variant>
        <vt:i4>1179710</vt:i4>
      </vt:variant>
      <vt:variant>
        <vt:i4>426</vt:i4>
      </vt:variant>
      <vt:variant>
        <vt:i4>0</vt:i4>
      </vt:variant>
      <vt:variant>
        <vt:i4>5</vt:i4>
      </vt:variant>
      <vt:variant>
        <vt:lpwstr/>
      </vt:variant>
      <vt:variant>
        <vt:lpwstr>_Departmental_Capital_Expenditure</vt:lpwstr>
      </vt:variant>
      <vt:variant>
        <vt:i4>3670042</vt:i4>
      </vt:variant>
      <vt:variant>
        <vt:i4>423</vt:i4>
      </vt:variant>
      <vt:variant>
        <vt:i4>0</vt:i4>
      </vt:variant>
      <vt:variant>
        <vt:i4>5</vt:i4>
      </vt:variant>
      <vt:variant>
        <vt:lpwstr/>
      </vt:variant>
      <vt:variant>
        <vt:lpwstr>_Waste_Minimisation_–</vt:lpwstr>
      </vt:variant>
      <vt:variant>
        <vt:i4>720929</vt:i4>
      </vt:variant>
      <vt:variant>
        <vt:i4>420</vt:i4>
      </vt:variant>
      <vt:variant>
        <vt:i4>0</vt:i4>
      </vt:variant>
      <vt:variant>
        <vt:i4>5</vt:i4>
      </vt:variant>
      <vt:variant>
        <vt:lpwstr/>
      </vt:variant>
      <vt:variant>
        <vt:lpwstr>_Strategic_priority_5:</vt:lpwstr>
      </vt:variant>
      <vt:variant>
        <vt:i4>720928</vt:i4>
      </vt:variant>
      <vt:variant>
        <vt:i4>417</vt:i4>
      </vt:variant>
      <vt:variant>
        <vt:i4>0</vt:i4>
      </vt:variant>
      <vt:variant>
        <vt:i4>5</vt:i4>
      </vt:variant>
      <vt:variant>
        <vt:lpwstr/>
      </vt:variant>
      <vt:variant>
        <vt:lpwstr>_Strategic_priority_4:</vt:lpwstr>
      </vt:variant>
      <vt:variant>
        <vt:i4>3801208</vt:i4>
      </vt:variant>
      <vt:variant>
        <vt:i4>414</vt:i4>
      </vt:variant>
      <vt:variant>
        <vt:i4>0</vt:i4>
      </vt:variant>
      <vt:variant>
        <vt:i4>5</vt:i4>
      </vt:variant>
      <vt:variant>
        <vt:lpwstr/>
      </vt:variant>
      <vt:variant>
        <vt:lpwstr>_Strategic_priority_3:_1</vt:lpwstr>
      </vt:variant>
      <vt:variant>
        <vt:i4>1572879</vt:i4>
      </vt:variant>
      <vt:variant>
        <vt:i4>411</vt:i4>
      </vt:variant>
      <vt:variant>
        <vt:i4>0</vt:i4>
      </vt:variant>
      <vt:variant>
        <vt:i4>5</vt:i4>
      </vt:variant>
      <vt:variant>
        <vt:lpwstr>https://environment.govt.nz/assets/publications/waste-and-resource-efficiency-work-programme-2024-26.pdf</vt:lpwstr>
      </vt:variant>
      <vt:variant>
        <vt:lpwstr/>
      </vt:variant>
      <vt:variant>
        <vt:i4>1900587</vt:i4>
      </vt:variant>
      <vt:variant>
        <vt:i4>408</vt:i4>
      </vt:variant>
      <vt:variant>
        <vt:i4>0</vt:i4>
      </vt:variant>
      <vt:variant>
        <vt:i4>5</vt:i4>
      </vt:variant>
      <vt:variant>
        <vt:lpwstr/>
      </vt:variant>
      <vt:variant>
        <vt:lpwstr>_Reducing_emissions_from</vt:lpwstr>
      </vt:variant>
      <vt:variant>
        <vt:i4>3801208</vt:i4>
      </vt:variant>
      <vt:variant>
        <vt:i4>405</vt:i4>
      </vt:variant>
      <vt:variant>
        <vt:i4>0</vt:i4>
      </vt:variant>
      <vt:variant>
        <vt:i4>5</vt:i4>
      </vt:variant>
      <vt:variant>
        <vt:lpwstr/>
      </vt:variant>
      <vt:variant>
        <vt:lpwstr>_Strategic_priority_3:_1</vt:lpwstr>
      </vt:variant>
      <vt:variant>
        <vt:i4>794691</vt:i4>
      </vt:variant>
      <vt:variant>
        <vt:i4>402</vt:i4>
      </vt:variant>
      <vt:variant>
        <vt:i4>0</vt:i4>
      </vt:variant>
      <vt:variant>
        <vt:i4>5</vt:i4>
      </vt:variant>
      <vt:variant>
        <vt:lpwstr/>
      </vt:variant>
      <vt:variant>
        <vt:lpwstr>_Improving_New_Zealand’s</vt:lpwstr>
      </vt:variant>
      <vt:variant>
        <vt:i4>720928</vt:i4>
      </vt:variant>
      <vt:variant>
        <vt:i4>399</vt:i4>
      </vt:variant>
      <vt:variant>
        <vt:i4>0</vt:i4>
      </vt:variant>
      <vt:variant>
        <vt:i4>5</vt:i4>
      </vt:variant>
      <vt:variant>
        <vt:lpwstr/>
      </vt:variant>
      <vt:variant>
        <vt:lpwstr>_Strategic_priority_4:</vt:lpwstr>
      </vt:variant>
      <vt:variant>
        <vt:i4>3801209</vt:i4>
      </vt:variant>
      <vt:variant>
        <vt:i4>396</vt:i4>
      </vt:variant>
      <vt:variant>
        <vt:i4>0</vt:i4>
      </vt:variant>
      <vt:variant>
        <vt:i4>5</vt:i4>
      </vt:variant>
      <vt:variant>
        <vt:lpwstr/>
      </vt:variant>
      <vt:variant>
        <vt:lpwstr>_Strategic_priority_2:_1</vt:lpwstr>
      </vt:variant>
      <vt:variant>
        <vt:i4>720933</vt:i4>
      </vt:variant>
      <vt:variant>
        <vt:i4>393</vt:i4>
      </vt:variant>
      <vt:variant>
        <vt:i4>0</vt:i4>
      </vt:variant>
      <vt:variant>
        <vt:i4>5</vt:i4>
      </vt:variant>
      <vt:variant>
        <vt:lpwstr/>
      </vt:variant>
      <vt:variant>
        <vt:lpwstr>_Strategic_priority_1:</vt:lpwstr>
      </vt:variant>
      <vt:variant>
        <vt:i4>2949221</vt:i4>
      </vt:variant>
      <vt:variant>
        <vt:i4>390</vt:i4>
      </vt:variant>
      <vt:variant>
        <vt:i4>0</vt:i4>
      </vt:variant>
      <vt:variant>
        <vt:i4>5</vt:i4>
      </vt:variant>
      <vt:variant>
        <vt:lpwstr/>
      </vt:variant>
      <vt:variant>
        <vt:lpwstr>_Managing_Climate_Change_1</vt:lpwstr>
      </vt:variant>
      <vt:variant>
        <vt:i4>720929</vt:i4>
      </vt:variant>
      <vt:variant>
        <vt:i4>387</vt:i4>
      </vt:variant>
      <vt:variant>
        <vt:i4>0</vt:i4>
      </vt:variant>
      <vt:variant>
        <vt:i4>5</vt:i4>
      </vt:variant>
      <vt:variant>
        <vt:lpwstr/>
      </vt:variant>
      <vt:variant>
        <vt:lpwstr>_Strategic_priority_5:</vt:lpwstr>
      </vt:variant>
      <vt:variant>
        <vt:i4>720928</vt:i4>
      </vt:variant>
      <vt:variant>
        <vt:i4>384</vt:i4>
      </vt:variant>
      <vt:variant>
        <vt:i4>0</vt:i4>
      </vt:variant>
      <vt:variant>
        <vt:i4>5</vt:i4>
      </vt:variant>
      <vt:variant>
        <vt:lpwstr/>
      </vt:variant>
      <vt:variant>
        <vt:lpwstr>_Strategic_priority_4:</vt:lpwstr>
      </vt:variant>
      <vt:variant>
        <vt:i4>3801208</vt:i4>
      </vt:variant>
      <vt:variant>
        <vt:i4>381</vt:i4>
      </vt:variant>
      <vt:variant>
        <vt:i4>0</vt:i4>
      </vt:variant>
      <vt:variant>
        <vt:i4>5</vt:i4>
      </vt:variant>
      <vt:variant>
        <vt:lpwstr/>
      </vt:variant>
      <vt:variant>
        <vt:lpwstr>_Strategic_priority_3:_1</vt:lpwstr>
      </vt:variant>
      <vt:variant>
        <vt:i4>3801209</vt:i4>
      </vt:variant>
      <vt:variant>
        <vt:i4>378</vt:i4>
      </vt:variant>
      <vt:variant>
        <vt:i4>0</vt:i4>
      </vt:variant>
      <vt:variant>
        <vt:i4>5</vt:i4>
      </vt:variant>
      <vt:variant>
        <vt:lpwstr/>
      </vt:variant>
      <vt:variant>
        <vt:lpwstr>_Strategic_priority_2:_1</vt:lpwstr>
      </vt:variant>
      <vt:variant>
        <vt:i4>4325406</vt:i4>
      </vt:variant>
      <vt:variant>
        <vt:i4>372</vt:i4>
      </vt:variant>
      <vt:variant>
        <vt:i4>0</vt:i4>
      </vt:variant>
      <vt:variant>
        <vt:i4>5</vt:i4>
      </vt:variant>
      <vt:variant>
        <vt:lpwstr/>
      </vt:variant>
      <vt:variant>
        <vt:lpwstr>_Our_operating_performance_1</vt:lpwstr>
      </vt:variant>
      <vt:variant>
        <vt:i4>3670099</vt:i4>
      </vt:variant>
      <vt:variant>
        <vt:i4>369</vt:i4>
      </vt:variant>
      <vt:variant>
        <vt:i4>0</vt:i4>
      </vt:variant>
      <vt:variant>
        <vt:i4>5</vt:i4>
      </vt:variant>
      <vt:variant>
        <vt:lpwstr/>
      </vt:variant>
      <vt:variant>
        <vt:lpwstr>_12._Memorandum_accounts</vt:lpwstr>
      </vt:variant>
      <vt:variant>
        <vt:i4>7536681</vt:i4>
      </vt:variant>
      <vt:variant>
        <vt:i4>366</vt:i4>
      </vt:variant>
      <vt:variant>
        <vt:i4>0</vt:i4>
      </vt:variant>
      <vt:variant>
        <vt:i4>5</vt:i4>
      </vt:variant>
      <vt:variant>
        <vt:lpwstr>https://www.treasury.govt.nz/sites/default/files/2025-05/b25-sum-initiatives.pdf</vt:lpwstr>
      </vt:variant>
      <vt:variant>
        <vt:lpwstr>page=46</vt:lpwstr>
      </vt:variant>
      <vt:variant>
        <vt:i4>3932197</vt:i4>
      </vt:variant>
      <vt:variant>
        <vt:i4>363</vt:i4>
      </vt:variant>
      <vt:variant>
        <vt:i4>0</vt:i4>
      </vt:variant>
      <vt:variant>
        <vt:i4>5</vt:i4>
      </vt:variant>
      <vt:variant>
        <vt:lpwstr/>
      </vt:variant>
      <vt:variant>
        <vt:lpwstr>_Resource_management</vt:lpwstr>
      </vt:variant>
      <vt:variant>
        <vt:i4>720933</vt:i4>
      </vt:variant>
      <vt:variant>
        <vt:i4>360</vt:i4>
      </vt:variant>
      <vt:variant>
        <vt:i4>0</vt:i4>
      </vt:variant>
      <vt:variant>
        <vt:i4>5</vt:i4>
      </vt:variant>
      <vt:variant>
        <vt:lpwstr/>
      </vt:variant>
      <vt:variant>
        <vt:lpwstr>_Strategic_priority_1:</vt:lpwstr>
      </vt:variant>
      <vt:variant>
        <vt:i4>7536681</vt:i4>
      </vt:variant>
      <vt:variant>
        <vt:i4>357</vt:i4>
      </vt:variant>
      <vt:variant>
        <vt:i4>0</vt:i4>
      </vt:variant>
      <vt:variant>
        <vt:i4>5</vt:i4>
      </vt:variant>
      <vt:variant>
        <vt:lpwstr>https://www.treasury.govt.nz/sites/default/files/2025-05/b25-sum-initiatives.pdf</vt:lpwstr>
      </vt:variant>
      <vt:variant>
        <vt:lpwstr>page=46</vt:lpwstr>
      </vt:variant>
      <vt:variant>
        <vt:i4>6488165</vt:i4>
      </vt:variant>
      <vt:variant>
        <vt:i4>351</vt:i4>
      </vt:variant>
      <vt:variant>
        <vt:i4>0</vt:i4>
      </vt:variant>
      <vt:variant>
        <vt:i4>5</vt:i4>
      </vt:variant>
      <vt:variant>
        <vt:lpwstr>https://www.dpmc.govt.nz/our-programmes/government-targets/government-targets-quarterly-reports</vt:lpwstr>
      </vt:variant>
      <vt:variant>
        <vt:lpwstr/>
      </vt:variant>
      <vt:variant>
        <vt:i4>6881314</vt:i4>
      </vt:variant>
      <vt:variant>
        <vt:i4>348</vt:i4>
      </vt:variant>
      <vt:variant>
        <vt:i4>0</vt:i4>
      </vt:variant>
      <vt:variant>
        <vt:i4>5</vt:i4>
      </vt:variant>
      <vt:variant>
        <vt:lpwstr>https://environment.govt.nz/what-government-is-doing/areas-of-work/climate-change/emissions-reductions/emissions-reduction-targets/government-target-9-quarterly-reporting/</vt:lpwstr>
      </vt:variant>
      <vt:variant>
        <vt:lpwstr/>
      </vt:variant>
      <vt:variant>
        <vt:i4>3801208</vt:i4>
      </vt:variant>
      <vt:variant>
        <vt:i4>345</vt:i4>
      </vt:variant>
      <vt:variant>
        <vt:i4>0</vt:i4>
      </vt:variant>
      <vt:variant>
        <vt:i4>5</vt:i4>
      </vt:variant>
      <vt:variant>
        <vt:lpwstr/>
      </vt:variant>
      <vt:variant>
        <vt:lpwstr>_Strategic_priority_3:_1</vt:lpwstr>
      </vt:variant>
      <vt:variant>
        <vt:i4>3801208</vt:i4>
      </vt:variant>
      <vt:variant>
        <vt:i4>336</vt:i4>
      </vt:variant>
      <vt:variant>
        <vt:i4>0</vt:i4>
      </vt:variant>
      <vt:variant>
        <vt:i4>5</vt:i4>
      </vt:variant>
      <vt:variant>
        <vt:lpwstr/>
      </vt:variant>
      <vt:variant>
        <vt:lpwstr>_Strategic_priority_3:_1</vt:lpwstr>
      </vt:variant>
      <vt:variant>
        <vt:i4>1179654</vt:i4>
      </vt:variant>
      <vt:variant>
        <vt:i4>333</vt:i4>
      </vt:variant>
      <vt:variant>
        <vt:i4>0</vt:i4>
      </vt:variant>
      <vt:variant>
        <vt:i4>5</vt:i4>
      </vt:variant>
      <vt:variant>
        <vt:lpwstr>https://www.climatecommission.govt.nz/assets/Monitoring-and-reporting/ERM-2026/CCC-6233-ERM-2026_FA2_web.pdf</vt:lpwstr>
      </vt:variant>
      <vt:variant>
        <vt:lpwstr/>
      </vt:variant>
      <vt:variant>
        <vt:i4>983121</vt:i4>
      </vt:variant>
      <vt:variant>
        <vt:i4>330</vt:i4>
      </vt:variant>
      <vt:variant>
        <vt:i4>0</vt:i4>
      </vt:variant>
      <vt:variant>
        <vt:i4>5</vt:i4>
      </vt:variant>
      <vt:variant>
        <vt:lpwstr>https://www.legislation.govt.nz/act/public/2002/40/en/latest/</vt:lpwstr>
      </vt:variant>
      <vt:variant>
        <vt:lpwstr>LMS282048</vt:lpwstr>
      </vt:variant>
      <vt:variant>
        <vt:i4>1310805</vt:i4>
      </vt:variant>
      <vt:variant>
        <vt:i4>327</vt:i4>
      </vt:variant>
      <vt:variant>
        <vt:i4>0</vt:i4>
      </vt:variant>
      <vt:variant>
        <vt:i4>5</vt:i4>
      </vt:variant>
      <vt:variant>
        <vt:lpwstr>https://environment.govt.nz/assets/publications/climate-change/ERP2/New-Zealands-second-emissions-reduction-plan-Technical-annex-Amended-January-2026.pdf</vt:lpwstr>
      </vt:variant>
      <vt:variant>
        <vt:lpwstr/>
      </vt:variant>
      <vt:variant>
        <vt:i4>3604513</vt:i4>
      </vt:variant>
      <vt:variant>
        <vt:i4>324</vt:i4>
      </vt:variant>
      <vt:variant>
        <vt:i4>0</vt:i4>
      </vt:variant>
      <vt:variant>
        <vt:i4>5</vt:i4>
      </vt:variant>
      <vt:variant>
        <vt:lpwstr>https://environment.govt.nz/what-government-is-doing/areas-of-work/climate-change/emissions-reductions/emissions-budgets-and-the-emissions-reduction-plan/</vt:lpwstr>
      </vt:variant>
      <vt:variant>
        <vt:lpwstr/>
      </vt:variant>
      <vt:variant>
        <vt:i4>2490492</vt:i4>
      </vt:variant>
      <vt:variant>
        <vt:i4>321</vt:i4>
      </vt:variant>
      <vt:variant>
        <vt:i4>0</vt:i4>
      </vt:variant>
      <vt:variant>
        <vt:i4>5</vt:i4>
      </vt:variant>
      <vt:variant>
        <vt:lpwstr>https://environment.govt.nz/what-government-is-doing/areas-of-work/climate-change/emissions-reductions/emissions-reduction-targets/new-zealands-projected-greenhouse-gas-emissions-to-2050/</vt:lpwstr>
      </vt:variant>
      <vt:variant>
        <vt:lpwstr/>
      </vt:variant>
      <vt:variant>
        <vt:i4>393287</vt:i4>
      </vt:variant>
      <vt:variant>
        <vt:i4>318</vt:i4>
      </vt:variant>
      <vt:variant>
        <vt:i4>0</vt:i4>
      </vt:variant>
      <vt:variant>
        <vt:i4>5</vt:i4>
      </vt:variant>
      <vt:variant>
        <vt:lpwstr>https://environment.govt.nz/assets/publications/New-Zealands-first-Biennial-Transparency-Report-2024.pdf</vt:lpwstr>
      </vt:variant>
      <vt:variant>
        <vt:lpwstr/>
      </vt:variant>
      <vt:variant>
        <vt:i4>2359416</vt:i4>
      </vt:variant>
      <vt:variant>
        <vt:i4>315</vt:i4>
      </vt:variant>
      <vt:variant>
        <vt:i4>0</vt:i4>
      </vt:variant>
      <vt:variant>
        <vt:i4>5</vt:i4>
      </vt:variant>
      <vt:variant>
        <vt:lpwstr>https://unfccc.int/documents/655625</vt:lpwstr>
      </vt:variant>
      <vt:variant>
        <vt:lpwstr/>
      </vt:variant>
      <vt:variant>
        <vt:i4>3276925</vt:i4>
      </vt:variant>
      <vt:variant>
        <vt:i4>312</vt:i4>
      </vt:variant>
      <vt:variant>
        <vt:i4>0</vt:i4>
      </vt:variant>
      <vt:variant>
        <vt:i4>5</vt:i4>
      </vt:variant>
      <vt:variant>
        <vt:lpwstr>https://environment.govt.nz/facts-and-science/climate-change/new-zealands-greenhouse-gas-inventory/</vt:lpwstr>
      </vt:variant>
      <vt:variant>
        <vt:lpwstr/>
      </vt:variant>
      <vt:variant>
        <vt:i4>6881314</vt:i4>
      </vt:variant>
      <vt:variant>
        <vt:i4>309</vt:i4>
      </vt:variant>
      <vt:variant>
        <vt:i4>0</vt:i4>
      </vt:variant>
      <vt:variant>
        <vt:i4>5</vt:i4>
      </vt:variant>
      <vt:variant>
        <vt:lpwstr>https://environment.govt.nz/what-government-is-doing/areas-of-work/climate-change/emissions-reductions/emissions-reduction-targets/government-target-9-quarterly-reporting/</vt:lpwstr>
      </vt:variant>
      <vt:variant>
        <vt:lpwstr/>
      </vt:variant>
      <vt:variant>
        <vt:i4>3801208</vt:i4>
      </vt:variant>
      <vt:variant>
        <vt:i4>306</vt:i4>
      </vt:variant>
      <vt:variant>
        <vt:i4>0</vt:i4>
      </vt:variant>
      <vt:variant>
        <vt:i4>5</vt:i4>
      </vt:variant>
      <vt:variant>
        <vt:lpwstr/>
      </vt:variant>
      <vt:variant>
        <vt:lpwstr>_Strategic_priority_3:_1</vt:lpwstr>
      </vt:variant>
      <vt:variant>
        <vt:i4>1638493</vt:i4>
      </vt:variant>
      <vt:variant>
        <vt:i4>303</vt:i4>
      </vt:variant>
      <vt:variant>
        <vt:i4>0</vt:i4>
      </vt:variant>
      <vt:variant>
        <vt:i4>5</vt:i4>
      </vt:variant>
      <vt:variant>
        <vt:lpwstr>https://environment.govt.nz/assets/publications/strategic-intentions-2025-29-web.pdf</vt:lpwstr>
      </vt:variant>
      <vt:variant>
        <vt:lpwstr/>
      </vt:variant>
      <vt:variant>
        <vt:i4>2031623</vt:i4>
      </vt:variant>
      <vt:variant>
        <vt:i4>300</vt:i4>
      </vt:variant>
      <vt:variant>
        <vt:i4>0</vt:i4>
      </vt:variant>
      <vt:variant>
        <vt:i4>5</vt:i4>
      </vt:variant>
      <vt:variant>
        <vt:lpwstr>https://environment.govt.nz/publications/investing-in-minimising-waste-impact-assessment/</vt:lpwstr>
      </vt:variant>
      <vt:variant>
        <vt:lpwstr/>
      </vt:variant>
      <vt:variant>
        <vt:i4>3145791</vt:i4>
      </vt:variant>
      <vt:variant>
        <vt:i4>297</vt:i4>
      </vt:variant>
      <vt:variant>
        <vt:i4>0</vt:i4>
      </vt:variant>
      <vt:variant>
        <vt:i4>5</vt:i4>
      </vt:variant>
      <vt:variant>
        <vt:lpwstr>https://environment.govt.nz/assets/publications/Jobs-for-Nature-Impact-Assessment-2025.pdf</vt:lpwstr>
      </vt:variant>
      <vt:variant>
        <vt:lpwstr/>
      </vt:variant>
      <vt:variant>
        <vt:i4>3014692</vt:i4>
      </vt:variant>
      <vt:variant>
        <vt:i4>294</vt:i4>
      </vt:variant>
      <vt:variant>
        <vt:i4>0</vt:i4>
      </vt:variant>
      <vt:variant>
        <vt:i4>5</vt:i4>
      </vt:variant>
      <vt:variant>
        <vt:lpwstr>https://environment.govt.nz/assets/publications/Environmental-Reporting/our-water-our-lives.pdf</vt:lpwstr>
      </vt:variant>
      <vt:variant>
        <vt:lpwstr/>
      </vt:variant>
      <vt:variant>
        <vt:i4>393287</vt:i4>
      </vt:variant>
      <vt:variant>
        <vt:i4>291</vt:i4>
      </vt:variant>
      <vt:variant>
        <vt:i4>0</vt:i4>
      </vt:variant>
      <vt:variant>
        <vt:i4>5</vt:i4>
      </vt:variant>
      <vt:variant>
        <vt:lpwstr>https://environment.govt.nz/assets/publications/New-Zealands-first-Biennial-Transparency-Report-2024.pdf</vt:lpwstr>
      </vt:variant>
      <vt:variant>
        <vt:lpwstr/>
      </vt:variant>
      <vt:variant>
        <vt:i4>3276925</vt:i4>
      </vt:variant>
      <vt:variant>
        <vt:i4>288</vt:i4>
      </vt:variant>
      <vt:variant>
        <vt:i4>0</vt:i4>
      </vt:variant>
      <vt:variant>
        <vt:i4>5</vt:i4>
      </vt:variant>
      <vt:variant>
        <vt:lpwstr>https://environment.govt.nz/facts-and-science/climate-change/new-zealands-greenhouse-gas-inventory/</vt:lpwstr>
      </vt:variant>
      <vt:variant>
        <vt:lpwstr/>
      </vt:variant>
      <vt:variant>
        <vt:i4>852041</vt:i4>
      </vt:variant>
      <vt:variant>
        <vt:i4>285</vt:i4>
      </vt:variant>
      <vt:variant>
        <vt:i4>0</vt:i4>
      </vt:variant>
      <vt:variant>
        <vt:i4>5</vt:i4>
      </vt:variant>
      <vt:variant>
        <vt:lpwstr>https://environment.govt.nz/publications/new-zealands-greenhouse-gas-inventory-19902024/</vt:lpwstr>
      </vt:variant>
      <vt:variant>
        <vt:lpwstr/>
      </vt:variant>
      <vt:variant>
        <vt:i4>6684770</vt:i4>
      </vt:variant>
      <vt:variant>
        <vt:i4>282</vt:i4>
      </vt:variant>
      <vt:variant>
        <vt:i4>0</vt:i4>
      </vt:variant>
      <vt:variant>
        <vt:i4>5</vt:i4>
      </vt:variant>
      <vt:variant>
        <vt:lpwstr>https://environment.govt.nz/assets/publications/Freshwater/our-freshwater-2026.pdf</vt:lpwstr>
      </vt:variant>
      <vt:variant>
        <vt:lpwstr/>
      </vt:variant>
      <vt:variant>
        <vt:i4>7405611</vt:i4>
      </vt:variant>
      <vt:variant>
        <vt:i4>279</vt:i4>
      </vt:variant>
      <vt:variant>
        <vt:i4>0</vt:i4>
      </vt:variant>
      <vt:variant>
        <vt:i4>5</vt:i4>
      </vt:variant>
      <vt:variant>
        <vt:lpwstr>https://environment.govt.nz/assets/publications/Environmental-Reporting/our-marine-environment-2025.pdf?v=72da60e234c87b8b741d62b7b9511e96f18d801e</vt:lpwstr>
      </vt:variant>
      <vt:variant>
        <vt:lpwstr/>
      </vt:variant>
      <vt:variant>
        <vt:i4>1900587</vt:i4>
      </vt:variant>
      <vt:variant>
        <vt:i4>273</vt:i4>
      </vt:variant>
      <vt:variant>
        <vt:i4>0</vt:i4>
      </vt:variant>
      <vt:variant>
        <vt:i4>5</vt:i4>
      </vt:variant>
      <vt:variant>
        <vt:lpwstr/>
      </vt:variant>
      <vt:variant>
        <vt:lpwstr>_Reducing_emissions_from</vt:lpwstr>
      </vt:variant>
      <vt:variant>
        <vt:i4>1966125</vt:i4>
      </vt:variant>
      <vt:variant>
        <vt:i4>267</vt:i4>
      </vt:variant>
      <vt:variant>
        <vt:i4>0</vt:i4>
      </vt:variant>
      <vt:variant>
        <vt:i4>5</vt:i4>
      </vt:variant>
      <vt:variant>
        <vt:lpwstr/>
      </vt:variant>
      <vt:variant>
        <vt:lpwstr>_Note_2:_Waste</vt:lpwstr>
      </vt:variant>
      <vt:variant>
        <vt:i4>852016</vt:i4>
      </vt:variant>
      <vt:variant>
        <vt:i4>261</vt:i4>
      </vt:variant>
      <vt:variant>
        <vt:i4>0</vt:i4>
      </vt:variant>
      <vt:variant>
        <vt:i4>5</vt:i4>
      </vt:variant>
      <vt:variant>
        <vt:lpwstr/>
      </vt:variant>
      <vt:variant>
        <vt:lpwstr>_Note_1:_Reduction</vt:lpwstr>
      </vt:variant>
      <vt:variant>
        <vt:i4>6488165</vt:i4>
      </vt:variant>
      <vt:variant>
        <vt:i4>258</vt:i4>
      </vt:variant>
      <vt:variant>
        <vt:i4>0</vt:i4>
      </vt:variant>
      <vt:variant>
        <vt:i4>5</vt:i4>
      </vt:variant>
      <vt:variant>
        <vt:lpwstr>https://www.dpmc.govt.nz/our-programmes/government-targets/government-targets-quarterly-reports</vt:lpwstr>
      </vt:variant>
      <vt:variant>
        <vt:lpwstr/>
      </vt:variant>
      <vt:variant>
        <vt:i4>6881314</vt:i4>
      </vt:variant>
      <vt:variant>
        <vt:i4>255</vt:i4>
      </vt:variant>
      <vt:variant>
        <vt:i4>0</vt:i4>
      </vt:variant>
      <vt:variant>
        <vt:i4>5</vt:i4>
      </vt:variant>
      <vt:variant>
        <vt:lpwstr>https://environment.govt.nz/what-government-is-doing/areas-of-work/climate-change/emissions-reductions/emissions-reduction-targets/government-target-9-quarterly-reporting/</vt:lpwstr>
      </vt:variant>
      <vt:variant>
        <vt:lpwstr/>
      </vt:variant>
      <vt:variant>
        <vt:i4>1114202</vt:i4>
      </vt:variant>
      <vt:variant>
        <vt:i4>252</vt:i4>
      </vt:variant>
      <vt:variant>
        <vt:i4>0</vt:i4>
      </vt:variant>
      <vt:variant>
        <vt:i4>5</vt:i4>
      </vt:variant>
      <vt:variant>
        <vt:lpwstr>https://environment.govt.nz/what-government-is-doing/areas-of-work/climate-change/adapting-to-climate-change/national-adaptation-framework/new-zealand-flood-map/</vt:lpwstr>
      </vt:variant>
      <vt:variant>
        <vt:lpwstr/>
      </vt:variant>
      <vt:variant>
        <vt:i4>6160469</vt:i4>
      </vt:variant>
      <vt:variant>
        <vt:i4>249</vt:i4>
      </vt:variant>
      <vt:variant>
        <vt:i4>0</vt:i4>
      </vt:variant>
      <vt:variant>
        <vt:i4>5</vt:i4>
      </vt:variant>
      <vt:variant>
        <vt:lpwstr>https://www.legislation.govt.nz/secondary-legislation/pco-drafted/2024/83/en/latest/</vt:lpwstr>
      </vt:variant>
      <vt:variant>
        <vt:lpwstr>LMS947160</vt:lpwstr>
      </vt:variant>
      <vt:variant>
        <vt:i4>4980742</vt:i4>
      </vt:variant>
      <vt:variant>
        <vt:i4>246</vt:i4>
      </vt:variant>
      <vt:variant>
        <vt:i4>0</vt:i4>
      </vt:variant>
      <vt:variant>
        <vt:i4>5</vt:i4>
      </vt:variant>
      <vt:variant>
        <vt:lpwstr>https://bills.parliament.nz/v/6/82757c25-6c68-4899-d446-08dee1f07e09?lang=en&amp;Tab=history</vt:lpwstr>
      </vt:variant>
      <vt:variant>
        <vt:lpwstr/>
      </vt:variant>
      <vt:variant>
        <vt:i4>786503</vt:i4>
      </vt:variant>
      <vt:variant>
        <vt:i4>243</vt:i4>
      </vt:variant>
      <vt:variant>
        <vt:i4>0</vt:i4>
      </vt:variant>
      <vt:variant>
        <vt:i4>5</vt:i4>
      </vt:variant>
      <vt:variant>
        <vt:lpwstr>https://www.beehive.govt.nz/sites/default/files/2025-10/New Zealand-National-Adaptation-Framework.pdf</vt:lpwstr>
      </vt:variant>
      <vt:variant>
        <vt:lpwstr/>
      </vt:variant>
      <vt:variant>
        <vt:i4>4784217</vt:i4>
      </vt:variant>
      <vt:variant>
        <vt:i4>240</vt:i4>
      </vt:variant>
      <vt:variant>
        <vt:i4>0</vt:i4>
      </vt:variant>
      <vt:variant>
        <vt:i4>5</vt:i4>
      </vt:variant>
      <vt:variant>
        <vt:lpwstr>https://environment.govt.nz/assets/publications/RMA/npsnh-2025.pdf?v=ac2fa623f71b96b8714897bc64270e816d61d384</vt:lpwstr>
      </vt:variant>
      <vt:variant>
        <vt:lpwstr/>
      </vt:variant>
      <vt:variant>
        <vt:i4>3145839</vt:i4>
      </vt:variant>
      <vt:variant>
        <vt:i4>237</vt:i4>
      </vt:variant>
      <vt:variant>
        <vt:i4>0</vt:i4>
      </vt:variant>
      <vt:variant>
        <vt:i4>5</vt:i4>
      </vt:variant>
      <vt:variant>
        <vt:lpwstr>https://www.legislation.govt.nz/act/public/2025/41/en/latest/</vt:lpwstr>
      </vt:variant>
      <vt:variant>
        <vt:lpwstr>LMS1014951</vt:lpwstr>
      </vt:variant>
      <vt:variant>
        <vt:i4>4325467</vt:i4>
      </vt:variant>
      <vt:variant>
        <vt:i4>234</vt:i4>
      </vt:variant>
      <vt:variant>
        <vt:i4>0</vt:i4>
      </vt:variant>
      <vt:variant>
        <vt:i4>5</vt:i4>
      </vt:variant>
      <vt:variant>
        <vt:lpwstr>https://bills.parliament.nz/v/6/394369fc-5ba2-4d8a-1026-08de369d9192?lang=en&amp;Tab=history</vt:lpwstr>
      </vt:variant>
      <vt:variant>
        <vt:lpwstr/>
      </vt:variant>
      <vt:variant>
        <vt:i4>196631</vt:i4>
      </vt:variant>
      <vt:variant>
        <vt:i4>231</vt:i4>
      </vt:variant>
      <vt:variant>
        <vt:i4>0</vt:i4>
      </vt:variant>
      <vt:variant>
        <vt:i4>5</vt:i4>
      </vt:variant>
      <vt:variant>
        <vt:lpwstr>https://bills.parliament.nz/v/6/ba467863-d6b0-4968-1027-08de369d9192?lang=en</vt:lpwstr>
      </vt:variant>
      <vt:variant>
        <vt:lpwstr/>
      </vt:variant>
      <vt:variant>
        <vt:i4>5439508</vt:i4>
      </vt:variant>
      <vt:variant>
        <vt:i4>225</vt:i4>
      </vt:variant>
      <vt:variant>
        <vt:i4>0</vt:i4>
      </vt:variant>
      <vt:variant>
        <vt:i4>5</vt:i4>
      </vt:variant>
      <vt:variant>
        <vt:lpwstr>https://environment.govt.nz/news/rma-national-direction-updated/</vt:lpwstr>
      </vt:variant>
      <vt:variant>
        <vt:lpwstr/>
      </vt:variant>
      <vt:variant>
        <vt:i4>6881391</vt:i4>
      </vt:variant>
      <vt:variant>
        <vt:i4>222</vt:i4>
      </vt:variant>
      <vt:variant>
        <vt:i4>0</vt:i4>
      </vt:variant>
      <vt:variant>
        <vt:i4>5</vt:i4>
      </vt:variant>
      <vt:variant>
        <vt:lpwstr>https://legislation.govt.nz/act/public/2025/41/en/latest/</vt:lpwstr>
      </vt:variant>
      <vt:variant>
        <vt:lpwstr>LMS1014951</vt:lpwstr>
      </vt:variant>
      <vt:variant>
        <vt:i4>4718619</vt:i4>
      </vt:variant>
      <vt:variant>
        <vt:i4>219</vt:i4>
      </vt:variant>
      <vt:variant>
        <vt:i4>0</vt:i4>
      </vt:variant>
      <vt:variant>
        <vt:i4>5</vt:i4>
      </vt:variant>
      <vt:variant>
        <vt:lpwstr>https://www.xrb.govt.nz/standards/accounting-standards/public-sector-standards/standards-list/pbe-frs-48/</vt:lpwstr>
      </vt:variant>
      <vt:variant>
        <vt:lpwstr/>
      </vt:variant>
      <vt:variant>
        <vt:i4>1638493</vt:i4>
      </vt:variant>
      <vt:variant>
        <vt:i4>216</vt:i4>
      </vt:variant>
      <vt:variant>
        <vt:i4>0</vt:i4>
      </vt:variant>
      <vt:variant>
        <vt:i4>5</vt:i4>
      </vt:variant>
      <vt:variant>
        <vt:lpwstr>https://environment.govt.nz/assets/publications/strategic-intentions-2025-29-web.pdf</vt:lpwstr>
      </vt:variant>
      <vt:variant>
        <vt:lpwstr/>
      </vt:variant>
      <vt:variant>
        <vt:i4>1245232</vt:i4>
      </vt:variant>
      <vt:variant>
        <vt:i4>209</vt:i4>
      </vt:variant>
      <vt:variant>
        <vt:i4>0</vt:i4>
      </vt:variant>
      <vt:variant>
        <vt:i4>5</vt:i4>
      </vt:variant>
      <vt:variant>
        <vt:lpwstr/>
      </vt:variant>
      <vt:variant>
        <vt:lpwstr>_Toc240445611</vt:lpwstr>
      </vt:variant>
      <vt:variant>
        <vt:i4>1245232</vt:i4>
      </vt:variant>
      <vt:variant>
        <vt:i4>203</vt:i4>
      </vt:variant>
      <vt:variant>
        <vt:i4>0</vt:i4>
      </vt:variant>
      <vt:variant>
        <vt:i4>5</vt:i4>
      </vt:variant>
      <vt:variant>
        <vt:lpwstr/>
      </vt:variant>
      <vt:variant>
        <vt:lpwstr>_Toc240445610</vt:lpwstr>
      </vt:variant>
      <vt:variant>
        <vt:i4>1179696</vt:i4>
      </vt:variant>
      <vt:variant>
        <vt:i4>197</vt:i4>
      </vt:variant>
      <vt:variant>
        <vt:i4>0</vt:i4>
      </vt:variant>
      <vt:variant>
        <vt:i4>5</vt:i4>
      </vt:variant>
      <vt:variant>
        <vt:lpwstr/>
      </vt:variant>
      <vt:variant>
        <vt:lpwstr>_Toc240445606</vt:lpwstr>
      </vt:variant>
      <vt:variant>
        <vt:i4>1179696</vt:i4>
      </vt:variant>
      <vt:variant>
        <vt:i4>191</vt:i4>
      </vt:variant>
      <vt:variant>
        <vt:i4>0</vt:i4>
      </vt:variant>
      <vt:variant>
        <vt:i4>5</vt:i4>
      </vt:variant>
      <vt:variant>
        <vt:lpwstr/>
      </vt:variant>
      <vt:variant>
        <vt:lpwstr>_Toc240445604</vt:lpwstr>
      </vt:variant>
      <vt:variant>
        <vt:i4>1179696</vt:i4>
      </vt:variant>
      <vt:variant>
        <vt:i4>185</vt:i4>
      </vt:variant>
      <vt:variant>
        <vt:i4>0</vt:i4>
      </vt:variant>
      <vt:variant>
        <vt:i4>5</vt:i4>
      </vt:variant>
      <vt:variant>
        <vt:lpwstr/>
      </vt:variant>
      <vt:variant>
        <vt:lpwstr>_Toc240445603</vt:lpwstr>
      </vt:variant>
      <vt:variant>
        <vt:i4>1179696</vt:i4>
      </vt:variant>
      <vt:variant>
        <vt:i4>179</vt:i4>
      </vt:variant>
      <vt:variant>
        <vt:i4>0</vt:i4>
      </vt:variant>
      <vt:variant>
        <vt:i4>5</vt:i4>
      </vt:variant>
      <vt:variant>
        <vt:lpwstr/>
      </vt:variant>
      <vt:variant>
        <vt:lpwstr>_Toc240445602</vt:lpwstr>
      </vt:variant>
      <vt:variant>
        <vt:i4>1769523</vt:i4>
      </vt:variant>
      <vt:variant>
        <vt:i4>173</vt:i4>
      </vt:variant>
      <vt:variant>
        <vt:i4>0</vt:i4>
      </vt:variant>
      <vt:variant>
        <vt:i4>5</vt:i4>
      </vt:variant>
      <vt:variant>
        <vt:lpwstr/>
      </vt:variant>
      <vt:variant>
        <vt:lpwstr>_Toc240445594</vt:lpwstr>
      </vt:variant>
      <vt:variant>
        <vt:i4>1703987</vt:i4>
      </vt:variant>
      <vt:variant>
        <vt:i4>167</vt:i4>
      </vt:variant>
      <vt:variant>
        <vt:i4>0</vt:i4>
      </vt:variant>
      <vt:variant>
        <vt:i4>5</vt:i4>
      </vt:variant>
      <vt:variant>
        <vt:lpwstr/>
      </vt:variant>
      <vt:variant>
        <vt:lpwstr>_Toc240445585</vt:lpwstr>
      </vt:variant>
      <vt:variant>
        <vt:i4>1376307</vt:i4>
      </vt:variant>
      <vt:variant>
        <vt:i4>161</vt:i4>
      </vt:variant>
      <vt:variant>
        <vt:i4>0</vt:i4>
      </vt:variant>
      <vt:variant>
        <vt:i4>5</vt:i4>
      </vt:variant>
      <vt:variant>
        <vt:lpwstr/>
      </vt:variant>
      <vt:variant>
        <vt:lpwstr>_Toc240445575</vt:lpwstr>
      </vt:variant>
      <vt:variant>
        <vt:i4>1376307</vt:i4>
      </vt:variant>
      <vt:variant>
        <vt:i4>155</vt:i4>
      </vt:variant>
      <vt:variant>
        <vt:i4>0</vt:i4>
      </vt:variant>
      <vt:variant>
        <vt:i4>5</vt:i4>
      </vt:variant>
      <vt:variant>
        <vt:lpwstr/>
      </vt:variant>
      <vt:variant>
        <vt:lpwstr>_Toc240445574</vt:lpwstr>
      </vt:variant>
      <vt:variant>
        <vt:i4>1376307</vt:i4>
      </vt:variant>
      <vt:variant>
        <vt:i4>149</vt:i4>
      </vt:variant>
      <vt:variant>
        <vt:i4>0</vt:i4>
      </vt:variant>
      <vt:variant>
        <vt:i4>5</vt:i4>
      </vt:variant>
      <vt:variant>
        <vt:lpwstr/>
      </vt:variant>
      <vt:variant>
        <vt:lpwstr>_Toc240445573</vt:lpwstr>
      </vt:variant>
      <vt:variant>
        <vt:i4>1376307</vt:i4>
      </vt:variant>
      <vt:variant>
        <vt:i4>143</vt:i4>
      </vt:variant>
      <vt:variant>
        <vt:i4>0</vt:i4>
      </vt:variant>
      <vt:variant>
        <vt:i4>5</vt:i4>
      </vt:variant>
      <vt:variant>
        <vt:lpwstr/>
      </vt:variant>
      <vt:variant>
        <vt:lpwstr>_Toc240445572</vt:lpwstr>
      </vt:variant>
      <vt:variant>
        <vt:i4>1376307</vt:i4>
      </vt:variant>
      <vt:variant>
        <vt:i4>137</vt:i4>
      </vt:variant>
      <vt:variant>
        <vt:i4>0</vt:i4>
      </vt:variant>
      <vt:variant>
        <vt:i4>5</vt:i4>
      </vt:variant>
      <vt:variant>
        <vt:lpwstr/>
      </vt:variant>
      <vt:variant>
        <vt:lpwstr>_Toc240445571</vt:lpwstr>
      </vt:variant>
      <vt:variant>
        <vt:i4>1376307</vt:i4>
      </vt:variant>
      <vt:variant>
        <vt:i4>131</vt:i4>
      </vt:variant>
      <vt:variant>
        <vt:i4>0</vt:i4>
      </vt:variant>
      <vt:variant>
        <vt:i4>5</vt:i4>
      </vt:variant>
      <vt:variant>
        <vt:lpwstr/>
      </vt:variant>
      <vt:variant>
        <vt:lpwstr>_Toc240445570</vt:lpwstr>
      </vt:variant>
      <vt:variant>
        <vt:i4>1310771</vt:i4>
      </vt:variant>
      <vt:variant>
        <vt:i4>125</vt:i4>
      </vt:variant>
      <vt:variant>
        <vt:i4>0</vt:i4>
      </vt:variant>
      <vt:variant>
        <vt:i4>5</vt:i4>
      </vt:variant>
      <vt:variant>
        <vt:lpwstr/>
      </vt:variant>
      <vt:variant>
        <vt:lpwstr>_Toc240445569</vt:lpwstr>
      </vt:variant>
      <vt:variant>
        <vt:i4>1310771</vt:i4>
      </vt:variant>
      <vt:variant>
        <vt:i4>119</vt:i4>
      </vt:variant>
      <vt:variant>
        <vt:i4>0</vt:i4>
      </vt:variant>
      <vt:variant>
        <vt:i4>5</vt:i4>
      </vt:variant>
      <vt:variant>
        <vt:lpwstr/>
      </vt:variant>
      <vt:variant>
        <vt:lpwstr>_Toc240445568</vt:lpwstr>
      </vt:variant>
      <vt:variant>
        <vt:i4>1310771</vt:i4>
      </vt:variant>
      <vt:variant>
        <vt:i4>113</vt:i4>
      </vt:variant>
      <vt:variant>
        <vt:i4>0</vt:i4>
      </vt:variant>
      <vt:variant>
        <vt:i4>5</vt:i4>
      </vt:variant>
      <vt:variant>
        <vt:lpwstr/>
      </vt:variant>
      <vt:variant>
        <vt:lpwstr>_Toc240445567</vt:lpwstr>
      </vt:variant>
      <vt:variant>
        <vt:i4>1310771</vt:i4>
      </vt:variant>
      <vt:variant>
        <vt:i4>107</vt:i4>
      </vt:variant>
      <vt:variant>
        <vt:i4>0</vt:i4>
      </vt:variant>
      <vt:variant>
        <vt:i4>5</vt:i4>
      </vt:variant>
      <vt:variant>
        <vt:lpwstr/>
      </vt:variant>
      <vt:variant>
        <vt:lpwstr>_Toc240445566</vt:lpwstr>
      </vt:variant>
      <vt:variant>
        <vt:i4>1310771</vt:i4>
      </vt:variant>
      <vt:variant>
        <vt:i4>101</vt:i4>
      </vt:variant>
      <vt:variant>
        <vt:i4>0</vt:i4>
      </vt:variant>
      <vt:variant>
        <vt:i4>5</vt:i4>
      </vt:variant>
      <vt:variant>
        <vt:lpwstr/>
      </vt:variant>
      <vt:variant>
        <vt:lpwstr>_Toc240445565</vt:lpwstr>
      </vt:variant>
      <vt:variant>
        <vt:i4>1310771</vt:i4>
      </vt:variant>
      <vt:variant>
        <vt:i4>95</vt:i4>
      </vt:variant>
      <vt:variant>
        <vt:i4>0</vt:i4>
      </vt:variant>
      <vt:variant>
        <vt:i4>5</vt:i4>
      </vt:variant>
      <vt:variant>
        <vt:lpwstr/>
      </vt:variant>
      <vt:variant>
        <vt:lpwstr>_Toc240445564</vt:lpwstr>
      </vt:variant>
      <vt:variant>
        <vt:i4>1310771</vt:i4>
      </vt:variant>
      <vt:variant>
        <vt:i4>89</vt:i4>
      </vt:variant>
      <vt:variant>
        <vt:i4>0</vt:i4>
      </vt:variant>
      <vt:variant>
        <vt:i4>5</vt:i4>
      </vt:variant>
      <vt:variant>
        <vt:lpwstr/>
      </vt:variant>
      <vt:variant>
        <vt:lpwstr>_Toc240445563</vt:lpwstr>
      </vt:variant>
      <vt:variant>
        <vt:i4>1310771</vt:i4>
      </vt:variant>
      <vt:variant>
        <vt:i4>83</vt:i4>
      </vt:variant>
      <vt:variant>
        <vt:i4>0</vt:i4>
      </vt:variant>
      <vt:variant>
        <vt:i4>5</vt:i4>
      </vt:variant>
      <vt:variant>
        <vt:lpwstr/>
      </vt:variant>
      <vt:variant>
        <vt:lpwstr>_Toc240445562</vt:lpwstr>
      </vt:variant>
      <vt:variant>
        <vt:i4>1310771</vt:i4>
      </vt:variant>
      <vt:variant>
        <vt:i4>77</vt:i4>
      </vt:variant>
      <vt:variant>
        <vt:i4>0</vt:i4>
      </vt:variant>
      <vt:variant>
        <vt:i4>5</vt:i4>
      </vt:variant>
      <vt:variant>
        <vt:lpwstr/>
      </vt:variant>
      <vt:variant>
        <vt:lpwstr>_Toc240445561</vt:lpwstr>
      </vt:variant>
      <vt:variant>
        <vt:i4>1310771</vt:i4>
      </vt:variant>
      <vt:variant>
        <vt:i4>71</vt:i4>
      </vt:variant>
      <vt:variant>
        <vt:i4>0</vt:i4>
      </vt:variant>
      <vt:variant>
        <vt:i4>5</vt:i4>
      </vt:variant>
      <vt:variant>
        <vt:lpwstr/>
      </vt:variant>
      <vt:variant>
        <vt:lpwstr>_Toc240445560</vt:lpwstr>
      </vt:variant>
      <vt:variant>
        <vt:i4>1507379</vt:i4>
      </vt:variant>
      <vt:variant>
        <vt:i4>65</vt:i4>
      </vt:variant>
      <vt:variant>
        <vt:i4>0</vt:i4>
      </vt:variant>
      <vt:variant>
        <vt:i4>5</vt:i4>
      </vt:variant>
      <vt:variant>
        <vt:lpwstr/>
      </vt:variant>
      <vt:variant>
        <vt:lpwstr>_Toc240445559</vt:lpwstr>
      </vt:variant>
      <vt:variant>
        <vt:i4>1507379</vt:i4>
      </vt:variant>
      <vt:variant>
        <vt:i4>59</vt:i4>
      </vt:variant>
      <vt:variant>
        <vt:i4>0</vt:i4>
      </vt:variant>
      <vt:variant>
        <vt:i4>5</vt:i4>
      </vt:variant>
      <vt:variant>
        <vt:lpwstr/>
      </vt:variant>
      <vt:variant>
        <vt:lpwstr>_Toc240445558</vt:lpwstr>
      </vt:variant>
      <vt:variant>
        <vt:i4>1507379</vt:i4>
      </vt:variant>
      <vt:variant>
        <vt:i4>53</vt:i4>
      </vt:variant>
      <vt:variant>
        <vt:i4>0</vt:i4>
      </vt:variant>
      <vt:variant>
        <vt:i4>5</vt:i4>
      </vt:variant>
      <vt:variant>
        <vt:lpwstr/>
      </vt:variant>
      <vt:variant>
        <vt:lpwstr>_Toc240445557</vt:lpwstr>
      </vt:variant>
      <vt:variant>
        <vt:i4>1507379</vt:i4>
      </vt:variant>
      <vt:variant>
        <vt:i4>47</vt:i4>
      </vt:variant>
      <vt:variant>
        <vt:i4>0</vt:i4>
      </vt:variant>
      <vt:variant>
        <vt:i4>5</vt:i4>
      </vt:variant>
      <vt:variant>
        <vt:lpwstr/>
      </vt:variant>
      <vt:variant>
        <vt:lpwstr>_Toc240445556</vt:lpwstr>
      </vt:variant>
      <vt:variant>
        <vt:i4>1507379</vt:i4>
      </vt:variant>
      <vt:variant>
        <vt:i4>41</vt:i4>
      </vt:variant>
      <vt:variant>
        <vt:i4>0</vt:i4>
      </vt:variant>
      <vt:variant>
        <vt:i4>5</vt:i4>
      </vt:variant>
      <vt:variant>
        <vt:lpwstr/>
      </vt:variant>
      <vt:variant>
        <vt:lpwstr>_Toc240445555</vt:lpwstr>
      </vt:variant>
      <vt:variant>
        <vt:i4>1507379</vt:i4>
      </vt:variant>
      <vt:variant>
        <vt:i4>35</vt:i4>
      </vt:variant>
      <vt:variant>
        <vt:i4>0</vt:i4>
      </vt:variant>
      <vt:variant>
        <vt:i4>5</vt:i4>
      </vt:variant>
      <vt:variant>
        <vt:lpwstr/>
      </vt:variant>
      <vt:variant>
        <vt:lpwstr>_Toc240445554</vt:lpwstr>
      </vt:variant>
      <vt:variant>
        <vt:i4>1507379</vt:i4>
      </vt:variant>
      <vt:variant>
        <vt:i4>29</vt:i4>
      </vt:variant>
      <vt:variant>
        <vt:i4>0</vt:i4>
      </vt:variant>
      <vt:variant>
        <vt:i4>5</vt:i4>
      </vt:variant>
      <vt:variant>
        <vt:lpwstr/>
      </vt:variant>
      <vt:variant>
        <vt:lpwstr>_Toc240445553</vt:lpwstr>
      </vt:variant>
      <vt:variant>
        <vt:i4>1507379</vt:i4>
      </vt:variant>
      <vt:variant>
        <vt:i4>23</vt:i4>
      </vt:variant>
      <vt:variant>
        <vt:i4>0</vt:i4>
      </vt:variant>
      <vt:variant>
        <vt:i4>5</vt:i4>
      </vt:variant>
      <vt:variant>
        <vt:lpwstr/>
      </vt:variant>
      <vt:variant>
        <vt:lpwstr>_Toc240445552</vt:lpwstr>
      </vt:variant>
      <vt:variant>
        <vt:i4>1507379</vt:i4>
      </vt:variant>
      <vt:variant>
        <vt:i4>17</vt:i4>
      </vt:variant>
      <vt:variant>
        <vt:i4>0</vt:i4>
      </vt:variant>
      <vt:variant>
        <vt:i4>5</vt:i4>
      </vt:variant>
      <vt:variant>
        <vt:lpwstr/>
      </vt:variant>
      <vt:variant>
        <vt:lpwstr>_Toc240445551</vt:lpwstr>
      </vt:variant>
      <vt:variant>
        <vt:i4>1507379</vt:i4>
      </vt:variant>
      <vt:variant>
        <vt:i4>11</vt:i4>
      </vt:variant>
      <vt:variant>
        <vt:i4>0</vt:i4>
      </vt:variant>
      <vt:variant>
        <vt:i4>5</vt:i4>
      </vt:variant>
      <vt:variant>
        <vt:lpwstr/>
      </vt:variant>
      <vt:variant>
        <vt:lpwstr>_Toc240445550</vt:lpwstr>
      </vt:variant>
      <vt:variant>
        <vt:i4>1441843</vt:i4>
      </vt:variant>
      <vt:variant>
        <vt:i4>5</vt:i4>
      </vt:variant>
      <vt:variant>
        <vt:i4>0</vt:i4>
      </vt:variant>
      <vt:variant>
        <vt:i4>5</vt:i4>
      </vt:variant>
      <vt:variant>
        <vt:lpwstr/>
      </vt:variant>
      <vt:variant>
        <vt:lpwstr>_Toc240445549</vt:lpwstr>
      </vt:variant>
      <vt:variant>
        <vt:i4>5308424</vt:i4>
      </vt:variant>
      <vt:variant>
        <vt:i4>0</vt:i4>
      </vt:variant>
      <vt:variant>
        <vt:i4>0</vt:i4>
      </vt:variant>
      <vt:variant>
        <vt:i4>5</vt:i4>
      </vt:variant>
      <vt:variant>
        <vt:lpwstr>https://creativecommons.org/licenses/by/4.0/</vt:lpwstr>
      </vt:variant>
      <vt:variant>
        <vt:lpwstr/>
      </vt:variant>
      <vt:variant>
        <vt:i4>6029421</vt:i4>
      </vt:variant>
      <vt:variant>
        <vt:i4>24</vt:i4>
      </vt:variant>
      <vt:variant>
        <vt:i4>0</vt:i4>
      </vt:variant>
      <vt:variant>
        <vt:i4>5</vt:i4>
      </vt:variant>
      <vt:variant>
        <vt:lpwstr/>
      </vt:variant>
      <vt:variant>
        <vt:lpwstr>_Monitoring_by_the</vt:lpwstr>
      </vt:variant>
      <vt:variant>
        <vt:i4>983121</vt:i4>
      </vt:variant>
      <vt:variant>
        <vt:i4>21</vt:i4>
      </vt:variant>
      <vt:variant>
        <vt:i4>0</vt:i4>
      </vt:variant>
      <vt:variant>
        <vt:i4>5</vt:i4>
      </vt:variant>
      <vt:variant>
        <vt:lpwstr>https://www.legislation.govt.nz/act/public/2002/40/en/latest/</vt:lpwstr>
      </vt:variant>
      <vt:variant>
        <vt:lpwstr>LMS282048</vt:lpwstr>
      </vt:variant>
      <vt:variant>
        <vt:i4>6488165</vt:i4>
      </vt:variant>
      <vt:variant>
        <vt:i4>18</vt:i4>
      </vt:variant>
      <vt:variant>
        <vt:i4>0</vt:i4>
      </vt:variant>
      <vt:variant>
        <vt:i4>5</vt:i4>
      </vt:variant>
      <vt:variant>
        <vt:lpwstr>https://www.dpmc.govt.nz/our-programmes/government-targets/government-targets-quarterly-reports</vt:lpwstr>
      </vt:variant>
      <vt:variant>
        <vt:lpwstr/>
      </vt:variant>
      <vt:variant>
        <vt:i4>6881314</vt:i4>
      </vt:variant>
      <vt:variant>
        <vt:i4>15</vt:i4>
      </vt:variant>
      <vt:variant>
        <vt:i4>0</vt:i4>
      </vt:variant>
      <vt:variant>
        <vt:i4>5</vt:i4>
      </vt:variant>
      <vt:variant>
        <vt:lpwstr>https://environment.govt.nz/what-government-is-doing/areas-of-work/climate-change/emissions-reductions/emissions-reduction-targets/government-target-9-quarterly-reporting/</vt:lpwstr>
      </vt:variant>
      <vt:variant>
        <vt:lpwstr/>
      </vt:variant>
      <vt:variant>
        <vt:i4>7405614</vt:i4>
      </vt:variant>
      <vt:variant>
        <vt:i4>12</vt:i4>
      </vt:variant>
      <vt:variant>
        <vt:i4>0</vt:i4>
      </vt:variant>
      <vt:variant>
        <vt:i4>5</vt:i4>
      </vt:variant>
      <vt:variant>
        <vt:lpwstr>https://www.legislation.govt.nz/act/public/2020/0040/latest/LMS207451.html</vt:lpwstr>
      </vt:variant>
      <vt:variant>
        <vt:lpwstr/>
      </vt:variant>
      <vt:variant>
        <vt:i4>196617</vt:i4>
      </vt:variant>
      <vt:variant>
        <vt:i4>9</vt:i4>
      </vt:variant>
      <vt:variant>
        <vt:i4>0</vt:i4>
      </vt:variant>
      <vt:variant>
        <vt:i4>5</vt:i4>
      </vt:variant>
      <vt:variant>
        <vt:lpwstr>https://www.dpmc.govt.nz/sites/default/files/2025-06/gt-factsheet-target-9-mar25.pdf</vt:lpwstr>
      </vt:variant>
      <vt:variant>
        <vt:lpwstr/>
      </vt:variant>
      <vt:variant>
        <vt:i4>7667817</vt:i4>
      </vt:variant>
      <vt:variant>
        <vt:i4>6</vt:i4>
      </vt:variant>
      <vt:variant>
        <vt:i4>0</vt:i4>
      </vt:variant>
      <vt:variant>
        <vt:i4>5</vt:i4>
      </vt:variant>
      <vt:variant>
        <vt:lpwstr>https://environment.govt.nz/facts-and-science/waste/waste-facilities-and-disposal/</vt:lpwstr>
      </vt:variant>
      <vt:variant>
        <vt:lpwstr/>
      </vt:variant>
      <vt:variant>
        <vt:i4>5505045</vt:i4>
      </vt:variant>
      <vt:variant>
        <vt:i4>3</vt:i4>
      </vt:variant>
      <vt:variant>
        <vt:i4>0</vt:i4>
      </vt:variant>
      <vt:variant>
        <vt:i4>5</vt:i4>
      </vt:variant>
      <vt:variant>
        <vt:lpwstr>https://environment.govt.nz/facts-and-science/waste/waste-statistics/</vt:lpwstr>
      </vt:variant>
      <vt:variant>
        <vt:lpwstr/>
      </vt:variant>
      <vt:variant>
        <vt:i4>2818149</vt:i4>
      </vt:variant>
      <vt:variant>
        <vt:i4>0</vt:i4>
      </vt:variant>
      <vt:variant>
        <vt:i4>0</vt:i4>
      </vt:variant>
      <vt:variant>
        <vt:i4>5</vt:i4>
      </vt:variant>
      <vt:variant>
        <vt:lpwstr>https://environment.govt.nz/publications/target-9-technical-annex-for-quarter-ending-31-march-2026/</vt:lpwstr>
      </vt:variant>
      <vt:variant>
        <vt:lpwstr/>
      </vt:variant>
      <vt:variant>
        <vt:i4>1769517</vt:i4>
      </vt:variant>
      <vt:variant>
        <vt:i4>3</vt:i4>
      </vt:variant>
      <vt:variant>
        <vt:i4>0</vt:i4>
      </vt:variant>
      <vt:variant>
        <vt:i4>5</vt:i4>
      </vt:variant>
      <vt:variant>
        <vt:lpwstr>mailto:Elena.Danson@mfe.govt.nz</vt:lpwstr>
      </vt:variant>
      <vt:variant>
        <vt:lpwstr/>
      </vt:variant>
      <vt:variant>
        <vt:i4>1769517</vt:i4>
      </vt:variant>
      <vt:variant>
        <vt:i4>0</vt:i4>
      </vt:variant>
      <vt:variant>
        <vt:i4>0</vt:i4>
      </vt:variant>
      <vt:variant>
        <vt:i4>5</vt:i4>
      </vt:variant>
      <vt:variant>
        <vt:lpwstr>mailto:Elena.Danson@mfe.govt.nz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WalshK</dc:creator>
  <cp:keywords/>
  <cp:lastModifiedBy>Linda Stirling</cp:lastModifiedBy>
  <cp:revision>3</cp:revision>
  <cp:lastPrinted>2026-10-04T22:13:00Z</cp:lastPrinted>
  <dcterms:created xsi:type="dcterms:W3CDTF">2026-10-04T22:39:00Z</dcterms:created>
  <dcterms:modified xsi:type="dcterms:W3CDTF">2026-10-04T23:07:00Z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0x010100518E371133CCE642B43BCA53582D18C3001E7148EB803E95428156EF7EEB60794B</vt:lpwstr>
  </property>
  <property fmtid="{D5CDD505-2E9C-101B-9397-08002B2CF9AE}" pid="3" name="MediaServiceImageTags">
    <vt:lpwstr/>
  </property>
  <property fmtid="{D5CDD505-2E9C-101B-9397-08002B2CF9AE}" pid="4" name="Order">
    <vt:r8>61300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Information Type">
    <vt:lpwstr/>
  </property>
  <property fmtid="{D5CDD505-2E9C-101B-9397-08002B2CF9AE}" pid="12" name="Region">
    <vt:lpwstr/>
  </property>
  <property fmtid="{D5CDD505-2E9C-101B-9397-08002B2CF9AE}" pid="13" name="FY">
    <vt:lpwstr/>
  </property>
  <property fmtid="{D5CDD505-2E9C-101B-9397-08002B2CF9AE}" pid="14" name="Document Status">
    <vt:lpwstr>1;#Working|d06a98b1-1a97-4ea9-8f1a-99c9398f1724</vt:lpwstr>
  </property>
  <property fmtid="{D5CDD505-2E9C-101B-9397-08002B2CF9AE}" pid="15" name="Portfolio">
    <vt:lpwstr/>
  </property>
  <property fmtid="{D5CDD505-2E9C-101B-9397-08002B2CF9AE}" pid="16" name="Information_x0020_Type">
    <vt:lpwstr/>
  </property>
  <property fmtid="{D5CDD505-2E9C-101B-9397-08002B2CF9AE}" pid="17" name="Document_x0020_Status">
    <vt:lpwstr>1;#Working|d06a98b1-1a97-4ea9-8f1a-99c9398f1724</vt:lpwstr>
  </property>
  <property fmtid="{D5CDD505-2E9C-101B-9397-08002B2CF9AE}" pid="18" name="lf7518d201de45faae79fa4d3bf21edf">
    <vt:lpwstr/>
  </property>
  <property fmtid="{D5CDD505-2E9C-101B-9397-08002B2CF9AE}" pid="19" name="e7f33ac2bcf34a98a1a12d5ea1227208">
    <vt:lpwstr>Working|d06a98b1-1a97-4ea9-8f1a-99c9398f1724</vt:lpwstr>
  </property>
  <property fmtid="{D5CDD505-2E9C-101B-9397-08002B2CF9AE}" pid="20" name="n7f4fccded934506baac470c1eab08ef">
    <vt:lpwstr/>
  </property>
  <property fmtid="{D5CDD505-2E9C-101B-9397-08002B2CF9AE}" pid="21" name="ff5959d5451949f1b63b39e969520c2e">
    <vt:lpwstr/>
  </property>
  <property fmtid="{D5CDD505-2E9C-101B-9397-08002B2CF9AE}" pid="22" name="haadd125f0f544c688ad70259b1ca1e0">
    <vt:lpwstr/>
  </property>
  <property fmtid="{D5CDD505-2E9C-101B-9397-08002B2CF9AE}" pid="23" name="TaxCatchAll">
    <vt:lpwstr>1;#Working|d06a98b1-1a97-4ea9-8f1a-99c9398f1724</vt:lpwstr>
  </property>
  <property fmtid="{D5CDD505-2E9C-101B-9397-08002B2CF9AE}" pid="24" name="docLang">
    <vt:lpwstr>en</vt:lpwstr>
  </property>
  <property fmtid="{D5CDD505-2E9C-101B-9397-08002B2CF9AE}" pid="25" name="MSIP_Label_52dda6cc-d61d-4fd2-bf18-9b3017d931cc_Enabled">
    <vt:lpwstr>true</vt:lpwstr>
  </property>
  <property fmtid="{D5CDD505-2E9C-101B-9397-08002B2CF9AE}" pid="26" name="MSIP_Label_52dda6cc-d61d-4fd2-bf18-9b3017d931cc_SetDate">
    <vt:lpwstr>2026-08-09T22:26:05Z</vt:lpwstr>
  </property>
  <property fmtid="{D5CDD505-2E9C-101B-9397-08002B2CF9AE}" pid="27" name="MSIP_Label_52dda6cc-d61d-4fd2-bf18-9b3017d931cc_Method">
    <vt:lpwstr>Privileged</vt:lpwstr>
  </property>
  <property fmtid="{D5CDD505-2E9C-101B-9397-08002B2CF9AE}" pid="28" name="MSIP_Label_52dda6cc-d61d-4fd2-bf18-9b3017d931cc_Name">
    <vt:lpwstr>[UNCLASSIFIED]</vt:lpwstr>
  </property>
  <property fmtid="{D5CDD505-2E9C-101B-9397-08002B2CF9AE}" pid="29" name="MSIP_Label_52dda6cc-d61d-4fd2-bf18-9b3017d931cc_SiteId">
    <vt:lpwstr>761dd003-d4ff-4049-8a72-8549b20fcbb1</vt:lpwstr>
  </property>
  <property fmtid="{D5CDD505-2E9C-101B-9397-08002B2CF9AE}" pid="30" name="MSIP_Label_52dda6cc-d61d-4fd2-bf18-9b3017d931cc_ActionId">
    <vt:lpwstr>90f25420-0e14-4643-9536-d1768081e174</vt:lpwstr>
  </property>
  <property fmtid="{D5CDD505-2E9C-101B-9397-08002B2CF9AE}" pid="31" name="MSIP_Label_52dda6cc-d61d-4fd2-bf18-9b3017d931cc_ContentBits">
    <vt:lpwstr>0</vt:lpwstr>
  </property>
  <property fmtid="{D5CDD505-2E9C-101B-9397-08002B2CF9AE}" pid="32" name="MSIP_Label_52dda6cc-d61d-4fd2-bf18-9b3017d931cc_Tag">
    <vt:lpwstr>10, 0, 1, 1</vt:lpwstr>
  </property>
  <property fmtid="{D5CDD505-2E9C-101B-9397-08002B2CF9AE}" pid="33" name="ClassificationContentMarkingHeaderShapeIds">
    <vt:lpwstr>168923f4,25213451,7e1ede3f</vt:lpwstr>
  </property>
  <property fmtid="{D5CDD505-2E9C-101B-9397-08002B2CF9AE}" pid="34" name="ClassificationContentMarkingHeaderFontProps">
    <vt:lpwstr>#000000,11,Aptos</vt:lpwstr>
  </property>
  <property fmtid="{D5CDD505-2E9C-101B-9397-08002B2CF9AE}" pid="35" name="ClassificationContentMarkingHeaderText">
    <vt:lpwstr>[UNCLASSIFIED]</vt:lpwstr>
  </property>
  <property fmtid="{D5CDD505-2E9C-101B-9397-08002B2CF9AE}" pid="36" name="ClassificationContentMarkingFooterShapeIds">
    <vt:lpwstr>6e759495,62d96d5d,68f167d8,6373ae28,28c96578</vt:lpwstr>
  </property>
  <property fmtid="{D5CDD505-2E9C-101B-9397-08002B2CF9AE}" pid="37" name="ClassificationContentMarkingFooterFontProps">
    <vt:lpwstr>#000000,11,Aptos</vt:lpwstr>
  </property>
  <property fmtid="{D5CDD505-2E9C-101B-9397-08002B2CF9AE}" pid="38" name="ClassificationContentMarkingFooterText">
    <vt:lpwstr>[UNCLASSIFIED]</vt:lpwstr>
  </property>
  <property fmtid="{D5CDD505-2E9C-101B-9397-08002B2CF9AE}" pid="39" name="_dlc_DocIdItemGuid">
    <vt:lpwstr>8c013331-32b4-4b4b-bbdc-6fe7d1dff1f0</vt:lpwstr>
  </property>
</Properties>
</file>