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C1C6E" w14:textId="6ED38A79" w:rsidR="00BF0ECB" w:rsidRPr="00EE42CD" w:rsidRDefault="006E4452" w:rsidP="00A26150">
      <w:pPr>
        <w:pStyle w:val="Title"/>
        <w:spacing w:before="480"/>
        <w:rPr>
          <w:sz w:val="68"/>
          <w:szCs w:val="68"/>
        </w:rPr>
      </w:pPr>
      <w:r w:rsidRPr="00E1268C">
        <w:rPr>
          <w:noProof/>
          <w:sz w:val="68"/>
          <w:szCs w:val="68"/>
        </w:rPr>
        <mc:AlternateContent>
          <mc:Choice Requires="wps">
            <w:drawing>
              <wp:anchor distT="0" distB="0" distL="114300" distR="114300" simplePos="0" relativeHeight="251658240" behindDoc="1" locked="0" layoutInCell="1" allowOverlap="1" wp14:anchorId="4243C3E9" wp14:editId="70EE8582">
                <wp:simplePos x="0" y="0"/>
                <wp:positionH relativeFrom="column">
                  <wp:posOffset>-1071880</wp:posOffset>
                </wp:positionH>
                <wp:positionV relativeFrom="paragraph">
                  <wp:posOffset>-1352219</wp:posOffset>
                </wp:positionV>
                <wp:extent cx="7626985" cy="3458210"/>
                <wp:effectExtent l="0" t="0" r="0" b="8890"/>
                <wp:wrapNone/>
                <wp:docPr id="1805911593" name="Rectangle 1370150037"/>
                <wp:cNvGraphicFramePr/>
                <a:graphic xmlns:a="http://schemas.openxmlformats.org/drawingml/2006/main">
                  <a:graphicData uri="http://schemas.microsoft.com/office/word/2010/wordprocessingShape">
                    <wps:wsp>
                      <wps:cNvSpPr/>
                      <wps:spPr>
                        <a:xfrm>
                          <a:off x="0" y="0"/>
                          <a:ext cx="7626985" cy="34582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1370150037" style="position:absolute;margin-left:-84.4pt;margin-top:-106.45pt;width:600.55pt;height:27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52234 [3215]" stroked="f" strokeweight="1pt" w14:anchorId="2B696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VXfwIAAF8FAAAOAAAAZHJzL2Uyb0RvYy54bWysVE1v2zAMvQ/YfxB0X514ST+COkXQosOA&#10;oi3WDj2rshQbkEWNUuJkv36U/JGsK3YYloMiiY+P5DOpy6tdY9hWoa/BFnx6MuFMWQllbdcF//58&#10;++mcMx+ELYUBqwq+V55fLT9+uGzdQuVQgSkVMiKxftG6glchuEWWeVmpRvgTcMqSUQM2ItAR11mJ&#10;oiX2xmT5ZHKatYClQ5DKe7q96Yx8mfi1VjI8aO1VYKbglFtIK6b1Na7Z8lIs1ihcVcs+DfEPWTSi&#10;thR0pLoRQbAN1n9QNbVE8KDDiYQmA61rqVINVM108qaap0o4lWohcbwbZfL/j1beb5/cI5IMrfML&#10;T9tYxU5jE/8pP7ZLYu1HsdQuMEmXZ6f56cX5nDNJts+z+Xk+TXJmB3eHPnxR0LC4KTjS10giie2d&#10;DxSSoAMkRvNg6vK2NiYdYgeoa4NsK+jbhV0evxV5/IYyNmItRK/OHG+yQy1pF/ZGRZyx35RmdUnZ&#10;5ymR1GaHIEJKZcO0M1WiVF3s+YR+Q/QhrZRLIozMmuKP3D3BgOxIBu4uyx4fXVXq0tF58rfEOufR&#10;I0UGG0bnpraA7xEYqqqP3OEHkTppokqvUO4fkSF0M+KdvK3ps90JHx4F0lDQ+NCghwdatIG24NDv&#10;OKsAf753H/HUq2TlrKUhK7j/sRGoODNfLXXxxXQ2i1OZDrP5WU4HPLa8HlvsprkG6oUpPSlOpm3E&#10;BzNsNULzQu/BKkYlk7CSYhdcBhwO16EbfnpRpFqtEowm0YlwZ5+cjORR1diWz7sXga7v3UBtfw/D&#10;QIrFmxbusNHTwmoTQNepvw+69nrTFKfG6V+c+EwcnxPq8C4ufwEAAP//AwBQSwMEFAAGAAgAAAAh&#10;AO7/iJ7lAAAADgEAAA8AAABkcnMvZG93bnJldi54bWxMj1FLwzAUhd8F/0O4gm9b2hTmWpsOEXwQ&#10;EXEbom9pc23qmpvSZGv115s96ds93MM53yk3s+3ZCUffOZKQLhNgSI3THbUS9ruHxRqYD4q06h2h&#10;hG/0sKkuL0pVaDfRK562oWUxhHyhJJgQhoJz3xi0yi/dgBR/n260KkQ5tlyPaorhtuciSVbcqo5i&#10;g1ED3htsDtujleC+fvL90/R8qHcmb94+RPv++DJJeX01390CCziHPzOc8SM6VJGpdkfSnvUSFulq&#10;HdlDvEQqcmBnT5KJDFgtIcvSG+BVyf/PqH4BAAD//wMAUEsBAi0AFAAGAAgAAAAhALaDOJL+AAAA&#10;4QEAABMAAAAAAAAAAAAAAAAAAAAAAFtDb250ZW50X1R5cGVzXS54bWxQSwECLQAUAAYACAAAACEA&#10;OP0h/9YAAACUAQAACwAAAAAAAAAAAAAAAAAvAQAAX3JlbHMvLnJlbHNQSwECLQAUAAYACAAAACEA&#10;MKyFV38CAABfBQAADgAAAAAAAAAAAAAAAAAuAgAAZHJzL2Uyb0RvYy54bWxQSwECLQAUAAYACAAA&#10;ACEA7v+InuUAAAAOAQAADwAAAAAAAAAAAAAAAADZBAAAZHJzL2Rvd25yZXYueG1sUEsFBgAAAAAE&#10;AAQA8wAAAOsFAAAAAA==&#10;"/>
            </w:pict>
          </mc:Fallback>
        </mc:AlternateContent>
      </w:r>
      <w:r w:rsidR="00A26150" w:rsidRPr="00E1268C">
        <w:rPr>
          <w:noProof/>
        </w:rPr>
        <w:drawing>
          <wp:anchor distT="0" distB="0" distL="114300" distR="114300" simplePos="0" relativeHeight="251658242" behindDoc="0" locked="0" layoutInCell="1" allowOverlap="1" wp14:anchorId="704B46CC" wp14:editId="156F65F7">
            <wp:simplePos x="0" y="0"/>
            <wp:positionH relativeFrom="column">
              <wp:posOffset>3672517</wp:posOffset>
            </wp:positionH>
            <wp:positionV relativeFrom="paragraph">
              <wp:posOffset>-426097</wp:posOffset>
            </wp:positionV>
            <wp:extent cx="2047875" cy="467360"/>
            <wp:effectExtent l="0" t="0" r="9525" b="8890"/>
            <wp:wrapNone/>
            <wp:docPr id="2130934567"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934567" name="Picture 1" descr="A black background with white text&#10;&#10;Description automatically generated"/>
                    <pic:cNvPicPr preferRelativeResize="0">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0" y="0"/>
                      <a:ext cx="2047875" cy="467360"/>
                    </a:xfrm>
                    <a:prstGeom prst="rect">
                      <a:avLst/>
                    </a:prstGeom>
                  </pic:spPr>
                </pic:pic>
              </a:graphicData>
            </a:graphic>
          </wp:anchor>
        </w:drawing>
      </w:r>
      <w:r w:rsidR="00A26150" w:rsidRPr="00E1268C">
        <w:rPr>
          <w:noProof/>
          <w:sz w:val="68"/>
          <w:szCs w:val="68"/>
        </w:rPr>
        <w:drawing>
          <wp:anchor distT="0" distB="0" distL="114300" distR="114300" simplePos="0" relativeHeight="251658241" behindDoc="0" locked="0" layoutInCell="1" allowOverlap="1" wp14:anchorId="2843E711" wp14:editId="706AB9F6">
            <wp:simplePos x="0" y="0"/>
            <wp:positionH relativeFrom="column">
              <wp:posOffset>-80010</wp:posOffset>
            </wp:positionH>
            <wp:positionV relativeFrom="paragraph">
              <wp:posOffset>-426313</wp:posOffset>
            </wp:positionV>
            <wp:extent cx="1981200" cy="467995"/>
            <wp:effectExtent l="0" t="0" r="0" b="8255"/>
            <wp:wrapNone/>
            <wp:docPr id="6358989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52233" name="Picture 161252233"/>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0" y="0"/>
                      <a:ext cx="1981200" cy="467995"/>
                    </a:xfrm>
                    <a:prstGeom prst="rect">
                      <a:avLst/>
                    </a:prstGeom>
                  </pic:spPr>
                </pic:pic>
              </a:graphicData>
            </a:graphic>
          </wp:anchor>
        </w:drawing>
      </w:r>
      <w:r w:rsidR="00DC1D05" w:rsidRPr="00EE42CD">
        <w:rPr>
          <w:sz w:val="68"/>
          <w:szCs w:val="68"/>
        </w:rPr>
        <w:t>ICT emissions reporting</w:t>
      </w:r>
    </w:p>
    <w:p w14:paraId="50177BB9" w14:textId="30CE569F" w:rsidR="00BF0ECB" w:rsidRPr="00EE42CD" w:rsidRDefault="00DC1D05" w:rsidP="005710CB">
      <w:pPr>
        <w:pStyle w:val="Subtitle"/>
        <w:spacing w:before="240" w:after="240"/>
        <w:rPr>
          <w:sz w:val="40"/>
          <w:szCs w:val="40"/>
        </w:rPr>
      </w:pPr>
      <w:r w:rsidRPr="00EE42CD">
        <w:rPr>
          <w:sz w:val="40"/>
          <w:szCs w:val="40"/>
        </w:rPr>
        <w:t>A short guide for CNGP agencies</w:t>
      </w:r>
    </w:p>
    <w:p w14:paraId="7334CBAC" w14:textId="57709622" w:rsidR="00F145E3" w:rsidRPr="006E4452" w:rsidRDefault="00F145E3" w:rsidP="00F145E3"/>
    <w:p w14:paraId="6E8B3673" w14:textId="57A8C2DE" w:rsidR="008004E6" w:rsidRPr="00EE42CD" w:rsidRDefault="008004E6" w:rsidP="00BB1884">
      <w:pPr>
        <w:pStyle w:val="BodyText"/>
      </w:pPr>
    </w:p>
    <w:p w14:paraId="5106CF61" w14:textId="77777777" w:rsidR="005710CB" w:rsidRPr="00EE42CD" w:rsidRDefault="005710CB" w:rsidP="00BB1884">
      <w:pPr>
        <w:pStyle w:val="BodyText"/>
      </w:pPr>
    </w:p>
    <w:p w14:paraId="1A5E3077" w14:textId="330BEA34" w:rsidR="00511D38" w:rsidRPr="00EE42CD" w:rsidRDefault="00DC1D05" w:rsidP="009B3B52">
      <w:pPr>
        <w:pStyle w:val="Heading2"/>
        <w:spacing w:before="240"/>
      </w:pPr>
      <w:bookmarkStart w:id="0" w:name="_Toc83039856"/>
      <w:bookmarkStart w:id="1" w:name="_Toc84270031"/>
      <w:r w:rsidRPr="00EE42CD">
        <w:t>Year 1 aims</w:t>
      </w:r>
      <w:bookmarkEnd w:id="0"/>
      <w:bookmarkEnd w:id="1"/>
    </w:p>
    <w:p w14:paraId="55C46336" w14:textId="1F503434" w:rsidR="00DC1D05" w:rsidRPr="006E4452" w:rsidRDefault="00DC1D05" w:rsidP="006E4452">
      <w:pPr>
        <w:pStyle w:val="Heading3"/>
        <w:rPr>
          <w:rFonts w:eastAsia="Times New Roman"/>
        </w:rPr>
      </w:pPr>
      <w:r w:rsidRPr="006E4452">
        <w:rPr>
          <w:rFonts w:eastAsia="Times New Roman"/>
        </w:rPr>
        <w:t xml:space="preserve">Start with your </w:t>
      </w:r>
      <w:r w:rsidR="00304AE0" w:rsidRPr="00EE42CD">
        <w:t>c</w:t>
      </w:r>
      <w:r w:rsidRPr="006E4452">
        <w:rPr>
          <w:rFonts w:eastAsia="Times New Roman"/>
        </w:rPr>
        <w:t xml:space="preserve">loud </w:t>
      </w:r>
      <w:r w:rsidR="00304AE0" w:rsidRPr="00EE42CD">
        <w:t>s</w:t>
      </w:r>
      <w:r w:rsidRPr="006E4452">
        <w:rPr>
          <w:rFonts w:eastAsia="Times New Roman"/>
        </w:rPr>
        <w:t xml:space="preserve">ervice </w:t>
      </w:r>
      <w:r w:rsidR="00304AE0" w:rsidRPr="00EE42CD">
        <w:t>p</w:t>
      </w:r>
      <w:r w:rsidRPr="006E4452">
        <w:rPr>
          <w:rFonts w:eastAsia="Times New Roman"/>
        </w:rPr>
        <w:t>roviders</w:t>
      </w:r>
    </w:p>
    <w:p w14:paraId="6A1EF0D9" w14:textId="1779D41C" w:rsidR="00DC1D05" w:rsidRPr="00EE42CD" w:rsidRDefault="00DC1D05" w:rsidP="006E4452">
      <w:pPr>
        <w:pStyle w:val="BodyText"/>
      </w:pPr>
      <w:r w:rsidRPr="00EE42CD">
        <w:t>Find who has access to your data and can give you access or extract it</w:t>
      </w:r>
      <w:r w:rsidR="00304AE0" w:rsidRPr="00EE42CD">
        <w:t>.</w:t>
      </w:r>
    </w:p>
    <w:p w14:paraId="400A93B1" w14:textId="51284563" w:rsidR="00DC1D05" w:rsidRPr="006E4452" w:rsidRDefault="00DC1D05" w:rsidP="006E4452">
      <w:pPr>
        <w:pStyle w:val="Bullet"/>
        <w:rPr>
          <w:lang w:val="en-NZ"/>
        </w:rPr>
      </w:pPr>
      <w:r w:rsidRPr="006E4452">
        <w:rPr>
          <w:lang w:val="en-NZ"/>
        </w:rPr>
        <w:t>Assumption</w:t>
      </w:r>
      <w:r w:rsidR="00304AE0" w:rsidRPr="006E4452">
        <w:rPr>
          <w:lang w:val="en-NZ"/>
        </w:rPr>
        <w:t>:</w:t>
      </w:r>
      <w:r w:rsidRPr="006E4452">
        <w:rPr>
          <w:lang w:val="en-NZ"/>
        </w:rPr>
        <w:t xml:space="preserve"> your data is looked after either by </w:t>
      </w:r>
      <w:r w:rsidR="009F51C0" w:rsidRPr="006E4452">
        <w:rPr>
          <w:lang w:val="en-NZ"/>
        </w:rPr>
        <w:t xml:space="preserve">the </w:t>
      </w:r>
      <w:r w:rsidRPr="006E4452">
        <w:rPr>
          <w:lang w:val="en-NZ"/>
        </w:rPr>
        <w:t>IT team within your org</w:t>
      </w:r>
      <w:r w:rsidR="009F51C0" w:rsidRPr="006E4452">
        <w:rPr>
          <w:lang w:val="en-NZ"/>
        </w:rPr>
        <w:t>anisation</w:t>
      </w:r>
      <w:r w:rsidRPr="006E4452">
        <w:rPr>
          <w:lang w:val="en-NZ"/>
        </w:rPr>
        <w:t xml:space="preserve"> or by an intermediary </w:t>
      </w:r>
      <w:r w:rsidR="00696529" w:rsidRPr="006E4452">
        <w:rPr>
          <w:lang w:val="en-NZ"/>
        </w:rPr>
        <w:t>such as</w:t>
      </w:r>
      <w:r w:rsidRPr="006E4452">
        <w:rPr>
          <w:lang w:val="en-NZ"/>
        </w:rPr>
        <w:t xml:space="preserve"> a </w:t>
      </w:r>
      <w:r w:rsidR="00696529" w:rsidRPr="006E4452">
        <w:rPr>
          <w:lang w:val="en-NZ"/>
        </w:rPr>
        <w:t>cloud s</w:t>
      </w:r>
      <w:r w:rsidRPr="006E4452">
        <w:rPr>
          <w:lang w:val="en-NZ"/>
        </w:rPr>
        <w:t xml:space="preserve">olution </w:t>
      </w:r>
      <w:r w:rsidR="00696529" w:rsidRPr="006E4452">
        <w:rPr>
          <w:lang w:val="en-NZ"/>
        </w:rPr>
        <w:t>p</w:t>
      </w:r>
      <w:r w:rsidRPr="006E4452">
        <w:rPr>
          <w:lang w:val="en-NZ"/>
        </w:rPr>
        <w:t xml:space="preserve">rovider who manages your </w:t>
      </w:r>
      <w:r w:rsidR="00696529" w:rsidRPr="006E4452">
        <w:rPr>
          <w:lang w:val="en-NZ"/>
        </w:rPr>
        <w:t>c</w:t>
      </w:r>
      <w:r w:rsidRPr="006E4452">
        <w:rPr>
          <w:lang w:val="en-NZ"/>
        </w:rPr>
        <w:t xml:space="preserve">loud </w:t>
      </w:r>
      <w:r w:rsidR="00696529" w:rsidRPr="006E4452">
        <w:rPr>
          <w:lang w:val="en-NZ"/>
        </w:rPr>
        <w:t>s</w:t>
      </w:r>
      <w:r w:rsidRPr="006E4452">
        <w:rPr>
          <w:lang w:val="en-NZ"/>
        </w:rPr>
        <w:t xml:space="preserve">ervice </w:t>
      </w:r>
      <w:r w:rsidR="00696529" w:rsidRPr="006E4452">
        <w:rPr>
          <w:lang w:val="en-NZ"/>
        </w:rPr>
        <w:t>p</w:t>
      </w:r>
      <w:r w:rsidRPr="006E4452">
        <w:rPr>
          <w:lang w:val="en-NZ"/>
        </w:rPr>
        <w:t xml:space="preserve">roviders on your behalf. For some Microsoft </w:t>
      </w:r>
      <w:r w:rsidR="004D0E88" w:rsidRPr="006E4452">
        <w:rPr>
          <w:lang w:val="en-NZ"/>
        </w:rPr>
        <w:t>c</w:t>
      </w:r>
      <w:r w:rsidRPr="006E4452">
        <w:rPr>
          <w:lang w:val="en-NZ"/>
        </w:rPr>
        <w:t xml:space="preserve">loud offerings only the billing entity has access to the sustainability data. </w:t>
      </w:r>
    </w:p>
    <w:p w14:paraId="70D0C57D" w14:textId="05440A99" w:rsidR="00DC1D05" w:rsidRPr="006E4452" w:rsidRDefault="00DC1D05" w:rsidP="006E4452">
      <w:pPr>
        <w:pStyle w:val="Bullet"/>
        <w:rPr>
          <w:lang w:val="en-NZ"/>
        </w:rPr>
      </w:pPr>
      <w:r w:rsidRPr="006E4452">
        <w:rPr>
          <w:lang w:val="en-NZ"/>
        </w:rPr>
        <w:t xml:space="preserve">We have provided wording to help you explain the data that you are seeking </w:t>
      </w:r>
      <w:r w:rsidR="0018099C" w:rsidRPr="006E4452">
        <w:rPr>
          <w:lang w:val="en-NZ"/>
        </w:rPr>
        <w:t>(</w:t>
      </w:r>
      <w:r w:rsidRPr="006E4452">
        <w:rPr>
          <w:lang w:val="en-NZ"/>
        </w:rPr>
        <w:t xml:space="preserve">see </w:t>
      </w:r>
      <w:hyperlink w:anchor="_Note_to_give" w:history="1">
        <w:r w:rsidRPr="006E4452">
          <w:rPr>
            <w:rStyle w:val="Hyperlink"/>
            <w:lang w:val="en-NZ"/>
          </w:rPr>
          <w:t>Note to give to your IT team</w:t>
        </w:r>
      </w:hyperlink>
      <w:r w:rsidR="0018099C" w:rsidRPr="006E4452">
        <w:rPr>
          <w:lang w:val="en-NZ"/>
        </w:rPr>
        <w:t>)</w:t>
      </w:r>
      <w:r w:rsidRPr="006E4452">
        <w:rPr>
          <w:lang w:val="en-NZ"/>
        </w:rPr>
        <w:t>.</w:t>
      </w:r>
    </w:p>
    <w:p w14:paraId="14354499" w14:textId="0CF29C81" w:rsidR="00DC1D05" w:rsidRPr="006E4452" w:rsidRDefault="00DC1D05" w:rsidP="006E4452">
      <w:pPr>
        <w:pStyle w:val="Bullet"/>
        <w:numPr>
          <w:ilvl w:val="0"/>
          <w:numId w:val="0"/>
        </w:numPr>
        <w:rPr>
          <w:lang w:val="en-NZ"/>
        </w:rPr>
      </w:pPr>
      <w:r w:rsidRPr="006E4452">
        <w:rPr>
          <w:lang w:val="en-NZ"/>
        </w:rPr>
        <w:t>Regularly download your emissions data</w:t>
      </w:r>
      <w:r w:rsidR="0018099C" w:rsidRPr="006E4452">
        <w:rPr>
          <w:lang w:val="en-NZ"/>
        </w:rPr>
        <w:t>.</w:t>
      </w:r>
    </w:p>
    <w:p w14:paraId="5A95628B" w14:textId="30C5B730" w:rsidR="00DC1D05" w:rsidRPr="006E4452" w:rsidRDefault="00DC1D05" w:rsidP="006E4452">
      <w:pPr>
        <w:pStyle w:val="Bullet"/>
        <w:rPr>
          <w:lang w:val="en-NZ"/>
        </w:rPr>
      </w:pPr>
      <w:r w:rsidRPr="006E4452">
        <w:rPr>
          <w:lang w:val="en-NZ"/>
        </w:rPr>
        <w:t xml:space="preserve">This needs to be done monthly </w:t>
      </w:r>
      <w:r w:rsidR="0018099C" w:rsidRPr="006E4452">
        <w:rPr>
          <w:lang w:val="en-NZ"/>
        </w:rPr>
        <w:t xml:space="preserve">(see </w:t>
      </w:r>
      <w:hyperlink w:anchor="Table1" w:history="1">
        <w:r w:rsidR="0018099C" w:rsidRPr="006E4452">
          <w:rPr>
            <w:rStyle w:val="Hyperlink"/>
            <w:lang w:val="en-NZ"/>
          </w:rPr>
          <w:t>table 1</w:t>
        </w:r>
      </w:hyperlink>
      <w:r w:rsidR="0018099C" w:rsidRPr="006E4452">
        <w:rPr>
          <w:lang w:val="en-NZ"/>
        </w:rPr>
        <w:t xml:space="preserve">) </w:t>
      </w:r>
      <w:r w:rsidRPr="006E4452">
        <w:rPr>
          <w:lang w:val="en-NZ"/>
        </w:rPr>
        <w:t>as</w:t>
      </w:r>
      <w:r w:rsidR="00352970" w:rsidRPr="006E4452">
        <w:rPr>
          <w:lang w:val="en-NZ"/>
        </w:rPr>
        <w:t>,</w:t>
      </w:r>
      <w:r w:rsidRPr="006E4452">
        <w:rPr>
          <w:lang w:val="en-NZ"/>
        </w:rPr>
        <w:t xml:space="preserve"> for example M365 only retains the data on a rolling 12-month basis. If you do not download and store a local copy, you lose it.</w:t>
      </w:r>
    </w:p>
    <w:p w14:paraId="2FF25AD8" w14:textId="29A1E019" w:rsidR="00DC1D05" w:rsidRPr="006E4452" w:rsidRDefault="00DC1D05" w:rsidP="006E4452">
      <w:pPr>
        <w:pStyle w:val="Bullet"/>
        <w:rPr>
          <w:lang w:val="en-NZ"/>
        </w:rPr>
      </w:pPr>
      <w:r w:rsidRPr="006E4452">
        <w:rPr>
          <w:lang w:val="en-NZ"/>
        </w:rPr>
        <w:t>Be aware that your provider may currently provide your data in tCO</w:t>
      </w:r>
      <w:r w:rsidRPr="006E4452">
        <w:rPr>
          <w:vertAlign w:val="subscript"/>
          <w:lang w:val="en-NZ"/>
        </w:rPr>
        <w:t>2</w:t>
      </w:r>
      <w:r w:rsidRPr="006E4452">
        <w:rPr>
          <w:lang w:val="en-NZ"/>
        </w:rPr>
        <w:t>e or in kgCO</w:t>
      </w:r>
      <w:r w:rsidRPr="00B94E33">
        <w:rPr>
          <w:vertAlign w:val="subscript"/>
          <w:lang w:val="en-NZ"/>
        </w:rPr>
        <w:t>2</w:t>
      </w:r>
      <w:r w:rsidRPr="006E4452">
        <w:rPr>
          <w:lang w:val="en-NZ"/>
        </w:rPr>
        <w:t>e</w:t>
      </w:r>
      <w:r w:rsidR="00D77550" w:rsidRPr="006E4452">
        <w:rPr>
          <w:lang w:val="en-NZ"/>
        </w:rPr>
        <w:t>.</w:t>
      </w:r>
      <w:r w:rsidRPr="006E4452">
        <w:rPr>
          <w:lang w:val="en-NZ"/>
        </w:rPr>
        <w:t xml:space="preserve"> </w:t>
      </w:r>
      <w:r w:rsidR="00D77550" w:rsidRPr="006E4452">
        <w:rPr>
          <w:lang w:val="en-NZ"/>
        </w:rPr>
        <w:t>C</w:t>
      </w:r>
      <w:r w:rsidRPr="006E4452">
        <w:rPr>
          <w:lang w:val="en-NZ"/>
        </w:rPr>
        <w:t xml:space="preserve">heck and confirm the unit for each data source. </w:t>
      </w:r>
    </w:p>
    <w:p w14:paraId="7F93DCF8" w14:textId="77777777" w:rsidR="00DC1D05" w:rsidRPr="006E4452" w:rsidRDefault="00DC1D05" w:rsidP="006E4452">
      <w:pPr>
        <w:pStyle w:val="Bullet"/>
        <w:numPr>
          <w:ilvl w:val="0"/>
          <w:numId w:val="0"/>
        </w:numPr>
        <w:rPr>
          <w:lang w:val="en-NZ"/>
        </w:rPr>
      </w:pPr>
      <w:r w:rsidRPr="006E4452">
        <w:rPr>
          <w:lang w:val="en-NZ"/>
        </w:rPr>
        <w:t xml:space="preserve">Take the emissions data at face value for your reporting. </w:t>
      </w:r>
    </w:p>
    <w:p w14:paraId="66910164" w14:textId="1FDF32C2" w:rsidR="00DC1D05" w:rsidRPr="006E4452" w:rsidRDefault="00054A3D" w:rsidP="006E4452">
      <w:pPr>
        <w:pStyle w:val="Bullet"/>
        <w:numPr>
          <w:ilvl w:val="0"/>
          <w:numId w:val="0"/>
        </w:numPr>
        <w:ind w:left="397" w:hanging="397"/>
        <w:rPr>
          <w:lang w:val="en-NZ"/>
        </w:rPr>
      </w:pPr>
      <w:r w:rsidRPr="006E4452">
        <w:rPr>
          <w:lang w:val="en-NZ"/>
        </w:rPr>
        <w:t>N</w:t>
      </w:r>
      <w:r w:rsidR="00DC1D05" w:rsidRPr="006E4452">
        <w:rPr>
          <w:lang w:val="en-NZ"/>
        </w:rPr>
        <w:t>ote the following limitations for your auditor:</w:t>
      </w:r>
    </w:p>
    <w:p w14:paraId="2769418F" w14:textId="2BC51F44" w:rsidR="00DC1D05" w:rsidRPr="006E4452" w:rsidRDefault="00DC1D05" w:rsidP="006E4452">
      <w:pPr>
        <w:pStyle w:val="Bullet"/>
        <w:rPr>
          <w:lang w:val="en-NZ"/>
        </w:rPr>
      </w:pPr>
      <w:r w:rsidRPr="006E4452">
        <w:rPr>
          <w:lang w:val="en-NZ"/>
        </w:rPr>
        <w:t>Location vs</w:t>
      </w:r>
      <w:r w:rsidR="003E3079" w:rsidRPr="006E4452">
        <w:rPr>
          <w:lang w:val="en-NZ"/>
        </w:rPr>
        <w:t>.</w:t>
      </w:r>
      <w:r w:rsidRPr="006E4452">
        <w:rPr>
          <w:lang w:val="en-NZ"/>
        </w:rPr>
        <w:t xml:space="preserve"> </w:t>
      </w:r>
      <w:r w:rsidR="003E3079" w:rsidRPr="006E4452">
        <w:rPr>
          <w:lang w:val="en-NZ"/>
        </w:rPr>
        <w:t>m</w:t>
      </w:r>
      <w:r w:rsidRPr="006E4452">
        <w:rPr>
          <w:lang w:val="en-NZ"/>
        </w:rPr>
        <w:t>arket emission factors</w:t>
      </w:r>
    </w:p>
    <w:p w14:paraId="0825E8AB" w14:textId="7EED4BF4" w:rsidR="00DC1D05" w:rsidRPr="00EE42CD" w:rsidRDefault="00DC1D05" w:rsidP="006E4452">
      <w:pPr>
        <w:pStyle w:val="Sub-bullet"/>
      </w:pPr>
      <w:r w:rsidRPr="006E4452">
        <w:t xml:space="preserve">Many </w:t>
      </w:r>
      <w:r w:rsidR="005A5749" w:rsidRPr="006E4452">
        <w:t>c</w:t>
      </w:r>
      <w:r w:rsidRPr="006E4452">
        <w:t xml:space="preserve">loud </w:t>
      </w:r>
      <w:r w:rsidR="005A5749" w:rsidRPr="006E4452">
        <w:t>s</w:t>
      </w:r>
      <w:r w:rsidRPr="006E4452">
        <w:t xml:space="preserve">ervice </w:t>
      </w:r>
      <w:r w:rsidR="005A5749" w:rsidRPr="006E4452">
        <w:t>p</w:t>
      </w:r>
      <w:r w:rsidRPr="006E4452">
        <w:t xml:space="preserve">roviders only provide emissions data using market-based emission factors rather than location-based emission factors. </w:t>
      </w:r>
    </w:p>
    <w:p w14:paraId="08E6A284" w14:textId="50DA1C5A" w:rsidR="00DC1D05" w:rsidRPr="00EE42CD" w:rsidRDefault="00DC1D05" w:rsidP="006E4452">
      <w:pPr>
        <w:pStyle w:val="Sub-bullet"/>
      </w:pPr>
      <w:r w:rsidRPr="006E4452">
        <w:t>Location</w:t>
      </w:r>
      <w:r w:rsidR="00F80D03" w:rsidRPr="00EE42CD">
        <w:t>-</w:t>
      </w:r>
      <w:r w:rsidRPr="006E4452">
        <w:t>based</w:t>
      </w:r>
      <w:r w:rsidR="00F80D03" w:rsidRPr="00E25458">
        <w:t>:</w:t>
      </w:r>
      <w:r w:rsidRPr="006E4452">
        <w:t xml:space="preserve"> the local electricity grid that is being used </w:t>
      </w:r>
      <w:r w:rsidR="0015621D" w:rsidRPr="006E4452">
        <w:t>ie,</w:t>
      </w:r>
      <w:r w:rsidRPr="006E4452">
        <w:t xml:space="preserve"> the emissions factor for the grid that is powering the data centre in question. </w:t>
      </w:r>
      <w:r w:rsidR="00F80D03" w:rsidRPr="006E4452">
        <w:t>Market</w:t>
      </w:r>
      <w:r w:rsidR="00F80D03" w:rsidRPr="00EE42CD">
        <w:t>-based:</w:t>
      </w:r>
      <w:r w:rsidRPr="00B94E33">
        <w:t xml:space="preserve"> contractual agreements (such as </w:t>
      </w:r>
      <w:r w:rsidR="007938CC" w:rsidRPr="00B94E33">
        <w:t>r</w:t>
      </w:r>
      <w:r w:rsidRPr="00B94E33">
        <w:t xml:space="preserve">enewable </w:t>
      </w:r>
      <w:r w:rsidR="007938CC" w:rsidRPr="00B94E33">
        <w:t>e</w:t>
      </w:r>
      <w:r w:rsidRPr="00B94E33">
        <w:t xml:space="preserve">nergy </w:t>
      </w:r>
      <w:r w:rsidR="007938CC" w:rsidRPr="00B94E33">
        <w:t>c</w:t>
      </w:r>
      <w:r w:rsidRPr="00B94E33">
        <w:t xml:space="preserve">ertificates) to consume specific power that is generated in lower carbon ways. </w:t>
      </w:r>
    </w:p>
    <w:p w14:paraId="12F55EDF" w14:textId="7DB81362" w:rsidR="00DC1D05" w:rsidRPr="006E4452" w:rsidRDefault="00DC1D05" w:rsidP="006E4452">
      <w:pPr>
        <w:pStyle w:val="Bullet"/>
        <w:rPr>
          <w:lang w:val="en-NZ"/>
        </w:rPr>
      </w:pPr>
      <w:r w:rsidRPr="006E4452">
        <w:rPr>
          <w:lang w:val="en-NZ"/>
        </w:rPr>
        <w:t xml:space="preserve">Offsetting and </w:t>
      </w:r>
      <w:r w:rsidR="00183292" w:rsidRPr="006E4452">
        <w:rPr>
          <w:lang w:val="en-NZ"/>
        </w:rPr>
        <w:t xml:space="preserve">renewable energy </w:t>
      </w:r>
      <w:r w:rsidRPr="006E4452">
        <w:rPr>
          <w:lang w:val="en-NZ"/>
        </w:rPr>
        <w:t>certificates</w:t>
      </w:r>
    </w:p>
    <w:p w14:paraId="6A455E56" w14:textId="3E73CE31" w:rsidR="00DC1D05" w:rsidRPr="006E4452" w:rsidRDefault="00DC1D05" w:rsidP="006E4452">
      <w:pPr>
        <w:pStyle w:val="Sub-bullet"/>
      </w:pPr>
      <w:r w:rsidRPr="006E4452">
        <w:t xml:space="preserve">Your provider may present your emissions data post-offsetting. However, you want to get your emissions data </w:t>
      </w:r>
      <w:r w:rsidR="00555B00" w:rsidRPr="006E4452">
        <w:t xml:space="preserve">before </w:t>
      </w:r>
      <w:r w:rsidR="00DE17DD" w:rsidRPr="006E4452">
        <w:t xml:space="preserve">they do any </w:t>
      </w:r>
      <w:r w:rsidRPr="006E4452">
        <w:t xml:space="preserve">offsetting. The minimum action for you here is to ask your provider if they are using </w:t>
      </w:r>
      <w:r w:rsidR="00117138" w:rsidRPr="006E4452">
        <w:t xml:space="preserve">renewable energy certificates </w:t>
      </w:r>
      <w:r w:rsidRPr="006E4452">
        <w:t>or offsetting, and then inform your auditor if so.</w:t>
      </w:r>
    </w:p>
    <w:p w14:paraId="0240F478" w14:textId="004C6D9A" w:rsidR="00DC1D05" w:rsidRPr="006E4452" w:rsidRDefault="00DC1D05" w:rsidP="006E4452">
      <w:pPr>
        <w:pStyle w:val="Bullet"/>
        <w:rPr>
          <w:lang w:val="en-NZ"/>
        </w:rPr>
      </w:pPr>
      <w:r w:rsidRPr="006E4452">
        <w:rPr>
          <w:lang w:val="en-NZ"/>
        </w:rPr>
        <w:lastRenderedPageBreak/>
        <w:t xml:space="preserve">Ask your </w:t>
      </w:r>
      <w:r w:rsidR="00117138" w:rsidRPr="006E4452">
        <w:rPr>
          <w:lang w:val="en-NZ"/>
        </w:rPr>
        <w:t>c</w:t>
      </w:r>
      <w:r w:rsidRPr="006E4452">
        <w:rPr>
          <w:lang w:val="en-NZ"/>
        </w:rPr>
        <w:t xml:space="preserve">loud </w:t>
      </w:r>
      <w:r w:rsidR="00117138" w:rsidRPr="006E4452">
        <w:rPr>
          <w:lang w:val="en-NZ"/>
        </w:rPr>
        <w:t>s</w:t>
      </w:r>
      <w:r w:rsidRPr="006E4452">
        <w:rPr>
          <w:lang w:val="en-NZ"/>
        </w:rPr>
        <w:t xml:space="preserve">ervice </w:t>
      </w:r>
      <w:r w:rsidR="00117138" w:rsidRPr="006E4452">
        <w:rPr>
          <w:lang w:val="en-NZ"/>
        </w:rPr>
        <w:t>p</w:t>
      </w:r>
      <w:r w:rsidRPr="006E4452">
        <w:rPr>
          <w:lang w:val="en-NZ"/>
        </w:rPr>
        <w:t xml:space="preserve">roviders which </w:t>
      </w:r>
      <w:r w:rsidR="00117138" w:rsidRPr="006E4452">
        <w:rPr>
          <w:lang w:val="en-NZ"/>
        </w:rPr>
        <w:t xml:space="preserve">greenhouse gas </w:t>
      </w:r>
      <w:r w:rsidRPr="006E4452">
        <w:rPr>
          <w:lang w:val="en-NZ"/>
        </w:rPr>
        <w:t>reporting methodology they are using and note this for your auditor.</w:t>
      </w:r>
    </w:p>
    <w:p w14:paraId="73E6395C" w14:textId="57855761" w:rsidR="00EE42CD" w:rsidRPr="00EE42CD" w:rsidRDefault="00DC1D05" w:rsidP="003E5307">
      <w:pPr>
        <w:pStyle w:val="BodyText"/>
      </w:pPr>
      <w:r w:rsidRPr="00EE42CD">
        <w:t>Find out if you are owning</w:t>
      </w:r>
      <w:r w:rsidR="008D5FC4" w:rsidRPr="00EE42CD">
        <w:t xml:space="preserve"> or </w:t>
      </w:r>
      <w:r w:rsidRPr="00EE42CD">
        <w:t xml:space="preserve">leasing IT equipment in </w:t>
      </w:r>
      <w:r w:rsidRPr="00EE42CD">
        <w:rPr>
          <w:b/>
          <w:bCs/>
        </w:rPr>
        <w:t>data centres</w:t>
      </w:r>
      <w:r w:rsidRPr="00EE42CD">
        <w:t xml:space="preserve"> outside of your use of cloud. If yes, capture the </w:t>
      </w:r>
      <w:r w:rsidR="00ED0DA1" w:rsidRPr="00EE42CD">
        <w:t xml:space="preserve">greenhouse </w:t>
      </w:r>
      <w:r w:rsidRPr="00EE42CD">
        <w:t xml:space="preserve">emissions from the use of this equipment. </w:t>
      </w:r>
    </w:p>
    <w:p w14:paraId="47E85000" w14:textId="1518CFBD" w:rsidR="00DC1D05" w:rsidRPr="00EE42CD" w:rsidRDefault="00DC1D05" w:rsidP="003E5307">
      <w:pPr>
        <w:pStyle w:val="BodyText"/>
      </w:pPr>
      <w:r w:rsidRPr="00EE42CD">
        <w:t>There are three parts to this:</w:t>
      </w:r>
    </w:p>
    <w:p w14:paraId="3651D90E" w14:textId="73EB0CB4" w:rsidR="00DC1D05" w:rsidRPr="006E4452" w:rsidRDefault="00DC1D05" w:rsidP="00DC1D05">
      <w:pPr>
        <w:pStyle w:val="Bullet"/>
        <w:rPr>
          <w:lang w:val="en-NZ"/>
        </w:rPr>
      </w:pPr>
      <w:r w:rsidRPr="006E4452">
        <w:rPr>
          <w:lang w:val="en-NZ"/>
        </w:rPr>
        <w:t>Part 1</w:t>
      </w:r>
      <w:r w:rsidR="00A91C2D" w:rsidRPr="006E4452">
        <w:rPr>
          <w:lang w:val="en-NZ"/>
        </w:rPr>
        <w:t>:</w:t>
      </w:r>
      <w:r w:rsidRPr="006E4452">
        <w:rPr>
          <w:lang w:val="en-NZ"/>
        </w:rPr>
        <w:t xml:space="preserve"> </w:t>
      </w:r>
      <w:r w:rsidR="00ED23D1" w:rsidRPr="006E4452">
        <w:rPr>
          <w:lang w:val="en-NZ"/>
        </w:rPr>
        <w:t xml:space="preserve">Have </w:t>
      </w:r>
      <w:r w:rsidRPr="006E4452">
        <w:rPr>
          <w:lang w:val="en-NZ"/>
        </w:rPr>
        <w:t xml:space="preserve">your data centre provide you with individualised kWh data for your equipment. This may be in the form of power consumption per rack, or it could be just one number for all your equipment, or it might be broken down by piece of equipment. </w:t>
      </w:r>
    </w:p>
    <w:p w14:paraId="7D00CBBE" w14:textId="1B111162" w:rsidR="00DC1D05" w:rsidRPr="006E4452" w:rsidRDefault="00DC1D05" w:rsidP="00DC1D05">
      <w:pPr>
        <w:pStyle w:val="Bullet"/>
        <w:rPr>
          <w:lang w:val="en-NZ"/>
        </w:rPr>
      </w:pPr>
      <w:r w:rsidRPr="006E4452">
        <w:rPr>
          <w:lang w:val="en-NZ"/>
        </w:rPr>
        <w:t>Part 2</w:t>
      </w:r>
      <w:r w:rsidR="00A91C2D" w:rsidRPr="006E4452">
        <w:rPr>
          <w:lang w:val="en-NZ"/>
        </w:rPr>
        <w:t>:</w:t>
      </w:r>
      <w:r w:rsidRPr="006E4452">
        <w:rPr>
          <w:lang w:val="en-NZ"/>
        </w:rPr>
        <w:t xml:space="preserve"> Ask for the data centre’s </w:t>
      </w:r>
      <w:r w:rsidR="005E19EE" w:rsidRPr="006E4452">
        <w:rPr>
          <w:lang w:val="en-NZ"/>
        </w:rPr>
        <w:t>p</w:t>
      </w:r>
      <w:r w:rsidRPr="006E4452">
        <w:rPr>
          <w:lang w:val="en-NZ"/>
        </w:rPr>
        <w:t xml:space="preserve">ower </w:t>
      </w:r>
      <w:r w:rsidR="005E19EE" w:rsidRPr="006E4452">
        <w:rPr>
          <w:lang w:val="en-NZ"/>
        </w:rPr>
        <w:t>u</w:t>
      </w:r>
      <w:r w:rsidRPr="006E4452">
        <w:rPr>
          <w:lang w:val="en-NZ"/>
        </w:rPr>
        <w:t xml:space="preserve">sage </w:t>
      </w:r>
      <w:r w:rsidR="005E19EE" w:rsidRPr="006E4452">
        <w:rPr>
          <w:lang w:val="en-NZ"/>
        </w:rPr>
        <w:t>e</w:t>
      </w:r>
      <w:r w:rsidRPr="006E4452">
        <w:rPr>
          <w:lang w:val="en-NZ"/>
        </w:rPr>
        <w:t>ffectiveness</w:t>
      </w:r>
      <w:r w:rsidR="00FE6ADE" w:rsidRPr="006E4452">
        <w:rPr>
          <w:lang w:val="en-NZ"/>
        </w:rPr>
        <w:t xml:space="preserve"> (PUE)</w:t>
      </w:r>
      <w:r w:rsidRPr="006E4452">
        <w:rPr>
          <w:lang w:val="en-NZ"/>
        </w:rPr>
        <w:t xml:space="preserve"> figure. By accessing this figure, you can attribute to yourself an appropriate share of the energy that goes into running the facility – </w:t>
      </w:r>
      <w:r w:rsidR="007B7A76" w:rsidRPr="006E4452">
        <w:rPr>
          <w:lang w:val="en-NZ"/>
        </w:rPr>
        <w:t>eg,</w:t>
      </w:r>
      <w:r w:rsidRPr="006E4452">
        <w:rPr>
          <w:lang w:val="en-NZ"/>
        </w:rPr>
        <w:t xml:space="preserve"> </w:t>
      </w:r>
      <w:r w:rsidR="00F76D13" w:rsidRPr="006E4452">
        <w:rPr>
          <w:lang w:val="en-NZ"/>
        </w:rPr>
        <w:t xml:space="preserve">to power </w:t>
      </w:r>
      <w:r w:rsidRPr="006E4452">
        <w:rPr>
          <w:lang w:val="en-NZ"/>
        </w:rPr>
        <w:t>cooling</w:t>
      </w:r>
      <w:r w:rsidR="00A716F5" w:rsidRPr="006E4452">
        <w:rPr>
          <w:lang w:val="en-NZ"/>
        </w:rPr>
        <w:t xml:space="preserve"> or</w:t>
      </w:r>
      <w:r w:rsidRPr="006E4452">
        <w:rPr>
          <w:lang w:val="en-NZ"/>
        </w:rPr>
        <w:t xml:space="preserve"> security. </w:t>
      </w:r>
      <w:r w:rsidR="00CE09B9" w:rsidRPr="006E4452">
        <w:rPr>
          <w:lang w:val="en-NZ"/>
        </w:rPr>
        <w:t>(</w:t>
      </w:r>
      <w:r w:rsidRPr="006E4452">
        <w:rPr>
          <w:lang w:val="en-NZ"/>
        </w:rPr>
        <w:t>See the note below on understanding PUE].</w:t>
      </w:r>
    </w:p>
    <w:p w14:paraId="22953A2D" w14:textId="64B2193F" w:rsidR="00DC1D05" w:rsidRPr="006E4452" w:rsidRDefault="00DC1D05" w:rsidP="00DC1D05">
      <w:pPr>
        <w:pStyle w:val="Bullet"/>
        <w:rPr>
          <w:lang w:val="en-NZ"/>
        </w:rPr>
      </w:pPr>
      <w:r w:rsidRPr="006E4452">
        <w:rPr>
          <w:lang w:val="en-NZ"/>
        </w:rPr>
        <w:t>Part 3</w:t>
      </w:r>
      <w:r w:rsidR="00A91C2D" w:rsidRPr="006E4452">
        <w:rPr>
          <w:lang w:val="en-NZ"/>
        </w:rPr>
        <w:t>:</w:t>
      </w:r>
      <w:r w:rsidRPr="006E4452">
        <w:rPr>
          <w:lang w:val="en-NZ"/>
        </w:rPr>
        <w:t xml:space="preserve"> Obtain electricity emissions factors for the location of the data centres and use them to calculate your CO</w:t>
      </w:r>
      <w:r w:rsidRPr="006E4452">
        <w:rPr>
          <w:vertAlign w:val="subscript"/>
          <w:lang w:val="en-NZ"/>
        </w:rPr>
        <w:t>2</w:t>
      </w:r>
      <w:r w:rsidRPr="006E4452">
        <w:rPr>
          <w:lang w:val="en-NZ"/>
        </w:rPr>
        <w:t>e.</w:t>
      </w:r>
    </w:p>
    <w:p w14:paraId="33C9FEA9" w14:textId="53D4C4E6" w:rsidR="00047010" w:rsidRPr="00EE42CD" w:rsidRDefault="00DC1D05" w:rsidP="00500EF4">
      <w:pPr>
        <w:pStyle w:val="Heading3"/>
        <w:rPr>
          <w:rFonts w:eastAsia="Times New Roman"/>
        </w:rPr>
      </w:pPr>
      <w:r w:rsidRPr="00EE42CD">
        <w:rPr>
          <w:rFonts w:eastAsia="Times New Roman"/>
        </w:rPr>
        <w:t>Identify your main software as a service</w:t>
      </w:r>
      <w:r w:rsidR="00AA1475" w:rsidRPr="00EE42CD">
        <w:rPr>
          <w:rFonts w:eastAsia="Times New Roman"/>
        </w:rPr>
        <w:t xml:space="preserve"> </w:t>
      </w:r>
      <w:r w:rsidRPr="00EE42CD">
        <w:rPr>
          <w:rFonts w:eastAsia="Times New Roman"/>
        </w:rPr>
        <w:t xml:space="preserve">providers </w:t>
      </w:r>
    </w:p>
    <w:p w14:paraId="6FF02570" w14:textId="2FDD35D2" w:rsidR="00DC1D05" w:rsidRPr="006E4452" w:rsidRDefault="00047010" w:rsidP="00E909FE">
      <w:pPr>
        <w:pStyle w:val="Bullet"/>
        <w:spacing w:before="120"/>
      </w:pPr>
      <w:r w:rsidRPr="006E4452">
        <w:rPr>
          <w:lang w:val="en-NZ"/>
        </w:rPr>
        <w:t>A</w:t>
      </w:r>
      <w:r w:rsidR="00DC1D05" w:rsidRPr="006E4452">
        <w:rPr>
          <w:lang w:val="en-NZ"/>
        </w:rPr>
        <w:t>sk for your emissions data</w:t>
      </w:r>
      <w:r w:rsidRPr="006E4452">
        <w:rPr>
          <w:lang w:val="en-NZ"/>
        </w:rPr>
        <w:t>.</w:t>
      </w:r>
    </w:p>
    <w:p w14:paraId="6AD933E5" w14:textId="6735175E" w:rsidR="00DC1D05" w:rsidRPr="008459DE" w:rsidRDefault="00DC1D05" w:rsidP="00DC1D05">
      <w:pPr>
        <w:pStyle w:val="Bullet"/>
        <w:rPr>
          <w:lang w:val="en-NZ"/>
        </w:rPr>
      </w:pPr>
      <w:r w:rsidRPr="006E4452">
        <w:rPr>
          <w:lang w:val="en-NZ"/>
        </w:rPr>
        <w:t xml:space="preserve">Can you get emissions data from your </w:t>
      </w:r>
      <w:r w:rsidR="00262E64" w:rsidRPr="006E4452">
        <w:rPr>
          <w:lang w:val="en-NZ"/>
        </w:rPr>
        <w:t>software as a service (</w:t>
      </w:r>
      <w:r w:rsidRPr="006E4452">
        <w:rPr>
          <w:lang w:val="en-NZ"/>
        </w:rPr>
        <w:t>SaaS</w:t>
      </w:r>
      <w:r w:rsidR="00262E64" w:rsidRPr="006E4452">
        <w:rPr>
          <w:lang w:val="en-NZ"/>
        </w:rPr>
        <w:t>)</w:t>
      </w:r>
      <w:r w:rsidRPr="006E4452">
        <w:rPr>
          <w:lang w:val="en-NZ"/>
        </w:rPr>
        <w:t xml:space="preserve"> providers? Asking the question in Year 1 </w:t>
      </w:r>
      <w:r w:rsidR="0098170D">
        <w:rPr>
          <w:lang w:val="en-NZ"/>
        </w:rPr>
        <w:t xml:space="preserve">prepares them to </w:t>
      </w:r>
      <w:r w:rsidRPr="006E4452">
        <w:rPr>
          <w:lang w:val="en-NZ"/>
        </w:rPr>
        <w:t xml:space="preserve">report the data in </w:t>
      </w:r>
      <w:r w:rsidR="00040B8A" w:rsidRPr="006E4452">
        <w:rPr>
          <w:lang w:val="en-NZ"/>
        </w:rPr>
        <w:t>Year</w:t>
      </w:r>
      <w:r w:rsidR="00040B8A">
        <w:rPr>
          <w:lang w:val="en-NZ"/>
        </w:rPr>
        <w:t> </w:t>
      </w:r>
      <w:r w:rsidRPr="008459DE">
        <w:rPr>
          <w:lang w:val="en-NZ"/>
        </w:rPr>
        <w:t>2.</w:t>
      </w:r>
    </w:p>
    <w:p w14:paraId="4C33D942" w14:textId="4FF76C77" w:rsidR="00DC1D05" w:rsidRPr="00EE42CD" w:rsidRDefault="00DC1D05" w:rsidP="00DC1D05">
      <w:pPr>
        <w:pStyle w:val="Heading2"/>
      </w:pPr>
      <w:bookmarkStart w:id="2" w:name="_Note_to_give"/>
      <w:bookmarkEnd w:id="2"/>
      <w:r w:rsidRPr="00EE42CD">
        <w:t xml:space="preserve">Note to give to your IT team or intermediary </w:t>
      </w:r>
      <w:r w:rsidR="002D5347">
        <w:t xml:space="preserve">about </w:t>
      </w:r>
      <w:r w:rsidRPr="00EE42CD">
        <w:t>locating your cloud emissions data</w:t>
      </w:r>
    </w:p>
    <w:p w14:paraId="3B667AD5" w14:textId="4DCC5665" w:rsidR="005E6A54" w:rsidRDefault="00DC1D05" w:rsidP="00DC1D05">
      <w:pPr>
        <w:pStyle w:val="BodyText"/>
        <w:rPr>
          <w:lang w:eastAsia="en-NZ"/>
        </w:rPr>
      </w:pPr>
      <w:r w:rsidRPr="00EE42CD">
        <w:rPr>
          <w:lang w:eastAsia="en-NZ"/>
        </w:rPr>
        <w:t>To help locate your emissions data from your organisation’s use of the cloud, you will likely need to ask you</w:t>
      </w:r>
      <w:r w:rsidR="00DA3488">
        <w:rPr>
          <w:lang w:eastAsia="en-NZ"/>
        </w:rPr>
        <w:t>r</w:t>
      </w:r>
      <w:r w:rsidRPr="00EE42CD">
        <w:rPr>
          <w:lang w:eastAsia="en-NZ"/>
        </w:rPr>
        <w:t xml:space="preserve"> IT team to give you access to the data. </w:t>
      </w:r>
      <w:r w:rsidR="0078041C">
        <w:rPr>
          <w:lang w:eastAsia="en-NZ"/>
        </w:rPr>
        <w:t>B</w:t>
      </w:r>
      <w:r w:rsidRPr="00EE42CD">
        <w:rPr>
          <w:lang w:eastAsia="en-NZ"/>
        </w:rPr>
        <w:t>e aware that your organisation may have many cloud services accounts. The terminology could include master subscriptions</w:t>
      </w:r>
      <w:r w:rsidR="00E827B6">
        <w:rPr>
          <w:lang w:eastAsia="en-NZ"/>
        </w:rPr>
        <w:t>,</w:t>
      </w:r>
      <w:r w:rsidRPr="00EE42CD">
        <w:rPr>
          <w:lang w:eastAsia="en-NZ"/>
        </w:rPr>
        <w:t xml:space="preserve"> tenancies</w:t>
      </w:r>
      <w:r w:rsidR="00E827B6">
        <w:rPr>
          <w:lang w:eastAsia="en-NZ"/>
        </w:rPr>
        <w:t>,</w:t>
      </w:r>
      <w:r w:rsidRPr="00EE42CD">
        <w:rPr>
          <w:lang w:eastAsia="en-NZ"/>
        </w:rPr>
        <w:t xml:space="preserve"> organisations</w:t>
      </w:r>
      <w:r w:rsidR="00E827B6">
        <w:rPr>
          <w:lang w:eastAsia="en-NZ"/>
        </w:rPr>
        <w:t>,</w:t>
      </w:r>
      <w:r w:rsidRPr="00EE42CD">
        <w:rPr>
          <w:lang w:eastAsia="en-NZ"/>
        </w:rPr>
        <w:t xml:space="preserve"> root accounts</w:t>
      </w:r>
      <w:r w:rsidR="00E827B6">
        <w:rPr>
          <w:lang w:eastAsia="en-NZ"/>
        </w:rPr>
        <w:t>,</w:t>
      </w:r>
      <w:r w:rsidRPr="00EE42CD">
        <w:rPr>
          <w:lang w:eastAsia="en-NZ"/>
        </w:rPr>
        <w:t xml:space="preserve"> management accounts</w:t>
      </w:r>
      <w:r w:rsidR="00E827B6">
        <w:rPr>
          <w:lang w:eastAsia="en-NZ"/>
        </w:rPr>
        <w:t>,</w:t>
      </w:r>
      <w:r w:rsidRPr="00EE42CD">
        <w:rPr>
          <w:lang w:eastAsia="en-NZ"/>
        </w:rPr>
        <w:t xml:space="preserve"> etc. </w:t>
      </w:r>
    </w:p>
    <w:p w14:paraId="35FDF4D2" w14:textId="3536DFCC" w:rsidR="00DC1D05" w:rsidRPr="00EE42CD" w:rsidRDefault="00733D15" w:rsidP="00DC1D05">
      <w:pPr>
        <w:pStyle w:val="BodyText"/>
        <w:rPr>
          <w:lang w:eastAsia="en-NZ"/>
        </w:rPr>
      </w:pPr>
      <w:r>
        <w:rPr>
          <w:lang w:eastAsia="en-NZ"/>
        </w:rPr>
        <w:t>T</w:t>
      </w:r>
      <w:r w:rsidR="00DC1D05" w:rsidRPr="00EE42CD">
        <w:rPr>
          <w:lang w:eastAsia="en-NZ"/>
        </w:rPr>
        <w:t>here may be multiple top-level arrangements with each cloud service provider, and we want to capture all of them.</w:t>
      </w:r>
    </w:p>
    <w:p w14:paraId="5DEBD6F4" w14:textId="58EEE0B6" w:rsidR="0017520C" w:rsidRDefault="00DC1D05" w:rsidP="00DC1D05">
      <w:pPr>
        <w:pStyle w:val="BodyText"/>
        <w:rPr>
          <w:lang w:eastAsia="en-NZ"/>
        </w:rPr>
      </w:pPr>
      <w:r w:rsidRPr="00EE42CD">
        <w:rPr>
          <w:lang w:eastAsia="en-NZ"/>
        </w:rPr>
        <w:t>For example, Microsoft emissions dashboards are via a Power BI dashboard which can be deployed in a SharePoint workspace. If you have multiple tenancies within M365 and</w:t>
      </w:r>
      <w:r w:rsidR="00A8266D">
        <w:rPr>
          <w:lang w:eastAsia="en-NZ"/>
        </w:rPr>
        <w:t xml:space="preserve">/or </w:t>
      </w:r>
      <w:r w:rsidRPr="00EE42CD">
        <w:rPr>
          <w:lang w:eastAsia="en-NZ"/>
        </w:rPr>
        <w:t xml:space="preserve">Microsoft Azure, ask your IT team to deploy a dashboard for each tenancy of each product. </w:t>
      </w:r>
    </w:p>
    <w:p w14:paraId="6AA5F454" w14:textId="04BC983F" w:rsidR="00DC1D05" w:rsidRPr="008E3B9F" w:rsidRDefault="0017520C" w:rsidP="00DC1D05">
      <w:pPr>
        <w:pStyle w:val="BodyText"/>
        <w:rPr>
          <w:b/>
          <w:bCs/>
          <w:lang w:eastAsia="en-NZ"/>
        </w:rPr>
      </w:pPr>
      <w:r w:rsidRPr="008E3B9F">
        <w:rPr>
          <w:b/>
          <w:bCs/>
          <w:lang w:eastAsia="en-NZ"/>
        </w:rPr>
        <w:t xml:space="preserve">Ask your IT team if they </w:t>
      </w:r>
      <w:r w:rsidR="00DC1D05" w:rsidRPr="008E3B9F">
        <w:rPr>
          <w:b/>
          <w:bCs/>
          <w:lang w:eastAsia="en-NZ"/>
        </w:rPr>
        <w:t>have additional tenant IDs</w:t>
      </w:r>
      <w:r w:rsidRPr="008E3B9F">
        <w:rPr>
          <w:b/>
          <w:bCs/>
          <w:lang w:eastAsia="en-NZ"/>
        </w:rPr>
        <w:t>,</w:t>
      </w:r>
      <w:r w:rsidR="00DC1D05" w:rsidRPr="008E3B9F">
        <w:rPr>
          <w:b/>
          <w:bCs/>
          <w:lang w:eastAsia="en-NZ"/>
        </w:rPr>
        <w:t xml:space="preserve"> master subscriptions</w:t>
      </w:r>
      <w:r w:rsidRPr="008E3B9F">
        <w:rPr>
          <w:b/>
          <w:bCs/>
          <w:lang w:eastAsia="en-NZ"/>
        </w:rPr>
        <w:t>,</w:t>
      </w:r>
      <w:r w:rsidR="00DC1D05" w:rsidRPr="008E3B9F">
        <w:rPr>
          <w:b/>
          <w:bCs/>
          <w:lang w:eastAsia="en-NZ"/>
        </w:rPr>
        <w:t xml:space="preserve"> top-level arrangements for testing environments</w:t>
      </w:r>
      <w:r w:rsidRPr="008E3B9F">
        <w:rPr>
          <w:b/>
          <w:bCs/>
          <w:lang w:eastAsia="en-NZ"/>
        </w:rPr>
        <w:t>.</w:t>
      </w:r>
    </w:p>
    <w:p w14:paraId="74882EDC" w14:textId="24E1708B" w:rsidR="00DC1D05" w:rsidRPr="00EE42CD" w:rsidRDefault="00DC1D05" w:rsidP="00DC1D05">
      <w:pPr>
        <w:pStyle w:val="BodyText"/>
        <w:rPr>
          <w:lang w:eastAsia="en-NZ"/>
        </w:rPr>
      </w:pPr>
      <w:r w:rsidRPr="00EE42CD">
        <w:rPr>
          <w:lang w:eastAsia="en-NZ"/>
        </w:rPr>
        <w:t>Outcome</w:t>
      </w:r>
      <w:r w:rsidR="0017520C">
        <w:rPr>
          <w:lang w:eastAsia="en-NZ"/>
        </w:rPr>
        <w:t>:</w:t>
      </w:r>
      <w:r w:rsidRPr="00EE42CD">
        <w:rPr>
          <w:lang w:eastAsia="en-NZ"/>
        </w:rPr>
        <w:t xml:space="preserve"> </w:t>
      </w:r>
      <w:r w:rsidR="0017520C">
        <w:rPr>
          <w:lang w:eastAsia="en-NZ"/>
        </w:rPr>
        <w:t>Y</w:t>
      </w:r>
      <w:r w:rsidRPr="00EE42CD">
        <w:rPr>
          <w:lang w:eastAsia="en-NZ"/>
        </w:rPr>
        <w:t>ou will have multiple dashboards</w:t>
      </w:r>
      <w:r w:rsidR="00351D42">
        <w:rPr>
          <w:lang w:eastAsia="en-NZ"/>
        </w:rPr>
        <w:t xml:space="preserve"> or </w:t>
      </w:r>
      <w:r w:rsidRPr="00EE42CD">
        <w:rPr>
          <w:lang w:eastAsia="en-NZ"/>
        </w:rPr>
        <w:t>downloads that contain your emissions data.</w:t>
      </w:r>
    </w:p>
    <w:p w14:paraId="0849450C" w14:textId="714FC3DC" w:rsidR="00DC1D05" w:rsidRPr="00EE42CD" w:rsidRDefault="00DC1D05" w:rsidP="00DC1D05">
      <w:pPr>
        <w:pStyle w:val="Heading2"/>
      </w:pPr>
      <w:r w:rsidRPr="00EE42CD">
        <w:lastRenderedPageBreak/>
        <w:t xml:space="preserve">Understanding </w:t>
      </w:r>
      <w:r w:rsidR="00040B8A">
        <w:t>power usage effectiveness</w:t>
      </w:r>
    </w:p>
    <w:p w14:paraId="74462028" w14:textId="0A1EE7A6" w:rsidR="00DC1D05" w:rsidRPr="00EE42CD" w:rsidRDefault="00DC1D05" w:rsidP="00DC1D05">
      <w:pPr>
        <w:pStyle w:val="BodyText"/>
        <w:rPr>
          <w:lang w:eastAsia="en-NZ"/>
        </w:rPr>
      </w:pPr>
      <w:r w:rsidRPr="00EE42CD">
        <w:rPr>
          <w:lang w:eastAsia="en-NZ"/>
        </w:rPr>
        <w:t xml:space="preserve">An expected </w:t>
      </w:r>
      <w:r w:rsidR="006F6D7E">
        <w:rPr>
          <w:lang w:eastAsia="en-NZ"/>
        </w:rPr>
        <w:t>power usage effectiveness (</w:t>
      </w:r>
      <w:r w:rsidRPr="00EE42CD">
        <w:rPr>
          <w:lang w:eastAsia="en-NZ"/>
        </w:rPr>
        <w:t>PUE</w:t>
      </w:r>
      <w:r w:rsidR="006F6D7E">
        <w:rPr>
          <w:lang w:eastAsia="en-NZ"/>
        </w:rPr>
        <w:t>)</w:t>
      </w:r>
      <w:r w:rsidRPr="00EE42CD">
        <w:rPr>
          <w:lang w:eastAsia="en-NZ"/>
        </w:rPr>
        <w:t xml:space="preserve"> in Aotearoa N</w:t>
      </w:r>
      <w:r w:rsidR="006F6D7E">
        <w:rPr>
          <w:lang w:eastAsia="en-NZ"/>
        </w:rPr>
        <w:t>ew Zealand</w:t>
      </w:r>
      <w:r w:rsidRPr="00EE42CD">
        <w:rPr>
          <w:lang w:eastAsia="en-NZ"/>
        </w:rPr>
        <w:t xml:space="preserve"> is between 1.4 and 1.7</w:t>
      </w:r>
      <w:r w:rsidR="000005F4">
        <w:rPr>
          <w:lang w:eastAsia="en-NZ"/>
        </w:rPr>
        <w:t>.</w:t>
      </w:r>
      <w:r w:rsidRPr="00EE42CD">
        <w:rPr>
          <w:lang w:eastAsia="en-NZ"/>
        </w:rPr>
        <w:t xml:space="preserve"> </w:t>
      </w:r>
      <w:r w:rsidR="000005F4">
        <w:rPr>
          <w:lang w:eastAsia="en-NZ"/>
        </w:rPr>
        <w:t>T</w:t>
      </w:r>
      <w:r w:rsidRPr="00EE42CD">
        <w:rPr>
          <w:lang w:eastAsia="en-NZ"/>
        </w:rPr>
        <w:t>he closer a PUE is to 1, the more efficient it is. It is currently impossible to have a PUE below 1.</w:t>
      </w:r>
    </w:p>
    <w:p w14:paraId="414C8F00" w14:textId="7D9877E8" w:rsidR="00DC1D05" w:rsidRPr="00EE42CD" w:rsidRDefault="00DC1D05" w:rsidP="00DC1D05">
      <w:pPr>
        <w:pStyle w:val="BodyText"/>
        <w:rPr>
          <w:lang w:eastAsia="en-NZ"/>
        </w:rPr>
      </w:pPr>
      <w:r w:rsidRPr="00EE42CD">
        <w:rPr>
          <w:lang w:eastAsia="en-NZ"/>
        </w:rPr>
        <w:t>PUE is calculated in the following fashion:</w:t>
      </w:r>
      <w:r w:rsidRPr="00EE42CD">
        <w:rPr>
          <w:lang w:eastAsia="en-NZ"/>
        </w:rPr>
        <w:br/>
      </w:r>
      <w:r w:rsidRPr="00EE42CD">
        <w:rPr>
          <w:lang w:eastAsia="en-NZ"/>
        </w:rPr>
        <w:br/>
      </w:r>
      <m:oMathPara>
        <m:oMath>
          <m:r>
            <w:rPr>
              <w:rFonts w:ascii="Cambria Math" w:hAnsi="Cambria Math"/>
              <w:lang w:eastAsia="en-NZ"/>
            </w:rPr>
            <m:t>PUE=</m:t>
          </m:r>
          <m:f>
            <m:fPr>
              <m:ctrlPr>
                <w:rPr>
                  <w:rFonts w:ascii="Cambria Math" w:hAnsi="Cambria Math"/>
                  <w:lang w:eastAsia="en-NZ"/>
                </w:rPr>
              </m:ctrlPr>
            </m:fPr>
            <m:num>
              <m:r>
                <w:rPr>
                  <w:rFonts w:ascii="Cambria Math" w:hAnsi="Cambria Math"/>
                  <w:lang w:eastAsia="en-NZ"/>
                </w:rPr>
                <m:t>Total energy usage</m:t>
              </m:r>
            </m:num>
            <m:den>
              <m:r>
                <w:rPr>
                  <w:rFonts w:ascii="Cambria Math" w:hAnsi="Cambria Math"/>
                  <w:lang w:eastAsia="en-NZ"/>
                </w:rPr>
                <m:t>IT equipment energy usage</m:t>
              </m:r>
            </m:den>
          </m:f>
          <m:r>
            <w:rPr>
              <w:rFonts w:ascii="Cambria Math" w:hAnsi="Cambria Math"/>
              <w:lang w:eastAsia="en-NZ"/>
            </w:rPr>
            <m:t>=1+</m:t>
          </m:r>
          <m:f>
            <m:fPr>
              <m:ctrlPr>
                <w:rPr>
                  <w:rFonts w:ascii="Cambria Math" w:hAnsi="Cambria Math"/>
                  <w:lang w:eastAsia="en-NZ"/>
                </w:rPr>
              </m:ctrlPr>
            </m:fPr>
            <m:num>
              <m:r>
                <w:rPr>
                  <w:rFonts w:ascii="Cambria Math" w:hAnsi="Cambria Math"/>
                  <w:lang w:eastAsia="en-NZ"/>
                </w:rPr>
                <m:t>Facility overhead energy usage</m:t>
              </m:r>
            </m:num>
            <m:den>
              <m:r>
                <w:rPr>
                  <w:rFonts w:ascii="Cambria Math" w:hAnsi="Cambria Math"/>
                  <w:lang w:eastAsia="en-NZ"/>
                </w:rPr>
                <m:t>IT equipment energy usage</m:t>
              </m:r>
            </m:den>
          </m:f>
          <m:r>
            <m:rPr>
              <m:sty m:val="p"/>
            </m:rPr>
            <w:rPr>
              <w:rFonts w:ascii="Cambria Math" w:hAnsi="Cambria Math"/>
              <w:lang w:eastAsia="en-NZ"/>
            </w:rPr>
            <w:br/>
          </m:r>
        </m:oMath>
      </m:oMathPara>
    </w:p>
    <w:p w14:paraId="3116BF34" w14:textId="5102F4AD" w:rsidR="00DC1D05" w:rsidRPr="00EE42CD" w:rsidRDefault="00DC1D05" w:rsidP="00DC1D05">
      <w:pPr>
        <w:pStyle w:val="BodyText"/>
        <w:rPr>
          <w:lang w:eastAsia="en-NZ"/>
        </w:rPr>
      </w:pPr>
      <w:r w:rsidRPr="00EE42CD">
        <w:rPr>
          <w:lang w:eastAsia="en-NZ"/>
        </w:rPr>
        <w:t>Therefore an organisation’s share of the facility overhead energy usage can be calculated in the following fashion</w:t>
      </w:r>
      <w:r w:rsidR="00CF26E9">
        <w:rPr>
          <w:lang w:eastAsia="en-NZ"/>
        </w:rPr>
        <w:t>:</w:t>
      </w:r>
    </w:p>
    <w:p w14:paraId="50B1FD50" w14:textId="1987B7D9" w:rsidR="00DC1D05" w:rsidRPr="00EE42CD" w:rsidRDefault="00DC1D05" w:rsidP="00DC1D05">
      <w:pPr>
        <w:spacing w:before="120" w:after="120" w:line="280" w:lineRule="atLeast"/>
        <w:rPr>
          <w:rFonts w:ascii="Calibri" w:eastAsia="DengXian" w:hAnsi="Calibri" w:cs="Times New Roman"/>
          <w:szCs w:val="22"/>
          <w:lang w:eastAsia="en-NZ"/>
        </w:rPr>
      </w:pPr>
      <m:oMathPara>
        <m:oMath>
          <m:r>
            <w:rPr>
              <w:rFonts w:ascii="Cambria Math" w:eastAsia="Times New Roman" w:hAnsi="Cambria Math" w:cs="Times New Roman"/>
              <w:szCs w:val="22"/>
              <w:lang w:eastAsia="en-NZ"/>
            </w:rPr>
            <m:t>Organisation's</m:t>
          </m:r>
          <m:r>
            <m:rPr>
              <m:sty m:val="p"/>
            </m:rPr>
            <w:rPr>
              <w:rFonts w:ascii="Cambria Math" w:eastAsia="Times New Roman" w:hAnsi="Cambria Math" w:cs="Times New Roman"/>
              <w:szCs w:val="22"/>
              <w:lang w:eastAsia="en-NZ"/>
            </w:rPr>
            <m:t xml:space="preserve"> </m:t>
          </m:r>
          <m:r>
            <w:rPr>
              <w:rFonts w:ascii="Cambria Math" w:eastAsia="Times New Roman" w:hAnsi="Cambria Math" w:cs="Times New Roman"/>
              <w:szCs w:val="22"/>
              <w:lang w:eastAsia="en-NZ"/>
            </w:rPr>
            <m:t>Share</m:t>
          </m:r>
          <m:r>
            <m:rPr>
              <m:sty m:val="p"/>
            </m:rPr>
            <w:rPr>
              <w:rFonts w:ascii="Cambria Math" w:eastAsia="Times New Roman" w:hAnsi="Cambria Math" w:cs="Times New Roman"/>
              <w:szCs w:val="22"/>
              <w:lang w:eastAsia="en-NZ"/>
            </w:rPr>
            <m:t xml:space="preserve"> </m:t>
          </m:r>
          <m:r>
            <w:rPr>
              <w:rFonts w:ascii="Cambria Math" w:eastAsia="Times New Roman" w:hAnsi="Cambria Math" w:cs="Times New Roman"/>
              <w:szCs w:val="22"/>
              <w:lang w:eastAsia="en-NZ"/>
            </w:rPr>
            <m:t>of</m:t>
          </m:r>
          <m:r>
            <m:rPr>
              <m:sty m:val="p"/>
            </m:rPr>
            <w:rPr>
              <w:rFonts w:ascii="Cambria Math" w:eastAsia="Times New Roman" w:hAnsi="Cambria Math" w:cs="Times New Roman"/>
              <w:szCs w:val="22"/>
              <w:lang w:eastAsia="en-NZ"/>
            </w:rPr>
            <m:t xml:space="preserve"> </m:t>
          </m:r>
          <m:r>
            <w:rPr>
              <w:rFonts w:ascii="Cambria Math" w:eastAsia="Times New Roman" w:hAnsi="Cambria Math" w:cs="Times New Roman"/>
              <w:szCs w:val="22"/>
              <w:lang w:eastAsia="en-NZ"/>
            </w:rPr>
            <m:t>facility</m:t>
          </m:r>
          <m:r>
            <m:rPr>
              <m:sty m:val="p"/>
            </m:rPr>
            <w:rPr>
              <w:rFonts w:ascii="Cambria Math" w:eastAsia="Times New Roman" w:hAnsi="Cambria Math" w:cs="Times New Roman"/>
              <w:szCs w:val="22"/>
              <w:lang w:eastAsia="en-NZ"/>
            </w:rPr>
            <m:t xml:space="preserve"> </m:t>
          </m:r>
          <m:r>
            <w:rPr>
              <w:rFonts w:ascii="Cambria Math" w:eastAsia="Times New Roman" w:hAnsi="Cambria Math" w:cs="Times New Roman"/>
              <w:szCs w:val="22"/>
              <w:lang w:eastAsia="en-NZ"/>
            </w:rPr>
            <m:t>overhead</m:t>
          </m:r>
          <m:r>
            <m:rPr>
              <m:sty m:val="p"/>
            </m:rPr>
            <w:rPr>
              <w:rFonts w:ascii="Cambria Math" w:eastAsia="Times New Roman" w:hAnsi="Cambria Math" w:cs="Times New Roman"/>
              <w:szCs w:val="22"/>
              <w:lang w:eastAsia="en-NZ"/>
            </w:rPr>
            <m:t xml:space="preserve"> </m:t>
          </m:r>
          <m:r>
            <w:rPr>
              <w:rFonts w:ascii="Cambria Math" w:eastAsia="Times New Roman" w:hAnsi="Cambria Math" w:cs="Times New Roman"/>
              <w:szCs w:val="22"/>
              <w:lang w:eastAsia="en-NZ"/>
            </w:rPr>
            <m:t>energy</m:t>
          </m:r>
          <m:r>
            <m:rPr>
              <m:sty m:val="p"/>
            </m:rPr>
            <w:rPr>
              <w:rFonts w:ascii="Cambria Math" w:eastAsia="Times New Roman" w:hAnsi="Cambria Math" w:cs="Times New Roman"/>
              <w:szCs w:val="22"/>
              <w:lang w:eastAsia="en-NZ"/>
            </w:rPr>
            <m:t xml:space="preserve"> </m:t>
          </m:r>
          <m:r>
            <w:rPr>
              <w:rFonts w:ascii="Cambria Math" w:eastAsia="Times New Roman" w:hAnsi="Cambria Math" w:cs="Times New Roman"/>
              <w:szCs w:val="22"/>
              <w:lang w:eastAsia="en-NZ"/>
            </w:rPr>
            <m:t>usage</m:t>
          </m:r>
          <m:r>
            <m:rPr>
              <m:sty m:val="p"/>
            </m:rPr>
            <w:rPr>
              <w:rFonts w:ascii="Cambria Math" w:eastAsia="Times New Roman" w:hAnsi="Cambria Math" w:cs="Times New Roman"/>
              <w:szCs w:val="22"/>
              <w:lang w:eastAsia="en-NZ"/>
            </w:rPr>
            <m:t>=</m:t>
          </m:r>
          <m:d>
            <m:dPr>
              <m:ctrlPr>
                <w:rPr>
                  <w:rFonts w:ascii="Cambria Math" w:eastAsia="Times New Roman" w:hAnsi="Cambria Math" w:cs="Times New Roman"/>
                  <w:szCs w:val="22"/>
                  <w:lang w:eastAsia="en-NZ"/>
                </w:rPr>
              </m:ctrlPr>
            </m:dPr>
            <m:e>
              <m:r>
                <w:rPr>
                  <w:rFonts w:ascii="Cambria Math" w:eastAsia="Times New Roman" w:hAnsi="Cambria Math" w:cs="Times New Roman"/>
                  <w:szCs w:val="22"/>
                  <w:lang w:eastAsia="en-NZ"/>
                </w:rPr>
                <m:t>PUE</m:t>
              </m:r>
              <m:r>
                <m:rPr>
                  <m:sty m:val="p"/>
                </m:rPr>
                <w:rPr>
                  <w:rFonts w:ascii="Cambria Math" w:eastAsia="Times New Roman" w:hAnsi="Cambria Math" w:cs="Times New Roman"/>
                  <w:szCs w:val="22"/>
                  <w:lang w:eastAsia="en-NZ"/>
                </w:rPr>
                <m:t>-1</m:t>
              </m:r>
            </m:e>
          </m:d>
          <m:r>
            <m:rPr>
              <m:sty m:val="p"/>
            </m:rPr>
            <w:rPr>
              <w:rFonts w:ascii="Cambria Math" w:eastAsia="Times New Roman" w:hAnsi="Cambria Math" w:cs="Times New Roman"/>
              <w:szCs w:val="22"/>
              <w:lang w:eastAsia="en-NZ"/>
            </w:rPr>
            <m:t>*</m:t>
          </m:r>
          <m:r>
            <w:rPr>
              <w:rFonts w:ascii="Cambria Math" w:eastAsia="Times New Roman" w:hAnsi="Cambria Math" w:cs="Times New Roman"/>
              <w:szCs w:val="22"/>
              <w:lang w:eastAsia="en-NZ"/>
            </w:rPr>
            <m:t>Organisatio</m:t>
          </m:r>
          <m:sSup>
            <m:sSupPr>
              <m:ctrlPr>
                <w:rPr>
                  <w:rFonts w:ascii="Cambria Math" w:eastAsia="Times New Roman" w:hAnsi="Cambria Math" w:cs="Times New Roman"/>
                  <w:szCs w:val="22"/>
                  <w:lang w:eastAsia="en-NZ"/>
                </w:rPr>
              </m:ctrlPr>
            </m:sSupPr>
            <m:e>
              <m:r>
                <w:rPr>
                  <w:rFonts w:ascii="Cambria Math" w:eastAsia="Times New Roman" w:hAnsi="Cambria Math" w:cs="Times New Roman"/>
                  <w:szCs w:val="22"/>
                  <w:lang w:eastAsia="en-NZ"/>
                </w:rPr>
                <m:t>n</m:t>
              </m:r>
            </m:e>
            <m:sup>
              <m:r>
                <m:rPr>
                  <m:sty m:val="p"/>
                </m:rPr>
                <w:rPr>
                  <w:rFonts w:ascii="Cambria Math" w:eastAsia="Times New Roman" w:hAnsi="Cambria Math" w:cs="Times New Roman"/>
                  <w:szCs w:val="22"/>
                  <w:lang w:eastAsia="en-NZ"/>
                </w:rPr>
                <m:t>'</m:t>
              </m:r>
            </m:sup>
          </m:sSup>
          <m:r>
            <w:rPr>
              <w:rFonts w:ascii="Cambria Math" w:eastAsia="Times New Roman" w:hAnsi="Cambria Math" w:cs="Times New Roman"/>
              <w:szCs w:val="22"/>
              <w:lang w:eastAsia="en-NZ"/>
            </w:rPr>
            <m:t>s</m:t>
          </m:r>
          <m:r>
            <m:rPr>
              <m:sty m:val="p"/>
            </m:rPr>
            <w:rPr>
              <w:rFonts w:ascii="Cambria Math" w:eastAsia="Times New Roman" w:hAnsi="Cambria Math" w:cs="Times New Roman"/>
              <w:szCs w:val="22"/>
              <w:lang w:eastAsia="en-NZ"/>
            </w:rPr>
            <m:t xml:space="preserve"> </m:t>
          </m:r>
          <m:r>
            <w:rPr>
              <w:rFonts w:ascii="Cambria Math" w:eastAsia="Times New Roman" w:hAnsi="Cambria Math" w:cs="Times New Roman"/>
              <w:szCs w:val="22"/>
              <w:lang w:eastAsia="en-NZ"/>
            </w:rPr>
            <m:t>IT</m:t>
          </m:r>
          <m:r>
            <m:rPr>
              <m:sty m:val="p"/>
            </m:rPr>
            <w:rPr>
              <w:rFonts w:ascii="Cambria Math" w:eastAsia="Times New Roman" w:hAnsi="Cambria Math" w:cs="Times New Roman"/>
              <w:szCs w:val="22"/>
              <w:lang w:eastAsia="en-NZ"/>
            </w:rPr>
            <m:t xml:space="preserve"> </m:t>
          </m:r>
          <m:r>
            <w:rPr>
              <w:rFonts w:ascii="Cambria Math" w:eastAsia="Times New Roman" w:hAnsi="Cambria Math" w:cs="Times New Roman"/>
              <w:szCs w:val="22"/>
              <w:lang w:eastAsia="en-NZ"/>
            </w:rPr>
            <m:t>equipment</m:t>
          </m:r>
          <m:r>
            <m:rPr>
              <m:sty m:val="p"/>
            </m:rPr>
            <w:rPr>
              <w:rFonts w:ascii="Cambria Math" w:eastAsia="Times New Roman" w:hAnsi="Cambria Math" w:cs="Times New Roman"/>
              <w:szCs w:val="22"/>
              <w:lang w:eastAsia="en-NZ"/>
            </w:rPr>
            <m:t xml:space="preserve"> </m:t>
          </m:r>
          <m:r>
            <w:rPr>
              <w:rFonts w:ascii="Cambria Math" w:eastAsia="Times New Roman" w:hAnsi="Cambria Math" w:cs="Times New Roman"/>
              <w:szCs w:val="22"/>
              <w:lang w:eastAsia="en-NZ"/>
            </w:rPr>
            <m:t>energy</m:t>
          </m:r>
          <m:r>
            <m:rPr>
              <m:sty m:val="p"/>
            </m:rPr>
            <w:rPr>
              <w:rFonts w:ascii="Cambria Math" w:eastAsia="Times New Roman" w:hAnsi="Cambria Math" w:cs="Times New Roman"/>
              <w:szCs w:val="22"/>
              <w:lang w:eastAsia="en-NZ"/>
            </w:rPr>
            <m:t xml:space="preserve"> </m:t>
          </m:r>
          <m:r>
            <w:rPr>
              <w:rFonts w:ascii="Cambria Math" w:eastAsia="Times New Roman" w:hAnsi="Cambria Math" w:cs="Times New Roman"/>
              <w:szCs w:val="22"/>
              <w:lang w:eastAsia="en-NZ"/>
            </w:rPr>
            <m:t>usage</m:t>
          </m:r>
        </m:oMath>
      </m:oMathPara>
    </w:p>
    <w:p w14:paraId="574FD495" w14:textId="47CB33B1" w:rsidR="00DC1D05" w:rsidRPr="00EE42CD" w:rsidRDefault="00DC1D05" w:rsidP="00DC1D05">
      <w:pPr>
        <w:pStyle w:val="BodyText"/>
        <w:rPr>
          <w:lang w:eastAsia="en-NZ"/>
        </w:rPr>
      </w:pPr>
      <w:r w:rsidRPr="00EE42CD">
        <w:rPr>
          <w:lang w:eastAsia="en-NZ"/>
        </w:rPr>
        <w:t>PUE figures are expected to change over time. Ideally, your data centre should regularly provide you with their PUE (</w:t>
      </w:r>
      <w:r w:rsidR="002731C9">
        <w:rPr>
          <w:lang w:eastAsia="en-NZ"/>
        </w:rPr>
        <w:t>eg,</w:t>
      </w:r>
      <w:r w:rsidRPr="00EE42CD">
        <w:rPr>
          <w:lang w:eastAsia="en-NZ"/>
        </w:rPr>
        <w:t xml:space="preserve"> per day, month, quarter). We suggest asking for the PUE to be provided monthly but accept per quarter and ask your data centre to work towards monthly</w:t>
      </w:r>
      <w:r w:rsidR="007F72D9">
        <w:rPr>
          <w:lang w:eastAsia="en-NZ"/>
        </w:rPr>
        <w:t>,</w:t>
      </w:r>
      <w:r w:rsidRPr="00EE42CD">
        <w:rPr>
          <w:lang w:eastAsia="en-NZ"/>
        </w:rPr>
        <w:t xml:space="preserve"> or even daily</w:t>
      </w:r>
      <w:r w:rsidR="007F72D9">
        <w:rPr>
          <w:lang w:eastAsia="en-NZ"/>
        </w:rPr>
        <w:t>,</w:t>
      </w:r>
      <w:r w:rsidRPr="00EE42CD">
        <w:rPr>
          <w:lang w:eastAsia="en-NZ"/>
        </w:rPr>
        <w:t xml:space="preserve"> PUE.</w:t>
      </w:r>
    </w:p>
    <w:p w14:paraId="64F9A745" w14:textId="46DA94B7" w:rsidR="00DC1D05" w:rsidRPr="00EE42CD" w:rsidRDefault="00DC1D05" w:rsidP="00DC1D05">
      <w:pPr>
        <w:pStyle w:val="Heading2"/>
      </w:pPr>
      <w:r w:rsidRPr="00EE42CD">
        <w:t>Reporting notes by provider</w:t>
      </w:r>
    </w:p>
    <w:p w14:paraId="0C53F16E" w14:textId="40A0B255" w:rsidR="00DC1D05" w:rsidRPr="00EE42CD" w:rsidRDefault="00DC1D05" w:rsidP="00DC1D05">
      <w:pPr>
        <w:pStyle w:val="Tableheading"/>
        <w:rPr>
          <w:shd w:val="clear" w:color="auto" w:fill="FFFFFF"/>
        </w:rPr>
      </w:pPr>
      <w:bookmarkStart w:id="3" w:name="Table1"/>
      <w:bookmarkEnd w:id="3"/>
      <w:r w:rsidRPr="00EE42CD">
        <w:rPr>
          <w:shd w:val="clear" w:color="auto" w:fill="FFFFFF"/>
        </w:rPr>
        <w:t>Table 1:</w:t>
      </w:r>
      <w:r w:rsidRPr="00EE42CD">
        <w:rPr>
          <w:shd w:val="clear" w:color="auto" w:fill="FFFFFF"/>
        </w:rPr>
        <w:tab/>
      </w:r>
      <w:r w:rsidR="009B3B52" w:rsidRPr="00EE42CD">
        <w:rPr>
          <w:shd w:val="clear" w:color="auto" w:fill="FFFFFF"/>
        </w:rPr>
        <w:t>Reporting notes by provider</w:t>
      </w:r>
    </w:p>
    <w:tbl>
      <w:tblPr>
        <w:tblStyle w:val="TableGrid2"/>
        <w:tblW w:w="9072" w:type="dxa"/>
        <w:tblBorders>
          <w:top w:val="single" w:sz="4" w:space="0" w:color="152235"/>
          <w:left w:val="none" w:sz="0" w:space="0" w:color="auto"/>
          <w:bottom w:val="single" w:sz="4" w:space="0" w:color="152235"/>
          <w:right w:val="none" w:sz="0" w:space="0" w:color="auto"/>
          <w:insideH w:val="single" w:sz="4" w:space="0" w:color="152235"/>
          <w:insideV w:val="single" w:sz="4" w:space="0" w:color="152235"/>
        </w:tblBorders>
        <w:tblLook w:val="04A0" w:firstRow="1" w:lastRow="0" w:firstColumn="1" w:lastColumn="0" w:noHBand="0" w:noVBand="1"/>
      </w:tblPr>
      <w:tblGrid>
        <w:gridCol w:w="1985"/>
        <w:gridCol w:w="4063"/>
        <w:gridCol w:w="3024"/>
      </w:tblGrid>
      <w:tr w:rsidR="00DC1D05" w:rsidRPr="00EE42CD" w14:paraId="18EC7386" w14:textId="77777777" w:rsidTr="00DC1D05">
        <w:trPr>
          <w:tblHeader/>
        </w:trPr>
        <w:tc>
          <w:tcPr>
            <w:tcW w:w="1985" w:type="dxa"/>
            <w:shd w:val="clear" w:color="auto" w:fill="152234" w:themeFill="text2"/>
          </w:tcPr>
          <w:p w14:paraId="0B61C009" w14:textId="06126337" w:rsidR="00DC1D05" w:rsidRPr="00EE42CD" w:rsidRDefault="00DC1D05" w:rsidP="00DC1D05">
            <w:pPr>
              <w:pStyle w:val="TableTextbold"/>
            </w:pPr>
            <w:r w:rsidRPr="00EE42CD">
              <w:rPr>
                <w:color w:val="FFFFFF" w:themeColor="background1"/>
              </w:rPr>
              <w:t>Cloud Service Provider</w:t>
            </w:r>
          </w:p>
        </w:tc>
        <w:tc>
          <w:tcPr>
            <w:tcW w:w="4063" w:type="dxa"/>
            <w:shd w:val="clear" w:color="auto" w:fill="152234" w:themeFill="text2"/>
          </w:tcPr>
          <w:p w14:paraId="4010E027" w14:textId="41180CE9" w:rsidR="00DC1D05" w:rsidRPr="00EE42CD" w:rsidRDefault="00DC1D05" w:rsidP="00DC1D05">
            <w:pPr>
              <w:pStyle w:val="TableTextbold"/>
            </w:pPr>
            <w:r w:rsidRPr="00EE42CD">
              <w:rPr>
                <w:color w:val="FFFFFF" w:themeColor="background1"/>
              </w:rPr>
              <w:t>Notes</w:t>
            </w:r>
          </w:p>
        </w:tc>
        <w:tc>
          <w:tcPr>
            <w:tcW w:w="3024" w:type="dxa"/>
            <w:shd w:val="clear" w:color="auto" w:fill="152234"/>
          </w:tcPr>
          <w:p w14:paraId="62740B90" w14:textId="62C22D0E" w:rsidR="00DC1D05" w:rsidRPr="00EE42CD" w:rsidRDefault="00DC1D05" w:rsidP="00DC1D05">
            <w:pPr>
              <w:pStyle w:val="TableTextbold"/>
            </w:pPr>
            <w:r w:rsidRPr="00EE42CD">
              <w:rPr>
                <w:color w:val="FFFFFF" w:themeColor="background1"/>
              </w:rPr>
              <w:t>Starting Link</w:t>
            </w:r>
          </w:p>
        </w:tc>
      </w:tr>
      <w:tr w:rsidR="00DC1D05" w:rsidRPr="00EE42CD" w14:paraId="2D0B9EE7" w14:textId="77777777" w:rsidTr="00DC1D05">
        <w:tc>
          <w:tcPr>
            <w:tcW w:w="1985" w:type="dxa"/>
            <w:shd w:val="clear" w:color="auto" w:fill="auto"/>
          </w:tcPr>
          <w:p w14:paraId="421897D9" w14:textId="0764D44B" w:rsidR="00DC1D05" w:rsidRPr="00EE42CD" w:rsidRDefault="00DC1D05" w:rsidP="00DC1D05">
            <w:pPr>
              <w:pStyle w:val="TableText"/>
            </w:pPr>
            <w:r w:rsidRPr="00EE42CD">
              <w:t>AWS</w:t>
            </w:r>
          </w:p>
        </w:tc>
        <w:tc>
          <w:tcPr>
            <w:tcW w:w="4063" w:type="dxa"/>
            <w:shd w:val="clear" w:color="auto" w:fill="auto"/>
          </w:tcPr>
          <w:p w14:paraId="694364BC" w14:textId="2C509938" w:rsidR="00DC1D05" w:rsidRPr="00EE42CD" w:rsidRDefault="00DC1D05" w:rsidP="00DC1D05">
            <w:pPr>
              <w:pStyle w:val="TableBullet"/>
              <w:jc w:val="left"/>
            </w:pPr>
            <w:r w:rsidRPr="00EE42CD">
              <w:t xml:space="preserve">Emission reporting is available on </w:t>
            </w:r>
            <w:r w:rsidR="007F72D9">
              <w:t xml:space="preserve">the </w:t>
            </w:r>
            <w:r w:rsidRPr="00EE42CD">
              <w:t>1st of the month on US time (2nd of the month in NZ) with a 3-month lag.</w:t>
            </w:r>
          </w:p>
          <w:p w14:paraId="597C5F9B" w14:textId="1820689D" w:rsidR="00DC1D05" w:rsidRPr="00EE42CD" w:rsidRDefault="00DC1D05" w:rsidP="00DC1D05">
            <w:pPr>
              <w:pStyle w:val="TableBullet"/>
              <w:jc w:val="left"/>
            </w:pPr>
            <w:r w:rsidRPr="00EE42CD">
              <w:t xml:space="preserve">Service usage reporting </w:t>
            </w:r>
            <w:r w:rsidR="00FD325E">
              <w:t>(</w:t>
            </w:r>
            <w:r w:rsidRPr="00EE42CD">
              <w:t>see definition below this table</w:t>
            </w:r>
            <w:r w:rsidR="00FD325E">
              <w:t>)</w:t>
            </w:r>
            <w:r w:rsidRPr="00EE42CD">
              <w:t xml:space="preserve"> can be obtained but requires configuration.</w:t>
            </w:r>
          </w:p>
          <w:p w14:paraId="44863434" w14:textId="136C98F3" w:rsidR="00DC1D05" w:rsidRPr="00EE42CD" w:rsidRDefault="00DC1D05" w:rsidP="00DC1D05">
            <w:pPr>
              <w:pStyle w:val="TableBullet"/>
              <w:jc w:val="left"/>
            </w:pPr>
            <w:r w:rsidRPr="00EE42CD">
              <w:t>Watch out for double counting – see note below this table.</w:t>
            </w:r>
          </w:p>
        </w:tc>
        <w:tc>
          <w:tcPr>
            <w:tcW w:w="3024" w:type="dxa"/>
          </w:tcPr>
          <w:p w14:paraId="1BA23517" w14:textId="274471F1" w:rsidR="00DC1D05" w:rsidRPr="00EE42CD" w:rsidRDefault="00DC1D05" w:rsidP="00DC1D05">
            <w:pPr>
              <w:pStyle w:val="TableBullet"/>
              <w:rPr>
                <w:rStyle w:val="Hyperlink"/>
              </w:rPr>
            </w:pPr>
            <w:hyperlink r:id="rId14" w:history="1">
              <w:r w:rsidRPr="00EE42CD">
                <w:rPr>
                  <w:rStyle w:val="Hyperlink"/>
                </w:rPr>
                <w:t xml:space="preserve">Customer </w:t>
              </w:r>
              <w:r w:rsidR="00EA35B6">
                <w:rPr>
                  <w:rStyle w:val="Hyperlink"/>
                </w:rPr>
                <w:t>c</w:t>
              </w:r>
              <w:r w:rsidR="00EA35B6" w:rsidRPr="00EE42CD">
                <w:rPr>
                  <w:rStyle w:val="Hyperlink"/>
                </w:rPr>
                <w:t xml:space="preserve">arbon </w:t>
              </w:r>
              <w:r w:rsidR="00EA35B6">
                <w:rPr>
                  <w:rStyle w:val="Hyperlink"/>
                </w:rPr>
                <w:t>f</w:t>
              </w:r>
              <w:r w:rsidRPr="00EE42CD">
                <w:rPr>
                  <w:rStyle w:val="Hyperlink"/>
                </w:rPr>
                <w:t xml:space="preserve">ootprint </w:t>
              </w:r>
              <w:r w:rsidR="00EA35B6">
                <w:rPr>
                  <w:rStyle w:val="Hyperlink"/>
                </w:rPr>
                <w:t>t</w:t>
              </w:r>
              <w:r w:rsidRPr="00EE42CD">
                <w:rPr>
                  <w:rStyle w:val="Hyperlink"/>
                </w:rPr>
                <w:t>ool</w:t>
              </w:r>
            </w:hyperlink>
          </w:p>
          <w:p w14:paraId="6B8D7698" w14:textId="67413AC8" w:rsidR="00DC1D05" w:rsidRPr="00EE42CD" w:rsidRDefault="00EA35B6" w:rsidP="00DC1D05">
            <w:pPr>
              <w:pStyle w:val="TableBullet"/>
              <w:rPr>
                <w:rStyle w:val="Hyperlink"/>
              </w:rPr>
            </w:pPr>
            <w:hyperlink r:id="rId15" w:history="1">
              <w:r w:rsidRPr="00EE42CD">
                <w:rPr>
                  <w:rStyle w:val="Hyperlink"/>
                </w:rPr>
                <w:t xml:space="preserve">Data </w:t>
              </w:r>
              <w:r>
                <w:rPr>
                  <w:rStyle w:val="Hyperlink"/>
                </w:rPr>
                <w:t>e</w:t>
              </w:r>
              <w:r w:rsidRPr="00EE42CD">
                <w:rPr>
                  <w:rStyle w:val="Hyperlink"/>
                </w:rPr>
                <w:t>xports</w:t>
              </w:r>
            </w:hyperlink>
          </w:p>
        </w:tc>
      </w:tr>
      <w:tr w:rsidR="00DC1D05" w:rsidRPr="00EE42CD" w14:paraId="356CA25B" w14:textId="77777777" w:rsidTr="00DC1D05">
        <w:tc>
          <w:tcPr>
            <w:tcW w:w="1985" w:type="dxa"/>
            <w:shd w:val="clear" w:color="auto" w:fill="auto"/>
          </w:tcPr>
          <w:p w14:paraId="31DBDD29" w14:textId="434E10F0" w:rsidR="00DC1D05" w:rsidRPr="00EE42CD" w:rsidRDefault="00DC1D05" w:rsidP="00DC1D05">
            <w:pPr>
              <w:pStyle w:val="TableText"/>
            </w:pPr>
            <w:r w:rsidRPr="00EE42CD">
              <w:t>MS Azure</w:t>
            </w:r>
          </w:p>
        </w:tc>
        <w:tc>
          <w:tcPr>
            <w:tcW w:w="4063" w:type="dxa"/>
            <w:shd w:val="clear" w:color="auto" w:fill="auto"/>
          </w:tcPr>
          <w:p w14:paraId="26F583AE" w14:textId="77777777" w:rsidR="00DC1D05" w:rsidRPr="00EE42CD" w:rsidRDefault="00DC1D05" w:rsidP="00DC1D05">
            <w:pPr>
              <w:pStyle w:val="TableBullet"/>
              <w:jc w:val="left"/>
            </w:pPr>
            <w:r w:rsidRPr="00EE42CD">
              <w:t>Emission reporting is available in the middle of the month, around the 15th of the month and covers the previous month.</w:t>
            </w:r>
          </w:p>
          <w:p w14:paraId="33C96E79" w14:textId="77777777" w:rsidR="00DC1D05" w:rsidRPr="00EE42CD" w:rsidRDefault="00DC1D05" w:rsidP="00DC1D05">
            <w:pPr>
              <w:pStyle w:val="TableBullet"/>
              <w:jc w:val="left"/>
            </w:pPr>
            <w:r w:rsidRPr="00EE42CD">
              <w:t>The emission reporting contains usage data for each service in each service’s native unit.</w:t>
            </w:r>
          </w:p>
          <w:p w14:paraId="5AC02E2F" w14:textId="324C1E90" w:rsidR="00DC1D05" w:rsidRPr="00EE42CD" w:rsidRDefault="00DC1D05" w:rsidP="00DC1D05">
            <w:pPr>
              <w:pStyle w:val="TableBullet"/>
              <w:jc w:val="left"/>
            </w:pPr>
            <w:r w:rsidRPr="00EE42CD">
              <w:t>Note: Azure and M365 reporting are via two separate mechanisms</w:t>
            </w:r>
            <w:r w:rsidR="00EA35B6">
              <w:t>.</w:t>
            </w:r>
          </w:p>
        </w:tc>
        <w:tc>
          <w:tcPr>
            <w:tcW w:w="3024" w:type="dxa"/>
          </w:tcPr>
          <w:p w14:paraId="5F46AD21" w14:textId="03A9CB42" w:rsidR="00DC1D05" w:rsidRPr="00EE42CD" w:rsidRDefault="00DC1D05" w:rsidP="00DC1D05">
            <w:pPr>
              <w:pStyle w:val="TableBullet"/>
            </w:pPr>
            <w:hyperlink r:id="rId16" w:history="1">
              <w:r w:rsidRPr="00EE42CD">
                <w:rPr>
                  <w:rStyle w:val="Hyperlink"/>
                </w:rPr>
                <w:t xml:space="preserve">Emission </w:t>
              </w:r>
              <w:r w:rsidR="00EA35B6">
                <w:rPr>
                  <w:rStyle w:val="Hyperlink"/>
                </w:rPr>
                <w:t>i</w:t>
              </w:r>
              <w:r w:rsidRPr="00EE42CD">
                <w:rPr>
                  <w:rStyle w:val="Hyperlink"/>
                </w:rPr>
                <w:t xml:space="preserve">mpact </w:t>
              </w:r>
              <w:r w:rsidR="00EA35B6">
                <w:rPr>
                  <w:rStyle w:val="Hyperlink"/>
                </w:rPr>
                <w:t>d</w:t>
              </w:r>
              <w:r w:rsidRPr="00EE42CD">
                <w:rPr>
                  <w:rStyle w:val="Hyperlink"/>
                </w:rPr>
                <w:t>ashboard</w:t>
              </w:r>
            </w:hyperlink>
          </w:p>
        </w:tc>
      </w:tr>
      <w:tr w:rsidR="00DC1D05" w:rsidRPr="00EE42CD" w14:paraId="7B998944" w14:textId="77777777" w:rsidTr="00DC1D05">
        <w:tc>
          <w:tcPr>
            <w:tcW w:w="1985" w:type="dxa"/>
            <w:shd w:val="clear" w:color="auto" w:fill="auto"/>
          </w:tcPr>
          <w:p w14:paraId="73157B9E" w14:textId="4C33FEBF" w:rsidR="00DC1D05" w:rsidRPr="00EE42CD" w:rsidRDefault="00DC1D05" w:rsidP="00DC1D05">
            <w:pPr>
              <w:pStyle w:val="TableText"/>
            </w:pPr>
            <w:r w:rsidRPr="00EE42CD">
              <w:t>M365</w:t>
            </w:r>
          </w:p>
        </w:tc>
        <w:tc>
          <w:tcPr>
            <w:tcW w:w="4063" w:type="dxa"/>
            <w:shd w:val="clear" w:color="auto" w:fill="auto"/>
          </w:tcPr>
          <w:p w14:paraId="01C0C7C6" w14:textId="77777777" w:rsidR="00DC1D05" w:rsidRPr="00EE42CD" w:rsidRDefault="00DC1D05" w:rsidP="00DC1D05">
            <w:pPr>
              <w:pStyle w:val="TableBullet"/>
              <w:jc w:val="left"/>
            </w:pPr>
            <w:r w:rsidRPr="00EE42CD">
              <w:t>Emission reporting is available in the middle of the month, around the 15th of the month and covers the previous month.</w:t>
            </w:r>
          </w:p>
          <w:p w14:paraId="5BBC96FF" w14:textId="77777777" w:rsidR="00DC1D05" w:rsidRPr="00EE42CD" w:rsidRDefault="00DC1D05" w:rsidP="00DC1D05">
            <w:pPr>
              <w:pStyle w:val="TableBullet"/>
              <w:jc w:val="left"/>
            </w:pPr>
            <w:r w:rsidRPr="00EE42CD">
              <w:t>The emission reporting contains basic usage data in the sense of active users within each month.</w:t>
            </w:r>
          </w:p>
          <w:p w14:paraId="1A3442D4" w14:textId="47C97FD1" w:rsidR="00DC1D05" w:rsidRPr="00EE42CD" w:rsidRDefault="00DC1D05" w:rsidP="00DC1D05">
            <w:pPr>
              <w:pStyle w:val="TableBullet"/>
              <w:jc w:val="left"/>
            </w:pPr>
            <w:r w:rsidRPr="00EE42CD">
              <w:t>Note: Azure and M365 reporting are via two separate mechanisms</w:t>
            </w:r>
            <w:r w:rsidR="00EA35B6">
              <w:t>.</w:t>
            </w:r>
          </w:p>
        </w:tc>
        <w:tc>
          <w:tcPr>
            <w:tcW w:w="3024" w:type="dxa"/>
          </w:tcPr>
          <w:p w14:paraId="61F47E2E" w14:textId="6D826606" w:rsidR="00DC1D05" w:rsidRPr="00EE42CD" w:rsidRDefault="00DC1D05" w:rsidP="00DC1D05">
            <w:pPr>
              <w:pStyle w:val="TableBullet"/>
            </w:pPr>
            <w:hyperlink r:id="rId17" w:history="1">
              <w:r w:rsidRPr="00EE42CD">
                <w:rPr>
                  <w:rStyle w:val="Hyperlink"/>
                </w:rPr>
                <w:t xml:space="preserve">Emission </w:t>
              </w:r>
              <w:r w:rsidR="00EA35B6">
                <w:rPr>
                  <w:rStyle w:val="Hyperlink"/>
                </w:rPr>
                <w:t>i</w:t>
              </w:r>
              <w:r w:rsidRPr="00EE42CD">
                <w:rPr>
                  <w:rStyle w:val="Hyperlink"/>
                </w:rPr>
                <w:t xml:space="preserve">mpact </w:t>
              </w:r>
              <w:r w:rsidR="00EA35B6">
                <w:rPr>
                  <w:rStyle w:val="Hyperlink"/>
                </w:rPr>
                <w:t>d</w:t>
              </w:r>
              <w:r w:rsidRPr="00EE42CD">
                <w:rPr>
                  <w:rStyle w:val="Hyperlink"/>
                </w:rPr>
                <w:t>ashboard</w:t>
              </w:r>
            </w:hyperlink>
          </w:p>
        </w:tc>
      </w:tr>
      <w:tr w:rsidR="00DC1D05" w:rsidRPr="00EE42CD" w14:paraId="7E6489DF" w14:textId="77777777" w:rsidTr="00DC1D05">
        <w:tc>
          <w:tcPr>
            <w:tcW w:w="1985" w:type="dxa"/>
            <w:shd w:val="clear" w:color="auto" w:fill="auto"/>
          </w:tcPr>
          <w:p w14:paraId="43EC5AE2" w14:textId="720A1BC2" w:rsidR="00DC1D05" w:rsidRPr="00EE42CD" w:rsidRDefault="00DC1D05" w:rsidP="00DC1D05">
            <w:pPr>
              <w:pStyle w:val="TableText"/>
            </w:pPr>
            <w:r w:rsidRPr="00EE42CD">
              <w:lastRenderedPageBreak/>
              <w:t>IBM Cloud</w:t>
            </w:r>
          </w:p>
        </w:tc>
        <w:tc>
          <w:tcPr>
            <w:tcW w:w="4063" w:type="dxa"/>
            <w:shd w:val="clear" w:color="auto" w:fill="auto"/>
          </w:tcPr>
          <w:p w14:paraId="08D7C31D" w14:textId="595770AB" w:rsidR="00DC1D05" w:rsidRPr="00EE42CD" w:rsidRDefault="00DC1D05" w:rsidP="009B3B52">
            <w:pPr>
              <w:pStyle w:val="TableBullet"/>
              <w:jc w:val="left"/>
            </w:pPr>
            <w:r w:rsidRPr="00EE42CD">
              <w:t>Some emission reporting is available with caveats:</w:t>
            </w:r>
          </w:p>
          <w:p w14:paraId="5864D6B9" w14:textId="2B7CF023" w:rsidR="00DC1D05" w:rsidRPr="00EE42CD" w:rsidRDefault="00D742C1" w:rsidP="009B3B52">
            <w:pPr>
              <w:pStyle w:val="TableDash"/>
              <w:jc w:val="left"/>
            </w:pPr>
            <w:r>
              <w:t>o</w:t>
            </w:r>
            <w:r w:rsidR="00DC1D05" w:rsidRPr="00EE42CD">
              <w:t>nly some services are covered</w:t>
            </w:r>
          </w:p>
          <w:p w14:paraId="5D676080" w14:textId="4989CF4F" w:rsidR="00DC1D05" w:rsidRPr="00EE42CD" w:rsidRDefault="00D742C1" w:rsidP="009B3B52">
            <w:pPr>
              <w:pStyle w:val="TableDash"/>
              <w:jc w:val="left"/>
            </w:pPr>
            <w:r>
              <w:t>t</w:t>
            </w:r>
            <w:r w:rsidR="00DC1D05" w:rsidRPr="00EE42CD">
              <w:t>he data is available across various categories (</w:t>
            </w:r>
            <w:r>
              <w:t>eg,</w:t>
            </w:r>
            <w:r w:rsidR="00DC1D05" w:rsidRPr="00EE42CD">
              <w:t xml:space="preserve"> service or location) but not across the categories combined (</w:t>
            </w:r>
            <w:r>
              <w:t>ie,</w:t>
            </w:r>
            <w:r w:rsidR="00DC1D05" w:rsidRPr="00EE42CD">
              <w:t xml:space="preserve"> service and location)</w:t>
            </w:r>
            <w:r>
              <w:t>.</w:t>
            </w:r>
          </w:p>
        </w:tc>
        <w:tc>
          <w:tcPr>
            <w:tcW w:w="3024" w:type="dxa"/>
          </w:tcPr>
          <w:p w14:paraId="61EDE484" w14:textId="77777777" w:rsidR="00DC1D05" w:rsidRPr="00EE42CD" w:rsidRDefault="00DC1D05" w:rsidP="009B3B52">
            <w:pPr>
              <w:pStyle w:val="TableText"/>
              <w:jc w:val="left"/>
            </w:pPr>
          </w:p>
        </w:tc>
      </w:tr>
    </w:tbl>
    <w:p w14:paraId="29EDF6A9" w14:textId="58AA0C87" w:rsidR="009B3B52" w:rsidRPr="00EE42CD" w:rsidRDefault="009B3B52" w:rsidP="00470F15">
      <w:pPr>
        <w:pStyle w:val="Source"/>
      </w:pPr>
      <w:r w:rsidRPr="00ED1203">
        <w:rPr>
          <w:b/>
          <w:bCs/>
        </w:rPr>
        <w:t>Service usage reporting</w:t>
      </w:r>
      <w:r w:rsidRPr="00EE42CD">
        <w:t xml:space="preserve"> = the quantity of a service that has been used, presented in whatever native unit that service works in – for example, gigabytes of storage. You can work with your IT team to understand and configure this data</w:t>
      </w:r>
      <w:r w:rsidR="00A44D36">
        <w:t>.</w:t>
      </w:r>
      <w:r w:rsidR="00A44D36" w:rsidRPr="00EE42CD">
        <w:t xml:space="preserve"> </w:t>
      </w:r>
      <w:r w:rsidR="00A44D36">
        <w:t>O</w:t>
      </w:r>
      <w:r w:rsidRPr="00EE42CD">
        <w:t>nce configured</w:t>
      </w:r>
      <w:r w:rsidR="00A44D36">
        <w:t>,</w:t>
      </w:r>
      <w:r w:rsidRPr="00EE42CD">
        <w:t xml:space="preserve"> it will help you understand the emissions intensity and efficiency metrics.</w:t>
      </w:r>
      <w:r w:rsidR="00470F15">
        <w:br/>
      </w:r>
      <w:r w:rsidRPr="006B7FDB">
        <w:rPr>
          <w:b/>
          <w:bCs/>
        </w:rPr>
        <w:t>AWS potential for double-counting</w:t>
      </w:r>
      <w:r w:rsidRPr="00EE42CD">
        <w:t>: Currently, when multiple AWS accounts are deployed, the emissions data in your management account includes emissions from all your multiple accounts without specifying each account individually. If a breakdown is wanted for each account, the data must be downloaded individually for each account and the management account</w:t>
      </w:r>
      <w:r w:rsidR="00332ACD">
        <w:t>.</w:t>
      </w:r>
      <w:r w:rsidR="00332ACD" w:rsidRPr="00EE42CD">
        <w:t xml:space="preserve"> </w:t>
      </w:r>
      <w:r w:rsidR="00332ACD">
        <w:t xml:space="preserve">Then, </w:t>
      </w:r>
      <w:r w:rsidRPr="00EE42CD">
        <w:t>the sum of all non-management accounts emissions must be subtracted from the management account’s emission figures otherwise it could result in emissions being double counted. There can also be times where due to rounding (</w:t>
      </w:r>
      <w:hyperlink r:id="rId18" w:history="1">
        <w:r w:rsidRPr="00EE42CD">
          <w:rPr>
            <w:rStyle w:val="Hyperlink"/>
          </w:rPr>
          <w:t>AWS rounds all emissions to the nearest one-tenth ton</w:t>
        </w:r>
      </w:hyperlink>
      <w:r w:rsidRPr="00EE42CD">
        <w:t>) this will result in a small negative emissions number for the management account, which we recommend is instead set to zero.</w:t>
      </w:r>
    </w:p>
    <w:p w14:paraId="363DEF1A" w14:textId="77777777" w:rsidR="009B3B52" w:rsidRPr="00EE42CD" w:rsidRDefault="009B3B52" w:rsidP="009B3B52">
      <w:pPr>
        <w:pStyle w:val="Heading2"/>
        <w:rPr>
          <w:rFonts w:eastAsia="DengXian Light"/>
        </w:rPr>
      </w:pPr>
      <w:r w:rsidRPr="00EE42CD">
        <w:rPr>
          <w:rFonts w:eastAsia="DengXian Light"/>
        </w:rPr>
        <w:t>Year 2 and beyond</w:t>
      </w:r>
    </w:p>
    <w:p w14:paraId="0D13B246" w14:textId="7D54C62D" w:rsidR="009B3B52" w:rsidRPr="00EE42CD" w:rsidRDefault="009B3B52" w:rsidP="009B3B52">
      <w:pPr>
        <w:pStyle w:val="BodyText"/>
        <w:rPr>
          <w:lang w:eastAsia="en-NZ"/>
        </w:rPr>
      </w:pPr>
      <w:r w:rsidRPr="00EE42CD">
        <w:rPr>
          <w:lang w:eastAsia="en-NZ"/>
        </w:rPr>
        <w:t xml:space="preserve">We will update this </w:t>
      </w:r>
      <w:r w:rsidR="00274DAF">
        <w:rPr>
          <w:lang w:eastAsia="en-NZ"/>
        </w:rPr>
        <w:t xml:space="preserve">information </w:t>
      </w:r>
      <w:r w:rsidRPr="00EE42CD">
        <w:rPr>
          <w:lang w:eastAsia="en-NZ"/>
        </w:rPr>
        <w:t>as the working group starts to tackle the following aspects of ICT emissions reporting. You will need to engage with your IT team to bring them on this journey with you and build emissions reporting and emissions reduction into their strategy. Headline areas for Year 2 are:</w:t>
      </w:r>
    </w:p>
    <w:p w14:paraId="47AADC55" w14:textId="4226AC8D" w:rsidR="009B3B52" w:rsidRPr="002B6371" w:rsidRDefault="009B3B52" w:rsidP="009B3B52">
      <w:pPr>
        <w:pStyle w:val="Bullet"/>
        <w:rPr>
          <w:lang w:val="en-NZ"/>
        </w:rPr>
      </w:pPr>
      <w:r w:rsidRPr="002B6371">
        <w:rPr>
          <w:lang w:val="en-NZ"/>
        </w:rPr>
        <w:t xml:space="preserve">ICT equipment </w:t>
      </w:r>
      <w:r w:rsidR="00353BB1">
        <w:rPr>
          <w:lang w:val="en-NZ"/>
        </w:rPr>
        <w:t>eg,</w:t>
      </w:r>
      <w:r w:rsidRPr="002B6371">
        <w:rPr>
          <w:lang w:val="en-NZ"/>
        </w:rPr>
        <w:t xml:space="preserve"> in your data centres</w:t>
      </w:r>
    </w:p>
    <w:p w14:paraId="00D37100" w14:textId="77777777" w:rsidR="009B3B52" w:rsidRPr="002B6371" w:rsidRDefault="009B3B52" w:rsidP="009B3B52">
      <w:pPr>
        <w:pStyle w:val="Bullet"/>
        <w:rPr>
          <w:lang w:val="en-NZ"/>
        </w:rPr>
      </w:pPr>
      <w:r w:rsidRPr="002B6371">
        <w:rPr>
          <w:lang w:val="en-NZ"/>
        </w:rPr>
        <w:t>SaaS (software as a service) emissions</w:t>
      </w:r>
    </w:p>
    <w:p w14:paraId="4AA2CD23" w14:textId="777D159C" w:rsidR="009B3B52" w:rsidRPr="002B6371" w:rsidRDefault="002B6371" w:rsidP="009B3B52">
      <w:pPr>
        <w:pStyle w:val="Bullet"/>
        <w:rPr>
          <w:lang w:val="en-NZ"/>
        </w:rPr>
      </w:pPr>
      <w:r>
        <w:rPr>
          <w:lang w:val="en-NZ"/>
        </w:rPr>
        <w:t>e</w:t>
      </w:r>
      <w:r w:rsidR="00D83682" w:rsidRPr="002B6371">
        <w:rPr>
          <w:lang w:val="en-NZ"/>
        </w:rPr>
        <w:t>nd</w:t>
      </w:r>
      <w:r w:rsidR="00D83682">
        <w:rPr>
          <w:lang w:val="en-NZ"/>
        </w:rPr>
        <w:t>-</w:t>
      </w:r>
      <w:r w:rsidR="009B3B52" w:rsidRPr="002B6371">
        <w:rPr>
          <w:lang w:val="en-NZ"/>
        </w:rPr>
        <w:t>user devices</w:t>
      </w:r>
    </w:p>
    <w:p w14:paraId="62A4A423" w14:textId="7F92B50B" w:rsidR="009B3B52" w:rsidRPr="00EE42CD" w:rsidRDefault="00D83682" w:rsidP="009B3B52">
      <w:pPr>
        <w:pStyle w:val="Sub-bullet"/>
      </w:pPr>
      <w:r>
        <w:t>w</w:t>
      </w:r>
      <w:r w:rsidR="009B3B52" w:rsidRPr="00EE42CD">
        <w:t xml:space="preserve">hole of life emissions </w:t>
      </w:r>
    </w:p>
    <w:p w14:paraId="6139B1A6" w14:textId="48FAD18F" w:rsidR="009B3B52" w:rsidRPr="00EE42CD" w:rsidRDefault="00D83682" w:rsidP="009B3B52">
      <w:pPr>
        <w:pStyle w:val="Sub-bullet"/>
      </w:pPr>
      <w:r>
        <w:t>r</w:t>
      </w:r>
      <w:r w:rsidR="009B3B52" w:rsidRPr="00EE42CD">
        <w:t>esponsible disposal</w:t>
      </w:r>
      <w:r>
        <w:t>.</w:t>
      </w:r>
    </w:p>
    <w:p w14:paraId="7D610C76" w14:textId="77777777" w:rsidR="009B3B52" w:rsidRPr="00EE42CD" w:rsidRDefault="009B3B52" w:rsidP="009B3B52">
      <w:pPr>
        <w:pStyle w:val="Heading3"/>
        <w:rPr>
          <w:rFonts w:eastAsia="DengXian Light"/>
        </w:rPr>
      </w:pPr>
      <w:r w:rsidRPr="00EE42CD">
        <w:rPr>
          <w:rFonts w:eastAsia="DengXian Light"/>
        </w:rPr>
        <w:t>Reporting emissions from ICT to the Carbon Neutral Government Programme</w:t>
      </w:r>
    </w:p>
    <w:p w14:paraId="0F27FEEF" w14:textId="77777777" w:rsidR="009B3B52" w:rsidRPr="00EE42CD" w:rsidRDefault="009B3B52" w:rsidP="009B3B52">
      <w:pPr>
        <w:spacing w:before="120" w:after="120" w:line="280" w:lineRule="atLeast"/>
        <w:jc w:val="both"/>
        <w:rPr>
          <w:rFonts w:ascii="Calibri" w:eastAsia="Times New Roman" w:hAnsi="Calibri" w:cs="Times New Roman"/>
          <w:szCs w:val="22"/>
          <w:lang w:eastAsia="en-NZ"/>
        </w:rPr>
      </w:pPr>
      <w:r w:rsidRPr="00EE42CD">
        <w:rPr>
          <w:rFonts w:ascii="Calibri" w:eastAsia="Times New Roman" w:hAnsi="Calibri" w:cs="Times New Roman"/>
          <w:szCs w:val="22"/>
          <w:lang w:eastAsia="en-NZ"/>
        </w:rPr>
        <w:t xml:space="preserve">Emissions from ICT equipment are categorised as follows: </w:t>
      </w:r>
    </w:p>
    <w:p w14:paraId="0C6BD83D" w14:textId="77777777" w:rsidR="009B3B52" w:rsidRPr="0040205F" w:rsidRDefault="009B3B52" w:rsidP="009B3B52">
      <w:pPr>
        <w:pStyle w:val="Bullet"/>
        <w:rPr>
          <w:lang w:val="en-NZ"/>
        </w:rPr>
      </w:pPr>
      <w:r w:rsidRPr="006B7FDB">
        <w:rPr>
          <w:b/>
          <w:bCs/>
          <w:lang w:val="en-NZ"/>
        </w:rPr>
        <w:t>Onsite Electricity:</w:t>
      </w:r>
      <w:r w:rsidRPr="0040205F">
        <w:rPr>
          <w:lang w:val="en-NZ"/>
        </w:rPr>
        <w:t xml:space="preserve"> Emissions from electricity consumed on your premises are categorised in Scope 2 indirect emissions from use of electricity. These are mandatory to report. </w:t>
      </w:r>
    </w:p>
    <w:p w14:paraId="20536598" w14:textId="097C3E08" w:rsidR="009B3B52" w:rsidRPr="0040205F" w:rsidRDefault="009B3B52" w:rsidP="009B3B52">
      <w:pPr>
        <w:pStyle w:val="Bullet"/>
        <w:rPr>
          <w:lang w:val="en-NZ"/>
        </w:rPr>
      </w:pPr>
      <w:r w:rsidRPr="0040205F">
        <w:rPr>
          <w:b/>
          <w:bCs/>
          <w:lang w:val="en-NZ"/>
        </w:rPr>
        <w:t>Supply chain emissions:</w:t>
      </w:r>
      <w:r w:rsidRPr="0040205F">
        <w:rPr>
          <w:lang w:val="en-NZ"/>
        </w:rPr>
        <w:t xml:space="preserve"> Upstream and downstream emissions from ICT in the supply chain </w:t>
      </w:r>
      <w:r w:rsidR="00721446">
        <w:rPr>
          <w:lang w:val="en-NZ"/>
        </w:rPr>
        <w:t xml:space="preserve">are </w:t>
      </w:r>
      <w:r w:rsidRPr="0040205F">
        <w:rPr>
          <w:lang w:val="en-NZ"/>
        </w:rPr>
        <w:t xml:space="preserve">categorised as Scope 3 (value chain) emissions and are not a mandatory </w:t>
      </w:r>
      <w:r w:rsidR="00C20240">
        <w:rPr>
          <w:lang w:val="en-NZ"/>
        </w:rPr>
        <w:t>S</w:t>
      </w:r>
      <w:r w:rsidR="00C20240" w:rsidRPr="0040205F">
        <w:rPr>
          <w:lang w:val="en-NZ"/>
        </w:rPr>
        <w:t xml:space="preserve">cope </w:t>
      </w:r>
      <w:r w:rsidRPr="0040205F">
        <w:rPr>
          <w:lang w:val="en-NZ"/>
        </w:rPr>
        <w:t>3 emission source to report. Depending on the relative size of the emissions to the organisation</w:t>
      </w:r>
      <w:r w:rsidR="00021236">
        <w:rPr>
          <w:lang w:val="en-NZ"/>
        </w:rPr>
        <w:t>’</w:t>
      </w:r>
      <w:r w:rsidRPr="0040205F">
        <w:rPr>
          <w:lang w:val="en-NZ"/>
        </w:rPr>
        <w:t xml:space="preserve">s total, they may be ‘other significant indirect’ emissions and therefore ‘material </w:t>
      </w:r>
      <w:r w:rsidR="001E4FA4">
        <w:rPr>
          <w:lang w:val="en-NZ"/>
        </w:rPr>
        <w:t>S</w:t>
      </w:r>
      <w:r w:rsidR="001E4FA4" w:rsidRPr="0040205F">
        <w:rPr>
          <w:lang w:val="en-NZ"/>
        </w:rPr>
        <w:t xml:space="preserve">cope </w:t>
      </w:r>
      <w:r w:rsidRPr="0040205F">
        <w:rPr>
          <w:lang w:val="en-NZ"/>
        </w:rPr>
        <w:t>3 emissions’ to report.</w:t>
      </w:r>
    </w:p>
    <w:p w14:paraId="3A6D2BFF" w14:textId="73D84AAE" w:rsidR="009B3B52" w:rsidRPr="00EE42CD" w:rsidRDefault="009B3B52" w:rsidP="009B3B52">
      <w:pPr>
        <w:pStyle w:val="BodyText"/>
        <w:rPr>
          <w:lang w:eastAsia="en-NZ"/>
        </w:rPr>
      </w:pPr>
      <w:r w:rsidRPr="00EE42CD">
        <w:rPr>
          <w:lang w:eastAsia="en-NZ"/>
        </w:rPr>
        <w:lastRenderedPageBreak/>
        <w:t>Note that the CNGP programme aims to make gross emissions reductions and requires location-based reporting of electricity.</w:t>
      </w:r>
    </w:p>
    <w:p w14:paraId="093D9CD3" w14:textId="77777777" w:rsidR="009B3B52" w:rsidRPr="00EE42CD" w:rsidRDefault="009B3B52" w:rsidP="009B3B52">
      <w:pPr>
        <w:pStyle w:val="BodyText"/>
        <w:rPr>
          <w:lang w:eastAsia="en-NZ"/>
        </w:rPr>
      </w:pPr>
      <w:r w:rsidRPr="00EE42CD">
        <w:rPr>
          <w:lang w:eastAsia="en-NZ"/>
        </w:rPr>
        <w:t>The CNGP does not currently allow for zero-carbon certified products or services to be included as ‘0’ in the inventory. For this reason, you must include them in your inventory in the usual way.</w:t>
      </w:r>
    </w:p>
    <w:p w14:paraId="1BB5ED32" w14:textId="77777777" w:rsidR="009B3B52" w:rsidRDefault="009B3B52" w:rsidP="009B3B52">
      <w:pPr>
        <w:pStyle w:val="Heading2"/>
        <w:rPr>
          <w:rFonts w:eastAsia="DengXian Light"/>
        </w:rPr>
      </w:pPr>
      <w:r w:rsidRPr="00EE42CD">
        <w:rPr>
          <w:rFonts w:eastAsia="DengXian Light"/>
        </w:rPr>
        <w:t>Overview of direction of travel for ICT emissions working group</w:t>
      </w:r>
    </w:p>
    <w:p w14:paraId="778E75E6" w14:textId="77777777" w:rsidR="009A720F" w:rsidRPr="009A720F" w:rsidRDefault="009A720F" w:rsidP="009A720F">
      <w:pPr>
        <w:pStyle w:val="BodyText"/>
        <w:rPr>
          <w:lang w:eastAsia="en-NZ"/>
        </w:rPr>
      </w:pPr>
      <w:r w:rsidRPr="009A720F">
        <w:rPr>
          <w:lang w:eastAsia="en-NZ"/>
        </w:rPr>
        <w:t>This guide was prepared by a working group of CNGP agencies. The working group’s other activities include:</w:t>
      </w:r>
    </w:p>
    <w:p w14:paraId="2D5966E4" w14:textId="353E5793" w:rsidR="009B3B52" w:rsidRPr="00EE42CD" w:rsidRDefault="008306BD" w:rsidP="00313146">
      <w:pPr>
        <w:pStyle w:val="BodyText"/>
        <w:numPr>
          <w:ilvl w:val="0"/>
          <w:numId w:val="25"/>
        </w:numPr>
        <w:rPr>
          <w:lang w:eastAsia="en-NZ"/>
        </w:rPr>
      </w:pPr>
      <w:r>
        <w:rPr>
          <w:lang w:eastAsia="en-NZ"/>
        </w:rPr>
        <w:t xml:space="preserve">A </w:t>
      </w:r>
      <w:r w:rsidR="00417242">
        <w:rPr>
          <w:lang w:eastAsia="en-NZ"/>
        </w:rPr>
        <w:t>c</w:t>
      </w:r>
      <w:r w:rsidR="009B3B52" w:rsidRPr="00EE42CD">
        <w:rPr>
          <w:lang w:eastAsia="en-NZ"/>
        </w:rPr>
        <w:t xml:space="preserve">loud provider reporting requirements list </w:t>
      </w:r>
      <w:r w:rsidR="00417242">
        <w:rPr>
          <w:lang w:eastAsia="en-NZ"/>
        </w:rPr>
        <w:t xml:space="preserve">has been </w:t>
      </w:r>
      <w:r w:rsidR="009B3B52" w:rsidRPr="00EE42CD">
        <w:rPr>
          <w:lang w:eastAsia="en-NZ"/>
        </w:rPr>
        <w:t xml:space="preserve">created and submitted into MS contract negotiations and </w:t>
      </w:r>
      <w:r w:rsidR="00275E12">
        <w:rPr>
          <w:lang w:eastAsia="en-NZ"/>
        </w:rPr>
        <w:t xml:space="preserve">is </w:t>
      </w:r>
      <w:r w:rsidR="009B3B52" w:rsidRPr="00EE42CD">
        <w:rPr>
          <w:lang w:eastAsia="en-NZ"/>
        </w:rPr>
        <w:t>now available for use in other negotiations.</w:t>
      </w:r>
    </w:p>
    <w:p w14:paraId="59CCF67E" w14:textId="77777777" w:rsidR="009B3B52" w:rsidRPr="0040205F" w:rsidRDefault="009B3B52" w:rsidP="009B3B52">
      <w:pPr>
        <w:pStyle w:val="Bullet"/>
        <w:rPr>
          <w:lang w:val="en-NZ"/>
        </w:rPr>
      </w:pPr>
      <w:r w:rsidRPr="0040205F">
        <w:rPr>
          <w:lang w:val="en-NZ"/>
        </w:rPr>
        <w:t>Input into AOG contract negotiations.</w:t>
      </w:r>
    </w:p>
    <w:p w14:paraId="27192C6C" w14:textId="2FCEC31C" w:rsidR="009B3B52" w:rsidRPr="0040205F" w:rsidRDefault="009B3B52" w:rsidP="009B3B52">
      <w:pPr>
        <w:pStyle w:val="Bullet"/>
        <w:rPr>
          <w:lang w:val="en-NZ"/>
        </w:rPr>
      </w:pPr>
      <w:r w:rsidRPr="0040205F">
        <w:rPr>
          <w:lang w:val="en-NZ"/>
        </w:rPr>
        <w:t xml:space="preserve">Contact details of group members to help with questions: </w:t>
      </w:r>
      <w:hyperlink r:id="rId19" w:history="1">
        <w:r w:rsidRPr="0040205F">
          <w:rPr>
            <w:color w:val="32809C"/>
            <w:lang w:val="en-NZ"/>
          </w:rPr>
          <w:t>David.Forest001@msd.govt.nz</w:t>
        </w:r>
      </w:hyperlink>
      <w:r w:rsidRPr="0040205F">
        <w:rPr>
          <w:lang w:val="en-NZ"/>
        </w:rPr>
        <w:t xml:space="preserve"> </w:t>
      </w:r>
    </w:p>
    <w:p w14:paraId="6FA0F13F" w14:textId="23CA743D" w:rsidR="00DC1D05" w:rsidRPr="00DC1D05" w:rsidRDefault="003820CD" w:rsidP="00DC1D05">
      <w:pPr>
        <w:pStyle w:val="BodyText"/>
        <w:rPr>
          <w:lang w:eastAsia="en-GB"/>
        </w:rPr>
      </w:pPr>
      <w:r>
        <w:rPr>
          <w:noProof/>
        </w:rPr>
        <mc:AlternateContent>
          <mc:Choice Requires="wps">
            <w:drawing>
              <wp:anchor distT="0" distB="0" distL="114300" distR="114300" simplePos="0" relativeHeight="251658243" behindDoc="0" locked="1" layoutInCell="1" allowOverlap="1" wp14:anchorId="28DA0A2C" wp14:editId="4FC514CC">
                <wp:simplePos x="0" y="0"/>
                <wp:positionH relativeFrom="column">
                  <wp:posOffset>-191135</wp:posOffset>
                </wp:positionH>
                <wp:positionV relativeFrom="page">
                  <wp:posOffset>9356725</wp:posOffset>
                </wp:positionV>
                <wp:extent cx="5835650" cy="1022985"/>
                <wp:effectExtent l="0" t="0" r="12700" b="24765"/>
                <wp:wrapNone/>
                <wp:docPr id="1" name="Text Box 1"/>
                <wp:cNvGraphicFramePr/>
                <a:graphic xmlns:a="http://schemas.openxmlformats.org/drawingml/2006/main">
                  <a:graphicData uri="http://schemas.microsoft.com/office/word/2010/wordprocessingShape">
                    <wps:wsp>
                      <wps:cNvSpPr txBox="1"/>
                      <wps:spPr>
                        <a:xfrm>
                          <a:off x="0" y="0"/>
                          <a:ext cx="5835650" cy="1022985"/>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3820CD" w14:paraId="3AD7FB2A" w14:textId="77777777" w:rsidTr="00B17D96">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73888EDA" w14:textId="3167A67C" w:rsidR="003820CD" w:rsidRDefault="003820CD" w:rsidP="0040205F">
                                  <w:pPr>
                                    <w:pStyle w:val="TableText"/>
                                    <w:jc w:val="left"/>
                                  </w:pPr>
                                  <w:r>
                                    <w:br/>
                                  </w:r>
                                  <w:r w:rsidRPr="006C18C8">
                                    <w:t xml:space="preserve">Published in </w:t>
                                  </w:r>
                                  <w:r w:rsidR="0060047D">
                                    <w:t>March</w:t>
                                  </w:r>
                                  <w:r w:rsidR="00381588">
                                    <w:t xml:space="preserve"> 2025</w:t>
                                  </w:r>
                                  <w:r w:rsidRPr="006C18C8">
                                    <w:t xml:space="preserve"> by the </w:t>
                                  </w:r>
                                  <w:r w:rsidRPr="006C18C8">
                                    <w:br/>
                                    <w:t xml:space="preserve">Ministry for the Environment – Manatū </w:t>
                                  </w:r>
                                  <w:r>
                                    <w:t>m</w:t>
                                  </w:r>
                                  <w:r w:rsidRPr="006C18C8">
                                    <w:t xml:space="preserve">ō </w:t>
                                  </w:r>
                                  <w:r>
                                    <w:t>t</w:t>
                                  </w:r>
                                  <w:r w:rsidRPr="006C18C8">
                                    <w:t>e Taiao</w:t>
                                  </w:r>
                                  <w:r w:rsidR="00E8648E">
                                    <w:br/>
                                    <w:t>on behalf of the Carbon Neutral Government Programme</w:t>
                                  </w:r>
                                  <w:r w:rsidRPr="006C18C8">
                                    <w:br/>
                                    <w:t>Publication number: INFO</w:t>
                                  </w:r>
                                  <w:r w:rsidR="0040205F">
                                    <w:t xml:space="preserve"> 1281</w:t>
                                  </w:r>
                                </w:p>
                              </w:tc>
                              <w:tc>
                                <w:tcPr>
                                  <w:tcW w:w="3588" w:type="dxa"/>
                                  <w:shd w:val="clear" w:color="auto" w:fill="FFFFFF" w:themeFill="background1"/>
                                  <w:tcMar>
                                    <w:left w:w="0" w:type="dxa"/>
                                    <w:right w:w="0" w:type="dxa"/>
                                  </w:tcMar>
                                  <w:vAlign w:val="bottom"/>
                                </w:tcPr>
                                <w:p w14:paraId="58DD3F73" w14:textId="77777777" w:rsidR="003820CD" w:rsidRDefault="003820CD" w:rsidP="0040205F">
                                  <w:pPr>
                                    <w:pStyle w:val="Footer"/>
                                    <w:jc w:val="left"/>
                                  </w:pPr>
                                  <w:r>
                                    <w:rPr>
                                      <w:noProof/>
                                    </w:rPr>
                                    <w:drawing>
                                      <wp:inline distT="0" distB="0" distL="0" distR="0" wp14:anchorId="352F7736" wp14:editId="78FD2D94">
                                        <wp:extent cx="2194459" cy="538456"/>
                                        <wp:effectExtent l="0" t="0" r="0" b="0"/>
                                        <wp:docPr id="227810760" name="Picture 22781076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20">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ACB52AD" w14:textId="77777777" w:rsidR="003820CD" w:rsidRPr="00C82C4B" w:rsidRDefault="003820CD" w:rsidP="003820CD">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DA0A2C" id="_x0000_t202" coordsize="21600,21600" o:spt="202" path="m,l,21600r21600,l21600,xe">
                <v:stroke joinstyle="miter"/>
                <v:path gradientshapeok="t" o:connecttype="rect"/>
              </v:shapetype>
              <v:shape id="Text Box 1" o:spid="_x0000_s1026" type="#_x0000_t202" style="position:absolute;margin-left:-15.05pt;margin-top:736.75pt;width:459.5pt;height:80.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lwNJwIAAG0EAAAOAAAAZHJzL2Uyb0RvYy54bWysVFFr2zAQfh/sPwi9L05SEjITp2QpGYPQ&#10;FtLRZ0WWY4Os005K7OzX7yTbadcVBmMv8kl3+nT3fXde3ra1ZmeFrgKT8clozJkyEvLKHDP+/Wn7&#10;acGZ88LkQoNRGb8ox29XHz8sG5uqKZSgc4WMQIxLG5vx0nubJomTpaqFG4FVhpwFYC08bfGY5Cga&#10;Qq91Mh2P50kDmFsEqZyj07vOyVcRvyiU9A9F4ZRnOuOUm48rxvUQ1mS1FOkRhS0r2ach/iGLWlSG&#10;Hr1C3Qkv2AmrP6DqSiI4KPxIQp1AUVRSxRqomsn4TTX7UlgVayFynL3S5P4frLw/7+0jMt9+gZYE&#10;DIQ01qWODkM9bYF1+FKmjPxE4eVKm2o9k3Q4W9zM5jNySfJNxtPp58Us4CQv1y06/1VBzYKRcSRd&#10;Il3ivHO+Cx1CwmsOdJVvK63jJvSC2mhkZ0Eqah+TJPDforRhTcbnN5TH3xAOx3cQCE8byvml+GD5&#10;9tD2jBwgvxBRCF0POSu3FRWzE84/CqSmIQJoEPwDLYUGSgZ6i7MS8Od75yGetCQvZw01Ycbdj5NA&#10;xZn+Zkjl0LGDgYNxGAxzqjdAjExoxKyMJl1ArwezQKifaT7W4RVyCSPprYz7wdz4bhRovqRar2MQ&#10;9aUVfmf2VgboQGaQ5ql9Fmh7/TxJfw9De4r0jYxdbLhpYH3yUFRR40Box2LPM/V07JJ+/sLQvN7H&#10;qJe/xOoXAAAA//8DAFBLAwQUAAYACAAAACEAiOd28eIAAAANAQAADwAAAGRycy9kb3ducmV2Lnht&#10;bEyPy07DMBBF90j8gzVI7Fq7pCQhxKlQoCoSYkHpB7ix8xDxOIrdJPw9wwqWM/fozpl8t9ieTWb0&#10;nUMJm7UAZrByusNGwulzv0qB+aBQq96hkfBtPOyK66tcZdrN+GGmY2gYlaDPlIQ2hCHj3Fetscqv&#10;3WCQstqNVgUax4brUc1Ubnt+J0TMreqQLrRqMGVrqq/jxUp4TQ71uyhPL/vy8DbXiYufu0lJeXuz&#10;PD0CC2YJfzD86pM6FOR0dhfUnvUSVpHYEErBNonugRGSpukDsDOt4mgbAy9y/v+L4gcAAP//AwBQ&#10;SwECLQAUAAYACAAAACEAtoM4kv4AAADhAQAAEwAAAAAAAAAAAAAAAAAAAAAAW0NvbnRlbnRfVHlw&#10;ZXNdLnhtbFBLAQItABQABgAIAAAAIQA4/SH/1gAAAJQBAAALAAAAAAAAAAAAAAAAAC8BAABfcmVs&#10;cy8ucmVsc1BLAQItABQABgAIAAAAIQCh8lwNJwIAAG0EAAAOAAAAAAAAAAAAAAAAAC4CAABkcnMv&#10;ZTJvRG9jLnhtbFBLAQItABQABgAIAAAAIQCI53bx4gAAAA0BAAAPAAAAAAAAAAAAAAAAAIEEAABk&#10;cnMvZG93bnJldi54bWxQSwUGAAAAAAQABADzAAAAkAUAAAAA&#10;" fillcolor="white [3201]" strokecolor="white [3212]"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3820CD" w14:paraId="3AD7FB2A" w14:textId="77777777" w:rsidTr="00B17D96">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73888EDA" w14:textId="3167A67C" w:rsidR="003820CD" w:rsidRDefault="003820CD" w:rsidP="0040205F">
                            <w:pPr>
                              <w:pStyle w:val="TableText"/>
                              <w:jc w:val="left"/>
                            </w:pPr>
                            <w:r>
                              <w:br/>
                            </w:r>
                            <w:r w:rsidRPr="006C18C8">
                              <w:t xml:space="preserve">Published in </w:t>
                            </w:r>
                            <w:r w:rsidR="0060047D">
                              <w:t>March</w:t>
                            </w:r>
                            <w:r w:rsidR="00381588">
                              <w:t xml:space="preserve"> 2025</w:t>
                            </w:r>
                            <w:r w:rsidRPr="006C18C8">
                              <w:t xml:space="preserve"> by the </w:t>
                            </w:r>
                            <w:r w:rsidRPr="006C18C8">
                              <w:br/>
                              <w:t xml:space="preserve">Ministry for the Environment – Manatū </w:t>
                            </w:r>
                            <w:r>
                              <w:t>m</w:t>
                            </w:r>
                            <w:r w:rsidRPr="006C18C8">
                              <w:t xml:space="preserve">ō </w:t>
                            </w:r>
                            <w:r>
                              <w:t>t</w:t>
                            </w:r>
                            <w:r w:rsidRPr="006C18C8">
                              <w:t>e Taiao</w:t>
                            </w:r>
                            <w:r w:rsidR="00E8648E">
                              <w:br/>
                              <w:t>on behalf of the Carbon Neutral Government Programme</w:t>
                            </w:r>
                            <w:r w:rsidRPr="006C18C8">
                              <w:br/>
                              <w:t>Publication number: INFO</w:t>
                            </w:r>
                            <w:r w:rsidR="0040205F">
                              <w:t xml:space="preserve"> 1281</w:t>
                            </w:r>
                          </w:p>
                        </w:tc>
                        <w:tc>
                          <w:tcPr>
                            <w:tcW w:w="3588" w:type="dxa"/>
                            <w:shd w:val="clear" w:color="auto" w:fill="FFFFFF" w:themeFill="background1"/>
                            <w:tcMar>
                              <w:left w:w="0" w:type="dxa"/>
                              <w:right w:w="0" w:type="dxa"/>
                            </w:tcMar>
                            <w:vAlign w:val="bottom"/>
                          </w:tcPr>
                          <w:p w14:paraId="58DD3F73" w14:textId="77777777" w:rsidR="003820CD" w:rsidRDefault="003820CD" w:rsidP="0040205F">
                            <w:pPr>
                              <w:pStyle w:val="Footer"/>
                              <w:jc w:val="left"/>
                            </w:pPr>
                            <w:r>
                              <w:rPr>
                                <w:noProof/>
                              </w:rPr>
                              <w:drawing>
                                <wp:inline distT="0" distB="0" distL="0" distR="0" wp14:anchorId="352F7736" wp14:editId="78FD2D94">
                                  <wp:extent cx="2194459" cy="538456"/>
                                  <wp:effectExtent l="0" t="0" r="0" b="0"/>
                                  <wp:docPr id="227810760" name="Picture 22781076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20">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ACB52AD" w14:textId="77777777" w:rsidR="003820CD" w:rsidRPr="00C82C4B" w:rsidRDefault="003820CD" w:rsidP="003820CD">
                      <w:pPr>
                        <w:pStyle w:val="BodyText"/>
                        <w:spacing w:before="0" w:after="0" w:line="240" w:lineRule="auto"/>
                        <w:rPr>
                          <w:sz w:val="16"/>
                          <w:szCs w:val="16"/>
                        </w:rPr>
                      </w:pPr>
                    </w:p>
                  </w:txbxContent>
                </v:textbox>
                <w10:wrap anchory="page"/>
                <w10:anchorlock/>
              </v:shape>
            </w:pict>
          </mc:Fallback>
        </mc:AlternateContent>
      </w:r>
    </w:p>
    <w:sectPr w:rsidR="00DC1D05" w:rsidRPr="00DC1D05" w:rsidSect="006E4452">
      <w:footerReference w:type="even" r:id="rId21"/>
      <w:footerReference w:type="default" r:id="rId22"/>
      <w:footerReference w:type="first" r:id="rId23"/>
      <w:pgSz w:w="11900" w:h="16840" w:code="9"/>
      <w:pgMar w:top="1134" w:right="170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35FF4" w14:textId="77777777" w:rsidR="00273D5B" w:rsidRPr="00EE42CD" w:rsidRDefault="00273D5B" w:rsidP="00B23B6A">
      <w:r w:rsidRPr="00EE42CD">
        <w:separator/>
      </w:r>
    </w:p>
  </w:endnote>
  <w:endnote w:type="continuationSeparator" w:id="0">
    <w:p w14:paraId="24906F32" w14:textId="77777777" w:rsidR="00273D5B" w:rsidRPr="00EE42CD" w:rsidRDefault="00273D5B" w:rsidP="00B23B6A">
      <w:r w:rsidRPr="00EE42CD">
        <w:continuationSeparator/>
      </w:r>
    </w:p>
  </w:endnote>
  <w:endnote w:type="continuationNotice" w:id="1">
    <w:p w14:paraId="1EAD191B" w14:textId="77777777" w:rsidR="00273D5B" w:rsidRPr="00EE42CD" w:rsidRDefault="00273D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ource Sans Pro SemiBold">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urce Sans Pro Light">
    <w:charset w:val="00"/>
    <w:family w:val="swiss"/>
    <w:pitch w:val="variable"/>
    <w:sig w:usb0="600002F7" w:usb1="02000001" w:usb2="00000000" w:usb3="00000000" w:csb0="0000019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33F8B" w14:textId="41F081CE" w:rsidR="00AB46E6" w:rsidRPr="00EE42CD" w:rsidRDefault="00AB46E6" w:rsidP="00307E51">
    <w:pPr>
      <w:pStyle w:val="Footereven"/>
    </w:pPr>
    <w:r w:rsidRPr="00B224A9">
      <w:fldChar w:fldCharType="begin"/>
    </w:r>
    <w:r w:rsidRPr="00EE42CD">
      <w:instrText xml:space="preserve"> PAGE   \* MERGEFORMAT </w:instrText>
    </w:r>
    <w:r w:rsidRPr="00B224A9">
      <w:fldChar w:fldCharType="separate"/>
    </w:r>
    <w:r w:rsidRPr="00B224A9">
      <w:t>1</w:t>
    </w:r>
    <w:r w:rsidRPr="00B224A9">
      <w:fldChar w:fldCharType="end"/>
    </w:r>
    <w:r w:rsidRPr="00EE42CD">
      <w:tab/>
    </w:r>
    <w:r w:rsidR="006E4452" w:rsidRPr="00EE42CD">
      <w:rPr>
        <w:szCs w:val="18"/>
      </w:rPr>
      <w:t>ICT emissions reporting</w:t>
    </w:r>
    <w:r w:rsidR="006E4452">
      <w:rPr>
        <w:szCs w:val="18"/>
      </w:rPr>
      <w:t xml:space="preserve">: A short guide </w:t>
    </w:r>
    <w:r w:rsidR="006E4452" w:rsidRPr="00EE42CD">
      <w:rPr>
        <w:szCs w:val="18"/>
      </w:rPr>
      <w:t>for CNGP agencies</w:t>
    </w:r>
    <w:r w:rsidR="006E4452" w:rsidRPr="00EE42CD" w:rsidDel="006E4452">
      <w:rPr>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D2541" w14:textId="68890E68" w:rsidR="009B3B52" w:rsidRPr="00EE42CD" w:rsidRDefault="009B3B52" w:rsidP="009B3B52">
    <w:pPr>
      <w:pStyle w:val="Footer"/>
      <w:jc w:val="right"/>
      <w:rPr>
        <w:sz w:val="18"/>
        <w:szCs w:val="18"/>
      </w:rPr>
    </w:pPr>
    <w:r w:rsidRPr="00EE42CD">
      <w:rPr>
        <w:sz w:val="18"/>
        <w:szCs w:val="18"/>
      </w:rPr>
      <w:t>ICT emissions reporting</w:t>
    </w:r>
    <w:r w:rsidR="006E4452">
      <w:rPr>
        <w:sz w:val="18"/>
        <w:szCs w:val="18"/>
      </w:rPr>
      <w:t xml:space="preserve">: A short guide </w:t>
    </w:r>
    <w:r w:rsidRPr="00EE42CD">
      <w:rPr>
        <w:sz w:val="18"/>
        <w:szCs w:val="18"/>
      </w:rPr>
      <w:t>for CNGP agencies</w:t>
    </w:r>
    <w:r w:rsidRPr="00EE42CD">
      <w:rPr>
        <w:sz w:val="18"/>
        <w:szCs w:val="18"/>
      </w:rPr>
      <w:tab/>
    </w:r>
    <w:r w:rsidRPr="00EE42CD">
      <w:rPr>
        <w:sz w:val="18"/>
        <w:szCs w:val="18"/>
      </w:rPr>
      <w:fldChar w:fldCharType="begin"/>
    </w:r>
    <w:r w:rsidRPr="00EE42CD">
      <w:rPr>
        <w:sz w:val="18"/>
        <w:szCs w:val="18"/>
      </w:rPr>
      <w:instrText xml:space="preserve"> PAGE   \* MERGEFORMAT </w:instrText>
    </w:r>
    <w:r w:rsidRPr="00EE42CD">
      <w:rPr>
        <w:sz w:val="18"/>
        <w:szCs w:val="18"/>
      </w:rPr>
      <w:fldChar w:fldCharType="separate"/>
    </w:r>
    <w:r w:rsidRPr="00EE42CD">
      <w:rPr>
        <w:sz w:val="18"/>
        <w:szCs w:val="18"/>
      </w:rPr>
      <w:t>5</w:t>
    </w:r>
    <w:r w:rsidRPr="00EE42CD">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7D869" w14:textId="7857298D" w:rsidR="00AB46E6" w:rsidRPr="00EE42CD" w:rsidRDefault="00E436CA" w:rsidP="000D3218">
    <w:pPr>
      <w:pStyle w:val="Footerodd"/>
      <w:tabs>
        <w:tab w:val="clear" w:pos="7938"/>
        <w:tab w:val="right" w:pos="9072"/>
      </w:tabs>
      <w:ind w:left="2268" w:firstLine="1418"/>
    </w:pPr>
    <w:r w:rsidRPr="00EE42CD">
      <w:rPr>
        <w:szCs w:val="18"/>
      </w:rPr>
      <w:t>ICT emissions reporting</w:t>
    </w:r>
    <w:r>
      <w:rPr>
        <w:szCs w:val="18"/>
      </w:rPr>
      <w:t xml:space="preserve">: A short guide </w:t>
    </w:r>
    <w:r w:rsidRPr="00EE42CD">
      <w:rPr>
        <w:szCs w:val="18"/>
      </w:rPr>
      <w:t>for CNGP agencies</w:t>
    </w:r>
    <w:r w:rsidRPr="00EE42CD" w:rsidDel="00E436CA">
      <w:t xml:space="preserve"> </w:t>
    </w:r>
    <w:r w:rsidR="00AB46E6" w:rsidRPr="00EE42CD">
      <w:tab/>
    </w:r>
    <w:r w:rsidR="00AB46E6" w:rsidRPr="000D3218">
      <w:fldChar w:fldCharType="begin"/>
    </w:r>
    <w:r w:rsidR="00AB46E6" w:rsidRPr="00EE42CD">
      <w:instrText xml:space="preserve"> PAGE   \* MERGEFORMAT </w:instrText>
    </w:r>
    <w:r w:rsidR="00AB46E6" w:rsidRPr="000D3218">
      <w:fldChar w:fldCharType="separate"/>
    </w:r>
    <w:r w:rsidR="00AB46E6" w:rsidRPr="00EE42CD">
      <w:t>5</w:t>
    </w:r>
    <w:r w:rsidR="00AB46E6" w:rsidRPr="000D321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07EAA" w14:textId="77777777" w:rsidR="00273D5B" w:rsidRPr="00EE42CD" w:rsidRDefault="00273D5B" w:rsidP="00B23B6A">
      <w:r w:rsidRPr="00EE42CD">
        <w:separator/>
      </w:r>
    </w:p>
  </w:footnote>
  <w:footnote w:type="continuationSeparator" w:id="0">
    <w:p w14:paraId="290DADFA" w14:textId="77777777" w:rsidR="00273D5B" w:rsidRPr="00EE42CD" w:rsidRDefault="00273D5B" w:rsidP="00B23B6A">
      <w:r w:rsidRPr="00EE42CD">
        <w:continuationSeparator/>
      </w:r>
    </w:p>
  </w:footnote>
  <w:footnote w:type="continuationNotice" w:id="1">
    <w:p w14:paraId="571CFF9B" w14:textId="77777777" w:rsidR="00273D5B" w:rsidRPr="00EE42CD" w:rsidRDefault="00273D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F1D2E"/>
    <w:multiLevelType w:val="multilevel"/>
    <w:tmpl w:val="78387896"/>
    <w:lvl w:ilvl="0">
      <w:start w:val="1"/>
      <w:numFmt w:val="bullet"/>
      <w:pStyle w:val="Blue-boxsub-bullet"/>
      <w:lvlText w:val="‒"/>
      <w:lvlJc w:val="left"/>
      <w:pPr>
        <w:ind w:left="1077" w:hanging="397"/>
      </w:pPr>
      <w:rPr>
        <w:rFonts w:ascii="Times New Roman" w:hAnsi="Times New Roman" w:cs="Times New Roman"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208C5CF5"/>
    <w:multiLevelType w:val="multilevel"/>
    <w:tmpl w:val="CB38CB74"/>
    <w:lvl w:ilvl="0">
      <w:start w:val="1"/>
      <w:numFmt w:val="lowerLetter"/>
      <w:pStyle w:val="Sub-lista"/>
      <w:lvlText w:val="(%1)"/>
      <w:lvlJc w:val="left"/>
      <w:pPr>
        <w:ind w:left="794" w:hanging="397"/>
      </w:pPr>
      <w:rPr>
        <w:rFonts w:ascii="Calibri" w:hAnsi="Calibri" w:hint="default"/>
        <w:b w:val="0"/>
        <w:i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4657AB0"/>
    <w:multiLevelType w:val="hybridMultilevel"/>
    <w:tmpl w:val="F4FADB9A"/>
    <w:lvl w:ilvl="0" w:tplc="14090003">
      <w:start w:val="1"/>
      <w:numFmt w:val="bullet"/>
      <w:lvlText w:val="o"/>
      <w:lvlJc w:val="left"/>
      <w:pPr>
        <w:ind w:left="1514" w:hanging="360"/>
      </w:pPr>
      <w:rPr>
        <w:rFonts w:ascii="Courier New" w:hAnsi="Courier New" w:cs="Courier New" w:hint="default"/>
      </w:rPr>
    </w:lvl>
    <w:lvl w:ilvl="1" w:tplc="14090003" w:tentative="1">
      <w:start w:val="1"/>
      <w:numFmt w:val="bullet"/>
      <w:lvlText w:val="o"/>
      <w:lvlJc w:val="left"/>
      <w:pPr>
        <w:ind w:left="2234" w:hanging="360"/>
      </w:pPr>
      <w:rPr>
        <w:rFonts w:ascii="Courier New" w:hAnsi="Courier New" w:cs="Courier New" w:hint="default"/>
      </w:rPr>
    </w:lvl>
    <w:lvl w:ilvl="2" w:tplc="14090005" w:tentative="1">
      <w:start w:val="1"/>
      <w:numFmt w:val="bullet"/>
      <w:lvlText w:val=""/>
      <w:lvlJc w:val="left"/>
      <w:pPr>
        <w:ind w:left="2954" w:hanging="360"/>
      </w:pPr>
      <w:rPr>
        <w:rFonts w:ascii="Wingdings" w:hAnsi="Wingdings" w:hint="default"/>
      </w:rPr>
    </w:lvl>
    <w:lvl w:ilvl="3" w:tplc="14090001" w:tentative="1">
      <w:start w:val="1"/>
      <w:numFmt w:val="bullet"/>
      <w:lvlText w:val=""/>
      <w:lvlJc w:val="left"/>
      <w:pPr>
        <w:ind w:left="3674" w:hanging="360"/>
      </w:pPr>
      <w:rPr>
        <w:rFonts w:ascii="Symbol" w:hAnsi="Symbol" w:hint="default"/>
      </w:rPr>
    </w:lvl>
    <w:lvl w:ilvl="4" w:tplc="14090003" w:tentative="1">
      <w:start w:val="1"/>
      <w:numFmt w:val="bullet"/>
      <w:lvlText w:val="o"/>
      <w:lvlJc w:val="left"/>
      <w:pPr>
        <w:ind w:left="4394" w:hanging="360"/>
      </w:pPr>
      <w:rPr>
        <w:rFonts w:ascii="Courier New" w:hAnsi="Courier New" w:cs="Courier New" w:hint="default"/>
      </w:rPr>
    </w:lvl>
    <w:lvl w:ilvl="5" w:tplc="14090005" w:tentative="1">
      <w:start w:val="1"/>
      <w:numFmt w:val="bullet"/>
      <w:lvlText w:val=""/>
      <w:lvlJc w:val="left"/>
      <w:pPr>
        <w:ind w:left="5114" w:hanging="360"/>
      </w:pPr>
      <w:rPr>
        <w:rFonts w:ascii="Wingdings" w:hAnsi="Wingdings" w:hint="default"/>
      </w:rPr>
    </w:lvl>
    <w:lvl w:ilvl="6" w:tplc="14090001" w:tentative="1">
      <w:start w:val="1"/>
      <w:numFmt w:val="bullet"/>
      <w:lvlText w:val=""/>
      <w:lvlJc w:val="left"/>
      <w:pPr>
        <w:ind w:left="5834" w:hanging="360"/>
      </w:pPr>
      <w:rPr>
        <w:rFonts w:ascii="Symbol" w:hAnsi="Symbol" w:hint="default"/>
      </w:rPr>
    </w:lvl>
    <w:lvl w:ilvl="7" w:tplc="14090003" w:tentative="1">
      <w:start w:val="1"/>
      <w:numFmt w:val="bullet"/>
      <w:lvlText w:val="o"/>
      <w:lvlJc w:val="left"/>
      <w:pPr>
        <w:ind w:left="6554" w:hanging="360"/>
      </w:pPr>
      <w:rPr>
        <w:rFonts w:ascii="Courier New" w:hAnsi="Courier New" w:cs="Courier New" w:hint="default"/>
      </w:rPr>
    </w:lvl>
    <w:lvl w:ilvl="8" w:tplc="14090005" w:tentative="1">
      <w:start w:val="1"/>
      <w:numFmt w:val="bullet"/>
      <w:lvlText w:val=""/>
      <w:lvlJc w:val="left"/>
      <w:pPr>
        <w:ind w:left="7274" w:hanging="360"/>
      </w:pPr>
      <w:rPr>
        <w:rFonts w:ascii="Wingdings" w:hAnsi="Wingdings" w:hint="default"/>
      </w:rPr>
    </w:lvl>
  </w:abstractNum>
  <w:abstractNum w:abstractNumId="3" w15:restartNumberingAfterBreak="0">
    <w:nsid w:val="2993250E"/>
    <w:multiLevelType w:val="multilevel"/>
    <w:tmpl w:val="FE0830F6"/>
    <w:lvl w:ilvl="0">
      <w:start w:val="1"/>
      <w:numFmt w:val="decimal"/>
      <w:pStyle w:val="Numberedparagraph"/>
      <w:lvlText w:val="%1"/>
      <w:lvlJc w:val="left"/>
      <w:pPr>
        <w:ind w:left="397" w:hanging="397"/>
      </w:pPr>
      <w:rPr>
        <w:rFonts w:ascii="Source Sans Pro" w:hAnsi="Source Sans Pro" w:hint="default"/>
        <w:b w:val="0"/>
        <w:bCs/>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B46658C"/>
    <w:multiLevelType w:val="hybridMultilevel"/>
    <w:tmpl w:val="A93E1C0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D1A6BE2"/>
    <w:multiLevelType w:val="multilevel"/>
    <w:tmpl w:val="20FCAAE4"/>
    <w:lvl w:ilvl="0">
      <w:start w:val="1"/>
      <w:numFmt w:val="decimal"/>
      <w:lvlText w:val="%1."/>
      <w:lvlJc w:val="left"/>
      <w:pPr>
        <w:ind w:left="397" w:hanging="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6" w15:restartNumberingAfterBreak="0">
    <w:nsid w:val="2F2D1F31"/>
    <w:multiLevelType w:val="multilevel"/>
    <w:tmpl w:val="EB56D46C"/>
    <w:lvl w:ilvl="0">
      <w:numFmt w:val="bullet"/>
      <w:pStyle w:val="Boxbullet"/>
      <w:lvlText w:val="•"/>
      <w:lvlJc w:val="left"/>
      <w:pPr>
        <w:ind w:left="680" w:hanging="396"/>
      </w:pPr>
      <w:rPr>
        <w:rFonts w:ascii="Calibri" w:hAnsi="Calibri"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427701FB"/>
    <w:multiLevelType w:val="multilevel"/>
    <w:tmpl w:val="112C063C"/>
    <w:lvl w:ilvl="0">
      <w:start w:val="1"/>
      <w:numFmt w:val="bullet"/>
      <w:pStyle w:val="Sub-bullet"/>
      <w:lvlText w:val=""/>
      <w:lvlJc w:val="left"/>
      <w:pPr>
        <w:tabs>
          <w:tab w:val="num" w:pos="397"/>
        </w:tabs>
        <w:ind w:left="794"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0B17DC"/>
    <w:multiLevelType w:val="hybridMultilevel"/>
    <w:tmpl w:val="BC4681A6"/>
    <w:lvl w:ilvl="0" w:tplc="33F6DA6A">
      <w:start w:val="1"/>
      <w:numFmt w:val="bullet"/>
      <w:pStyle w:val="TableBullet"/>
      <w:lvlText w:val=""/>
      <w:lvlJc w:val="left"/>
      <w:pPr>
        <w:tabs>
          <w:tab w:val="num" w:pos="284"/>
        </w:tabs>
        <w:ind w:left="284" w:hanging="284"/>
      </w:pPr>
      <w:rPr>
        <w:rFonts w:ascii="Symbol" w:hAnsi="Symbol" w:hint="default"/>
        <w:color w:val="auto"/>
        <w:sz w:val="16"/>
        <w:szCs w:val="16"/>
      </w:rPr>
    </w:lvl>
    <w:lvl w:ilvl="1" w:tplc="14090003">
      <w:numFmt w:val="bullet"/>
      <w:lvlText w:val="-"/>
      <w:lvlJc w:val="left"/>
      <w:pPr>
        <w:ind w:left="1440" w:hanging="360"/>
      </w:pPr>
      <w:rPr>
        <w:rFonts w:ascii="Calibri" w:eastAsiaTheme="minorEastAsia" w:hAnsi="Calibri" w:cstheme="minorBidi"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10" w15:restartNumberingAfterBreak="0">
    <w:nsid w:val="4F746CD3"/>
    <w:multiLevelType w:val="multilevel"/>
    <w:tmpl w:val="4A18E44E"/>
    <w:lvl w:ilvl="0">
      <w:start w:val="1"/>
      <w:numFmt w:val="bullet"/>
      <w:pStyle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572A5F"/>
    <w:multiLevelType w:val="multilevel"/>
    <w:tmpl w:val="71786DCE"/>
    <w:lvl w:ilvl="0">
      <w:start w:val="1"/>
      <w:numFmt w:val="decimal"/>
      <w:lvlText w:val="%1"/>
      <w:lvlJc w:val="left"/>
      <w:pPr>
        <w:ind w:left="720" w:hanging="360"/>
      </w:pPr>
      <w:rPr>
        <w:rFonts w:ascii="Source Sans Pro" w:hAnsi="Source Sans Pro" w:hint="default"/>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535234"/>
    <w:multiLevelType w:val="singleLevel"/>
    <w:tmpl w:val="D1A2CC06"/>
    <w:lvl w:ilvl="0">
      <w:start w:val="1"/>
      <w:numFmt w:val="bullet"/>
      <w:pStyle w:val="Blue-boxbullet"/>
      <w:lvlText w:val=""/>
      <w:lvlJc w:val="left"/>
      <w:pPr>
        <w:ind w:left="644" w:hanging="360"/>
      </w:pPr>
      <w:rPr>
        <w:rFonts w:ascii="Symbol" w:hAnsi="Symbol" w:hint="default"/>
        <w:color w:val="1C556C"/>
        <w:sz w:val="16"/>
      </w:rPr>
    </w:lvl>
  </w:abstractNum>
  <w:abstractNum w:abstractNumId="13"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801690"/>
    <w:multiLevelType w:val="hybridMultilevel"/>
    <w:tmpl w:val="8668BEC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40636204">
    <w:abstractNumId w:val="10"/>
  </w:num>
  <w:num w:numId="2" w16cid:durableId="3996708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7264490">
    <w:abstractNumId w:val="12"/>
  </w:num>
  <w:num w:numId="4" w16cid:durableId="996808234">
    <w:abstractNumId w:val="0"/>
  </w:num>
  <w:num w:numId="5" w16cid:durableId="1340042238">
    <w:abstractNumId w:val="5"/>
  </w:num>
  <w:num w:numId="6" w16cid:durableId="186794486">
    <w:abstractNumId w:val="7"/>
  </w:num>
  <w:num w:numId="7" w16cid:durableId="1313098414">
    <w:abstractNumId w:val="1"/>
  </w:num>
  <w:num w:numId="8" w16cid:durableId="1950820504">
    <w:abstractNumId w:val="9"/>
  </w:num>
  <w:num w:numId="9" w16cid:durableId="1461923704">
    <w:abstractNumId w:val="8"/>
  </w:num>
  <w:num w:numId="10" w16cid:durableId="1484085041">
    <w:abstractNumId w:val="13"/>
  </w:num>
  <w:num w:numId="11" w16cid:durableId="198057431">
    <w:abstractNumId w:val="3"/>
  </w:num>
  <w:num w:numId="12" w16cid:durableId="731075611">
    <w:abstractNumId w:val="11"/>
  </w:num>
  <w:num w:numId="13" w16cid:durableId="11651651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3466865">
    <w:abstractNumId w:val="6"/>
  </w:num>
  <w:num w:numId="15" w16cid:durableId="115730916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01578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33719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71196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8426000">
    <w:abstractNumId w:val="4"/>
  </w:num>
  <w:num w:numId="20" w16cid:durableId="1884901340">
    <w:abstractNumId w:val="1"/>
    <w:lvlOverride w:ilvl="0">
      <w:startOverride w:val="1"/>
    </w:lvlOverride>
  </w:num>
  <w:num w:numId="21" w16cid:durableId="980160943">
    <w:abstractNumId w:val="2"/>
  </w:num>
  <w:num w:numId="22" w16cid:durableId="337467727">
    <w:abstractNumId w:val="7"/>
  </w:num>
  <w:num w:numId="23" w16cid:durableId="9255287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80713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02760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C82"/>
    <w:rsid w:val="000005F4"/>
    <w:rsid w:val="00020EEF"/>
    <w:rsid w:val="00021236"/>
    <w:rsid w:val="00031264"/>
    <w:rsid w:val="00040B8A"/>
    <w:rsid w:val="00047010"/>
    <w:rsid w:val="00054A3D"/>
    <w:rsid w:val="00055FA1"/>
    <w:rsid w:val="000950AD"/>
    <w:rsid w:val="000A22D6"/>
    <w:rsid w:val="000A2773"/>
    <w:rsid w:val="000B739D"/>
    <w:rsid w:val="000C7A3E"/>
    <w:rsid w:val="000D2F23"/>
    <w:rsid w:val="000D3218"/>
    <w:rsid w:val="000F3D0B"/>
    <w:rsid w:val="00117138"/>
    <w:rsid w:val="0012397C"/>
    <w:rsid w:val="00127180"/>
    <w:rsid w:val="00141F0E"/>
    <w:rsid w:val="00142EBE"/>
    <w:rsid w:val="0014369D"/>
    <w:rsid w:val="00155EC0"/>
    <w:rsid w:val="0015621D"/>
    <w:rsid w:val="00164DC3"/>
    <w:rsid w:val="00172EDB"/>
    <w:rsid w:val="0017520C"/>
    <w:rsid w:val="0018099C"/>
    <w:rsid w:val="00183292"/>
    <w:rsid w:val="001865D2"/>
    <w:rsid w:val="00190D17"/>
    <w:rsid w:val="00192BD2"/>
    <w:rsid w:val="001A666F"/>
    <w:rsid w:val="001E4FA4"/>
    <w:rsid w:val="001E7049"/>
    <w:rsid w:val="001F0DC4"/>
    <w:rsid w:val="001F2C56"/>
    <w:rsid w:val="00223088"/>
    <w:rsid w:val="00226F4C"/>
    <w:rsid w:val="00232296"/>
    <w:rsid w:val="00262E64"/>
    <w:rsid w:val="002731C9"/>
    <w:rsid w:val="00273D5B"/>
    <w:rsid w:val="00274DAF"/>
    <w:rsid w:val="00275E12"/>
    <w:rsid w:val="00295C4E"/>
    <w:rsid w:val="00296EF0"/>
    <w:rsid w:val="002B6371"/>
    <w:rsid w:val="002B763A"/>
    <w:rsid w:val="002C0ED9"/>
    <w:rsid w:val="002C65DA"/>
    <w:rsid w:val="002D5347"/>
    <w:rsid w:val="002F289E"/>
    <w:rsid w:val="002F4E35"/>
    <w:rsid w:val="00302B14"/>
    <w:rsid w:val="00304AE0"/>
    <w:rsid w:val="0030754C"/>
    <w:rsid w:val="00307E51"/>
    <w:rsid w:val="00310AF2"/>
    <w:rsid w:val="00313146"/>
    <w:rsid w:val="0032775D"/>
    <w:rsid w:val="00332ACD"/>
    <w:rsid w:val="003363CA"/>
    <w:rsid w:val="00343E18"/>
    <w:rsid w:val="003463D7"/>
    <w:rsid w:val="00351D42"/>
    <w:rsid w:val="00352970"/>
    <w:rsid w:val="00353BB1"/>
    <w:rsid w:val="00375CFE"/>
    <w:rsid w:val="00381588"/>
    <w:rsid w:val="003820CD"/>
    <w:rsid w:val="003A0B5A"/>
    <w:rsid w:val="003A1F68"/>
    <w:rsid w:val="003A363E"/>
    <w:rsid w:val="003B18C1"/>
    <w:rsid w:val="003B247E"/>
    <w:rsid w:val="003E3079"/>
    <w:rsid w:val="003E5307"/>
    <w:rsid w:val="003F4D6F"/>
    <w:rsid w:val="0040205F"/>
    <w:rsid w:val="00404B57"/>
    <w:rsid w:val="00404C31"/>
    <w:rsid w:val="00417242"/>
    <w:rsid w:val="00434D8A"/>
    <w:rsid w:val="00443C2F"/>
    <w:rsid w:val="00470F15"/>
    <w:rsid w:val="004A3E51"/>
    <w:rsid w:val="004A6015"/>
    <w:rsid w:val="004C0C82"/>
    <w:rsid w:val="004C5822"/>
    <w:rsid w:val="004D0E88"/>
    <w:rsid w:val="004D3E8F"/>
    <w:rsid w:val="004D44FB"/>
    <w:rsid w:val="004D53FD"/>
    <w:rsid w:val="00500EF4"/>
    <w:rsid w:val="005024CB"/>
    <w:rsid w:val="00511D38"/>
    <w:rsid w:val="0052691E"/>
    <w:rsid w:val="00541785"/>
    <w:rsid w:val="00554D98"/>
    <w:rsid w:val="00555B00"/>
    <w:rsid w:val="00556C35"/>
    <w:rsid w:val="00565EB7"/>
    <w:rsid w:val="005710CB"/>
    <w:rsid w:val="005755FE"/>
    <w:rsid w:val="0059703F"/>
    <w:rsid w:val="005A5749"/>
    <w:rsid w:val="005B6DEC"/>
    <w:rsid w:val="005D687F"/>
    <w:rsid w:val="005E0AC3"/>
    <w:rsid w:val="005E19EE"/>
    <w:rsid w:val="005E6A54"/>
    <w:rsid w:val="005F6533"/>
    <w:rsid w:val="0060047D"/>
    <w:rsid w:val="0060679D"/>
    <w:rsid w:val="006442DA"/>
    <w:rsid w:val="00644DB3"/>
    <w:rsid w:val="006629EE"/>
    <w:rsid w:val="0067288A"/>
    <w:rsid w:val="0068054A"/>
    <w:rsid w:val="00680F37"/>
    <w:rsid w:val="0069364C"/>
    <w:rsid w:val="00693DCD"/>
    <w:rsid w:val="00696529"/>
    <w:rsid w:val="006A62C4"/>
    <w:rsid w:val="006B4F62"/>
    <w:rsid w:val="006B72D6"/>
    <w:rsid w:val="006B7FDB"/>
    <w:rsid w:val="006C4883"/>
    <w:rsid w:val="006C59A1"/>
    <w:rsid w:val="006D604A"/>
    <w:rsid w:val="006E4452"/>
    <w:rsid w:val="006F04FB"/>
    <w:rsid w:val="006F6D7E"/>
    <w:rsid w:val="006F73A9"/>
    <w:rsid w:val="007174FA"/>
    <w:rsid w:val="00720E90"/>
    <w:rsid w:val="00721446"/>
    <w:rsid w:val="00733D15"/>
    <w:rsid w:val="00733E48"/>
    <w:rsid w:val="00743DC7"/>
    <w:rsid w:val="00743EFC"/>
    <w:rsid w:val="00753389"/>
    <w:rsid w:val="0075361A"/>
    <w:rsid w:val="00754B26"/>
    <w:rsid w:val="00771DDE"/>
    <w:rsid w:val="0078041C"/>
    <w:rsid w:val="0079273D"/>
    <w:rsid w:val="007938CC"/>
    <w:rsid w:val="007A04F6"/>
    <w:rsid w:val="007A1890"/>
    <w:rsid w:val="007A1F01"/>
    <w:rsid w:val="007B4465"/>
    <w:rsid w:val="007B7A76"/>
    <w:rsid w:val="007C04A2"/>
    <w:rsid w:val="007D5F54"/>
    <w:rsid w:val="007E00D0"/>
    <w:rsid w:val="007F42BF"/>
    <w:rsid w:val="007F72D9"/>
    <w:rsid w:val="008004E6"/>
    <w:rsid w:val="008306BD"/>
    <w:rsid w:val="00844430"/>
    <w:rsid w:val="008459DE"/>
    <w:rsid w:val="008524EF"/>
    <w:rsid w:val="00854AE2"/>
    <w:rsid w:val="00862387"/>
    <w:rsid w:val="00872D96"/>
    <w:rsid w:val="008958BF"/>
    <w:rsid w:val="008A6269"/>
    <w:rsid w:val="008B3411"/>
    <w:rsid w:val="008C7A1D"/>
    <w:rsid w:val="008D5FC4"/>
    <w:rsid w:val="008E3B9F"/>
    <w:rsid w:val="008E4B6D"/>
    <w:rsid w:val="00907460"/>
    <w:rsid w:val="00950F36"/>
    <w:rsid w:val="00956C2E"/>
    <w:rsid w:val="00961E06"/>
    <w:rsid w:val="0097493F"/>
    <w:rsid w:val="0098170D"/>
    <w:rsid w:val="009863DE"/>
    <w:rsid w:val="009A424E"/>
    <w:rsid w:val="009A720F"/>
    <w:rsid w:val="009B3B52"/>
    <w:rsid w:val="009E2EFC"/>
    <w:rsid w:val="009E3275"/>
    <w:rsid w:val="009E38DF"/>
    <w:rsid w:val="009F51C0"/>
    <w:rsid w:val="00A142FF"/>
    <w:rsid w:val="00A26150"/>
    <w:rsid w:val="00A30F6A"/>
    <w:rsid w:val="00A40AD2"/>
    <w:rsid w:val="00A44D36"/>
    <w:rsid w:val="00A535D9"/>
    <w:rsid w:val="00A715EA"/>
    <w:rsid w:val="00A716F5"/>
    <w:rsid w:val="00A7402C"/>
    <w:rsid w:val="00A8266D"/>
    <w:rsid w:val="00A84A49"/>
    <w:rsid w:val="00A87BBC"/>
    <w:rsid w:val="00A91C2D"/>
    <w:rsid w:val="00A929BD"/>
    <w:rsid w:val="00AA1475"/>
    <w:rsid w:val="00AB393C"/>
    <w:rsid w:val="00AB46E6"/>
    <w:rsid w:val="00AB6011"/>
    <w:rsid w:val="00AC1916"/>
    <w:rsid w:val="00AD3026"/>
    <w:rsid w:val="00AD6406"/>
    <w:rsid w:val="00AE6B51"/>
    <w:rsid w:val="00B167E6"/>
    <w:rsid w:val="00B17D96"/>
    <w:rsid w:val="00B224A9"/>
    <w:rsid w:val="00B23B6A"/>
    <w:rsid w:val="00B367C5"/>
    <w:rsid w:val="00B53BF2"/>
    <w:rsid w:val="00B6551D"/>
    <w:rsid w:val="00B74A8E"/>
    <w:rsid w:val="00B83FD2"/>
    <w:rsid w:val="00B878C1"/>
    <w:rsid w:val="00B94E33"/>
    <w:rsid w:val="00BB1884"/>
    <w:rsid w:val="00BC00AF"/>
    <w:rsid w:val="00BE4B63"/>
    <w:rsid w:val="00BF0ECB"/>
    <w:rsid w:val="00C01FF9"/>
    <w:rsid w:val="00C03D70"/>
    <w:rsid w:val="00C103F2"/>
    <w:rsid w:val="00C11E36"/>
    <w:rsid w:val="00C12D38"/>
    <w:rsid w:val="00C14DC3"/>
    <w:rsid w:val="00C20240"/>
    <w:rsid w:val="00C21B16"/>
    <w:rsid w:val="00C237CB"/>
    <w:rsid w:val="00C3037F"/>
    <w:rsid w:val="00C4345C"/>
    <w:rsid w:val="00C44692"/>
    <w:rsid w:val="00C474F6"/>
    <w:rsid w:val="00C51F99"/>
    <w:rsid w:val="00C55549"/>
    <w:rsid w:val="00C90D5B"/>
    <w:rsid w:val="00C92F2D"/>
    <w:rsid w:val="00CC1AF8"/>
    <w:rsid w:val="00CC1F30"/>
    <w:rsid w:val="00CD5558"/>
    <w:rsid w:val="00CE09B9"/>
    <w:rsid w:val="00CF26E9"/>
    <w:rsid w:val="00CF73E2"/>
    <w:rsid w:val="00D332BC"/>
    <w:rsid w:val="00D40549"/>
    <w:rsid w:val="00D45569"/>
    <w:rsid w:val="00D7042C"/>
    <w:rsid w:val="00D742C1"/>
    <w:rsid w:val="00D77550"/>
    <w:rsid w:val="00D83682"/>
    <w:rsid w:val="00D84F8D"/>
    <w:rsid w:val="00D871DA"/>
    <w:rsid w:val="00DA2EB5"/>
    <w:rsid w:val="00DA3488"/>
    <w:rsid w:val="00DA46CD"/>
    <w:rsid w:val="00DB090A"/>
    <w:rsid w:val="00DB17C5"/>
    <w:rsid w:val="00DC1C98"/>
    <w:rsid w:val="00DC1D05"/>
    <w:rsid w:val="00DC3063"/>
    <w:rsid w:val="00DE17DD"/>
    <w:rsid w:val="00DE39F4"/>
    <w:rsid w:val="00E1268C"/>
    <w:rsid w:val="00E15D7D"/>
    <w:rsid w:val="00E40DCD"/>
    <w:rsid w:val="00E436CA"/>
    <w:rsid w:val="00E56530"/>
    <w:rsid w:val="00E76925"/>
    <w:rsid w:val="00E77C68"/>
    <w:rsid w:val="00E808A4"/>
    <w:rsid w:val="00E81276"/>
    <w:rsid w:val="00E827B6"/>
    <w:rsid w:val="00E8648E"/>
    <w:rsid w:val="00E86ADE"/>
    <w:rsid w:val="00E909FE"/>
    <w:rsid w:val="00EA35B6"/>
    <w:rsid w:val="00EC4A2E"/>
    <w:rsid w:val="00ED0902"/>
    <w:rsid w:val="00ED0DA1"/>
    <w:rsid w:val="00ED1203"/>
    <w:rsid w:val="00ED23D1"/>
    <w:rsid w:val="00EE234D"/>
    <w:rsid w:val="00EE36DD"/>
    <w:rsid w:val="00EE42CD"/>
    <w:rsid w:val="00EF2F75"/>
    <w:rsid w:val="00EF68EC"/>
    <w:rsid w:val="00F025DF"/>
    <w:rsid w:val="00F032EB"/>
    <w:rsid w:val="00F145E3"/>
    <w:rsid w:val="00F17511"/>
    <w:rsid w:val="00F17FF7"/>
    <w:rsid w:val="00F245F5"/>
    <w:rsid w:val="00F3323B"/>
    <w:rsid w:val="00F410F0"/>
    <w:rsid w:val="00F4272A"/>
    <w:rsid w:val="00F45C0C"/>
    <w:rsid w:val="00F569F1"/>
    <w:rsid w:val="00F5741E"/>
    <w:rsid w:val="00F76D13"/>
    <w:rsid w:val="00F774E1"/>
    <w:rsid w:val="00F80931"/>
    <w:rsid w:val="00F80D03"/>
    <w:rsid w:val="00F85318"/>
    <w:rsid w:val="00F92CA8"/>
    <w:rsid w:val="00F9692A"/>
    <w:rsid w:val="00FA0AED"/>
    <w:rsid w:val="00FC63CE"/>
    <w:rsid w:val="00FC7646"/>
    <w:rsid w:val="00FD325E"/>
    <w:rsid w:val="00FD3F59"/>
    <w:rsid w:val="00FE6ADE"/>
    <w:rsid w:val="00FF0E33"/>
    <w:rsid w:val="00FF1DC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BFCA9"/>
  <w15:chartTrackingRefBased/>
  <w15:docId w15:val="{C18EEF45-B942-42BA-8F96-863273A20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uiPriority="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76925"/>
    <w:pPr>
      <w:spacing w:line="300" w:lineRule="atLeast"/>
    </w:pPr>
    <w:rPr>
      <w:rFonts w:ascii="Source Sans Pro" w:hAnsi="Source Sans Pro"/>
      <w:sz w:val="22"/>
    </w:rPr>
  </w:style>
  <w:style w:type="paragraph" w:styleId="Heading1">
    <w:name w:val="heading 1"/>
    <w:basedOn w:val="BodyText"/>
    <w:next w:val="Normal"/>
    <w:link w:val="Heading1Char"/>
    <w:qFormat/>
    <w:rsid w:val="0052691E"/>
    <w:pPr>
      <w:keepNext/>
      <w:spacing w:before="0" w:after="360"/>
      <w:outlineLvl w:val="0"/>
    </w:pPr>
    <w:rPr>
      <w:rFonts w:eastAsia="Times New Roman" w:cstheme="majorBidi"/>
      <w:b/>
      <w:color w:val="152235"/>
      <w:sz w:val="48"/>
      <w:szCs w:val="48"/>
      <w:shd w:val="clear" w:color="auto" w:fill="FFFFFF"/>
      <w:lang w:eastAsia="en-GB"/>
    </w:rPr>
  </w:style>
  <w:style w:type="paragraph" w:styleId="Heading2">
    <w:name w:val="heading 2"/>
    <w:basedOn w:val="Normal"/>
    <w:next w:val="BodyText"/>
    <w:link w:val="Heading2Char"/>
    <w:qFormat/>
    <w:rsid w:val="00A40AD2"/>
    <w:pPr>
      <w:keepNext/>
      <w:spacing w:before="360"/>
      <w:outlineLvl w:val="1"/>
    </w:pPr>
    <w:rPr>
      <w:rFonts w:ascii="Source Sans Pro SemiBold" w:eastAsiaTheme="majorEastAsia" w:hAnsi="Source Sans Pro SemiBold" w:cstheme="majorBidi"/>
      <w:b/>
      <w:color w:val="152235"/>
      <w:sz w:val="36"/>
      <w:szCs w:val="36"/>
      <w:lang w:eastAsia="en-GB"/>
    </w:rPr>
  </w:style>
  <w:style w:type="paragraph" w:styleId="Heading3">
    <w:name w:val="heading 3"/>
    <w:basedOn w:val="Normal"/>
    <w:next w:val="BodyText"/>
    <w:link w:val="Heading3Char"/>
    <w:qFormat/>
    <w:rsid w:val="00A40AD2"/>
    <w:pPr>
      <w:keepNext/>
      <w:spacing w:before="360"/>
      <w:outlineLvl w:val="2"/>
    </w:pPr>
    <w:rPr>
      <w:rFonts w:ascii="Source Sans Pro SemiBold" w:eastAsiaTheme="majorEastAsia" w:hAnsi="Source Sans Pro SemiBold" w:cstheme="majorBidi"/>
      <w:b/>
      <w:color w:val="152235"/>
      <w:sz w:val="28"/>
      <w:szCs w:val="28"/>
      <w:lang w:eastAsia="en-GB"/>
    </w:rPr>
  </w:style>
  <w:style w:type="paragraph" w:styleId="Heading4">
    <w:name w:val="heading 4"/>
    <w:basedOn w:val="Normal"/>
    <w:next w:val="BodyText"/>
    <w:link w:val="Heading4Char"/>
    <w:qFormat/>
    <w:rsid w:val="0014369D"/>
    <w:pPr>
      <w:keepNext/>
      <w:keepLines/>
      <w:spacing w:before="240"/>
      <w:outlineLvl w:val="3"/>
    </w:pPr>
    <w:rPr>
      <w:rFonts w:eastAsiaTheme="majorEastAsia" w:cstheme="majorBidi"/>
      <w:i/>
      <w:iCs/>
      <w:color w:val="152235"/>
      <w:sz w:val="24"/>
      <w:lang w:eastAsia="en-GB"/>
    </w:rPr>
  </w:style>
  <w:style w:type="paragraph" w:styleId="Heading5">
    <w:name w:val="heading 5"/>
    <w:basedOn w:val="Normal"/>
    <w:next w:val="Normal"/>
    <w:link w:val="Heading5Char"/>
    <w:qFormat/>
    <w:rsid w:val="005755FE"/>
    <w:pPr>
      <w:keepNext/>
      <w:spacing w:before="240"/>
      <w:outlineLvl w:val="4"/>
    </w:pPr>
    <w:rPr>
      <w:rFonts w:eastAsiaTheme="majorEastAsia" w:cstheme="majorBidi"/>
      <w:color w:val="368D60" w:themeColor="accent1" w:themeShade="B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qFormat/>
    <w:rsid w:val="00B23B6A"/>
    <w:rPr>
      <w:rFonts w:ascii="Source Sans Pro" w:hAnsi="Source Sans Pro"/>
    </w:rPr>
  </w:style>
  <w:style w:type="character" w:customStyle="1" w:styleId="Heading1Char">
    <w:name w:val="Heading 1 Char"/>
    <w:basedOn w:val="DefaultParagraphFont"/>
    <w:link w:val="Heading1"/>
    <w:rsid w:val="0052691E"/>
    <w:rPr>
      <w:rFonts w:ascii="Source Sans Pro" w:eastAsia="Times New Roman" w:hAnsi="Source Sans Pro" w:cstheme="majorBidi"/>
      <w:b/>
      <w:color w:val="152235"/>
      <w:sz w:val="48"/>
      <w:szCs w:val="48"/>
      <w:lang w:eastAsia="en-GB"/>
    </w:rPr>
  </w:style>
  <w:style w:type="character" w:customStyle="1" w:styleId="Heading2Char">
    <w:name w:val="Heading 2 Char"/>
    <w:basedOn w:val="DefaultParagraphFont"/>
    <w:link w:val="Heading2"/>
    <w:rsid w:val="00A40AD2"/>
    <w:rPr>
      <w:rFonts w:ascii="Source Sans Pro SemiBold" w:eastAsiaTheme="majorEastAsia" w:hAnsi="Source Sans Pro SemiBold" w:cstheme="majorBidi"/>
      <w:b/>
      <w:color w:val="152235"/>
      <w:sz w:val="36"/>
      <w:szCs w:val="36"/>
      <w:lang w:eastAsia="en-GB"/>
    </w:rPr>
  </w:style>
  <w:style w:type="character" w:customStyle="1" w:styleId="Heading3Char">
    <w:name w:val="Heading 3 Char"/>
    <w:basedOn w:val="DefaultParagraphFont"/>
    <w:link w:val="Heading3"/>
    <w:rsid w:val="00A40AD2"/>
    <w:rPr>
      <w:rFonts w:ascii="Source Sans Pro SemiBold" w:eastAsiaTheme="majorEastAsia" w:hAnsi="Source Sans Pro SemiBold" w:cstheme="majorBidi"/>
      <w:b/>
      <w:color w:val="152235"/>
      <w:sz w:val="28"/>
      <w:szCs w:val="28"/>
      <w:lang w:eastAsia="en-GB"/>
    </w:rPr>
  </w:style>
  <w:style w:type="paragraph" w:styleId="Title">
    <w:name w:val="Title"/>
    <w:basedOn w:val="Normal"/>
    <w:next w:val="Subtitle"/>
    <w:link w:val="TitleChar"/>
    <w:uiPriority w:val="10"/>
    <w:qFormat/>
    <w:rsid w:val="00693DCD"/>
    <w:pPr>
      <w:spacing w:line="240" w:lineRule="atLeast"/>
    </w:pPr>
    <w:rPr>
      <w:b/>
      <w:bCs/>
      <w:color w:val="FFFFFF" w:themeColor="background1"/>
      <w:sz w:val="80"/>
      <w:szCs w:val="96"/>
    </w:rPr>
  </w:style>
  <w:style w:type="character" w:customStyle="1" w:styleId="TitleChar">
    <w:name w:val="Title Char"/>
    <w:basedOn w:val="DefaultParagraphFont"/>
    <w:link w:val="Title"/>
    <w:uiPriority w:val="10"/>
    <w:rsid w:val="00693DCD"/>
    <w:rPr>
      <w:rFonts w:ascii="Source Sans Pro" w:hAnsi="Source Sans Pro"/>
      <w:b/>
      <w:bCs/>
      <w:color w:val="FFFFFF" w:themeColor="background1"/>
      <w:sz w:val="80"/>
      <w:szCs w:val="96"/>
    </w:rPr>
  </w:style>
  <w:style w:type="paragraph" w:styleId="Subtitle">
    <w:name w:val="Subtitle"/>
    <w:basedOn w:val="Normal"/>
    <w:next w:val="Normal"/>
    <w:link w:val="SubtitleChar"/>
    <w:uiPriority w:val="11"/>
    <w:qFormat/>
    <w:rsid w:val="00F145E3"/>
    <w:pPr>
      <w:numPr>
        <w:ilvl w:val="1"/>
      </w:numPr>
      <w:spacing w:after="160"/>
    </w:pPr>
    <w:rPr>
      <w:rFonts w:ascii="Source Sans Pro SemiBold" w:eastAsiaTheme="minorEastAsia" w:hAnsi="Source Sans Pro SemiBold"/>
      <w:b/>
      <w:bCs/>
      <w:color w:val="FFFFFF" w:themeColor="background1"/>
      <w:spacing w:val="15"/>
      <w:sz w:val="48"/>
      <w:szCs w:val="48"/>
    </w:rPr>
  </w:style>
  <w:style w:type="character" w:customStyle="1" w:styleId="SubtitleChar">
    <w:name w:val="Subtitle Char"/>
    <w:basedOn w:val="DefaultParagraphFont"/>
    <w:link w:val="Subtitle"/>
    <w:uiPriority w:val="11"/>
    <w:rsid w:val="00F145E3"/>
    <w:rPr>
      <w:rFonts w:ascii="Source Sans Pro SemiBold" w:eastAsiaTheme="minorEastAsia" w:hAnsi="Source Sans Pro SemiBold"/>
      <w:b/>
      <w:bCs/>
      <w:color w:val="FFFFFF" w:themeColor="background1"/>
      <w:spacing w:val="15"/>
      <w:sz w:val="48"/>
      <w:szCs w:val="48"/>
    </w:rPr>
  </w:style>
  <w:style w:type="character" w:styleId="SubtleEmphasis">
    <w:name w:val="Subtle Emphasis"/>
    <w:basedOn w:val="DefaultParagraphFont"/>
    <w:uiPriority w:val="19"/>
    <w:semiHidden/>
    <w:qFormat/>
    <w:rsid w:val="00B23B6A"/>
    <w:rPr>
      <w:rFonts w:ascii="Source Sans Pro Light" w:hAnsi="Source Sans Pro Light"/>
      <w:b w:val="0"/>
      <w:i/>
      <w:iCs/>
      <w:color w:val="FFFFFF" w:themeColor="background1"/>
    </w:rPr>
  </w:style>
  <w:style w:type="character" w:styleId="Emphasis">
    <w:name w:val="Emphasis"/>
    <w:basedOn w:val="DefaultParagraphFont"/>
    <w:uiPriority w:val="20"/>
    <w:semiHidden/>
    <w:qFormat/>
    <w:rsid w:val="00B23B6A"/>
    <w:rPr>
      <w:rFonts w:ascii="Source Sans Pro" w:hAnsi="Source Sans Pro"/>
      <w:b w:val="0"/>
      <w:i/>
      <w:iCs/>
    </w:rPr>
  </w:style>
  <w:style w:type="character" w:styleId="IntenseEmphasis">
    <w:name w:val="Intense Emphasis"/>
    <w:basedOn w:val="DefaultParagraphFont"/>
    <w:uiPriority w:val="21"/>
    <w:semiHidden/>
    <w:qFormat/>
    <w:rsid w:val="00B23B6A"/>
    <w:rPr>
      <w:rFonts w:ascii="Source Sans Pro SemiBold" w:hAnsi="Source Sans Pro SemiBold"/>
      <w:b/>
      <w:i/>
      <w:iCs/>
      <w:color w:val="F9F297" w:themeColor="accent3"/>
    </w:rPr>
  </w:style>
  <w:style w:type="character" w:styleId="Strong">
    <w:name w:val="Strong"/>
    <w:basedOn w:val="DefaultParagraphFont"/>
    <w:uiPriority w:val="22"/>
    <w:semiHidden/>
    <w:qFormat/>
    <w:rsid w:val="00B23B6A"/>
    <w:rPr>
      <w:rFonts w:ascii="Source Sans Pro" w:hAnsi="Source Sans Pro"/>
      <w:b/>
      <w:bCs/>
      <w:i w:val="0"/>
    </w:rPr>
  </w:style>
  <w:style w:type="paragraph" w:styleId="Quote">
    <w:name w:val="Quote"/>
    <w:basedOn w:val="Normal"/>
    <w:next w:val="Normal"/>
    <w:link w:val="QuoteChar"/>
    <w:uiPriority w:val="4"/>
    <w:qFormat/>
    <w:rsid w:val="00961E06"/>
    <w:pPr>
      <w:spacing w:before="120" w:after="120"/>
      <w:ind w:left="851" w:right="851"/>
    </w:pPr>
    <w:rPr>
      <w:sz w:val="21"/>
      <w:szCs w:val="21"/>
    </w:rPr>
  </w:style>
  <w:style w:type="character" w:customStyle="1" w:styleId="QuoteChar">
    <w:name w:val="Quote Char"/>
    <w:basedOn w:val="DefaultParagraphFont"/>
    <w:link w:val="Quote"/>
    <w:uiPriority w:val="4"/>
    <w:rsid w:val="00223088"/>
    <w:rPr>
      <w:rFonts w:ascii="Source Sans Pro" w:hAnsi="Source Sans Pro"/>
      <w:sz w:val="21"/>
      <w:szCs w:val="21"/>
    </w:rPr>
  </w:style>
  <w:style w:type="paragraph" w:styleId="IntenseQuote">
    <w:name w:val="Intense Quote"/>
    <w:basedOn w:val="Normal"/>
    <w:next w:val="Normal"/>
    <w:link w:val="IntenseQuoteChar"/>
    <w:uiPriority w:val="30"/>
    <w:semiHidden/>
    <w:qFormat/>
    <w:rsid w:val="00B23B6A"/>
    <w:pPr>
      <w:pBdr>
        <w:top w:val="single" w:sz="4" w:space="10" w:color="4BBA81" w:themeColor="accent1"/>
        <w:bottom w:val="single" w:sz="4" w:space="10" w:color="4BBA81" w:themeColor="accent1"/>
      </w:pBdr>
      <w:spacing w:before="360" w:after="360"/>
      <w:ind w:left="864" w:right="864"/>
      <w:jc w:val="center"/>
    </w:pPr>
    <w:rPr>
      <w:i/>
      <w:iCs/>
      <w:color w:val="2A6EB3" w:themeColor="accent5"/>
    </w:rPr>
  </w:style>
  <w:style w:type="character" w:customStyle="1" w:styleId="IntenseQuoteChar">
    <w:name w:val="Intense Quote Char"/>
    <w:basedOn w:val="DefaultParagraphFont"/>
    <w:link w:val="IntenseQuote"/>
    <w:uiPriority w:val="30"/>
    <w:semiHidden/>
    <w:rsid w:val="009E38DF"/>
    <w:rPr>
      <w:rFonts w:ascii="Source Sans Pro" w:hAnsi="Source Sans Pro"/>
      <w:i/>
      <w:iCs/>
      <w:color w:val="2A6EB3" w:themeColor="accent5"/>
    </w:rPr>
  </w:style>
  <w:style w:type="character" w:styleId="SubtleReference">
    <w:name w:val="Subtle Reference"/>
    <w:basedOn w:val="DefaultParagraphFont"/>
    <w:uiPriority w:val="31"/>
    <w:semiHidden/>
    <w:qFormat/>
    <w:rsid w:val="00B23B6A"/>
    <w:rPr>
      <w:rFonts w:ascii="Source Sans Pro" w:hAnsi="Source Sans Pro"/>
      <w:b w:val="0"/>
      <w:i w:val="0"/>
      <w:smallCaps/>
      <w:color w:val="FFFFFF" w:themeColor="background1"/>
    </w:rPr>
  </w:style>
  <w:style w:type="character" w:styleId="IntenseReference">
    <w:name w:val="Intense Reference"/>
    <w:basedOn w:val="DefaultParagraphFont"/>
    <w:uiPriority w:val="32"/>
    <w:semiHidden/>
    <w:qFormat/>
    <w:rsid w:val="00B23B6A"/>
    <w:rPr>
      <w:rFonts w:ascii="Source Sans Pro SemiBold" w:hAnsi="Source Sans Pro SemiBold"/>
      <w:b/>
      <w:bCs/>
      <w:i w:val="0"/>
      <w:smallCaps/>
      <w:color w:val="667078" w:themeColor="accent6"/>
      <w:spacing w:val="5"/>
    </w:rPr>
  </w:style>
  <w:style w:type="character" w:styleId="BookTitle">
    <w:name w:val="Book Title"/>
    <w:basedOn w:val="DefaultParagraphFont"/>
    <w:uiPriority w:val="33"/>
    <w:semiHidden/>
    <w:qFormat/>
    <w:rsid w:val="00B23B6A"/>
    <w:rPr>
      <w:rFonts w:ascii="Source Sans Pro SemiBold" w:hAnsi="Source Sans Pro SemiBold"/>
      <w:b/>
      <w:bCs/>
      <w:i/>
      <w:iCs/>
      <w:spacing w:val="5"/>
    </w:rPr>
  </w:style>
  <w:style w:type="paragraph" w:styleId="ListParagraph">
    <w:name w:val="List Paragraph"/>
    <w:basedOn w:val="Normal"/>
    <w:uiPriority w:val="34"/>
    <w:semiHidden/>
    <w:qFormat/>
    <w:rsid w:val="00B23B6A"/>
    <w:pPr>
      <w:ind w:left="720"/>
      <w:contextualSpacing/>
    </w:pPr>
  </w:style>
  <w:style w:type="paragraph" w:styleId="Header">
    <w:name w:val="header"/>
    <w:basedOn w:val="Normal"/>
    <w:link w:val="HeaderChar"/>
    <w:uiPriority w:val="99"/>
    <w:semiHidden/>
    <w:rsid w:val="00B23B6A"/>
    <w:pPr>
      <w:tabs>
        <w:tab w:val="center" w:pos="4513"/>
        <w:tab w:val="right" w:pos="9026"/>
      </w:tabs>
    </w:pPr>
  </w:style>
  <w:style w:type="character" w:customStyle="1" w:styleId="HeaderChar">
    <w:name w:val="Header Char"/>
    <w:basedOn w:val="DefaultParagraphFont"/>
    <w:link w:val="Header"/>
    <w:uiPriority w:val="99"/>
    <w:semiHidden/>
    <w:rsid w:val="009E38DF"/>
    <w:rPr>
      <w:rFonts w:ascii="Source Sans Pro" w:hAnsi="Source Sans Pro"/>
    </w:rPr>
  </w:style>
  <w:style w:type="paragraph" w:styleId="Footer">
    <w:name w:val="footer"/>
    <w:basedOn w:val="Normal"/>
    <w:link w:val="FooterChar"/>
    <w:semiHidden/>
    <w:rsid w:val="00B23B6A"/>
    <w:pPr>
      <w:tabs>
        <w:tab w:val="center" w:pos="4513"/>
        <w:tab w:val="right" w:pos="9026"/>
      </w:tabs>
    </w:pPr>
  </w:style>
  <w:style w:type="character" w:customStyle="1" w:styleId="FooterChar">
    <w:name w:val="Footer Char"/>
    <w:basedOn w:val="DefaultParagraphFont"/>
    <w:link w:val="Footer"/>
    <w:semiHidden/>
    <w:rsid w:val="009E38DF"/>
    <w:rPr>
      <w:rFonts w:ascii="Source Sans Pro" w:hAnsi="Source Sans Pro"/>
    </w:rPr>
  </w:style>
  <w:style w:type="paragraph" w:styleId="NormalWeb">
    <w:name w:val="Normal (Web)"/>
    <w:basedOn w:val="Normal"/>
    <w:uiPriority w:val="99"/>
    <w:semiHidden/>
    <w:rsid w:val="00754B26"/>
    <w:pPr>
      <w:spacing w:before="100" w:beforeAutospacing="1" w:after="100" w:afterAutospacing="1"/>
    </w:pPr>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CD5558"/>
  </w:style>
  <w:style w:type="character" w:customStyle="1" w:styleId="NoSpacingChar">
    <w:name w:val="No Spacing Char"/>
    <w:basedOn w:val="DefaultParagraphFont"/>
    <w:link w:val="NoSpacing"/>
    <w:uiPriority w:val="1"/>
    <w:semiHidden/>
    <w:rsid w:val="009E38DF"/>
    <w:rPr>
      <w:rFonts w:ascii="Source Sans Pro" w:hAnsi="Source Sans Pro"/>
    </w:rPr>
  </w:style>
  <w:style w:type="paragraph" w:styleId="BodyText">
    <w:name w:val="Body Text"/>
    <w:basedOn w:val="Normal"/>
    <w:link w:val="BodyTextChar"/>
    <w:qFormat/>
    <w:rsid w:val="00EF68EC"/>
    <w:pPr>
      <w:spacing w:before="120" w:after="120"/>
    </w:pPr>
    <w:rPr>
      <w:szCs w:val="22"/>
    </w:rPr>
  </w:style>
  <w:style w:type="character" w:customStyle="1" w:styleId="BodyTextChar">
    <w:name w:val="Body Text Char"/>
    <w:basedOn w:val="DefaultParagraphFont"/>
    <w:link w:val="BodyText"/>
    <w:rsid w:val="00EF68EC"/>
    <w:rPr>
      <w:rFonts w:ascii="Source Sans Pro" w:hAnsi="Source Sans Pro"/>
      <w:sz w:val="22"/>
      <w:szCs w:val="22"/>
    </w:rPr>
  </w:style>
  <w:style w:type="character" w:customStyle="1" w:styleId="Heading4Char">
    <w:name w:val="Heading 4 Char"/>
    <w:basedOn w:val="DefaultParagraphFont"/>
    <w:link w:val="Heading4"/>
    <w:rsid w:val="0014369D"/>
    <w:rPr>
      <w:rFonts w:ascii="Source Sans Pro" w:eastAsiaTheme="majorEastAsia" w:hAnsi="Source Sans Pro" w:cstheme="majorBidi"/>
      <w:i/>
      <w:iCs/>
      <w:color w:val="152235"/>
      <w:lang w:eastAsia="en-GB"/>
    </w:rPr>
  </w:style>
  <w:style w:type="character" w:customStyle="1" w:styleId="Heading5Char">
    <w:name w:val="Heading 5 Char"/>
    <w:basedOn w:val="DefaultParagraphFont"/>
    <w:link w:val="Heading5"/>
    <w:rsid w:val="005755FE"/>
    <w:rPr>
      <w:rFonts w:ascii="Source Sans Pro" w:eastAsiaTheme="majorEastAsia" w:hAnsi="Source Sans Pro" w:cstheme="majorBidi"/>
      <w:color w:val="368D60" w:themeColor="accent1" w:themeShade="BF"/>
      <w:sz w:val="22"/>
      <w:lang w:eastAsia="en-GB"/>
    </w:rPr>
  </w:style>
  <w:style w:type="paragraph" w:customStyle="1" w:styleId="Bullet">
    <w:name w:val="Bullet"/>
    <w:basedOn w:val="ListParagraph"/>
    <w:link w:val="BulletChar"/>
    <w:qFormat/>
    <w:rsid w:val="00EF68EC"/>
    <w:pPr>
      <w:numPr>
        <w:numId w:val="1"/>
      </w:numPr>
      <w:spacing w:after="120"/>
      <w:contextualSpacing w:val="0"/>
    </w:pPr>
    <w:rPr>
      <w:rFonts w:eastAsia="Times New Roman" w:cs="Open Sans"/>
      <w:color w:val="000000"/>
      <w:szCs w:val="22"/>
      <w:shd w:val="clear" w:color="auto" w:fill="FFFFFF"/>
      <w:lang w:val="en-US" w:eastAsia="en-GB"/>
    </w:rPr>
  </w:style>
  <w:style w:type="character" w:customStyle="1" w:styleId="BulletChar">
    <w:name w:val="Bullet Char"/>
    <w:basedOn w:val="DefaultParagraphFont"/>
    <w:link w:val="Bullet"/>
    <w:rsid w:val="00EF68EC"/>
    <w:rPr>
      <w:rFonts w:ascii="Source Sans Pro" w:eastAsia="Times New Roman" w:hAnsi="Source Sans Pro" w:cs="Open Sans"/>
      <w:color w:val="000000"/>
      <w:sz w:val="22"/>
      <w:szCs w:val="22"/>
      <w:lang w:val="en-US" w:eastAsia="en-GB"/>
    </w:rPr>
  </w:style>
  <w:style w:type="paragraph" w:styleId="TOC1">
    <w:name w:val="toc 1"/>
    <w:basedOn w:val="Normal"/>
    <w:next w:val="Normal"/>
    <w:uiPriority w:val="39"/>
    <w:rsid w:val="0067288A"/>
    <w:pPr>
      <w:spacing w:before="280" w:line="280" w:lineRule="atLeast"/>
      <w:ind w:right="567"/>
    </w:pPr>
    <w:rPr>
      <w:rFonts w:eastAsia="Times New Roman" w:cs="Open Sans"/>
      <w:color w:val="000000"/>
      <w:szCs w:val="22"/>
      <w:shd w:val="clear" w:color="auto" w:fill="FFFFFF"/>
      <w:lang w:eastAsia="en-GB"/>
    </w:rPr>
  </w:style>
  <w:style w:type="character" w:styleId="Hyperlink">
    <w:name w:val="Hyperlink"/>
    <w:basedOn w:val="DefaultParagraphFont"/>
    <w:uiPriority w:val="99"/>
    <w:unhideWhenUsed/>
    <w:qFormat/>
    <w:rsid w:val="00EF68EC"/>
    <w:rPr>
      <w:color w:val="0563C1" w:themeColor="hyperlink"/>
      <w:u w:val="none"/>
    </w:rPr>
  </w:style>
  <w:style w:type="paragraph" w:customStyle="1" w:styleId="Imprint">
    <w:name w:val="Imprint"/>
    <w:basedOn w:val="BodyText"/>
    <w:uiPriority w:val="99"/>
    <w:rsid w:val="00E77C68"/>
    <w:pPr>
      <w:spacing w:before="0"/>
    </w:pPr>
  </w:style>
  <w:style w:type="paragraph" w:customStyle="1" w:styleId="Contentsheading">
    <w:name w:val="Contents heading"/>
    <w:basedOn w:val="BodyText"/>
    <w:uiPriority w:val="99"/>
    <w:qFormat/>
    <w:rsid w:val="004A3E51"/>
    <w:pPr>
      <w:keepNext/>
      <w:spacing w:before="0" w:after="360" w:line="240" w:lineRule="auto"/>
    </w:pPr>
    <w:rPr>
      <w:b/>
      <w:bCs/>
      <w:color w:val="152235"/>
      <w:sz w:val="48"/>
      <w:szCs w:val="48"/>
    </w:rPr>
  </w:style>
  <w:style w:type="paragraph" w:customStyle="1" w:styleId="Blueboxtext">
    <w:name w:val="Blue box text"/>
    <w:basedOn w:val="Normal"/>
    <w:uiPriority w:val="1"/>
    <w:semiHidden/>
    <w:qFormat/>
    <w:rsid w:val="007C04A2"/>
    <w:pPr>
      <w:spacing w:before="120" w:after="120" w:line="260" w:lineRule="atLeast"/>
      <w:ind w:left="284" w:right="284"/>
    </w:pPr>
    <w:rPr>
      <w:rFonts w:ascii="Calibri" w:eastAsiaTheme="minorEastAsia" w:hAnsi="Calibri"/>
      <w:color w:val="1C556C"/>
      <w:sz w:val="20"/>
      <w:szCs w:val="22"/>
      <w:lang w:eastAsia="en-NZ"/>
    </w:rPr>
  </w:style>
  <w:style w:type="paragraph" w:customStyle="1" w:styleId="Blueboxheading">
    <w:name w:val="Blue box heading"/>
    <w:basedOn w:val="Blueboxtext"/>
    <w:next w:val="Blueboxtext"/>
    <w:uiPriority w:val="1"/>
    <w:semiHidden/>
    <w:qFormat/>
    <w:rsid w:val="007C04A2"/>
    <w:pPr>
      <w:keepNext/>
      <w:spacing w:before="240" w:after="0"/>
    </w:pPr>
    <w:rPr>
      <w:rFonts w:cs="Times New Roman"/>
      <w:b/>
      <w:szCs w:val="20"/>
    </w:rPr>
  </w:style>
  <w:style w:type="paragraph" w:customStyle="1" w:styleId="Blue-boxbullet">
    <w:name w:val="Blue-box bullet"/>
    <w:basedOn w:val="Blueboxtext"/>
    <w:uiPriority w:val="1"/>
    <w:semiHidden/>
    <w:qFormat/>
    <w:rsid w:val="007C04A2"/>
    <w:pPr>
      <w:numPr>
        <w:numId w:val="3"/>
      </w:numPr>
      <w:tabs>
        <w:tab w:val="left" w:pos="680"/>
      </w:tabs>
      <w:spacing w:before="0"/>
    </w:pPr>
    <w:rPr>
      <w:rFonts w:cs="Times New Roman"/>
      <w:szCs w:val="20"/>
    </w:rPr>
  </w:style>
  <w:style w:type="paragraph" w:customStyle="1" w:styleId="Blue-boxsub-bullet">
    <w:name w:val="Blue-box sub-bullet"/>
    <w:basedOn w:val="Blueboxtext"/>
    <w:uiPriority w:val="1"/>
    <w:semiHidden/>
    <w:qFormat/>
    <w:rsid w:val="007C04A2"/>
    <w:pPr>
      <w:numPr>
        <w:numId w:val="4"/>
      </w:numPr>
      <w:spacing w:before="0"/>
    </w:pPr>
    <w:rPr>
      <w:rFonts w:cs="Times New Roman"/>
      <w:szCs w:val="20"/>
    </w:rPr>
  </w:style>
  <w:style w:type="paragraph" w:customStyle="1" w:styleId="Figureheading">
    <w:name w:val="Figure heading"/>
    <w:basedOn w:val="Normal"/>
    <w:next w:val="BodyText"/>
    <w:uiPriority w:val="1"/>
    <w:qFormat/>
    <w:rsid w:val="005D687F"/>
    <w:pPr>
      <w:keepNext/>
      <w:spacing w:before="120" w:after="120"/>
      <w:ind w:left="1134" w:hanging="1134"/>
    </w:pPr>
    <w:rPr>
      <w:rFonts w:eastAsiaTheme="minorEastAsia"/>
      <w:b/>
      <w:sz w:val="20"/>
      <w:szCs w:val="22"/>
      <w:lang w:eastAsia="en-NZ"/>
    </w:rPr>
  </w:style>
  <w:style w:type="paragraph" w:customStyle="1" w:styleId="Footereven">
    <w:name w:val="Footer even"/>
    <w:basedOn w:val="Normal"/>
    <w:uiPriority w:val="1"/>
    <w:semiHidden/>
    <w:rsid w:val="00307E51"/>
    <w:pPr>
      <w:tabs>
        <w:tab w:val="left" w:pos="567"/>
      </w:tabs>
      <w:spacing w:before="120" w:after="120" w:line="280" w:lineRule="atLeast"/>
    </w:pPr>
    <w:rPr>
      <w:rFonts w:eastAsiaTheme="minorEastAsia"/>
      <w:sz w:val="18"/>
      <w:szCs w:val="22"/>
      <w:lang w:eastAsia="en-NZ"/>
    </w:rPr>
  </w:style>
  <w:style w:type="paragraph" w:customStyle="1" w:styleId="Footerodd">
    <w:name w:val="Footer odd"/>
    <w:basedOn w:val="Normal"/>
    <w:uiPriority w:val="1"/>
    <w:semiHidden/>
    <w:rsid w:val="00872D96"/>
    <w:pPr>
      <w:tabs>
        <w:tab w:val="right" w:pos="7938"/>
        <w:tab w:val="right" w:pos="8505"/>
      </w:tabs>
      <w:spacing w:before="120" w:after="120" w:line="280" w:lineRule="atLeast"/>
    </w:pPr>
    <w:rPr>
      <w:rFonts w:eastAsiaTheme="minorEastAsia"/>
      <w:sz w:val="18"/>
      <w:szCs w:val="22"/>
      <w:lang w:eastAsia="en-NZ"/>
    </w:rPr>
  </w:style>
  <w:style w:type="character" w:styleId="FootnoteReference">
    <w:name w:val="footnote reference"/>
    <w:uiPriority w:val="99"/>
    <w:semiHidden/>
    <w:rsid w:val="0059703F"/>
    <w:rPr>
      <w:rFonts w:ascii="Source Sans Pro" w:hAnsi="Source Sans Pro"/>
      <w:color w:val="auto"/>
      <w:sz w:val="22"/>
      <w:vertAlign w:val="superscript"/>
    </w:rPr>
  </w:style>
  <w:style w:type="paragraph" w:styleId="FootnoteText">
    <w:name w:val="footnote text"/>
    <w:basedOn w:val="Normal"/>
    <w:link w:val="FootnoteTextChar"/>
    <w:uiPriority w:val="99"/>
    <w:semiHidden/>
    <w:rsid w:val="00C51F99"/>
    <w:pPr>
      <w:spacing w:after="60" w:line="240" w:lineRule="atLeast"/>
      <w:ind w:left="284" w:hanging="284"/>
    </w:pPr>
    <w:rPr>
      <w:rFonts w:eastAsiaTheme="minorEastAsia"/>
      <w:sz w:val="19"/>
      <w:szCs w:val="22"/>
      <w:lang w:eastAsia="en-NZ"/>
    </w:rPr>
  </w:style>
  <w:style w:type="character" w:customStyle="1" w:styleId="FootnoteTextChar">
    <w:name w:val="Footnote Text Char"/>
    <w:basedOn w:val="DefaultParagraphFont"/>
    <w:link w:val="FootnoteText"/>
    <w:uiPriority w:val="99"/>
    <w:semiHidden/>
    <w:rsid w:val="007A1890"/>
    <w:rPr>
      <w:rFonts w:ascii="Source Sans Pro" w:eastAsiaTheme="minorEastAsia" w:hAnsi="Source Sans Pro"/>
      <w:sz w:val="19"/>
      <w:szCs w:val="22"/>
      <w:lang w:eastAsia="en-NZ"/>
    </w:rPr>
  </w:style>
  <w:style w:type="paragraph" w:customStyle="1" w:styleId="Glossary">
    <w:name w:val="Glossary"/>
    <w:basedOn w:val="Normal"/>
    <w:uiPriority w:val="2"/>
    <w:qFormat/>
    <w:rsid w:val="00961E06"/>
    <w:pPr>
      <w:tabs>
        <w:tab w:val="left" w:pos="2835"/>
      </w:tabs>
      <w:spacing w:before="120"/>
    </w:pPr>
    <w:rPr>
      <w:rFonts w:eastAsiaTheme="minorEastAsia"/>
      <w:szCs w:val="22"/>
      <w:lang w:eastAsia="en-NZ"/>
    </w:rPr>
  </w:style>
  <w:style w:type="paragraph" w:customStyle="1" w:styleId="Numberedparagraph">
    <w:name w:val="Numbered paragraph"/>
    <w:basedOn w:val="Normal"/>
    <w:uiPriority w:val="1"/>
    <w:qFormat/>
    <w:rsid w:val="009A424E"/>
    <w:pPr>
      <w:numPr>
        <w:numId w:val="11"/>
      </w:numPr>
      <w:spacing w:after="120"/>
    </w:pPr>
    <w:rPr>
      <w:rFonts w:eastAsiaTheme="minorEastAsia"/>
      <w:szCs w:val="22"/>
      <w:lang w:eastAsia="en-NZ"/>
    </w:rPr>
  </w:style>
  <w:style w:type="paragraph" w:customStyle="1" w:styleId="References">
    <w:name w:val="References"/>
    <w:basedOn w:val="Normal"/>
    <w:uiPriority w:val="2"/>
    <w:qFormat/>
    <w:rsid w:val="00771DDE"/>
    <w:pPr>
      <w:spacing w:after="120" w:line="280" w:lineRule="atLeast"/>
    </w:pPr>
    <w:rPr>
      <w:sz w:val="21"/>
      <w:szCs w:val="22"/>
      <w:lang w:eastAsia="en-NZ"/>
    </w:rPr>
  </w:style>
  <w:style w:type="paragraph" w:customStyle="1" w:styleId="Source">
    <w:name w:val="Source"/>
    <w:basedOn w:val="Normal"/>
    <w:next w:val="Normal"/>
    <w:uiPriority w:val="2"/>
    <w:qFormat/>
    <w:rsid w:val="00404B57"/>
    <w:pPr>
      <w:tabs>
        <w:tab w:val="left" w:pos="680"/>
      </w:tabs>
      <w:spacing w:before="120" w:after="120" w:line="260" w:lineRule="atLeast"/>
    </w:pPr>
    <w:rPr>
      <w:rFonts w:eastAsia="Times New Roman"/>
      <w:sz w:val="19"/>
      <w:szCs w:val="19"/>
      <w:shd w:val="clear" w:color="auto" w:fill="FFFFFF"/>
      <w:lang w:eastAsia="en-NZ"/>
    </w:rPr>
  </w:style>
  <w:style w:type="paragraph" w:customStyle="1" w:styleId="Sub-bullet">
    <w:name w:val="Sub-bullet"/>
    <w:basedOn w:val="Normal"/>
    <w:qFormat/>
    <w:rsid w:val="00A929BD"/>
    <w:pPr>
      <w:numPr>
        <w:numId w:val="6"/>
      </w:numPr>
      <w:tabs>
        <w:tab w:val="left" w:pos="794"/>
      </w:tabs>
      <w:spacing w:after="120"/>
    </w:pPr>
    <w:rPr>
      <w:rFonts w:eastAsia="Times New Roman"/>
      <w:szCs w:val="22"/>
      <w:lang w:eastAsia="en-NZ"/>
    </w:rPr>
  </w:style>
  <w:style w:type="paragraph" w:customStyle="1" w:styleId="Sub-lista">
    <w:name w:val="Sub-list a"/>
    <w:aliases w:val="b"/>
    <w:basedOn w:val="Normal"/>
    <w:uiPriority w:val="2"/>
    <w:rsid w:val="00A929BD"/>
    <w:pPr>
      <w:numPr>
        <w:numId w:val="7"/>
      </w:numPr>
      <w:spacing w:after="120"/>
    </w:pPr>
    <w:rPr>
      <w:rFonts w:eastAsiaTheme="minorEastAsia"/>
      <w:szCs w:val="22"/>
      <w:lang w:eastAsia="en-NZ"/>
    </w:rPr>
  </w:style>
  <w:style w:type="paragraph" w:customStyle="1" w:styleId="Sub-listi">
    <w:name w:val="Sub-list i"/>
    <w:aliases w:val="ii"/>
    <w:basedOn w:val="BodyText"/>
    <w:semiHidden/>
    <w:rsid w:val="007C04A2"/>
    <w:pPr>
      <w:numPr>
        <w:numId w:val="8"/>
      </w:numPr>
      <w:spacing w:before="60" w:after="60" w:line="280" w:lineRule="atLeast"/>
    </w:pPr>
    <w:rPr>
      <w:rFonts w:ascii="Calibri" w:eastAsiaTheme="minorEastAsia" w:hAnsi="Calibri"/>
      <w:lang w:eastAsia="en-NZ"/>
    </w:rPr>
  </w:style>
  <w:style w:type="paragraph" w:customStyle="1" w:styleId="Tableheading">
    <w:name w:val="Table heading"/>
    <w:basedOn w:val="Normal"/>
    <w:next w:val="Normal"/>
    <w:qFormat/>
    <w:rsid w:val="005D687F"/>
    <w:pPr>
      <w:keepNext/>
      <w:spacing w:before="120" w:after="120" w:line="280" w:lineRule="atLeast"/>
      <w:ind w:left="1134" w:hanging="1134"/>
    </w:pPr>
    <w:rPr>
      <w:rFonts w:eastAsiaTheme="minorEastAsia"/>
      <w:b/>
      <w:sz w:val="20"/>
      <w:szCs w:val="22"/>
      <w:lang w:eastAsia="en-NZ"/>
    </w:rPr>
  </w:style>
  <w:style w:type="paragraph" w:customStyle="1" w:styleId="TableBullet">
    <w:name w:val="TableBullet"/>
    <w:basedOn w:val="Normal"/>
    <w:qFormat/>
    <w:rsid w:val="006A62C4"/>
    <w:pPr>
      <w:numPr>
        <w:numId w:val="9"/>
      </w:numPr>
      <w:spacing w:after="60" w:line="240" w:lineRule="atLeast"/>
    </w:pPr>
    <w:rPr>
      <w:rFonts w:eastAsiaTheme="minorEastAsia" w:cs="Arial"/>
      <w:sz w:val="18"/>
      <w:szCs w:val="16"/>
      <w:lang w:eastAsia="en-NZ"/>
    </w:rPr>
  </w:style>
  <w:style w:type="paragraph" w:customStyle="1" w:styleId="TableDash">
    <w:name w:val="TableDash"/>
    <w:basedOn w:val="TableBullet"/>
    <w:qFormat/>
    <w:rsid w:val="007C04A2"/>
    <w:pPr>
      <w:numPr>
        <w:numId w:val="10"/>
      </w:numPr>
    </w:pPr>
  </w:style>
  <w:style w:type="paragraph" w:customStyle="1" w:styleId="TableText">
    <w:name w:val="TableText"/>
    <w:basedOn w:val="Normal"/>
    <w:qFormat/>
    <w:rsid w:val="006A62C4"/>
    <w:pPr>
      <w:spacing w:before="60" w:after="60" w:line="240" w:lineRule="atLeast"/>
    </w:pPr>
    <w:rPr>
      <w:rFonts w:eastAsiaTheme="minorEastAsia"/>
      <w:sz w:val="18"/>
      <w:szCs w:val="22"/>
      <w:lang w:eastAsia="en-NZ"/>
    </w:rPr>
  </w:style>
  <w:style w:type="paragraph" w:customStyle="1" w:styleId="TableTextbold">
    <w:name w:val="TableText bold"/>
    <w:basedOn w:val="TableText"/>
    <w:rsid w:val="006A62C4"/>
    <w:rPr>
      <w:b/>
    </w:rPr>
  </w:style>
  <w:style w:type="paragraph" w:styleId="TOC2">
    <w:name w:val="toc 2"/>
    <w:basedOn w:val="Normal"/>
    <w:next w:val="Normal"/>
    <w:uiPriority w:val="39"/>
    <w:rsid w:val="00743DC7"/>
    <w:pPr>
      <w:tabs>
        <w:tab w:val="right" w:pos="9055"/>
      </w:tabs>
      <w:spacing w:before="60" w:after="60"/>
      <w:ind w:left="284" w:right="567"/>
    </w:pPr>
    <w:rPr>
      <w:rFonts w:eastAsiaTheme="minorEastAsia"/>
      <w:noProof/>
      <w:szCs w:val="22"/>
      <w:lang w:eastAsia="en-NZ"/>
    </w:rPr>
  </w:style>
  <w:style w:type="character" w:styleId="CommentReference">
    <w:name w:val="annotation reference"/>
    <w:basedOn w:val="DefaultParagraphFont"/>
    <w:uiPriority w:val="99"/>
    <w:semiHidden/>
    <w:unhideWhenUsed/>
    <w:rsid w:val="005D687F"/>
    <w:rPr>
      <w:sz w:val="16"/>
      <w:szCs w:val="16"/>
    </w:rPr>
  </w:style>
  <w:style w:type="paragraph" w:styleId="CommentText">
    <w:name w:val="annotation text"/>
    <w:basedOn w:val="Normal"/>
    <w:link w:val="CommentTextChar"/>
    <w:uiPriority w:val="99"/>
    <w:unhideWhenUsed/>
    <w:rsid w:val="005D687F"/>
    <w:pPr>
      <w:spacing w:before="120" w:after="160" w:line="280" w:lineRule="atLeast"/>
    </w:pPr>
    <w:rPr>
      <w:rFonts w:asciiTheme="minorHAnsi" w:hAnsiTheme="minorHAnsi"/>
      <w:sz w:val="20"/>
      <w:szCs w:val="20"/>
    </w:rPr>
  </w:style>
  <w:style w:type="character" w:customStyle="1" w:styleId="CommentTextChar">
    <w:name w:val="Comment Text Char"/>
    <w:basedOn w:val="DefaultParagraphFont"/>
    <w:link w:val="CommentText"/>
    <w:uiPriority w:val="99"/>
    <w:rsid w:val="005D687F"/>
    <w:rPr>
      <w:sz w:val="20"/>
      <w:szCs w:val="20"/>
    </w:rPr>
  </w:style>
  <w:style w:type="table" w:customStyle="1" w:styleId="TableGrid2">
    <w:name w:val="Table Grid2"/>
    <w:basedOn w:val="TableNormal"/>
    <w:next w:val="TableGrid"/>
    <w:uiPriority w:val="59"/>
    <w:rsid w:val="005D687F"/>
    <w:pPr>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D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heading">
    <w:name w:val="Box heading"/>
    <w:basedOn w:val="Normal"/>
    <w:uiPriority w:val="2"/>
    <w:qFormat/>
    <w:rsid w:val="00F17511"/>
    <w:pPr>
      <w:keepNext/>
      <w:spacing w:before="240"/>
      <w:ind w:left="284" w:right="284"/>
    </w:pPr>
    <w:rPr>
      <w:b/>
      <w:bCs/>
      <w:color w:val="000000" w:themeColor="text1"/>
      <w:sz w:val="20"/>
      <w:szCs w:val="20"/>
    </w:rPr>
  </w:style>
  <w:style w:type="paragraph" w:customStyle="1" w:styleId="Boxtext">
    <w:name w:val="Box text"/>
    <w:basedOn w:val="Normal"/>
    <w:uiPriority w:val="2"/>
    <w:qFormat/>
    <w:rsid w:val="00F17511"/>
    <w:pPr>
      <w:keepNext/>
      <w:spacing w:after="120"/>
      <w:ind w:left="284" w:right="284"/>
    </w:pPr>
    <w:rPr>
      <w:color w:val="152235"/>
      <w:sz w:val="20"/>
      <w:szCs w:val="20"/>
    </w:rPr>
  </w:style>
  <w:style w:type="paragraph" w:styleId="TableofFigures">
    <w:name w:val="table of figures"/>
    <w:basedOn w:val="Normal"/>
    <w:next w:val="Normal"/>
    <w:uiPriority w:val="99"/>
    <w:rsid w:val="00BC00AF"/>
    <w:pPr>
      <w:tabs>
        <w:tab w:val="left" w:pos="1100"/>
        <w:tab w:val="right" w:pos="8997"/>
      </w:tabs>
      <w:spacing w:after="120"/>
      <w:ind w:right="567"/>
    </w:pPr>
    <w:rPr>
      <w:noProof/>
    </w:rPr>
  </w:style>
  <w:style w:type="paragraph" w:customStyle="1" w:styleId="Boxbullet">
    <w:name w:val="Box bullet"/>
    <w:basedOn w:val="Boxtext"/>
    <w:uiPriority w:val="2"/>
    <w:qFormat/>
    <w:rsid w:val="00F17511"/>
    <w:pPr>
      <w:numPr>
        <w:numId w:val="14"/>
      </w:numPr>
    </w:pPr>
  </w:style>
  <w:style w:type="paragraph" w:customStyle="1" w:styleId="Subtitlesmallcoverpage">
    <w:name w:val="Subtitle small cover page"/>
    <w:basedOn w:val="Normal"/>
    <w:uiPriority w:val="12"/>
    <w:qFormat/>
    <w:rsid w:val="00F145E3"/>
    <w:rPr>
      <w:color w:val="FFFFFF" w:themeColor="background1"/>
      <w:sz w:val="32"/>
      <w:szCs w:val="32"/>
    </w:rPr>
  </w:style>
  <w:style w:type="character" w:styleId="FollowedHyperlink">
    <w:name w:val="FollowedHyperlink"/>
    <w:basedOn w:val="DefaultParagraphFont"/>
    <w:uiPriority w:val="99"/>
    <w:semiHidden/>
    <w:unhideWhenUsed/>
    <w:rsid w:val="00E76925"/>
    <w:rPr>
      <w:color w:val="2A6EB3" w:themeColor="accent5"/>
      <w:u w:val="none"/>
    </w:rPr>
  </w:style>
  <w:style w:type="paragraph" w:styleId="z-BottomofForm">
    <w:name w:val="HTML Bottom of Form"/>
    <w:basedOn w:val="Normal"/>
    <w:next w:val="Normal"/>
    <w:link w:val="z-BottomofFormChar"/>
    <w:hidden/>
    <w:uiPriority w:val="99"/>
    <w:semiHidden/>
    <w:unhideWhenUsed/>
    <w:rsid w:val="00DC1D05"/>
    <w:pPr>
      <w:pBdr>
        <w:top w:val="single" w:sz="6" w:space="1" w:color="auto"/>
      </w:pBdr>
      <w:spacing w:before="120" w:after="120" w:line="280" w:lineRule="atLeast"/>
      <w:jc w:val="center"/>
    </w:pPr>
    <w:rPr>
      <w:rFonts w:ascii="Arial" w:eastAsia="Calibri" w:hAnsi="Arial" w:cs="Times New Roman"/>
      <w:vanish/>
      <w:sz w:val="16"/>
      <w:szCs w:val="16"/>
      <w:lang w:val="en-US" w:eastAsia="en-NZ"/>
    </w:rPr>
  </w:style>
  <w:style w:type="character" w:customStyle="1" w:styleId="z-BottomofFormChar">
    <w:name w:val="z-Bottom of Form Char"/>
    <w:basedOn w:val="DefaultParagraphFont"/>
    <w:link w:val="z-BottomofForm"/>
    <w:uiPriority w:val="99"/>
    <w:semiHidden/>
    <w:rsid w:val="00DC1D05"/>
    <w:rPr>
      <w:rFonts w:ascii="Arial" w:eastAsia="Calibri" w:hAnsi="Arial" w:cs="Times New Roman"/>
      <w:vanish/>
      <w:sz w:val="16"/>
      <w:szCs w:val="16"/>
      <w:lang w:val="en-US" w:eastAsia="en-NZ"/>
    </w:rPr>
  </w:style>
  <w:style w:type="table" w:styleId="TableGrid3">
    <w:name w:val="Table Grid 3"/>
    <w:basedOn w:val="TableNormal"/>
    <w:uiPriority w:val="99"/>
    <w:semiHidden/>
    <w:unhideWhenUsed/>
    <w:rsid w:val="009B3B52"/>
    <w:pPr>
      <w:spacing w:before="120" w:after="120" w:line="280" w:lineRule="atLeast"/>
      <w:jc w:val="both"/>
    </w:pPr>
    <w:rPr>
      <w:rFonts w:ascii="Calibri" w:eastAsia="Calibri" w:hAnsi="Calibri" w:cs="Times New Roman"/>
      <w:sz w:val="20"/>
      <w:szCs w:val="20"/>
      <w:lang w:eastAsia="en-NZ"/>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Revision">
    <w:name w:val="Revision"/>
    <w:hidden/>
    <w:uiPriority w:val="99"/>
    <w:semiHidden/>
    <w:rsid w:val="00304AE0"/>
    <w:rPr>
      <w:rFonts w:ascii="Source Sans Pro" w:hAnsi="Source Sans Pro"/>
      <w:sz w:val="22"/>
    </w:rPr>
  </w:style>
  <w:style w:type="character" w:styleId="UnresolvedMention">
    <w:name w:val="Unresolved Mention"/>
    <w:basedOn w:val="DefaultParagraphFont"/>
    <w:uiPriority w:val="99"/>
    <w:semiHidden/>
    <w:unhideWhenUsed/>
    <w:rsid w:val="0018099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56530"/>
    <w:pPr>
      <w:spacing w:before="0" w:after="0" w:line="240" w:lineRule="auto"/>
    </w:pPr>
    <w:rPr>
      <w:rFonts w:ascii="Source Sans Pro" w:hAnsi="Source Sans Pro"/>
      <w:b/>
      <w:bCs/>
    </w:rPr>
  </w:style>
  <w:style w:type="character" w:customStyle="1" w:styleId="CommentSubjectChar">
    <w:name w:val="Comment Subject Char"/>
    <w:basedOn w:val="CommentTextChar"/>
    <w:link w:val="CommentSubject"/>
    <w:uiPriority w:val="99"/>
    <w:semiHidden/>
    <w:rsid w:val="00E56530"/>
    <w:rPr>
      <w:rFonts w:ascii="Source Sans Pro" w:hAnsi="Source Sans Pr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934659">
      <w:bodyDiv w:val="1"/>
      <w:marLeft w:val="0"/>
      <w:marRight w:val="0"/>
      <w:marTop w:val="0"/>
      <w:marBottom w:val="0"/>
      <w:divBdr>
        <w:top w:val="none" w:sz="0" w:space="0" w:color="auto"/>
        <w:left w:val="none" w:sz="0" w:space="0" w:color="auto"/>
        <w:bottom w:val="none" w:sz="0" w:space="0" w:color="auto"/>
        <w:right w:val="none" w:sz="0" w:space="0" w:color="auto"/>
      </w:divBdr>
    </w:div>
    <w:div w:id="496120394">
      <w:bodyDiv w:val="1"/>
      <w:marLeft w:val="0"/>
      <w:marRight w:val="0"/>
      <w:marTop w:val="0"/>
      <w:marBottom w:val="0"/>
      <w:divBdr>
        <w:top w:val="none" w:sz="0" w:space="0" w:color="auto"/>
        <w:left w:val="none" w:sz="0" w:space="0" w:color="auto"/>
        <w:bottom w:val="none" w:sz="0" w:space="0" w:color="auto"/>
        <w:right w:val="none" w:sz="0" w:space="0" w:color="auto"/>
      </w:divBdr>
    </w:div>
    <w:div w:id="1539202012">
      <w:bodyDiv w:val="1"/>
      <w:marLeft w:val="0"/>
      <w:marRight w:val="0"/>
      <w:marTop w:val="0"/>
      <w:marBottom w:val="0"/>
      <w:divBdr>
        <w:top w:val="none" w:sz="0" w:space="0" w:color="auto"/>
        <w:left w:val="none" w:sz="0" w:space="0" w:color="auto"/>
        <w:bottom w:val="none" w:sz="0" w:space="0" w:color="auto"/>
        <w:right w:val="none" w:sz="0" w:space="0" w:color="auto"/>
      </w:divBdr>
    </w:div>
    <w:div w:id="163868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docs.aws.amazon.com/awsaccountbilling/latest/aboutv2/ccft-overview.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microsoft.com/en-nz/sustainability/emissions-impact-dashboar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icrosoft.com/en-nz/sustainability/emissions-impact-dashboard"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docs.aws.amazon.com/cur/latest/userguide/what-is-data-exports.html"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David.Forest001@msd.govt.n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cs.aws.amazon.com/awsaccountbilling/latest/aboutv2/what-is-ccft.htm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CNGP">
      <a:dk1>
        <a:srgbClr val="000000"/>
      </a:dk1>
      <a:lt1>
        <a:srgbClr val="FFFFFF"/>
      </a:lt1>
      <a:dk2>
        <a:srgbClr val="152234"/>
      </a:dk2>
      <a:lt2>
        <a:srgbClr val="00B193"/>
      </a:lt2>
      <a:accent1>
        <a:srgbClr val="4BBA81"/>
      </a:accent1>
      <a:accent2>
        <a:srgbClr val="B3D789"/>
      </a:accent2>
      <a:accent3>
        <a:srgbClr val="F9F297"/>
      </a:accent3>
      <a:accent4>
        <a:srgbClr val="C73330"/>
      </a:accent4>
      <a:accent5>
        <a:srgbClr val="2A6EB3"/>
      </a:accent5>
      <a:accent6>
        <a:srgbClr val="66707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a9fc1f031f880e754432f1b8c8ae5595">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9120c695b11737ea56ee1a9c34dff7b4"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Email_x0020_Table xmlns="4a94300e-a927-4b92-9d3a-682523035cb6" xsi:nil="true"/>
    <MTS_x0020_ID xmlns="4a94300e-a927-4b92-9d3a-682523035cb6"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ECM-1122293896-124213</_dlc_DocId>
    <_dlc_DocIdUrl xmlns="58a6f171-52cb-4404-b47d-af1c8daf8fd1">
      <Url>https://ministryforenvironment.sharepoint.com/sites/ECM-ER-Comms/_layouts/15/DocIdRedir.aspx?ID=ECM-1122293896-124213</Url>
      <Description>ECM-1122293896-124213</Description>
    </_dlc_DocIdUrl>
    <IconOverlay xmlns="http://schemas.microsoft.com/sharepoint/v4" xsi:nil="true"/>
    <lcf76f155ced4ddcb4097134ff3c332f xmlns="4a94300e-a927-4b92-9d3a-682523035cb6">
      <Terms xmlns="http://schemas.microsoft.com/office/infopath/2007/PartnerControls"/>
    </lcf76f155ced4ddcb4097134ff3c332f>
    <TaxCatchAll xmlns="58a6f171-52cb-4404-b47d-af1c8daf8fd1" xsi:nil="true"/>
  </documentManagement>
</p:properties>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0A69259-5D2E-4ECB-A0E2-6317DEE746CB}">
  <ds:schemaRefs>
    <ds:schemaRef ds:uri="http://schemas.microsoft.com/sharepoint/events"/>
  </ds:schemaRefs>
</ds:datastoreItem>
</file>

<file path=customXml/itemProps2.xml><?xml version="1.0" encoding="utf-8"?>
<ds:datastoreItem xmlns:ds="http://schemas.openxmlformats.org/officeDocument/2006/customXml" ds:itemID="{0F606746-4181-4C71-943B-983D90FDCCFD}">
  <ds:schemaRefs>
    <ds:schemaRef ds:uri="http://schemas.microsoft.com/sharepoint/v3/contenttype/forms"/>
  </ds:schemaRefs>
</ds:datastoreItem>
</file>

<file path=customXml/itemProps3.xml><?xml version="1.0" encoding="utf-8"?>
<ds:datastoreItem xmlns:ds="http://schemas.openxmlformats.org/officeDocument/2006/customXml" ds:itemID="{12FF9D18-51F1-4080-A77C-7EC29A56D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FF5A74-2390-4B19-881E-1E35125CAE97}">
  <ds:schemaRefs>
    <ds:schemaRef ds:uri="http://schemas.microsoft.com/office/2006/documentManagement/types"/>
    <ds:schemaRef ds:uri="http://schemas.microsoft.com/office/infopath/2007/PartnerControls"/>
    <ds:schemaRef ds:uri="http://schemas.microsoft.com/sharepoint/v4"/>
    <ds:schemaRef ds:uri="http://purl.org/dc/terms/"/>
    <ds:schemaRef ds:uri="http://schemas.openxmlformats.org/package/2006/metadata/core-properties"/>
    <ds:schemaRef ds:uri="0a5b0190-e301-4766-933d-448c7c363fce"/>
    <ds:schemaRef ds:uri="http://purl.org/dc/dcmitype/"/>
    <ds:schemaRef ds:uri="http://purl.org/dc/elements/1.1/"/>
    <ds:schemaRef ds:uri="4a94300e-a927-4b92-9d3a-682523035cb6"/>
    <ds:schemaRef ds:uri="58a6f171-52cb-4404-b47d-af1c8daf8fd1"/>
    <ds:schemaRef ds:uri="http://schemas.microsoft.com/sharepoint/v3"/>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7604A0D4-270B-4C80-84F4-3EA81CFED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1498</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Aakash Patel</cp:lastModifiedBy>
  <cp:revision>127</cp:revision>
  <dcterms:created xsi:type="dcterms:W3CDTF">2024-12-11T22:31:00Z</dcterms:created>
  <dcterms:modified xsi:type="dcterms:W3CDTF">2025-03-04T02:17:00Z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0x010100EA5FB0BEBF7DE54D9F252D8A06C053F7</vt:lpwstr>
  </property>
  <property fmtid="{D5CDD505-2E9C-101B-9397-08002B2CF9AE}" pid="3" name="MSIP_Label_52dda6cc-d61d-4fd2-bf18-9b3017d931cc_Enabled">
    <vt:lpwstr>true</vt:lpwstr>
  </property>
  <property fmtid="{D5CDD505-2E9C-101B-9397-08002B2CF9AE}" pid="4" name="MSIP_Label_52dda6cc-d61d-4fd2-bf18-9b3017d931cc_SetDate">
    <vt:lpwstr>2024-12-11T20:24:17Z</vt:lpwstr>
  </property>
  <property fmtid="{D5CDD505-2E9C-101B-9397-08002B2CF9AE}" pid="5" name="MSIP_Label_52dda6cc-d61d-4fd2-bf18-9b3017d931cc_Method">
    <vt:lpwstr>Privileged</vt:lpwstr>
  </property>
  <property fmtid="{D5CDD505-2E9C-101B-9397-08002B2CF9AE}" pid="6" name="MSIP_Label_52dda6cc-d61d-4fd2-bf18-9b3017d931cc_Name">
    <vt:lpwstr>[UNCLASSIFIED]</vt:lpwstr>
  </property>
  <property fmtid="{D5CDD505-2E9C-101B-9397-08002B2CF9AE}" pid="7" name="MSIP_Label_52dda6cc-d61d-4fd2-bf18-9b3017d931cc_SiteId">
    <vt:lpwstr>761dd003-d4ff-4049-8a72-8549b20fcbb1</vt:lpwstr>
  </property>
  <property fmtid="{D5CDD505-2E9C-101B-9397-08002B2CF9AE}" pid="8" name="MSIP_Label_52dda6cc-d61d-4fd2-bf18-9b3017d931cc_ActionId">
    <vt:lpwstr>ceaabc08-59e7-4eb7-87ba-8acd213d06c3</vt:lpwstr>
  </property>
  <property fmtid="{D5CDD505-2E9C-101B-9397-08002B2CF9AE}" pid="9" name="MSIP_Label_52dda6cc-d61d-4fd2-bf18-9b3017d931cc_ContentBits">
    <vt:lpwstr>0</vt:lpwstr>
  </property>
  <property fmtid="{D5CDD505-2E9C-101B-9397-08002B2CF9AE}" pid="10" name="_dlc_DocIdItemGuid">
    <vt:lpwstr>e417dd0d-9e22-4574-8056-a04bab476734</vt:lpwstr>
  </property>
  <property fmtid="{D5CDD505-2E9C-101B-9397-08002B2CF9AE}" pid="11" name="MediaServiceImageTags">
    <vt:lpwstr/>
  </property>
</Properties>
</file>