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1DDD" w14:textId="14D78680" w:rsidR="00B30A89" w:rsidRDefault="00D171C6" w:rsidP="00524D5E">
      <w:pPr>
        <w:pStyle w:val="BodyText"/>
        <w:spacing w:after="5000"/>
      </w:pPr>
      <w:r>
        <w:rPr>
          <w:noProof/>
        </w:rPr>
        <w:drawing>
          <wp:anchor distT="0" distB="0" distL="114300" distR="114300" simplePos="0" relativeHeight="251658240" behindDoc="1" locked="0" layoutInCell="1" allowOverlap="1" wp14:anchorId="5135D67F" wp14:editId="49805A33">
            <wp:simplePos x="0" y="0"/>
            <wp:positionH relativeFrom="column">
              <wp:posOffset>-952618</wp:posOffset>
            </wp:positionH>
            <wp:positionV relativeFrom="paragraph">
              <wp:posOffset>-745490</wp:posOffset>
            </wp:positionV>
            <wp:extent cx="7618214" cy="4131945"/>
            <wp:effectExtent l="0" t="0" r="190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618333" cy="4132010"/>
                    </a:xfrm>
                    <a:prstGeom prst="rect">
                      <a:avLst/>
                    </a:prstGeom>
                  </pic:spPr>
                </pic:pic>
              </a:graphicData>
            </a:graphic>
            <wp14:sizeRelH relativeFrom="margin">
              <wp14:pctWidth>0</wp14:pctWidth>
            </wp14:sizeRelH>
            <wp14:sizeRelV relativeFrom="margin">
              <wp14:pctHeight>0</wp14:pctHeight>
            </wp14:sizeRelV>
          </wp:anchor>
        </w:drawing>
      </w:r>
      <w:r w:rsidR="00524D5E">
        <w:rPr>
          <w:noProof/>
        </w:rPr>
        <mc:AlternateContent>
          <mc:Choice Requires="wps">
            <w:drawing>
              <wp:anchor distT="0" distB="0" distL="114300" distR="114300" simplePos="0" relativeHeight="251658241" behindDoc="0" locked="0" layoutInCell="1" allowOverlap="1" wp14:anchorId="5C61D7A6" wp14:editId="309AD871">
                <wp:simplePos x="0" y="0"/>
                <wp:positionH relativeFrom="column">
                  <wp:posOffset>-96520</wp:posOffset>
                </wp:positionH>
                <wp:positionV relativeFrom="paragraph">
                  <wp:posOffset>605444</wp:posOffset>
                </wp:positionV>
                <wp:extent cx="6035104" cy="1649423"/>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104" cy="1649423"/>
                        </a:xfrm>
                        <a:prstGeom prst="rect">
                          <a:avLst/>
                        </a:prstGeom>
                        <a:noFill/>
                        <a:ln w="6350">
                          <a:noFill/>
                        </a:ln>
                      </wps:spPr>
                      <wps:txbx>
                        <w:txbxContent>
                          <w:p w14:paraId="4A3E9F23" w14:textId="5E3D00E0" w:rsidR="00AD3644" w:rsidRPr="00177432" w:rsidRDefault="00940186" w:rsidP="00940186">
                            <w:pPr>
                              <w:pStyle w:val="Title"/>
                            </w:pPr>
                            <w:bookmarkStart w:id="1" w:name="_Hlk126915778"/>
                            <w:bookmarkStart w:id="2" w:name="_Hlk126915779"/>
                            <w:r w:rsidRPr="00940186">
                              <w:t xml:space="preserve">Aotearoa New Zealand </w:t>
                            </w:r>
                            <w:r w:rsidR="00A66149">
                              <w:t>c</w:t>
                            </w:r>
                            <w:r w:rsidRPr="00940186">
                              <w:t xml:space="preserve">limate </w:t>
                            </w:r>
                            <w:r w:rsidR="00A66149">
                              <w:t>c</w:t>
                            </w:r>
                            <w:r w:rsidRPr="00940186">
                              <w:t xml:space="preserve">hange </w:t>
                            </w:r>
                            <w:r w:rsidR="00A66149">
                              <w:t>p</w:t>
                            </w:r>
                            <w:r w:rsidRPr="00940186">
                              <w:t>rojections</w:t>
                            </w:r>
                          </w:p>
                          <w:p w14:paraId="5F6BE6A4" w14:textId="2F232ED6" w:rsidR="00B349E3" w:rsidRPr="00AD3644" w:rsidRDefault="00A66149" w:rsidP="00296A94">
                            <w:pPr>
                              <w:pStyle w:val="Subtitle"/>
                            </w:pPr>
                            <w:r>
                              <w:t>Quick reference guide</w:t>
                            </w:r>
                            <w:bookmarkEnd w:id="1"/>
                            <w:bookmarkEnd w:id="2"/>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5C61D7A6" id="_x0000_t202" coordsize="21600,21600" o:spt="202" path="m,l,21600r21600,l21600,xe">
                <v:stroke joinstyle="miter"/>
                <v:path gradientshapeok="t" o:connecttype="rect"/>
              </v:shapetype>
              <v:shape id="Text Box 6" o:spid="_x0000_s1026" type="#_x0000_t202" style="position:absolute;margin-left:-7.6pt;margin-top:47.65pt;width:475.2pt;height:129.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" filled="f" stroked="f" strokeweight=".5pt">
                <v:textbox style="mso-fit-shape-to-text:t" inset="1mm,2mm,0">
                  <w:txbxContent>
                    <w:p w14:paraId="4A3E9F23" w14:textId="5E3D00E0" w:rsidR="00AD3644" w:rsidRPr="00177432" w:rsidRDefault="00940186" w:rsidP="00940186">
                      <w:pPr>
                        <w:pStyle w:val="Title"/>
                      </w:pPr>
                      <w:bookmarkStart w:id="3" w:name="_Hlk126915778"/>
                      <w:bookmarkStart w:id="4" w:name="_Hlk126915779"/>
                      <w:r w:rsidRPr="00940186">
                        <w:t xml:space="preserve">Aotearoa New Zealand </w:t>
                      </w:r>
                      <w:r w:rsidR="00A66149">
                        <w:t>c</w:t>
                      </w:r>
                      <w:r w:rsidRPr="00940186">
                        <w:t xml:space="preserve">limate </w:t>
                      </w:r>
                      <w:r w:rsidR="00A66149">
                        <w:t>c</w:t>
                      </w:r>
                      <w:r w:rsidRPr="00940186">
                        <w:t xml:space="preserve">hange </w:t>
                      </w:r>
                      <w:r w:rsidR="00A66149">
                        <w:t>p</w:t>
                      </w:r>
                      <w:r w:rsidRPr="00940186">
                        <w:t>rojections</w:t>
                      </w:r>
                    </w:p>
                    <w:p w14:paraId="5F6BE6A4" w14:textId="2F232ED6" w:rsidR="00B349E3" w:rsidRPr="00AD3644" w:rsidRDefault="00A66149" w:rsidP="00296A94">
                      <w:pPr>
                        <w:pStyle w:val="Subtitle"/>
                      </w:pPr>
                      <w:r>
                        <w:t>Quick reference guide</w:t>
                      </w:r>
                      <w:bookmarkEnd w:id="3"/>
                      <w:bookmarkEnd w:id="4"/>
                    </w:p>
                  </w:txbxContent>
                </v:textbox>
              </v:shape>
            </w:pict>
          </mc:Fallback>
        </mc:AlternateContent>
      </w:r>
    </w:p>
    <w:p w14:paraId="5D65C5FE" w14:textId="17F4406D" w:rsidR="00F5746A" w:rsidRPr="00225830" w:rsidRDefault="00940186" w:rsidP="00F5746A">
      <w:pPr>
        <w:pStyle w:val="Heading2"/>
      </w:pPr>
      <w:r w:rsidRPr="00940186">
        <w:t xml:space="preserve">Why have we released this guidance?     </w:t>
      </w:r>
    </w:p>
    <w:p w14:paraId="1A2D13A8" w14:textId="5DD12D89" w:rsidR="00561E9F" w:rsidRDefault="00940186" w:rsidP="00F5746A">
      <w:pPr>
        <w:pStyle w:val="BodyText"/>
      </w:pPr>
      <w:r w:rsidRPr="00940186">
        <w:t xml:space="preserve">This </w:t>
      </w:r>
      <w:r w:rsidR="00A66149">
        <w:t>info sheet</w:t>
      </w:r>
      <w:r w:rsidR="00A66149" w:rsidRPr="00940186">
        <w:t xml:space="preserve"> </w:t>
      </w:r>
      <w:r w:rsidR="005B1487">
        <w:t>provides a summary of</w:t>
      </w:r>
      <w:r w:rsidRPr="00940186">
        <w:t xml:space="preserve"> the </w:t>
      </w:r>
      <w:hyperlink r:id="rId13" w:history="1">
        <w:r w:rsidRPr="00940186">
          <w:rPr>
            <w:rStyle w:val="Hyperlink"/>
          </w:rPr>
          <w:t>Aotearoa Ne</w:t>
        </w:r>
        <w:r w:rsidRPr="00940186">
          <w:rPr>
            <w:rStyle w:val="Hyperlink"/>
          </w:rPr>
          <w:t>w</w:t>
        </w:r>
        <w:r w:rsidRPr="00940186">
          <w:rPr>
            <w:rStyle w:val="Hyperlink"/>
          </w:rPr>
          <w:t xml:space="preserve"> Zealand climate change projections guidance</w:t>
        </w:r>
      </w:hyperlink>
      <w:r w:rsidRPr="00940186">
        <w:t xml:space="preserve">, published in April 2022. The guidance </w:t>
      </w:r>
      <w:r w:rsidR="005B1487">
        <w:t>focuses on</w:t>
      </w:r>
      <w:r w:rsidR="005B1487" w:rsidRPr="00940186">
        <w:t xml:space="preserve"> </w:t>
      </w:r>
      <w:r w:rsidRPr="00940186">
        <w:t xml:space="preserve">and interprets information relevant to Aotearoa from the Working Group 1 (WGI) contribution to the Intergovernmental Panel on Climate Change (IPCC) </w:t>
      </w:r>
      <w:hyperlink r:id="rId14" w:history="1">
        <w:r w:rsidRPr="003C617A">
          <w:rPr>
            <w:rStyle w:val="Hyperlink"/>
          </w:rPr>
          <w:t xml:space="preserve">Sixth Assessment </w:t>
        </w:r>
        <w:r w:rsidRPr="003C617A">
          <w:rPr>
            <w:rStyle w:val="Hyperlink"/>
          </w:rPr>
          <w:t>R</w:t>
        </w:r>
        <w:r w:rsidRPr="003C617A">
          <w:rPr>
            <w:rStyle w:val="Hyperlink"/>
          </w:rPr>
          <w:t>eport (AR6)</w:t>
        </w:r>
      </w:hyperlink>
      <w:r w:rsidRPr="00940186">
        <w:t>, published in August 2021.</w:t>
      </w:r>
    </w:p>
    <w:p w14:paraId="24697FD6" w14:textId="0678F0BE" w:rsidR="00F5746A" w:rsidRDefault="00940186" w:rsidP="00F5746A">
      <w:pPr>
        <w:pStyle w:val="BodyText"/>
      </w:pPr>
      <w:r w:rsidRPr="00940186">
        <w:t>The AR6 features the most up-to-date physical understanding of the climate system and climate change</w:t>
      </w:r>
      <w:r w:rsidR="00934F74">
        <w:t>,</w:t>
      </w:r>
      <w:r w:rsidR="003C617A">
        <w:t xml:space="preserve"> based on</w:t>
      </w:r>
      <w:r w:rsidR="005B1487">
        <w:t xml:space="preserve"> </w:t>
      </w:r>
      <w:r w:rsidRPr="00940186">
        <w:t>an updated set of climate models and projections. The full guidance provides advice on wh</w:t>
      </w:r>
      <w:r w:rsidR="00934F74">
        <w:t>ich</w:t>
      </w:r>
      <w:r w:rsidRPr="00940186">
        <w:t xml:space="preserve"> climate model</w:t>
      </w:r>
      <w:r w:rsidR="00934F74">
        <w:t>s</w:t>
      </w:r>
      <w:r w:rsidRPr="00940186">
        <w:t xml:space="preserve"> to use (eg, CMIP5 or CMIP6), when to wait for updated climate scenarios and under what circumstances, and the greatest uncertainties or impacts in using modified AR5 scenarios.</w:t>
      </w:r>
    </w:p>
    <w:p w14:paraId="296084F6" w14:textId="77777777" w:rsidR="00940186" w:rsidRDefault="00940186" w:rsidP="00940186">
      <w:pPr>
        <w:pStyle w:val="Heading2"/>
      </w:pPr>
      <w:r>
        <w:t>How should this guidance be used?</w:t>
      </w:r>
    </w:p>
    <w:p w14:paraId="0EF4CECE" w14:textId="7FC73961" w:rsidR="00F4076F" w:rsidRDefault="00940186" w:rsidP="00940186">
      <w:pPr>
        <w:pStyle w:val="BodyText"/>
      </w:pPr>
      <w:r>
        <w:t xml:space="preserve">The </w:t>
      </w:r>
      <w:hyperlink r:id="rId15" w:history="1">
        <w:r w:rsidRPr="00934F74">
          <w:rPr>
            <w:rStyle w:val="Hyperlink"/>
          </w:rPr>
          <w:t>Aotearoa New Zealand climate change proj</w:t>
        </w:r>
        <w:r w:rsidRPr="00934F74">
          <w:rPr>
            <w:rStyle w:val="Hyperlink"/>
          </w:rPr>
          <w:t>e</w:t>
        </w:r>
        <w:r w:rsidRPr="00934F74">
          <w:rPr>
            <w:rStyle w:val="Hyperlink"/>
          </w:rPr>
          <w:t>ctions guidance</w:t>
        </w:r>
      </w:hyperlink>
      <w:r>
        <w:t xml:space="preserve"> should be used as the source of truth for projections at </w:t>
      </w:r>
      <w:r w:rsidR="00F4076F">
        <w:t xml:space="preserve">a </w:t>
      </w:r>
      <w:r>
        <w:t xml:space="preserve">national scale, based on the latest IPCC report and climate change projections for </w:t>
      </w:r>
      <w:r w:rsidR="00A66149">
        <w:t>Aotearoa</w:t>
      </w:r>
      <w:r>
        <w:t xml:space="preserve">. This </w:t>
      </w:r>
      <w:r w:rsidR="00561E9F">
        <w:t xml:space="preserve">info </w:t>
      </w:r>
      <w:r>
        <w:t>sheet acts as a summary for the full guidance.</w:t>
      </w:r>
    </w:p>
    <w:p w14:paraId="1E4E6B80" w14:textId="5CCE0C25" w:rsidR="008A113D" w:rsidRDefault="00940186" w:rsidP="00940186">
      <w:pPr>
        <w:pStyle w:val="BodyText"/>
      </w:pPr>
      <w:r>
        <w:t xml:space="preserve">More information on </w:t>
      </w:r>
      <w:r w:rsidR="00561E9F">
        <w:t xml:space="preserve">deciding which </w:t>
      </w:r>
      <w:r>
        <w:t xml:space="preserve">emissions scenario to use </w:t>
      </w:r>
      <w:r w:rsidR="00561E9F">
        <w:t xml:space="preserve">can be </w:t>
      </w:r>
      <w:r>
        <w:t xml:space="preserve">found in </w:t>
      </w:r>
      <w:hyperlink r:id="rId16" w:history="1">
        <w:r w:rsidR="00934F74" w:rsidRPr="00934F74">
          <w:rPr>
            <w:rStyle w:val="Hyperlink"/>
          </w:rPr>
          <w:t xml:space="preserve">Aotearoa New Zealand’s </w:t>
        </w:r>
        <w:r w:rsidRPr="00934F74">
          <w:rPr>
            <w:rStyle w:val="Hyperlink"/>
          </w:rPr>
          <w:t>first nation</w:t>
        </w:r>
        <w:r w:rsidRPr="00934F74">
          <w:rPr>
            <w:rStyle w:val="Hyperlink"/>
          </w:rPr>
          <w:t>a</w:t>
        </w:r>
        <w:r w:rsidRPr="00934F74">
          <w:rPr>
            <w:rStyle w:val="Hyperlink"/>
          </w:rPr>
          <w:t>l adaptation plan</w:t>
        </w:r>
      </w:hyperlink>
      <w:r>
        <w:t xml:space="preserve"> which recommends the middle</w:t>
      </w:r>
      <w:r w:rsidR="00AC27D5">
        <w:t>-</w:t>
      </w:r>
      <w:r>
        <w:t>of</w:t>
      </w:r>
      <w:r w:rsidR="00AC27D5">
        <w:t>-</w:t>
      </w:r>
      <w:r>
        <w:t>the</w:t>
      </w:r>
      <w:r w:rsidR="00AC27D5">
        <w:t>-</w:t>
      </w:r>
      <w:r>
        <w:t>road emissions scenario (SSP2-4.5, RCP4.5) and the fossil fuel</w:t>
      </w:r>
      <w:r w:rsidR="00F4076F">
        <w:t>-</w:t>
      </w:r>
      <w:r>
        <w:t>intensive development scenario (SSP5-8.5, RCP8.5) be used for detailed hazard and risk assessments in both coastal and non-coastal areas.</w:t>
      </w:r>
    </w:p>
    <w:p w14:paraId="77A79871" w14:textId="02A0E194" w:rsidR="00940186" w:rsidRDefault="00940186" w:rsidP="00940186">
      <w:pPr>
        <w:pStyle w:val="BodyText"/>
      </w:pPr>
      <w:bookmarkStart w:id="5" w:name="_Hlk126916038"/>
      <w:r>
        <w:t xml:space="preserve">It is appropriate to consider more than one scenario for stress testing due to the complexity </w:t>
      </w:r>
      <w:r w:rsidR="00AC27D5">
        <w:t>of</w:t>
      </w:r>
      <w:r w:rsidR="00F4076F">
        <w:t xml:space="preserve"> being</w:t>
      </w:r>
      <w:r w:rsidR="003348CD">
        <w:t xml:space="preserve"> a</w:t>
      </w:r>
      <w:r>
        <w:t xml:space="preserve"> projection and not forecast</w:t>
      </w:r>
      <w:bookmarkEnd w:id="5"/>
      <w:r w:rsidR="0079518A">
        <w:t>.</w:t>
      </w:r>
      <w:r>
        <w:t xml:space="preserve"> </w:t>
      </w:r>
      <w:r w:rsidR="00005073">
        <w:t>M</w:t>
      </w:r>
      <w:r>
        <w:t>ore information on this</w:t>
      </w:r>
      <w:r w:rsidR="00005073">
        <w:t xml:space="preserve"> can also be found in</w:t>
      </w:r>
      <w:r>
        <w:t xml:space="preserve"> the </w:t>
      </w:r>
      <w:hyperlink r:id="rId17" w:history="1">
        <w:r w:rsidR="00F4076F">
          <w:rPr>
            <w:rStyle w:val="Hyperlink"/>
          </w:rPr>
          <w:t>n</w:t>
        </w:r>
        <w:r w:rsidRPr="00940186">
          <w:rPr>
            <w:rStyle w:val="Hyperlink"/>
          </w:rPr>
          <w:t xml:space="preserve">ational adaptation plan and emissions reduction plan: </w:t>
        </w:r>
        <w:r w:rsidR="00F4076F">
          <w:rPr>
            <w:rStyle w:val="Hyperlink"/>
          </w:rPr>
          <w:t>r</w:t>
        </w:r>
        <w:r w:rsidRPr="00940186">
          <w:rPr>
            <w:rStyle w:val="Hyperlink"/>
          </w:rPr>
          <w:t xml:space="preserve">esource </w:t>
        </w:r>
        <w:r w:rsidRPr="00940186">
          <w:rPr>
            <w:rStyle w:val="Hyperlink"/>
          </w:rPr>
          <w:t>M</w:t>
        </w:r>
        <w:r w:rsidRPr="00940186">
          <w:rPr>
            <w:rStyle w:val="Hyperlink"/>
          </w:rPr>
          <w:t>anagement Act 1991 guidance note</w:t>
        </w:r>
      </w:hyperlink>
      <w:r>
        <w:t>.</w:t>
      </w:r>
    </w:p>
    <w:p w14:paraId="4743BD85" w14:textId="77777777" w:rsidR="008D2C00" w:rsidRDefault="008D2C00" w:rsidP="008D2C00">
      <w:pPr>
        <w:pStyle w:val="Heading2"/>
      </w:pPr>
      <w:r>
        <w:lastRenderedPageBreak/>
        <w:t>Key differences between AR5 and AR6</w:t>
      </w:r>
    </w:p>
    <w:p w14:paraId="0CCA6000" w14:textId="77777777" w:rsidR="008D2C00" w:rsidRDefault="008D2C00" w:rsidP="00693509">
      <w:pPr>
        <w:pStyle w:val="Heading3"/>
        <w:spacing w:before="240"/>
      </w:pPr>
      <w:r>
        <w:t>SSPs vs RCPs</w:t>
      </w:r>
    </w:p>
    <w:p w14:paraId="586EE302" w14:textId="2DD772C5" w:rsidR="00F10CAD" w:rsidRDefault="008D2C00" w:rsidP="00551297">
      <w:pPr>
        <w:pStyle w:val="BodyText"/>
      </w:pPr>
      <w:r w:rsidRPr="008D2C00">
        <w:rPr>
          <w:b/>
          <w:bCs/>
        </w:rPr>
        <w:t>Shared Socio-economic Pathway (SSP) scenarios further refine the previous greenhouse gas concentration scenarios known as Representative Concentration Pathways (RCPs)</w:t>
      </w:r>
      <w:r>
        <w:t>.</w:t>
      </w:r>
    </w:p>
    <w:p w14:paraId="15D1F76C" w14:textId="1F9294B7" w:rsidR="00CC1808" w:rsidRDefault="008D2C00" w:rsidP="00602817">
      <w:pPr>
        <w:pStyle w:val="BodyText"/>
        <w:spacing w:before="0"/>
      </w:pPr>
      <w:r>
        <w:t>IPCC published its Fifth Assessment Report (AR5) in late 2013</w:t>
      </w:r>
      <w:r w:rsidR="00296B25">
        <w:t>,</w:t>
      </w:r>
      <w:r>
        <w:t xml:space="preserve"> which used projections of future climate change associated with RCPs. These RCPs were based on greenhouse gas emissions, aerosol emissions and changes in land</w:t>
      </w:r>
      <w:r w:rsidR="00296B25">
        <w:t>-</w:t>
      </w:r>
      <w:r>
        <w:t>use patterns over time. The AR6 used SSPs instead of RCPs. The SSPs base their emission scenarios on a wide array of socio-economic drivers, including gross domestic product, population size, urbani</w:t>
      </w:r>
      <w:r w:rsidR="00296B25">
        <w:t>s</w:t>
      </w:r>
      <w:r>
        <w:t xml:space="preserve">ation, economic collaboration, and human and technological development. Scenarios are projections, not predictions or forecasts. They have been developed to provide narratives of a broad </w:t>
      </w:r>
      <w:r w:rsidR="00296B25">
        <w:t xml:space="preserve">range </w:t>
      </w:r>
      <w:r>
        <w:t>of possible futures (</w:t>
      </w:r>
      <w:r w:rsidR="00775786">
        <w:t>t</w:t>
      </w:r>
      <w:r>
        <w:t>able 1). Some SSP- and RCP-based scenarios reach the same radiative forcing</w:t>
      </w:r>
      <w:r w:rsidR="00D97B45">
        <w:t>*</w:t>
      </w:r>
      <w:r>
        <w:t xml:space="preserve"> by 2100, but the greenhouse gas concentration pathways taken to reach that radiative forcing are </w:t>
      </w:r>
      <w:r w:rsidR="00296B25">
        <w:t>different</w:t>
      </w:r>
      <w:r>
        <w:t xml:space="preserve"> (</w:t>
      </w:r>
      <w:r w:rsidR="00775786">
        <w:t>f</w:t>
      </w:r>
      <w:r>
        <w:t>igure 1). SSP1-1.9 was introduced in AR6 to explore the possibility of limiting warming to 1.5°C by 2100 (</w:t>
      </w:r>
      <w:r w:rsidR="00775786">
        <w:t>t</w:t>
      </w:r>
      <w:r>
        <w:t>able 1).</w:t>
      </w:r>
    </w:p>
    <w:p w14:paraId="330DA8A7" w14:textId="6FED8059" w:rsidR="001308F4" w:rsidRPr="006B77BB" w:rsidRDefault="001308F4" w:rsidP="001308F4">
      <w:pPr>
        <w:pStyle w:val="Tableheading"/>
      </w:pPr>
      <w:bookmarkStart w:id="6" w:name="_Toc454963812"/>
      <w:r w:rsidRPr="006B77BB">
        <w:t>Table 1:</w:t>
      </w:r>
      <w:r w:rsidRPr="006B77BB">
        <w:tab/>
      </w:r>
      <w:bookmarkEnd w:id="6"/>
      <w:r w:rsidR="008D2C00" w:rsidRPr="008D2C00">
        <w:t xml:space="preserve">Social action and scenario names for the new </w:t>
      </w:r>
      <w:r w:rsidR="00F10CAD">
        <w:t>S</w:t>
      </w:r>
      <w:r w:rsidR="008D2C00" w:rsidRPr="008D2C00">
        <w:t xml:space="preserve">hared </w:t>
      </w:r>
      <w:r w:rsidR="00D97B45">
        <w:t>S</w:t>
      </w:r>
      <w:r w:rsidR="008D2C00" w:rsidRPr="008D2C00">
        <w:t xml:space="preserve">ocio-economic </w:t>
      </w:r>
      <w:r w:rsidR="00D97B45">
        <w:t>P</w:t>
      </w:r>
      <w:r w:rsidR="008D2C00" w:rsidRPr="008D2C00">
        <w:t>athways described in AR6</w:t>
      </w:r>
    </w:p>
    <w:tbl>
      <w:tblPr>
        <w:tblStyle w:val="LightGrid-Accent11"/>
        <w:tblW w:w="5000" w:type="pct"/>
        <w:tblLook w:val="04A0" w:firstRow="1" w:lastRow="0" w:firstColumn="1" w:lastColumn="0" w:noHBand="0" w:noVBand="1"/>
      </w:tblPr>
      <w:tblGrid>
        <w:gridCol w:w="2694"/>
        <w:gridCol w:w="2268"/>
        <w:gridCol w:w="4109"/>
      </w:tblGrid>
      <w:tr w:rsidR="008D2C00" w:rsidRPr="00A2703A" w14:paraId="5F2F3DC2" w14:textId="7E42C58A" w:rsidTr="00B87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pct"/>
          </w:tcPr>
          <w:p w14:paraId="2E0BCDE9" w14:textId="6411778D" w:rsidR="008D2C00" w:rsidRPr="00A2703A" w:rsidRDefault="008D2C00" w:rsidP="006F0017">
            <w:pPr>
              <w:pStyle w:val="TableTextbold"/>
              <w:rPr>
                <w:b/>
                <w:bCs w:val="0"/>
              </w:rPr>
            </w:pPr>
            <w:bookmarkStart w:id="7" w:name="_Hlk126246223"/>
            <w:r>
              <w:rPr>
                <w:b/>
                <w:bCs w:val="0"/>
              </w:rPr>
              <w:t>Social action</w:t>
            </w:r>
            <w:r w:rsidRPr="00A2703A">
              <w:rPr>
                <w:b/>
                <w:bCs w:val="0"/>
              </w:rPr>
              <w:t xml:space="preserve"> </w:t>
            </w:r>
          </w:p>
        </w:tc>
        <w:tc>
          <w:tcPr>
            <w:tcW w:w="1250" w:type="pct"/>
          </w:tcPr>
          <w:p w14:paraId="15E722D0" w14:textId="7BD88866" w:rsidR="008D2C00" w:rsidRPr="00A2703A" w:rsidRDefault="008D2C00" w:rsidP="006F0017">
            <w:pPr>
              <w:pStyle w:val="TableTextbold"/>
              <w:cnfStyle w:val="100000000000" w:firstRow="1" w:lastRow="0" w:firstColumn="0" w:lastColumn="0" w:oddVBand="0" w:evenVBand="0" w:oddHBand="0" w:evenHBand="0" w:firstRowFirstColumn="0" w:firstRowLastColumn="0" w:lastRowFirstColumn="0" w:lastRowLastColumn="0"/>
              <w:rPr>
                <w:b/>
                <w:bCs w:val="0"/>
              </w:rPr>
            </w:pPr>
            <w:r>
              <w:rPr>
                <w:b/>
                <w:bCs w:val="0"/>
              </w:rPr>
              <w:t>Scenario name</w:t>
            </w:r>
          </w:p>
        </w:tc>
        <w:tc>
          <w:tcPr>
            <w:tcW w:w="2265" w:type="pct"/>
          </w:tcPr>
          <w:p w14:paraId="62A1410F" w14:textId="57F67A46" w:rsidR="008D2C00" w:rsidRPr="00A2703A" w:rsidRDefault="008D2C00" w:rsidP="006F0017">
            <w:pPr>
              <w:pStyle w:val="TableTextbold"/>
              <w:cnfStyle w:val="100000000000" w:firstRow="1" w:lastRow="0" w:firstColumn="0" w:lastColumn="0" w:oddVBand="0" w:evenVBand="0" w:oddHBand="0" w:evenHBand="0" w:firstRowFirstColumn="0" w:firstRowLastColumn="0" w:lastRowFirstColumn="0" w:lastRowLastColumn="0"/>
              <w:rPr>
                <w:b/>
                <w:bCs w:val="0"/>
              </w:rPr>
            </w:pPr>
            <w:r>
              <w:rPr>
                <w:b/>
                <w:bCs w:val="0"/>
              </w:rPr>
              <w:t>Temperature increases by 2100 (</w:t>
            </w:r>
            <w:r w:rsidRPr="7CEC68ED">
              <w:rPr>
                <w:rFonts w:eastAsia="Calibri" w:cs="Calibri"/>
                <w:b/>
                <w:szCs w:val="18"/>
              </w:rPr>
              <w:t>°</w:t>
            </w:r>
            <w:r w:rsidRPr="008D2C00">
              <w:rPr>
                <w:b/>
                <w:bCs w:val="0"/>
              </w:rPr>
              <w:t>C)</w:t>
            </w:r>
          </w:p>
        </w:tc>
      </w:tr>
      <w:tr w:rsidR="008D2C00" w:rsidRPr="006B77BB" w14:paraId="61AEE591" w14:textId="5F49B516" w:rsidTr="00B87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pct"/>
          </w:tcPr>
          <w:p w14:paraId="32611E29" w14:textId="60C86985" w:rsidR="008D2C00" w:rsidRPr="006B77BB" w:rsidRDefault="008D2C00" w:rsidP="008D2C00">
            <w:pPr>
              <w:pStyle w:val="Tableheading"/>
            </w:pPr>
            <w:r w:rsidRPr="7CEC68ED">
              <w:rPr>
                <w:rFonts w:eastAsia="Calibri"/>
              </w:rPr>
              <w:t xml:space="preserve">Sustainability </w:t>
            </w:r>
          </w:p>
        </w:tc>
        <w:tc>
          <w:tcPr>
            <w:tcW w:w="1250" w:type="pct"/>
          </w:tcPr>
          <w:p w14:paraId="52CEC6D6" w14:textId="7BC37A29" w:rsidR="008D2C00" w:rsidRPr="006B77BB" w:rsidRDefault="008D2C00" w:rsidP="008D2C00">
            <w:pPr>
              <w:pStyle w:val="TableText"/>
              <w:cnfStyle w:val="000000100000" w:firstRow="0" w:lastRow="0" w:firstColumn="0" w:lastColumn="0" w:oddVBand="0" w:evenVBand="0" w:oddHBand="1" w:evenHBand="0" w:firstRowFirstColumn="0" w:firstRowLastColumn="0" w:lastRowFirstColumn="0" w:lastRowLastColumn="0"/>
            </w:pPr>
            <w:r w:rsidRPr="7CEC68ED">
              <w:rPr>
                <w:rFonts w:eastAsia="Calibri"/>
              </w:rPr>
              <w:t xml:space="preserve">SSP1 </w:t>
            </w:r>
          </w:p>
        </w:tc>
        <w:tc>
          <w:tcPr>
            <w:tcW w:w="2265" w:type="pct"/>
          </w:tcPr>
          <w:p w14:paraId="46C9F637" w14:textId="77777777" w:rsidR="008D2C00" w:rsidRDefault="008D2C00" w:rsidP="008D2C00">
            <w:pPr>
              <w:pStyle w:val="TableText"/>
              <w:cnfStyle w:val="000000100000" w:firstRow="0" w:lastRow="0" w:firstColumn="0" w:lastColumn="0" w:oddVBand="0" w:evenVBand="0" w:oddHBand="1" w:evenHBand="0" w:firstRowFirstColumn="0" w:firstRowLastColumn="0" w:lastRowFirstColumn="0" w:lastRowLastColumn="0"/>
              <w:rPr>
                <w:rFonts w:eastAsia="Calibri"/>
              </w:rPr>
            </w:pPr>
            <w:r w:rsidRPr="7CEC68ED">
              <w:rPr>
                <w:rFonts w:eastAsia="Calibri"/>
              </w:rPr>
              <w:t xml:space="preserve">SSP1-1.9 – 1.4 </w:t>
            </w:r>
          </w:p>
          <w:p w14:paraId="29B508A0" w14:textId="4CF7742C" w:rsidR="008D2C00" w:rsidRPr="006B77BB" w:rsidRDefault="008D2C00" w:rsidP="008D2C00">
            <w:pPr>
              <w:pStyle w:val="TableText"/>
              <w:cnfStyle w:val="000000100000" w:firstRow="0" w:lastRow="0" w:firstColumn="0" w:lastColumn="0" w:oddVBand="0" w:evenVBand="0" w:oddHBand="1" w:evenHBand="0" w:firstRowFirstColumn="0" w:firstRowLastColumn="0" w:lastRowFirstColumn="0" w:lastRowLastColumn="0"/>
            </w:pPr>
            <w:r w:rsidRPr="7CEC68ED">
              <w:rPr>
                <w:rFonts w:eastAsia="Calibri"/>
              </w:rPr>
              <w:t>SSP1-2.6 – 7.8</w:t>
            </w:r>
          </w:p>
        </w:tc>
      </w:tr>
      <w:tr w:rsidR="008D2C00" w:rsidRPr="006B77BB" w14:paraId="3A1503F4" w14:textId="2118B0BA" w:rsidTr="00B87757">
        <w:tc>
          <w:tcPr>
            <w:cnfStyle w:val="001000000000" w:firstRow="0" w:lastRow="0" w:firstColumn="1" w:lastColumn="0" w:oddVBand="0" w:evenVBand="0" w:oddHBand="0" w:evenHBand="0" w:firstRowFirstColumn="0" w:firstRowLastColumn="0" w:lastRowFirstColumn="0" w:lastRowLastColumn="0"/>
            <w:tcW w:w="1485" w:type="pct"/>
          </w:tcPr>
          <w:p w14:paraId="0DA9E61D" w14:textId="038505D0" w:rsidR="008D2C00" w:rsidRPr="006B77BB" w:rsidRDefault="008D2C00" w:rsidP="008D2C00">
            <w:pPr>
              <w:pStyle w:val="Tableheading"/>
            </w:pPr>
            <w:r w:rsidRPr="7CEC68ED">
              <w:rPr>
                <w:rFonts w:eastAsia="Calibri"/>
              </w:rPr>
              <w:t xml:space="preserve">Middle-of-the-road </w:t>
            </w:r>
          </w:p>
        </w:tc>
        <w:tc>
          <w:tcPr>
            <w:tcW w:w="1250" w:type="pct"/>
          </w:tcPr>
          <w:p w14:paraId="49ED925E" w14:textId="153271B4" w:rsidR="008D2C00" w:rsidRPr="006B77BB" w:rsidRDefault="008D2C00" w:rsidP="008D2C00">
            <w:pPr>
              <w:pStyle w:val="TableText"/>
              <w:cnfStyle w:val="000000000000" w:firstRow="0" w:lastRow="0" w:firstColumn="0" w:lastColumn="0" w:oddVBand="0" w:evenVBand="0" w:oddHBand="0" w:evenHBand="0" w:firstRowFirstColumn="0" w:firstRowLastColumn="0" w:lastRowFirstColumn="0" w:lastRowLastColumn="0"/>
            </w:pPr>
            <w:r w:rsidRPr="7CEC68ED">
              <w:rPr>
                <w:rFonts w:eastAsia="Calibri"/>
              </w:rPr>
              <w:t xml:space="preserve">SSP2 </w:t>
            </w:r>
          </w:p>
        </w:tc>
        <w:tc>
          <w:tcPr>
            <w:tcW w:w="2265" w:type="pct"/>
          </w:tcPr>
          <w:p w14:paraId="4B4097CD" w14:textId="4C308DCE" w:rsidR="008D2C00" w:rsidRPr="006B77BB" w:rsidRDefault="008D2C00" w:rsidP="008D2C00">
            <w:pPr>
              <w:pStyle w:val="TableText"/>
              <w:cnfStyle w:val="000000000000" w:firstRow="0" w:lastRow="0" w:firstColumn="0" w:lastColumn="0" w:oddVBand="0" w:evenVBand="0" w:oddHBand="0" w:evenHBand="0" w:firstRowFirstColumn="0" w:firstRowLastColumn="0" w:lastRowFirstColumn="0" w:lastRowLastColumn="0"/>
            </w:pPr>
            <w:r w:rsidRPr="7CEC68ED">
              <w:rPr>
                <w:rFonts w:eastAsia="Calibri"/>
              </w:rPr>
              <w:t>SSP2-4.5 – 2.7</w:t>
            </w:r>
          </w:p>
        </w:tc>
      </w:tr>
      <w:tr w:rsidR="008D2C00" w:rsidRPr="006B77BB" w14:paraId="7A107082" w14:textId="080C7136" w:rsidTr="00B87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pct"/>
          </w:tcPr>
          <w:p w14:paraId="53457F61" w14:textId="213CB5A9" w:rsidR="008D2C00" w:rsidRPr="006B77BB" w:rsidRDefault="008D2C00" w:rsidP="008D2C00">
            <w:pPr>
              <w:pStyle w:val="Tableheading"/>
            </w:pPr>
            <w:r w:rsidRPr="7CEC68ED">
              <w:rPr>
                <w:rFonts w:eastAsia="Calibri"/>
              </w:rPr>
              <w:t xml:space="preserve">Regional rivalry </w:t>
            </w:r>
          </w:p>
        </w:tc>
        <w:tc>
          <w:tcPr>
            <w:tcW w:w="1250" w:type="pct"/>
          </w:tcPr>
          <w:p w14:paraId="2C34A0FA" w14:textId="4B40D524" w:rsidR="008D2C00" w:rsidRPr="006B77BB" w:rsidRDefault="008D2C00" w:rsidP="008D2C00">
            <w:pPr>
              <w:pStyle w:val="TableText"/>
              <w:cnfStyle w:val="000000100000" w:firstRow="0" w:lastRow="0" w:firstColumn="0" w:lastColumn="0" w:oddVBand="0" w:evenVBand="0" w:oddHBand="1" w:evenHBand="0" w:firstRowFirstColumn="0" w:firstRowLastColumn="0" w:lastRowFirstColumn="0" w:lastRowLastColumn="0"/>
            </w:pPr>
            <w:r w:rsidRPr="7CEC68ED">
              <w:rPr>
                <w:rFonts w:eastAsia="Calibri"/>
              </w:rPr>
              <w:t xml:space="preserve">SSP3 </w:t>
            </w:r>
          </w:p>
        </w:tc>
        <w:tc>
          <w:tcPr>
            <w:tcW w:w="2265" w:type="pct"/>
          </w:tcPr>
          <w:p w14:paraId="605FE102" w14:textId="7DBCFF29" w:rsidR="008D2C00" w:rsidRPr="006B77BB" w:rsidRDefault="008D2C00" w:rsidP="008D2C00">
            <w:pPr>
              <w:pStyle w:val="TableText"/>
              <w:cnfStyle w:val="000000100000" w:firstRow="0" w:lastRow="0" w:firstColumn="0" w:lastColumn="0" w:oddVBand="0" w:evenVBand="0" w:oddHBand="1" w:evenHBand="0" w:firstRowFirstColumn="0" w:firstRowLastColumn="0" w:lastRowFirstColumn="0" w:lastRowLastColumn="0"/>
            </w:pPr>
            <w:r w:rsidRPr="7CEC68ED">
              <w:rPr>
                <w:rFonts w:eastAsia="Calibri"/>
              </w:rPr>
              <w:t>SSP3-7.0 – 3.6</w:t>
            </w:r>
          </w:p>
        </w:tc>
      </w:tr>
      <w:tr w:rsidR="008D2C00" w:rsidRPr="006B77BB" w14:paraId="4762313D" w14:textId="77777777" w:rsidTr="00B87757">
        <w:tc>
          <w:tcPr>
            <w:cnfStyle w:val="001000000000" w:firstRow="0" w:lastRow="0" w:firstColumn="1" w:lastColumn="0" w:oddVBand="0" w:evenVBand="0" w:oddHBand="0" w:evenHBand="0" w:firstRowFirstColumn="0" w:firstRowLastColumn="0" w:lastRowFirstColumn="0" w:lastRowLastColumn="0"/>
            <w:tcW w:w="1485" w:type="pct"/>
          </w:tcPr>
          <w:p w14:paraId="1513258A" w14:textId="1D07DDF5" w:rsidR="008D2C00" w:rsidRPr="7CEC68ED" w:rsidRDefault="008D2C00" w:rsidP="008D2C00">
            <w:pPr>
              <w:pStyle w:val="Tableheading"/>
              <w:rPr>
                <w:rFonts w:eastAsia="Calibri"/>
                <w:bCs w:val="0"/>
              </w:rPr>
            </w:pPr>
            <w:r w:rsidRPr="7CEC68ED">
              <w:rPr>
                <w:rFonts w:eastAsia="Calibri"/>
              </w:rPr>
              <w:t xml:space="preserve">Inequality </w:t>
            </w:r>
          </w:p>
        </w:tc>
        <w:tc>
          <w:tcPr>
            <w:tcW w:w="1250" w:type="pct"/>
          </w:tcPr>
          <w:p w14:paraId="1A93E066" w14:textId="113D9C40" w:rsidR="008D2C00" w:rsidRPr="006B77BB" w:rsidRDefault="008D2C00" w:rsidP="008D2C00">
            <w:pPr>
              <w:pStyle w:val="TableText"/>
              <w:cnfStyle w:val="000000000000" w:firstRow="0" w:lastRow="0" w:firstColumn="0" w:lastColumn="0" w:oddVBand="0" w:evenVBand="0" w:oddHBand="0" w:evenHBand="0" w:firstRowFirstColumn="0" w:firstRowLastColumn="0" w:lastRowFirstColumn="0" w:lastRowLastColumn="0"/>
            </w:pPr>
            <w:r w:rsidRPr="7CEC68ED">
              <w:rPr>
                <w:rFonts w:eastAsia="Calibri"/>
              </w:rPr>
              <w:t xml:space="preserve">SSP4  </w:t>
            </w:r>
          </w:p>
        </w:tc>
        <w:tc>
          <w:tcPr>
            <w:tcW w:w="2265" w:type="pct"/>
          </w:tcPr>
          <w:p w14:paraId="3614648C" w14:textId="5695B43D" w:rsidR="008D2C00" w:rsidRPr="006B77BB" w:rsidRDefault="008D2C00" w:rsidP="008D2C00">
            <w:pPr>
              <w:pStyle w:val="TableText"/>
              <w:cnfStyle w:val="000000000000" w:firstRow="0" w:lastRow="0" w:firstColumn="0" w:lastColumn="0" w:oddVBand="0" w:evenVBand="0" w:oddHBand="0" w:evenHBand="0" w:firstRowFirstColumn="0" w:firstRowLastColumn="0" w:lastRowFirstColumn="0" w:lastRowLastColumn="0"/>
            </w:pPr>
            <w:r w:rsidRPr="7CEC68ED">
              <w:rPr>
                <w:rFonts w:eastAsia="Calibri"/>
              </w:rPr>
              <w:t>-</w:t>
            </w:r>
          </w:p>
        </w:tc>
      </w:tr>
      <w:tr w:rsidR="008D2C00" w:rsidRPr="006B77BB" w14:paraId="51B6BA1A" w14:textId="77777777" w:rsidTr="00B87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pct"/>
          </w:tcPr>
          <w:p w14:paraId="6352E20D" w14:textId="6A0E4A17" w:rsidR="008D2C00" w:rsidRPr="7CEC68ED" w:rsidRDefault="008D2C00" w:rsidP="008D2C00">
            <w:pPr>
              <w:pStyle w:val="Tableheading"/>
              <w:rPr>
                <w:rFonts w:eastAsia="Calibri"/>
                <w:bCs w:val="0"/>
              </w:rPr>
            </w:pPr>
            <w:r w:rsidRPr="7CEC68ED">
              <w:rPr>
                <w:rFonts w:eastAsia="Calibri"/>
              </w:rPr>
              <w:t xml:space="preserve">Fossil fuel-intensive </w:t>
            </w:r>
          </w:p>
        </w:tc>
        <w:tc>
          <w:tcPr>
            <w:tcW w:w="1250" w:type="pct"/>
          </w:tcPr>
          <w:p w14:paraId="7DB70355" w14:textId="039FF262" w:rsidR="008D2C00" w:rsidRPr="006B77BB" w:rsidRDefault="008D2C00" w:rsidP="008D2C00">
            <w:pPr>
              <w:pStyle w:val="TableText"/>
              <w:cnfStyle w:val="000000100000" w:firstRow="0" w:lastRow="0" w:firstColumn="0" w:lastColumn="0" w:oddVBand="0" w:evenVBand="0" w:oddHBand="1" w:evenHBand="0" w:firstRowFirstColumn="0" w:firstRowLastColumn="0" w:lastRowFirstColumn="0" w:lastRowLastColumn="0"/>
            </w:pPr>
            <w:r w:rsidRPr="7CEC68ED">
              <w:rPr>
                <w:rFonts w:eastAsia="Calibri"/>
              </w:rPr>
              <w:t xml:space="preserve">SSP5 </w:t>
            </w:r>
          </w:p>
        </w:tc>
        <w:tc>
          <w:tcPr>
            <w:tcW w:w="2265" w:type="pct"/>
          </w:tcPr>
          <w:p w14:paraId="7107C252" w14:textId="06F24039" w:rsidR="008D2C00" w:rsidRPr="006B77BB" w:rsidRDefault="008D2C00" w:rsidP="008D2C00">
            <w:pPr>
              <w:pStyle w:val="TableText"/>
              <w:cnfStyle w:val="000000100000" w:firstRow="0" w:lastRow="0" w:firstColumn="0" w:lastColumn="0" w:oddVBand="0" w:evenVBand="0" w:oddHBand="1" w:evenHBand="0" w:firstRowFirstColumn="0" w:firstRowLastColumn="0" w:lastRowFirstColumn="0" w:lastRowLastColumn="0"/>
            </w:pPr>
            <w:r w:rsidRPr="7CEC68ED">
              <w:rPr>
                <w:rFonts w:eastAsia="Calibri"/>
              </w:rPr>
              <w:t>SSP5-8.5 – 4.4</w:t>
            </w:r>
          </w:p>
        </w:tc>
      </w:tr>
    </w:tbl>
    <w:bookmarkEnd w:id="7"/>
    <w:p w14:paraId="63B91553" w14:textId="7B6F52B8" w:rsidR="001308F4" w:rsidRPr="00C675C4" w:rsidRDefault="00D97B45" w:rsidP="00D97B45">
      <w:pPr>
        <w:pStyle w:val="Note"/>
      </w:pPr>
      <w:r>
        <w:t xml:space="preserve">Note: </w:t>
      </w:r>
      <w:r w:rsidRPr="00D97B45">
        <w:t>Temperature estimates for 2100 are from AR6 Summary for Policy Makers, table SPM.1.</w:t>
      </w:r>
    </w:p>
    <w:tbl>
      <w:tblPr>
        <w:tblW w:w="4926" w:type="pct"/>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8927"/>
      </w:tblGrid>
      <w:tr w:rsidR="00A97FB7" w:rsidRPr="00A01420" w14:paraId="534B182A" w14:textId="77777777" w:rsidTr="00C675C4">
        <w:tc>
          <w:tcPr>
            <w:tcW w:w="5000" w:type="pct"/>
            <w:shd w:val="clear" w:color="auto" w:fill="D2DDE1"/>
          </w:tcPr>
          <w:p w14:paraId="70219481" w14:textId="3341980E" w:rsidR="00A97FB7" w:rsidRPr="00A01420" w:rsidRDefault="00D97B45" w:rsidP="00A97FB7">
            <w:pPr>
              <w:pStyle w:val="Boxtext"/>
              <w:rPr>
                <w:szCs w:val="20"/>
              </w:rPr>
            </w:pPr>
            <w:r>
              <w:rPr>
                <w:b/>
                <w:bCs/>
              </w:rPr>
              <w:t>*</w:t>
            </w:r>
            <w:r w:rsidR="00A97FB7" w:rsidRPr="00A97FB7">
              <w:rPr>
                <w:b/>
                <w:bCs/>
              </w:rPr>
              <w:t>Radiative forcing is the difference between the energy entering our atmosphere and the energy leaving it</w:t>
            </w:r>
            <w:r w:rsidR="00A97FB7" w:rsidRPr="00A97FB7">
              <w:t xml:space="preserve">. If that number is greater than </w:t>
            </w:r>
            <w:r>
              <w:t>zero</w:t>
            </w:r>
            <w:r w:rsidR="00A97FB7" w:rsidRPr="00A97FB7">
              <w:t>, our atmospheric temperature can increase. For example, SSP1-1.9 would mean that the “sustainability” path was taken, and the radiative forcing resulting from these emissions by 2100 is 1.9 W m</w:t>
            </w:r>
            <w:r w:rsidR="00A97FB7" w:rsidRPr="00A97FB7">
              <w:rPr>
                <w:vertAlign w:val="superscript"/>
              </w:rPr>
              <w:t>2</w:t>
            </w:r>
            <w:r w:rsidR="00A97FB7" w:rsidRPr="00A97FB7">
              <w:t>, leading to an increase in atmospheric temperature (</w:t>
            </w:r>
            <w:r w:rsidR="00775786">
              <w:t>t</w:t>
            </w:r>
            <w:r w:rsidR="00A97FB7" w:rsidRPr="00A97FB7">
              <w:t>able 1).</w:t>
            </w:r>
          </w:p>
        </w:tc>
      </w:tr>
    </w:tbl>
    <w:p w14:paraId="38E86AC6" w14:textId="362BB1B8" w:rsidR="00A97FB7" w:rsidRDefault="003348CD" w:rsidP="00A97FB7">
      <w:pPr>
        <w:pStyle w:val="Figureheading"/>
      </w:pPr>
      <w:r>
        <w:rPr>
          <w:noProof/>
          <w:color w:val="2B579A"/>
          <w:shd w:val="clear" w:color="auto" w:fill="E6E6E6"/>
        </w:rPr>
        <w:drawing>
          <wp:anchor distT="0" distB="0" distL="114300" distR="114300" simplePos="0" relativeHeight="251660290" behindDoc="0" locked="0" layoutInCell="1" allowOverlap="1" wp14:anchorId="734E84EE" wp14:editId="72C0FD21">
            <wp:simplePos x="0" y="0"/>
            <wp:positionH relativeFrom="margin">
              <wp:posOffset>45508</wp:posOffset>
            </wp:positionH>
            <wp:positionV relativeFrom="paragraph">
              <wp:posOffset>317923</wp:posOffset>
            </wp:positionV>
            <wp:extent cx="3562350" cy="138112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b="67977"/>
                    <a:stretch/>
                  </pic:blipFill>
                  <pic:spPr bwMode="auto">
                    <a:xfrm>
                      <a:off x="0" y="0"/>
                      <a:ext cx="3562350" cy="13811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97FB7">
        <w:t xml:space="preserve">Figure 1: </w:t>
      </w:r>
      <w:r w:rsidR="00A97FB7">
        <w:tab/>
      </w:r>
      <w:r w:rsidR="00A97FB7" w:rsidRPr="00A97FB7">
        <w:t>Global, annual</w:t>
      </w:r>
      <w:r w:rsidR="00D97B45">
        <w:t xml:space="preserve"> </w:t>
      </w:r>
      <w:r w:rsidR="00A97FB7" w:rsidRPr="00A97FB7">
        <w:t>mean CO</w:t>
      </w:r>
      <w:r w:rsidR="00A97FB7" w:rsidRPr="00A97FB7">
        <w:rPr>
          <w:vertAlign w:val="subscript"/>
        </w:rPr>
        <w:t>2</w:t>
      </w:r>
      <w:r w:rsidR="00A97FB7" w:rsidRPr="00A97FB7">
        <w:t xml:space="preserve"> gas concentrations for SSPs and RCPs</w:t>
      </w:r>
    </w:p>
    <w:p w14:paraId="24C73A5A" w14:textId="6F4D3156" w:rsidR="00A97FB7" w:rsidRDefault="00D97B45" w:rsidP="00D97B45">
      <w:pPr>
        <w:pStyle w:val="Note"/>
      </w:pPr>
      <w:r>
        <w:t>Note</w:t>
      </w:r>
      <w:r w:rsidR="00602817">
        <w:t>s</w:t>
      </w:r>
      <w:r>
        <w:t xml:space="preserve">: SSPs = solid lines. RCPs = dashed lines. </w:t>
      </w:r>
      <w:r w:rsidRPr="00D97B45">
        <w:t xml:space="preserve">Data is sourced from Meinshausen et al. (2011) and Meinshausen et al. (2020). </w:t>
      </w:r>
      <w:r w:rsidRPr="0079518A">
        <w:t>F</w:t>
      </w:r>
      <w:r w:rsidR="0079518A" w:rsidRPr="0079518A">
        <w:t>igure f</w:t>
      </w:r>
      <w:r w:rsidRPr="0079518A">
        <w:t xml:space="preserve">rom </w:t>
      </w:r>
      <w:r w:rsidR="008D4AC9">
        <w:t xml:space="preserve">the full Aotearoa New Zealand Climate Change Projections guidance </w:t>
      </w:r>
      <w:r w:rsidRPr="0079518A">
        <w:t>(2022).</w:t>
      </w:r>
    </w:p>
    <w:p w14:paraId="668A3D95" w14:textId="77777777" w:rsidR="00A97FB7" w:rsidRDefault="00A97FB7" w:rsidP="00A97FB7">
      <w:pPr>
        <w:pStyle w:val="Heading3"/>
      </w:pPr>
      <w:r>
        <w:lastRenderedPageBreak/>
        <w:t>CMIP5 vs CMIP6</w:t>
      </w:r>
    </w:p>
    <w:p w14:paraId="28FE3F62" w14:textId="782121B3" w:rsidR="008A113D" w:rsidRDefault="00A97FB7" w:rsidP="00A97FB7">
      <w:pPr>
        <w:pStyle w:val="BodyText"/>
      </w:pPr>
      <w:r>
        <w:t>The Coupled Model Intercomparison Project (CMIP) is a World Climate Research Programme project that coordinates climate model experiments</w:t>
      </w:r>
      <w:r w:rsidR="00D066AE">
        <w:t>,</w:t>
      </w:r>
      <w:r>
        <w:t xml:space="preserve"> with the goal to improve scientific knowledge about the Earth system. The AR6 assesses results from CMIP Phase 6 (CMIP6).</w:t>
      </w:r>
    </w:p>
    <w:p w14:paraId="1F61F7A1" w14:textId="0E20E5B0" w:rsidR="008A113D" w:rsidRDefault="00A97FB7" w:rsidP="00A97FB7">
      <w:pPr>
        <w:pStyle w:val="BodyText"/>
      </w:pPr>
      <w:r w:rsidRPr="00A97FB7">
        <w:rPr>
          <w:b/>
          <w:bCs/>
        </w:rPr>
        <w:t xml:space="preserve">CMIP6 is the next generation of climate models </w:t>
      </w:r>
      <w:r w:rsidR="00D066AE">
        <w:rPr>
          <w:b/>
          <w:bCs/>
        </w:rPr>
        <w:t xml:space="preserve">– it </w:t>
      </w:r>
      <w:r w:rsidR="00A7599F">
        <w:rPr>
          <w:b/>
          <w:bCs/>
        </w:rPr>
        <w:t>has</w:t>
      </w:r>
      <w:r w:rsidR="00A7599F" w:rsidRPr="00A97FB7">
        <w:rPr>
          <w:b/>
          <w:bCs/>
        </w:rPr>
        <w:t xml:space="preserve"> </w:t>
      </w:r>
      <w:r w:rsidRPr="00A97FB7">
        <w:rPr>
          <w:b/>
          <w:bCs/>
        </w:rPr>
        <w:t>finer spatial resolutions, additional Earth system processes including biochemical systems and ice sheets, and better constrained parameters of cloud processes</w:t>
      </w:r>
      <w:r>
        <w:t>.</w:t>
      </w:r>
    </w:p>
    <w:p w14:paraId="73EED078" w14:textId="0CA03FCD" w:rsidR="00A97FB7" w:rsidRDefault="00A97FB7" w:rsidP="00A97FB7">
      <w:pPr>
        <w:pStyle w:val="BodyText"/>
      </w:pPr>
      <w:r>
        <w:t>Additionally, SSPs determined the emission scenarios which were put into CMIP6, whereas the inputs for CMIP5 were solely emission scenarios. This extra step resulted in the improvement of the simulation of large-scale indicators of climate change and many other aspects of the climate system in CMIP6.</w:t>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A97FB7" w:rsidRPr="00A01420" w14:paraId="118650DC" w14:textId="77777777" w:rsidTr="002F0972">
        <w:tc>
          <w:tcPr>
            <w:tcW w:w="0" w:type="auto"/>
            <w:shd w:val="clear" w:color="auto" w:fill="D2DDE1"/>
          </w:tcPr>
          <w:p w14:paraId="2EAA62A5" w14:textId="16CFCE53" w:rsidR="00A97FB7" w:rsidRPr="00A97FB7" w:rsidRDefault="00A97FB7" w:rsidP="00A97FB7">
            <w:pPr>
              <w:pStyle w:val="Boxheading"/>
            </w:pPr>
            <w:r w:rsidRPr="00A97FB7">
              <w:t>What do IPCC levels of confidence and likelihood mean?</w:t>
            </w:r>
          </w:p>
          <w:p w14:paraId="381ED2B6" w14:textId="5F2445FA" w:rsidR="00A97FB7" w:rsidRPr="00A97FB7" w:rsidRDefault="00A97FB7" w:rsidP="007A2E09">
            <w:pPr>
              <w:pStyle w:val="Boxtext"/>
              <w:spacing w:after="240"/>
            </w:pPr>
            <w:r w:rsidRPr="00A97FB7">
              <w:t>The IPCC uses two metrics to communicate its degree of certainty: confidence and likelihood.</w:t>
            </w:r>
            <w:r w:rsidR="00A7599F">
              <w:t xml:space="preserve"> </w:t>
            </w:r>
            <w:r w:rsidRPr="00A97FB7">
              <w:t>Confidence is a qualitative measure that refers to the validity of a finding. It is based on the type, amount, quality and consistency of evidence. If confidence is sufficient and there is quantitative evidence, these findings can be expressed with likelihood statements. Likelihood is a quantitative measure of uncertainty and is established through statistical analysis of observations or model results (or both) and the judgement of experts.</w:t>
            </w:r>
          </w:p>
        </w:tc>
      </w:tr>
    </w:tbl>
    <w:p w14:paraId="003ABBEE" w14:textId="77777777" w:rsidR="007A2E09" w:rsidRDefault="007A2E09" w:rsidP="007A2E09">
      <w:pPr>
        <w:pStyle w:val="Heading2"/>
      </w:pPr>
      <w:r>
        <w:t>Trends and projections of Aotearoa New Zealand’s climate</w:t>
      </w:r>
    </w:p>
    <w:p w14:paraId="68483D59" w14:textId="77777777" w:rsidR="007A2E09" w:rsidRDefault="007A2E09" w:rsidP="007A2E09">
      <w:pPr>
        <w:pStyle w:val="Heading3"/>
      </w:pPr>
      <w:r>
        <w:t>Mean surface air temperature</w:t>
      </w:r>
    </w:p>
    <w:p w14:paraId="458F267D" w14:textId="58551895" w:rsidR="00D066AE" w:rsidRDefault="007A2E09" w:rsidP="00D42F21">
      <w:pPr>
        <w:pStyle w:val="BodyText"/>
      </w:pPr>
      <w:r w:rsidRPr="00ED79F2">
        <w:t xml:space="preserve">Temperatures globally and locally have been rising over the last </w:t>
      </w:r>
      <w:r w:rsidR="00D42F21" w:rsidRPr="00ED79F2">
        <w:t xml:space="preserve">few </w:t>
      </w:r>
      <w:r w:rsidRPr="00ED79F2">
        <w:t>decades and are projected to keep rising</w:t>
      </w:r>
      <w:r w:rsidRPr="00D066AE">
        <w:t>.</w:t>
      </w:r>
      <w:r>
        <w:t xml:space="preserve"> The AR6 WGI report pulls together various sources of historic global climate data. According to this report, mean global surface temperature was 1.09°C (0.95 to 1.2°C) higher between 2011 and 2020</w:t>
      </w:r>
      <w:r w:rsidR="00D42F21">
        <w:t>,</w:t>
      </w:r>
      <w:r>
        <w:t xml:space="preserve"> relative to the period 1850</w:t>
      </w:r>
      <w:r w:rsidR="00D42F21">
        <w:t>–</w:t>
      </w:r>
      <w:r>
        <w:t>1900. During the period 1909</w:t>
      </w:r>
      <w:r w:rsidR="00D42F21">
        <w:t>–</w:t>
      </w:r>
      <w:r>
        <w:t xml:space="preserve">2016, </w:t>
      </w:r>
      <w:r w:rsidR="00A66149">
        <w:t>Aotearoa</w:t>
      </w:r>
      <w:r>
        <w:t xml:space="preserve"> experienced a similar increase in surface temperature of 1.1°C (MfE and Stats, 2020). Since 1909</w:t>
      </w:r>
      <w:r w:rsidR="00D42F21">
        <w:t>,</w:t>
      </w:r>
      <w:r>
        <w:t xml:space="preserve"> a rate of increase of 0.09 ± 0.01°C per decade has been observed (</w:t>
      </w:r>
      <w:r w:rsidR="00775786">
        <w:t>t</w:t>
      </w:r>
      <w:r>
        <w:t>able 25-1, IPCC AR6). The difference in date ranges for these measurements is due to different sources of the data.</w:t>
      </w:r>
    </w:p>
    <w:p w14:paraId="36667FC3" w14:textId="1814EF44" w:rsidR="007A2E09" w:rsidRDefault="007A2E09" w:rsidP="00D42F21">
      <w:pPr>
        <w:pStyle w:val="BodyText"/>
      </w:pPr>
      <w:r>
        <w:t xml:space="preserve">SSP1-2.6 projects mean air temperature in </w:t>
      </w:r>
      <w:r w:rsidR="00A66149">
        <w:t>Aotearoa</w:t>
      </w:r>
      <w:r>
        <w:t xml:space="preserve"> to be 0.75°C warmer by mid-century, and 0.8°C warmer by end of century, relative to 1995</w:t>
      </w:r>
      <w:r w:rsidR="00D42F21">
        <w:t>–</w:t>
      </w:r>
      <w:r>
        <w:t xml:space="preserve">2014. Under SSP2-4.5, these projections are 1.0°C (0.6 to 1.32°C) warmer by mid-century, and 1.6°C (1.03 to 2.26°C) by end </w:t>
      </w:r>
      <w:r w:rsidR="00D42F21">
        <w:t xml:space="preserve">of </w:t>
      </w:r>
      <w:r>
        <w:t>century. Under SSP5-8.5, the projected increase is 1.3°C (0.91 to 1.66°C) by mid-century and 3.1°C (2.2 to 4.05°C) by end of century.</w:t>
      </w:r>
    </w:p>
    <w:p w14:paraId="15402A71" w14:textId="77777777" w:rsidR="007A2E09" w:rsidRDefault="007A2E09" w:rsidP="007A2E09">
      <w:pPr>
        <w:pStyle w:val="Heading3"/>
      </w:pPr>
      <w:r>
        <w:t xml:space="preserve">Hot extremes and cold extremes </w:t>
      </w:r>
    </w:p>
    <w:p w14:paraId="59A8F948" w14:textId="32DB2616" w:rsidR="007A2E09" w:rsidRDefault="007A2E09" w:rsidP="00D42F21">
      <w:pPr>
        <w:pStyle w:val="BodyText"/>
      </w:pPr>
      <w:r w:rsidRPr="00ED79F2">
        <w:t>Hot extremes are projected to increase and cold extremes are projected to decrease</w:t>
      </w:r>
      <w:r>
        <w:t xml:space="preserve">. Since the 1950s, </w:t>
      </w:r>
      <w:r w:rsidR="00A66149">
        <w:t>Aotearoa</w:t>
      </w:r>
      <w:r>
        <w:t xml:space="preserve"> has experienced an increasing frequency and severity of hot extremes. The number of annual heatwave days increased at 18 of the 30 monitoring sites across </w:t>
      </w:r>
      <w:r w:rsidR="00A66149">
        <w:t>the country</w:t>
      </w:r>
      <w:r>
        <w:t xml:space="preserve"> during the period 1972 to 2019 (MfE and Stats NZ, 2020). AR6 projects a continuing increase in the intensity and frequency of the annual hottest daily maximum temperatures for </w:t>
      </w:r>
      <w:r w:rsidR="00A66149">
        <w:t>Aotearoa</w:t>
      </w:r>
      <w:r>
        <w:t xml:space="preserve"> (</w:t>
      </w:r>
      <w:r w:rsidR="00775786">
        <w:t>t</w:t>
      </w:r>
      <w:r>
        <w:t xml:space="preserve">able 2). </w:t>
      </w:r>
    </w:p>
    <w:p w14:paraId="08D8267E" w14:textId="4DF7358A" w:rsidR="007A2E09" w:rsidRDefault="00A66149" w:rsidP="007A2E09">
      <w:pPr>
        <w:pStyle w:val="BodyText"/>
      </w:pPr>
      <w:r>
        <w:lastRenderedPageBreak/>
        <w:t>Aotearoa</w:t>
      </w:r>
      <w:r w:rsidR="007A2E09">
        <w:t xml:space="preserve"> has experienced less frequent and intense cold extremes since the 1950s. A decrease in the number of frost days w</w:t>
      </w:r>
      <w:r w:rsidR="00BE7E3D">
        <w:t>as</w:t>
      </w:r>
      <w:r w:rsidR="007A2E09">
        <w:t xml:space="preserve"> reported at 12 out of 30 monitoring sites around </w:t>
      </w:r>
      <w:r>
        <w:t>the country</w:t>
      </w:r>
      <w:r w:rsidR="007A2E09">
        <w:t xml:space="preserve"> between 1972 and 2019, and AR6 projects that frost days will </w:t>
      </w:r>
      <w:r w:rsidR="00BE7E3D">
        <w:t xml:space="preserve">continue to </w:t>
      </w:r>
      <w:r w:rsidR="007A2E09">
        <w:t>decrease in the future (</w:t>
      </w:r>
      <w:r w:rsidR="00775786">
        <w:t>t</w:t>
      </w:r>
      <w:r w:rsidR="007A2E09">
        <w:t xml:space="preserve">able 3). The confidence and likelihood of a decrease in the intensity and frequency of the annual coldest daily minimum temperature for New Zealand is shown in </w:t>
      </w:r>
      <w:r w:rsidR="00775786">
        <w:t>t</w:t>
      </w:r>
      <w:r w:rsidR="007A2E09">
        <w:t>able 2.</w:t>
      </w:r>
    </w:p>
    <w:p w14:paraId="08A91402" w14:textId="34044086" w:rsidR="007A2E09" w:rsidRDefault="007A2E09" w:rsidP="007A2E09">
      <w:pPr>
        <w:pStyle w:val="Tableheading"/>
      </w:pPr>
      <w:r w:rsidRPr="007A2E09">
        <w:t xml:space="preserve">Table 2: </w:t>
      </w:r>
      <w:r>
        <w:tab/>
      </w:r>
      <w:r w:rsidRPr="007A2E09">
        <w:t>Confidence and likelihood of an increase in intensity and frequency of the hottest daily maximum temperature and the coldest daily minimum temperature</w:t>
      </w:r>
    </w:p>
    <w:tbl>
      <w:tblPr>
        <w:tblStyle w:val="LightGrid-Accent11"/>
        <w:tblW w:w="5000" w:type="pct"/>
        <w:tblLook w:val="04A0" w:firstRow="1" w:lastRow="0" w:firstColumn="1" w:lastColumn="0" w:noHBand="0" w:noVBand="1"/>
      </w:tblPr>
      <w:tblGrid>
        <w:gridCol w:w="2694"/>
        <w:gridCol w:w="2268"/>
        <w:gridCol w:w="4109"/>
      </w:tblGrid>
      <w:tr w:rsidR="007A2E09" w:rsidRPr="00A2703A" w14:paraId="4F81A0F8" w14:textId="77777777" w:rsidTr="007A2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pct"/>
          </w:tcPr>
          <w:p w14:paraId="41478F61" w14:textId="1F61EA6E" w:rsidR="007A2E09" w:rsidRPr="00A2703A" w:rsidRDefault="007A2E09" w:rsidP="002F0972">
            <w:pPr>
              <w:pStyle w:val="TableTextbold"/>
              <w:rPr>
                <w:b/>
                <w:bCs w:val="0"/>
              </w:rPr>
            </w:pPr>
            <w:bookmarkStart w:id="8" w:name="_Hlk126246400"/>
            <w:r>
              <w:rPr>
                <w:b/>
                <w:bCs w:val="0"/>
              </w:rPr>
              <w:t>Warming (global mean)</w:t>
            </w:r>
            <w:r w:rsidRPr="00A2703A">
              <w:rPr>
                <w:b/>
                <w:bCs w:val="0"/>
              </w:rPr>
              <w:t xml:space="preserve"> </w:t>
            </w:r>
          </w:p>
        </w:tc>
        <w:tc>
          <w:tcPr>
            <w:tcW w:w="1250" w:type="pct"/>
          </w:tcPr>
          <w:p w14:paraId="71544418" w14:textId="6D8F12EC" w:rsidR="007A2E09" w:rsidRPr="00A2703A" w:rsidRDefault="007A2E09" w:rsidP="002F0972">
            <w:pPr>
              <w:pStyle w:val="TableTextbold"/>
              <w:cnfStyle w:val="100000000000" w:firstRow="1" w:lastRow="0" w:firstColumn="0" w:lastColumn="0" w:oddVBand="0" w:evenVBand="0" w:oddHBand="0" w:evenHBand="0" w:firstRowFirstColumn="0" w:firstRowLastColumn="0" w:lastRowFirstColumn="0" w:lastRowLastColumn="0"/>
              <w:rPr>
                <w:b/>
                <w:bCs w:val="0"/>
              </w:rPr>
            </w:pPr>
            <w:r>
              <w:rPr>
                <w:b/>
                <w:bCs w:val="0"/>
              </w:rPr>
              <w:t>Compared to 1972</w:t>
            </w:r>
            <w:r w:rsidR="00BE7E3D">
              <w:rPr>
                <w:b/>
                <w:bCs w:val="0"/>
              </w:rPr>
              <w:t>–</w:t>
            </w:r>
            <w:r>
              <w:rPr>
                <w:b/>
                <w:bCs w:val="0"/>
              </w:rPr>
              <w:t>2019</w:t>
            </w:r>
          </w:p>
        </w:tc>
        <w:tc>
          <w:tcPr>
            <w:tcW w:w="2265" w:type="pct"/>
          </w:tcPr>
          <w:p w14:paraId="48C52DFA" w14:textId="0FADABA1" w:rsidR="007A2E09" w:rsidRPr="00A2703A" w:rsidRDefault="007A2E09" w:rsidP="002F0972">
            <w:pPr>
              <w:pStyle w:val="TableTextbold"/>
              <w:cnfStyle w:val="100000000000" w:firstRow="1" w:lastRow="0" w:firstColumn="0" w:lastColumn="0" w:oddVBand="0" w:evenVBand="0" w:oddHBand="0" w:evenHBand="0" w:firstRowFirstColumn="0" w:firstRowLastColumn="0" w:lastRowFirstColumn="0" w:lastRowLastColumn="0"/>
              <w:rPr>
                <w:b/>
                <w:bCs w:val="0"/>
              </w:rPr>
            </w:pPr>
            <w:r w:rsidRPr="007A2E09">
              <w:rPr>
                <w:b/>
                <w:bCs w:val="0"/>
              </w:rPr>
              <w:t>Compared to pre-industrial</w:t>
            </w:r>
          </w:p>
        </w:tc>
      </w:tr>
      <w:tr w:rsidR="007A2E09" w:rsidRPr="006B77BB" w14:paraId="1C85D164" w14:textId="77777777" w:rsidTr="007A2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pct"/>
          </w:tcPr>
          <w:p w14:paraId="3B091912" w14:textId="6286FF9F" w:rsidR="007A2E09" w:rsidRPr="007A2E09" w:rsidRDefault="007A2E09" w:rsidP="007A2E09">
            <w:pPr>
              <w:pStyle w:val="TableText"/>
            </w:pPr>
            <w:r w:rsidRPr="007A2E09">
              <w:t>+1.5°C</w:t>
            </w:r>
          </w:p>
        </w:tc>
        <w:tc>
          <w:tcPr>
            <w:tcW w:w="1250" w:type="pct"/>
          </w:tcPr>
          <w:p w14:paraId="67138C3F" w14:textId="0E8FFBBE" w:rsidR="007A2E09" w:rsidRPr="007A2E09" w:rsidRDefault="007A2E09" w:rsidP="007A2E09">
            <w:pPr>
              <w:pStyle w:val="TableText"/>
              <w:cnfStyle w:val="000000100000" w:firstRow="0" w:lastRow="0" w:firstColumn="0" w:lastColumn="0" w:oddVBand="0" w:evenVBand="0" w:oddHBand="1" w:evenHBand="0" w:firstRowFirstColumn="0" w:firstRowLastColumn="0" w:lastRowFirstColumn="0" w:lastRowLastColumn="0"/>
            </w:pPr>
            <w:r w:rsidRPr="007A2E09">
              <w:t>High confidence</w:t>
            </w:r>
          </w:p>
        </w:tc>
        <w:tc>
          <w:tcPr>
            <w:tcW w:w="2265" w:type="pct"/>
          </w:tcPr>
          <w:p w14:paraId="153139DF" w14:textId="5A06C553" w:rsidR="007A2E09" w:rsidRPr="007A2E09" w:rsidRDefault="007A2E09" w:rsidP="007A2E09">
            <w:pPr>
              <w:pStyle w:val="TableText"/>
              <w:cnfStyle w:val="000000100000" w:firstRow="0" w:lastRow="0" w:firstColumn="0" w:lastColumn="0" w:oddVBand="0" w:evenVBand="0" w:oddHBand="1" w:evenHBand="0" w:firstRowFirstColumn="0" w:firstRowLastColumn="0" w:lastRowFirstColumn="0" w:lastRowLastColumn="0"/>
            </w:pPr>
            <w:r w:rsidRPr="007A2E09">
              <w:t>Likely</w:t>
            </w:r>
          </w:p>
        </w:tc>
      </w:tr>
      <w:tr w:rsidR="007A2E09" w:rsidRPr="006B77BB" w14:paraId="6E35B46A" w14:textId="77777777" w:rsidTr="007A2E09">
        <w:tc>
          <w:tcPr>
            <w:cnfStyle w:val="001000000000" w:firstRow="0" w:lastRow="0" w:firstColumn="1" w:lastColumn="0" w:oddVBand="0" w:evenVBand="0" w:oddHBand="0" w:evenHBand="0" w:firstRowFirstColumn="0" w:firstRowLastColumn="0" w:lastRowFirstColumn="0" w:lastRowLastColumn="0"/>
            <w:tcW w:w="1485" w:type="pct"/>
          </w:tcPr>
          <w:p w14:paraId="54BEB7B4" w14:textId="31ECE408" w:rsidR="007A2E09" w:rsidRPr="007A2E09" w:rsidRDefault="007A2E09" w:rsidP="007A2E09">
            <w:pPr>
              <w:pStyle w:val="TableText"/>
            </w:pPr>
            <w:r w:rsidRPr="007A2E09">
              <w:t>+2.0°C</w:t>
            </w:r>
          </w:p>
        </w:tc>
        <w:tc>
          <w:tcPr>
            <w:tcW w:w="1250" w:type="pct"/>
          </w:tcPr>
          <w:p w14:paraId="339A4E15" w14:textId="156B3583" w:rsidR="007A2E09" w:rsidRPr="007A2E09" w:rsidRDefault="007A2E09" w:rsidP="007A2E09">
            <w:pPr>
              <w:pStyle w:val="TableText"/>
              <w:cnfStyle w:val="000000000000" w:firstRow="0" w:lastRow="0" w:firstColumn="0" w:lastColumn="0" w:oddVBand="0" w:evenVBand="0" w:oddHBand="0" w:evenHBand="0" w:firstRowFirstColumn="0" w:firstRowLastColumn="0" w:lastRowFirstColumn="0" w:lastRowLastColumn="0"/>
            </w:pPr>
            <w:r w:rsidRPr="007A2E09">
              <w:t>Likely</w:t>
            </w:r>
          </w:p>
        </w:tc>
        <w:tc>
          <w:tcPr>
            <w:tcW w:w="2265" w:type="pct"/>
          </w:tcPr>
          <w:p w14:paraId="41B23F5D" w14:textId="60333A56" w:rsidR="007A2E09" w:rsidRPr="007A2E09" w:rsidRDefault="007A2E09" w:rsidP="007A2E09">
            <w:pPr>
              <w:pStyle w:val="TableText"/>
              <w:cnfStyle w:val="000000000000" w:firstRow="0" w:lastRow="0" w:firstColumn="0" w:lastColumn="0" w:oddVBand="0" w:evenVBand="0" w:oddHBand="0" w:evenHBand="0" w:firstRowFirstColumn="0" w:firstRowLastColumn="0" w:lastRowFirstColumn="0" w:lastRowLastColumn="0"/>
            </w:pPr>
            <w:bookmarkStart w:id="9" w:name="_Int_3omBWGtj"/>
            <w:r w:rsidRPr="007A2E09">
              <w:t>Very likely</w:t>
            </w:r>
            <w:bookmarkEnd w:id="9"/>
          </w:p>
        </w:tc>
      </w:tr>
      <w:tr w:rsidR="007A2E09" w:rsidRPr="006B77BB" w14:paraId="247EEF7B" w14:textId="77777777" w:rsidTr="007A2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pct"/>
          </w:tcPr>
          <w:p w14:paraId="1D573A59" w14:textId="34D279ED" w:rsidR="007A2E09" w:rsidRPr="007A2E09" w:rsidRDefault="007A2E09" w:rsidP="007A2E09">
            <w:pPr>
              <w:pStyle w:val="TableText"/>
            </w:pPr>
            <w:r w:rsidRPr="007A2E09">
              <w:t>+4.0°C</w:t>
            </w:r>
          </w:p>
        </w:tc>
        <w:tc>
          <w:tcPr>
            <w:tcW w:w="1250" w:type="pct"/>
          </w:tcPr>
          <w:p w14:paraId="36663B47" w14:textId="462CAB2A" w:rsidR="007A2E09" w:rsidRPr="007A2E09" w:rsidRDefault="007A2E09" w:rsidP="007A2E09">
            <w:pPr>
              <w:pStyle w:val="TableText"/>
              <w:cnfStyle w:val="000000100000" w:firstRow="0" w:lastRow="0" w:firstColumn="0" w:lastColumn="0" w:oddVBand="0" w:evenVBand="0" w:oddHBand="1" w:evenHBand="0" w:firstRowFirstColumn="0" w:firstRowLastColumn="0" w:lastRowFirstColumn="0" w:lastRowLastColumn="0"/>
            </w:pPr>
            <w:r w:rsidRPr="007A2E09">
              <w:t>Extremely likely</w:t>
            </w:r>
          </w:p>
        </w:tc>
        <w:tc>
          <w:tcPr>
            <w:tcW w:w="2265" w:type="pct"/>
          </w:tcPr>
          <w:p w14:paraId="0AFCEF8F" w14:textId="69A3FAB5" w:rsidR="007A2E09" w:rsidRPr="007A2E09" w:rsidRDefault="007A2E09" w:rsidP="007A2E09">
            <w:pPr>
              <w:pStyle w:val="TableText"/>
              <w:cnfStyle w:val="000000100000" w:firstRow="0" w:lastRow="0" w:firstColumn="0" w:lastColumn="0" w:oddVBand="0" w:evenVBand="0" w:oddHBand="1" w:evenHBand="0" w:firstRowFirstColumn="0" w:firstRowLastColumn="0" w:lastRowFirstColumn="0" w:lastRowLastColumn="0"/>
            </w:pPr>
            <w:r w:rsidRPr="007A2E09">
              <w:t>Virtually certain</w:t>
            </w:r>
          </w:p>
        </w:tc>
      </w:tr>
    </w:tbl>
    <w:bookmarkEnd w:id="8"/>
    <w:p w14:paraId="1F74B440" w14:textId="39AE3AD0" w:rsidR="007A2E09" w:rsidRDefault="00BE7E3D" w:rsidP="00BE7E3D">
      <w:pPr>
        <w:pStyle w:val="Note"/>
      </w:pPr>
      <w:r>
        <w:t>Note: R</w:t>
      </w:r>
      <w:r w:rsidRPr="00BE7E3D">
        <w:t>elative to 1972 to 2019 and pre-industrial times</w:t>
      </w:r>
      <w:r>
        <w:t xml:space="preserve">. Source: </w:t>
      </w:r>
      <w:r w:rsidRPr="00BE7E3D">
        <w:t>AR6 WG1, table 11.10.</w:t>
      </w:r>
    </w:p>
    <w:p w14:paraId="25235FEE" w14:textId="72DADB6C" w:rsidR="007A2E09" w:rsidRDefault="007A2E09" w:rsidP="007A2E09">
      <w:pPr>
        <w:pStyle w:val="Tableheading"/>
      </w:pPr>
      <w:r w:rsidRPr="007A2E09">
        <w:t xml:space="preserve">Table 3: </w:t>
      </w:r>
      <w:r>
        <w:tab/>
      </w:r>
      <w:r w:rsidRPr="007A2E09">
        <w:t>Approximate decreases in frost days</w:t>
      </w:r>
    </w:p>
    <w:tbl>
      <w:tblPr>
        <w:tblStyle w:val="LightGrid-Accent11"/>
        <w:tblW w:w="5000" w:type="pct"/>
        <w:tblLook w:val="04A0" w:firstRow="1" w:lastRow="0" w:firstColumn="1" w:lastColumn="0" w:noHBand="0" w:noVBand="1"/>
      </w:tblPr>
      <w:tblGrid>
        <w:gridCol w:w="851"/>
        <w:gridCol w:w="2126"/>
        <w:gridCol w:w="2807"/>
        <w:gridCol w:w="3287"/>
      </w:tblGrid>
      <w:tr w:rsidR="007A2E09" w:rsidRPr="00A2703A" w14:paraId="34CF02E6" w14:textId="77777777" w:rsidTr="007A2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pct"/>
          </w:tcPr>
          <w:p w14:paraId="2AC0E924" w14:textId="3BCD3002" w:rsidR="007A2E09" w:rsidRPr="00A2703A" w:rsidRDefault="007A2E09" w:rsidP="007A2E09">
            <w:pPr>
              <w:pStyle w:val="TableTextbold"/>
              <w:rPr>
                <w:b/>
                <w:bCs w:val="0"/>
              </w:rPr>
            </w:pPr>
          </w:p>
        </w:tc>
        <w:tc>
          <w:tcPr>
            <w:tcW w:w="1172" w:type="pct"/>
          </w:tcPr>
          <w:p w14:paraId="1A9B182B" w14:textId="1832486D" w:rsidR="007A2E09" w:rsidRPr="007A2E09" w:rsidRDefault="007A2E09" w:rsidP="007A2E09">
            <w:pPr>
              <w:pStyle w:val="TableTextbold"/>
              <w:cnfStyle w:val="100000000000" w:firstRow="1" w:lastRow="0" w:firstColumn="0" w:lastColumn="0" w:oddVBand="0" w:evenVBand="0" w:oddHBand="0" w:evenHBand="0" w:firstRowFirstColumn="0" w:firstRowLastColumn="0" w:lastRowFirstColumn="0" w:lastRowLastColumn="0"/>
              <w:rPr>
                <w:b/>
                <w:bCs w:val="0"/>
              </w:rPr>
            </w:pPr>
            <w:r w:rsidRPr="007A2E09">
              <w:rPr>
                <w:b/>
                <w:bCs w:val="0"/>
              </w:rPr>
              <w:t>2040</w:t>
            </w:r>
          </w:p>
        </w:tc>
        <w:tc>
          <w:tcPr>
            <w:tcW w:w="1547" w:type="pct"/>
          </w:tcPr>
          <w:p w14:paraId="45BCDD66" w14:textId="1AA24BDD" w:rsidR="007A2E09" w:rsidRPr="007A2E09" w:rsidRDefault="007A2E09" w:rsidP="007A2E09">
            <w:pPr>
              <w:pStyle w:val="TableTextbold"/>
              <w:cnfStyle w:val="100000000000" w:firstRow="1" w:lastRow="0" w:firstColumn="0" w:lastColumn="0" w:oddVBand="0" w:evenVBand="0" w:oddHBand="0" w:evenHBand="0" w:firstRowFirstColumn="0" w:firstRowLastColumn="0" w:lastRowFirstColumn="0" w:lastRowLastColumn="0"/>
              <w:rPr>
                <w:b/>
                <w:bCs w:val="0"/>
              </w:rPr>
            </w:pPr>
            <w:r w:rsidRPr="007A2E09">
              <w:rPr>
                <w:b/>
                <w:bCs w:val="0"/>
              </w:rPr>
              <w:t>Compared to 1972</w:t>
            </w:r>
            <w:r w:rsidR="00A73E0A" w:rsidRPr="00A73E0A">
              <w:rPr>
                <w:b/>
                <w:bCs w:val="0"/>
              </w:rPr>
              <w:t>–</w:t>
            </w:r>
            <w:r w:rsidRPr="007A2E09">
              <w:rPr>
                <w:b/>
                <w:bCs w:val="0"/>
              </w:rPr>
              <w:t>2019</w:t>
            </w:r>
          </w:p>
        </w:tc>
        <w:tc>
          <w:tcPr>
            <w:tcW w:w="1812" w:type="pct"/>
          </w:tcPr>
          <w:p w14:paraId="79866B4B" w14:textId="73970EC6" w:rsidR="007A2E09" w:rsidRPr="007A2E09" w:rsidRDefault="007A2E09" w:rsidP="007A2E09">
            <w:pPr>
              <w:pStyle w:val="TableTextbold"/>
              <w:cnfStyle w:val="100000000000" w:firstRow="1" w:lastRow="0" w:firstColumn="0" w:lastColumn="0" w:oddVBand="0" w:evenVBand="0" w:oddHBand="0" w:evenHBand="0" w:firstRowFirstColumn="0" w:firstRowLastColumn="0" w:lastRowFirstColumn="0" w:lastRowLastColumn="0"/>
              <w:rPr>
                <w:b/>
                <w:bCs w:val="0"/>
              </w:rPr>
            </w:pPr>
            <w:r w:rsidRPr="007A2E09">
              <w:rPr>
                <w:b/>
                <w:bCs w:val="0"/>
              </w:rPr>
              <w:t>2090</w:t>
            </w:r>
          </w:p>
        </w:tc>
      </w:tr>
      <w:tr w:rsidR="007A2E09" w:rsidRPr="006B77BB" w14:paraId="54168D29" w14:textId="77777777" w:rsidTr="007A2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pct"/>
          </w:tcPr>
          <w:p w14:paraId="04AF05B4" w14:textId="260DEDDE" w:rsidR="007A2E09" w:rsidRPr="007A2E09" w:rsidRDefault="007A2E09" w:rsidP="007A2E09">
            <w:pPr>
              <w:pStyle w:val="TableText"/>
            </w:pPr>
            <w:r w:rsidRPr="007A2E09">
              <w:t>RCP2.6</w:t>
            </w:r>
          </w:p>
        </w:tc>
        <w:tc>
          <w:tcPr>
            <w:tcW w:w="1172" w:type="pct"/>
          </w:tcPr>
          <w:p w14:paraId="1570F4B7" w14:textId="07BE8B62" w:rsidR="007A2E09" w:rsidRPr="007A2E09" w:rsidRDefault="007A2E09" w:rsidP="007A2E09">
            <w:pPr>
              <w:pStyle w:val="TableText"/>
              <w:cnfStyle w:val="000000100000" w:firstRow="0" w:lastRow="0" w:firstColumn="0" w:lastColumn="0" w:oddVBand="0" w:evenVBand="0" w:oddHBand="1" w:evenHBand="0" w:firstRowFirstColumn="0" w:firstRowLastColumn="0" w:lastRowFirstColumn="0" w:lastRowLastColumn="0"/>
            </w:pPr>
            <w:r w:rsidRPr="007A2E09">
              <w:t>20</w:t>
            </w:r>
            <w:r w:rsidR="00A73E0A">
              <w:t>–</w:t>
            </w:r>
            <w:r w:rsidRPr="007A2E09">
              <w:t>40% decrease</w:t>
            </w:r>
          </w:p>
        </w:tc>
        <w:tc>
          <w:tcPr>
            <w:tcW w:w="1547" w:type="pct"/>
          </w:tcPr>
          <w:p w14:paraId="497A7D31" w14:textId="4AFAE005" w:rsidR="007A2E09" w:rsidRPr="007A2E09" w:rsidRDefault="007A2E09" w:rsidP="007A2E09">
            <w:pPr>
              <w:pStyle w:val="TableText"/>
              <w:cnfStyle w:val="000000100000" w:firstRow="0" w:lastRow="0" w:firstColumn="0" w:lastColumn="0" w:oddVBand="0" w:evenVBand="0" w:oddHBand="1" w:evenHBand="0" w:firstRowFirstColumn="0" w:firstRowLastColumn="0" w:lastRowFirstColumn="0" w:lastRowLastColumn="0"/>
            </w:pPr>
            <w:r w:rsidRPr="007A2E09">
              <w:t>High confidence</w:t>
            </w:r>
          </w:p>
        </w:tc>
        <w:tc>
          <w:tcPr>
            <w:tcW w:w="1812" w:type="pct"/>
          </w:tcPr>
          <w:p w14:paraId="7B21A07B" w14:textId="5B2AEDD1" w:rsidR="007A2E09" w:rsidRPr="007A2E09" w:rsidRDefault="007A2E09" w:rsidP="007A2E09">
            <w:pPr>
              <w:pStyle w:val="TableText"/>
              <w:cnfStyle w:val="000000100000" w:firstRow="0" w:lastRow="0" w:firstColumn="0" w:lastColumn="0" w:oddVBand="0" w:evenVBand="0" w:oddHBand="1" w:evenHBand="0" w:firstRowFirstColumn="0" w:firstRowLastColumn="0" w:lastRowFirstColumn="0" w:lastRowLastColumn="0"/>
            </w:pPr>
            <w:r w:rsidRPr="007A2E09">
              <w:t>20</w:t>
            </w:r>
            <w:r w:rsidR="00A73E0A" w:rsidRPr="00A73E0A">
              <w:t>–</w:t>
            </w:r>
            <w:r w:rsidRPr="007A2E09">
              <w:t>40% decrease</w:t>
            </w:r>
          </w:p>
        </w:tc>
      </w:tr>
      <w:tr w:rsidR="007A2E09" w:rsidRPr="006B77BB" w14:paraId="57A8FFEC" w14:textId="77777777" w:rsidTr="007A2E09">
        <w:tc>
          <w:tcPr>
            <w:cnfStyle w:val="001000000000" w:firstRow="0" w:lastRow="0" w:firstColumn="1" w:lastColumn="0" w:oddVBand="0" w:evenVBand="0" w:oddHBand="0" w:evenHBand="0" w:firstRowFirstColumn="0" w:firstRowLastColumn="0" w:lastRowFirstColumn="0" w:lastRowLastColumn="0"/>
            <w:tcW w:w="469" w:type="pct"/>
          </w:tcPr>
          <w:p w14:paraId="00324F1E" w14:textId="4DBB5969" w:rsidR="007A2E09" w:rsidRPr="007A2E09" w:rsidRDefault="007A2E09" w:rsidP="007A2E09">
            <w:pPr>
              <w:pStyle w:val="TableText"/>
            </w:pPr>
            <w:r w:rsidRPr="007A2E09">
              <w:t>RCP8.5</w:t>
            </w:r>
          </w:p>
        </w:tc>
        <w:tc>
          <w:tcPr>
            <w:tcW w:w="1172" w:type="pct"/>
          </w:tcPr>
          <w:p w14:paraId="320A4CFF" w14:textId="39DCB4B3" w:rsidR="007A2E09" w:rsidRPr="007A2E09" w:rsidRDefault="007A2E09" w:rsidP="007A2E09">
            <w:pPr>
              <w:pStyle w:val="TableText"/>
              <w:cnfStyle w:val="000000000000" w:firstRow="0" w:lastRow="0" w:firstColumn="0" w:lastColumn="0" w:oddVBand="0" w:evenVBand="0" w:oddHBand="0" w:evenHBand="0" w:firstRowFirstColumn="0" w:firstRowLastColumn="0" w:lastRowFirstColumn="0" w:lastRowLastColumn="0"/>
            </w:pPr>
            <w:r w:rsidRPr="007A2E09">
              <w:t>30</w:t>
            </w:r>
            <w:r w:rsidR="00A73E0A" w:rsidRPr="00A73E0A">
              <w:t>–</w:t>
            </w:r>
            <w:r w:rsidRPr="007A2E09">
              <w:t>50% decrease</w:t>
            </w:r>
          </w:p>
        </w:tc>
        <w:tc>
          <w:tcPr>
            <w:tcW w:w="1547" w:type="pct"/>
          </w:tcPr>
          <w:p w14:paraId="2511D09F" w14:textId="2968BC3E" w:rsidR="007A2E09" w:rsidRPr="007A2E09" w:rsidRDefault="007A2E09" w:rsidP="007A2E09">
            <w:pPr>
              <w:pStyle w:val="TableText"/>
              <w:cnfStyle w:val="000000000000" w:firstRow="0" w:lastRow="0" w:firstColumn="0" w:lastColumn="0" w:oddVBand="0" w:evenVBand="0" w:oddHBand="0" w:evenHBand="0" w:firstRowFirstColumn="0" w:firstRowLastColumn="0" w:lastRowFirstColumn="0" w:lastRowLastColumn="0"/>
            </w:pPr>
            <w:r w:rsidRPr="007A2E09">
              <w:t>Likely</w:t>
            </w:r>
          </w:p>
        </w:tc>
        <w:tc>
          <w:tcPr>
            <w:tcW w:w="1812" w:type="pct"/>
          </w:tcPr>
          <w:p w14:paraId="377D295F" w14:textId="0E5581A7" w:rsidR="007A2E09" w:rsidRPr="007A2E09" w:rsidRDefault="007A2E09" w:rsidP="007A2E09">
            <w:pPr>
              <w:pStyle w:val="TableText"/>
              <w:cnfStyle w:val="000000000000" w:firstRow="0" w:lastRow="0" w:firstColumn="0" w:lastColumn="0" w:oddVBand="0" w:evenVBand="0" w:oddHBand="0" w:evenHBand="0" w:firstRowFirstColumn="0" w:firstRowLastColumn="0" w:lastRowFirstColumn="0" w:lastRowLastColumn="0"/>
            </w:pPr>
            <w:r w:rsidRPr="007A2E09">
              <w:t>70</w:t>
            </w:r>
            <w:r w:rsidR="00A73E0A" w:rsidRPr="00A73E0A">
              <w:t>–</w:t>
            </w:r>
            <w:r w:rsidRPr="007A2E09">
              <w:t>90% decrease</w:t>
            </w:r>
          </w:p>
        </w:tc>
      </w:tr>
    </w:tbl>
    <w:p w14:paraId="1D9A183C" w14:textId="1E5F935A" w:rsidR="00BE7E3D" w:rsidRDefault="00BE7E3D" w:rsidP="00BE7E3D">
      <w:pPr>
        <w:pStyle w:val="Note"/>
      </w:pPr>
      <w:r>
        <w:t>Note: R</w:t>
      </w:r>
      <w:r w:rsidRPr="00BE7E3D">
        <w:t>elative to 1986</w:t>
      </w:r>
      <w:r>
        <w:t>–</w:t>
      </w:r>
      <w:r w:rsidRPr="00BE7E3D">
        <w:t>2005</w:t>
      </w:r>
      <w:r>
        <w:t>,</w:t>
      </w:r>
      <w:r w:rsidRPr="00BE7E3D">
        <w:t xml:space="preserve"> projected to 2040 and 2090 for RCP2.6 and RCP8.5. Data from MfE (2018)</w:t>
      </w:r>
      <w:r>
        <w:t>.</w:t>
      </w:r>
    </w:p>
    <w:p w14:paraId="51A04A3B" w14:textId="30ED6074" w:rsidR="007A2E09" w:rsidRPr="007A2E09" w:rsidRDefault="007A2E09" w:rsidP="007A2E09">
      <w:pPr>
        <w:pStyle w:val="Heading3"/>
      </w:pPr>
      <w:r w:rsidRPr="007A2E09">
        <w:t>Precipitation</w:t>
      </w:r>
    </w:p>
    <w:p w14:paraId="35415779" w14:textId="7F6AA93F" w:rsidR="007A2E09" w:rsidRDefault="007A2E09" w:rsidP="007A2E09">
      <w:pPr>
        <w:pStyle w:val="BodyText"/>
      </w:pPr>
      <w:r w:rsidRPr="00ED79F2">
        <w:t xml:space="preserve">Annual mean precipitation is projected to increase in the south and west of </w:t>
      </w:r>
      <w:r w:rsidR="00A66149" w:rsidRPr="00ED79F2">
        <w:t>Aotearoa</w:t>
      </w:r>
      <w:r w:rsidRPr="00ED79F2">
        <w:t xml:space="preserve"> both in the near- and far-future (</w:t>
      </w:r>
      <w:r w:rsidRPr="00ED79F2">
        <w:rPr>
          <w:i/>
          <w:iCs/>
        </w:rPr>
        <w:t>medium confidence</w:t>
      </w:r>
      <w:r w:rsidRPr="00ED79F2">
        <w:t xml:space="preserve"> and </w:t>
      </w:r>
      <w:r w:rsidRPr="00ED79F2">
        <w:rPr>
          <w:i/>
          <w:iCs/>
        </w:rPr>
        <w:t>high agreement</w:t>
      </w:r>
      <w:r w:rsidRPr="00ED79F2">
        <w:t>, respectively (</w:t>
      </w:r>
      <w:r w:rsidR="00A73E0A" w:rsidRPr="00ED79F2">
        <w:t>IPCC AR6 b</w:t>
      </w:r>
      <w:r w:rsidRPr="00ED79F2">
        <w:t>ox</w:t>
      </w:r>
      <w:r w:rsidR="00602817">
        <w:t>,</w:t>
      </w:r>
      <w:r w:rsidRPr="00ED79F2">
        <w:t xml:space="preserve"> p</w:t>
      </w:r>
      <w:r w:rsidR="00A73E0A" w:rsidRPr="00ED79F2">
        <w:t>age</w:t>
      </w:r>
      <w:r w:rsidRPr="00ED79F2">
        <w:t xml:space="preserve"> 1))</w:t>
      </w:r>
      <w:r w:rsidRPr="00EA7A46">
        <w:t>.</w:t>
      </w:r>
      <w:r w:rsidRPr="007A2E09">
        <w:t xml:space="preserve"> Projected winter and spring rainfall follows the annual increase in the west and south, but with less rainfall in the east and north. </w:t>
      </w:r>
      <w:r w:rsidR="00A73E0A">
        <w:t>It projects m</w:t>
      </w:r>
      <w:r w:rsidRPr="007A2E09">
        <w:t>ore summer rainfall in the east of both islands, with less rainfall in the west and central North Island (</w:t>
      </w:r>
      <w:r w:rsidRPr="00ED79F2">
        <w:rPr>
          <w:i/>
          <w:iCs/>
        </w:rPr>
        <w:t>medium confidence</w:t>
      </w:r>
      <w:r w:rsidRPr="007A2E09">
        <w:t>). The findings of AR6 are broadly consistent with projections reported in AR5 (</w:t>
      </w:r>
      <w:r w:rsidR="00775786">
        <w:t>f</w:t>
      </w:r>
      <w:r w:rsidRPr="007A2E09">
        <w:t>igure 2).</w:t>
      </w:r>
    </w:p>
    <w:p w14:paraId="0C4D4D35" w14:textId="32A5E456" w:rsidR="007A2E09" w:rsidRDefault="007A2E09" w:rsidP="007A2E09">
      <w:pPr>
        <w:pStyle w:val="Figureheading"/>
      </w:pPr>
      <w:r w:rsidRPr="007A2E09">
        <w:lastRenderedPageBreak/>
        <w:t xml:space="preserve">Figure 2 </w:t>
      </w:r>
      <w:r>
        <w:tab/>
      </w:r>
      <w:r w:rsidRPr="007A2E09">
        <w:t>Projected changes in precipitation (%) by the end of the 21st century</w:t>
      </w:r>
      <w:r w:rsidR="004D5714">
        <w:t xml:space="preserve"> under RCP4.5</w:t>
      </w:r>
      <w:r w:rsidR="00A73E0A">
        <w:t xml:space="preserve"> (left) and</w:t>
      </w:r>
      <w:r w:rsidRPr="007A2E09">
        <w:t xml:space="preserve"> </w:t>
      </w:r>
      <w:r w:rsidR="00A73E0A">
        <w:t>p</w:t>
      </w:r>
      <w:r w:rsidRPr="007A2E09">
        <w:t xml:space="preserve">rojected changes in precipitation (%) for </w:t>
      </w:r>
      <w:r w:rsidR="00EA7A46">
        <w:t>s</w:t>
      </w:r>
      <w:r w:rsidRPr="007A2E09">
        <w:t xml:space="preserve">ummer and winter for the ensemble-mean of </w:t>
      </w:r>
      <w:r w:rsidR="00EA7A46">
        <w:t>six</w:t>
      </w:r>
      <w:r w:rsidRPr="007A2E09">
        <w:t xml:space="preserve"> climate models under the RCP8.5</w:t>
      </w:r>
      <w:r w:rsidR="00D066AE">
        <w:t xml:space="preserve"> (right)</w:t>
      </w:r>
    </w:p>
    <w:p w14:paraId="152A53B4" w14:textId="77777777" w:rsidR="007A2E09" w:rsidRDefault="007A2E09" w:rsidP="007A2E09">
      <w:pPr>
        <w:pStyle w:val="Figureheading"/>
      </w:pPr>
      <w:r>
        <w:rPr>
          <w:noProof/>
        </w:rPr>
        <w:drawing>
          <wp:inline distT="0" distB="0" distL="0" distR="0" wp14:anchorId="31064F89" wp14:editId="5A260D44">
            <wp:extent cx="5494734" cy="2358157"/>
            <wp:effectExtent l="0" t="0" r="0" b="0"/>
            <wp:docPr id="1263862585" name="Picture 126386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494734" cy="2358157"/>
                    </a:xfrm>
                    <a:prstGeom prst="rect">
                      <a:avLst/>
                    </a:prstGeom>
                  </pic:spPr>
                </pic:pic>
              </a:graphicData>
            </a:graphic>
          </wp:inline>
        </w:drawing>
      </w:r>
    </w:p>
    <w:p w14:paraId="63F19C40" w14:textId="39EBE394" w:rsidR="00A73E0A" w:rsidRDefault="00A73E0A" w:rsidP="00A73E0A">
      <w:pPr>
        <w:pStyle w:val="Note"/>
      </w:pPr>
      <w:r>
        <w:t>Note</w:t>
      </w:r>
      <w:r w:rsidR="00602817">
        <w:t>s</w:t>
      </w:r>
      <w:r>
        <w:t>: B</w:t>
      </w:r>
      <w:r w:rsidRPr="00A73E0A">
        <w:t xml:space="preserve">ased on regional downscaling of CMIP5 global model data associated with RCP4.5. </w:t>
      </w:r>
      <w:r>
        <w:t>DJF = December, January, February. JJA = June, July, August. Source:</w:t>
      </w:r>
      <w:r w:rsidRPr="00A73E0A">
        <w:t xml:space="preserve"> MfE </w:t>
      </w:r>
      <w:r>
        <w:t>and</w:t>
      </w:r>
      <w:r w:rsidRPr="00A73E0A">
        <w:t xml:space="preserve"> Stats NZ (2020) and NIWA.</w:t>
      </w:r>
    </w:p>
    <w:p w14:paraId="13D9CC74" w14:textId="6CD5DFA5" w:rsidR="007A2E09" w:rsidRDefault="007A2E09" w:rsidP="007A2E09">
      <w:pPr>
        <w:pStyle w:val="Heading3"/>
      </w:pPr>
      <w:r>
        <w:t xml:space="preserve">Flooding </w:t>
      </w:r>
    </w:p>
    <w:p w14:paraId="25852A20" w14:textId="54F934CF" w:rsidR="007A2E09" w:rsidRPr="00EA7A46" w:rsidRDefault="007A2E09" w:rsidP="00EA7A46">
      <w:pPr>
        <w:pStyle w:val="BodyText"/>
        <w:rPr>
          <w:rFonts w:eastAsia="Calibri" w:cs="Calibri"/>
        </w:rPr>
      </w:pPr>
      <w:r w:rsidRPr="00ED79F2">
        <w:t xml:space="preserve">Projections for </w:t>
      </w:r>
      <w:r w:rsidR="00EA7A46" w:rsidRPr="00ED79F2">
        <w:t>Aotearoa</w:t>
      </w:r>
      <w:r w:rsidRPr="00ED79F2">
        <w:t xml:space="preserve"> indicate that the 1-in-50</w:t>
      </w:r>
      <w:r w:rsidR="00EA7A46" w:rsidRPr="00ED79F2">
        <w:t>-</w:t>
      </w:r>
      <w:r w:rsidRPr="00ED79F2">
        <w:t>year and 1-in-100</w:t>
      </w:r>
      <w:r w:rsidR="00EA7A46" w:rsidRPr="00ED79F2">
        <w:t>-</w:t>
      </w:r>
      <w:r w:rsidRPr="00ED79F2">
        <w:t>year flood peaks for rivers in many parts of the country may increase by five to ten per cent by 2050 and more by 2100, with a corresponding decrease in return periods for specific flood levels (</w:t>
      </w:r>
      <w:r w:rsidRPr="00ED79F2">
        <w:rPr>
          <w:i/>
          <w:iCs/>
        </w:rPr>
        <w:t>medium confidence</w:t>
      </w:r>
      <w:r w:rsidRPr="00ED79F2">
        <w:t>)</w:t>
      </w:r>
      <w:r w:rsidRPr="00EA7A46">
        <w:t>. Rising sea levels due to climate change also significantly impact flooding and river flooding. For more information on sea</w:t>
      </w:r>
      <w:r w:rsidR="00EA7A46">
        <w:t>-</w:t>
      </w:r>
      <w:r w:rsidRPr="00EA7A46">
        <w:t xml:space="preserve">level rise projections, </w:t>
      </w:r>
      <w:r w:rsidR="002E37F6">
        <w:t>see</w:t>
      </w:r>
      <w:r w:rsidRPr="00EA7A46">
        <w:t xml:space="preserve"> </w:t>
      </w:r>
      <w:r w:rsidRPr="003705CD">
        <w:rPr>
          <w:rFonts w:eastAsia="Calibri" w:cs="Calibri"/>
        </w:rPr>
        <w:t xml:space="preserve">the </w:t>
      </w:r>
      <w:hyperlink r:id="rId20" w:history="1">
        <w:r w:rsidR="003705CD" w:rsidRPr="003705CD">
          <w:rPr>
            <w:rStyle w:val="Hyperlink"/>
            <w:rFonts w:eastAsia="Calibri" w:cs="Calibri"/>
          </w:rPr>
          <w:t>c</w:t>
        </w:r>
        <w:r w:rsidRPr="003705CD">
          <w:rPr>
            <w:rStyle w:val="Hyperlink"/>
            <w:rFonts w:eastAsia="Calibri" w:cs="Calibri"/>
          </w:rPr>
          <w:t xml:space="preserve">oastal </w:t>
        </w:r>
        <w:r w:rsidR="003705CD" w:rsidRPr="003705CD">
          <w:rPr>
            <w:rStyle w:val="Hyperlink"/>
            <w:rFonts w:eastAsia="Calibri" w:cs="Calibri"/>
          </w:rPr>
          <w:t>h</w:t>
        </w:r>
        <w:r w:rsidRPr="003705CD">
          <w:rPr>
            <w:rStyle w:val="Hyperlink"/>
            <w:rFonts w:eastAsia="Calibri" w:cs="Calibri"/>
          </w:rPr>
          <w:t>azard</w:t>
        </w:r>
        <w:r w:rsidR="003705CD" w:rsidRPr="003705CD">
          <w:rPr>
            <w:rStyle w:val="Hyperlink"/>
            <w:rFonts w:eastAsia="Calibri" w:cs="Calibri"/>
          </w:rPr>
          <w:t>s and c</w:t>
        </w:r>
        <w:r w:rsidR="003705CD" w:rsidRPr="003705CD">
          <w:rPr>
            <w:rStyle w:val="Hyperlink"/>
            <w:rFonts w:eastAsia="Calibri" w:cs="Calibri"/>
          </w:rPr>
          <w:t>l</w:t>
        </w:r>
        <w:r w:rsidR="003705CD" w:rsidRPr="003705CD">
          <w:rPr>
            <w:rStyle w:val="Hyperlink"/>
            <w:rFonts w:eastAsia="Calibri" w:cs="Calibri"/>
          </w:rPr>
          <w:t>imate change guidance</w:t>
        </w:r>
      </w:hyperlink>
      <w:r w:rsidRPr="003705CD">
        <w:rPr>
          <w:rFonts w:eastAsia="Calibri" w:cs="Calibri"/>
        </w:rPr>
        <w:t xml:space="preserve"> </w:t>
      </w:r>
      <w:r w:rsidR="003705CD">
        <w:rPr>
          <w:rFonts w:eastAsia="Calibri" w:cs="Calibri"/>
        </w:rPr>
        <w:t>published</w:t>
      </w:r>
      <w:r w:rsidR="003705CD" w:rsidRPr="00EA7A46">
        <w:rPr>
          <w:rFonts w:eastAsia="Calibri" w:cs="Calibri"/>
        </w:rPr>
        <w:t xml:space="preserve"> </w:t>
      </w:r>
      <w:r w:rsidRPr="00EA7A46">
        <w:rPr>
          <w:rFonts w:eastAsia="Calibri" w:cs="Calibri"/>
        </w:rPr>
        <w:t>in 2017</w:t>
      </w:r>
      <w:r w:rsidR="003705CD">
        <w:rPr>
          <w:rFonts w:eastAsia="Calibri" w:cs="Calibri"/>
        </w:rPr>
        <w:t>,</w:t>
      </w:r>
      <w:r w:rsidRPr="00EA7A46">
        <w:rPr>
          <w:rFonts w:eastAsia="Calibri" w:cs="Calibri"/>
        </w:rPr>
        <w:t xml:space="preserve"> and the </w:t>
      </w:r>
      <w:hyperlink r:id="rId21" w:history="1">
        <w:r w:rsidR="003705CD">
          <w:rPr>
            <w:rStyle w:val="Hyperlink"/>
          </w:rPr>
          <w:t>i</w:t>
        </w:r>
        <w:r w:rsidRPr="00EA7A46">
          <w:rPr>
            <w:rStyle w:val="Hyperlink"/>
          </w:rPr>
          <w:t>nterim guidance on the use of new sea-level rise projec</w:t>
        </w:r>
        <w:r w:rsidRPr="00EA7A46">
          <w:rPr>
            <w:rStyle w:val="Hyperlink"/>
          </w:rPr>
          <w:t>t</w:t>
        </w:r>
        <w:r w:rsidRPr="00EA7A46">
          <w:rPr>
            <w:rStyle w:val="Hyperlink"/>
          </w:rPr>
          <w:t>ions</w:t>
        </w:r>
      </w:hyperlink>
      <w:r w:rsidR="003705CD">
        <w:t>,</w:t>
      </w:r>
      <w:r w:rsidRPr="00EA7A46">
        <w:t xml:space="preserve"> </w:t>
      </w:r>
      <w:r w:rsidR="003705CD">
        <w:t>published in 2022.</w:t>
      </w:r>
    </w:p>
    <w:p w14:paraId="00ADD902" w14:textId="77777777" w:rsidR="007A2E09" w:rsidRDefault="007A2E09" w:rsidP="007A2E09">
      <w:pPr>
        <w:pStyle w:val="Heading3"/>
      </w:pPr>
      <w:r>
        <w:t>Wind</w:t>
      </w:r>
    </w:p>
    <w:p w14:paraId="286ACADD" w14:textId="27185627" w:rsidR="007A2E09" w:rsidRPr="005D4B93" w:rsidRDefault="007A2E09" w:rsidP="00EA7A46">
      <w:pPr>
        <w:pStyle w:val="BodyText"/>
      </w:pPr>
      <w:r w:rsidRPr="00ED79F2">
        <w:t xml:space="preserve">Mean wind patterns are projected to become more north-easterly in summer, </w:t>
      </w:r>
      <w:r w:rsidR="003705CD">
        <w:t>with</w:t>
      </w:r>
      <w:r w:rsidR="003705CD" w:rsidRPr="00ED79F2">
        <w:t xml:space="preserve"> </w:t>
      </w:r>
      <w:r w:rsidRPr="00ED79F2">
        <w:t xml:space="preserve">westerlies </w:t>
      </w:r>
      <w:r w:rsidR="003705CD">
        <w:t xml:space="preserve">projected </w:t>
      </w:r>
      <w:r w:rsidRPr="00ED79F2">
        <w:t>to become more intense in winter over the next few decades (</w:t>
      </w:r>
      <w:r w:rsidRPr="00ED79F2">
        <w:rPr>
          <w:i/>
          <w:iCs/>
        </w:rPr>
        <w:t>low confidence</w:t>
      </w:r>
      <w:r w:rsidRPr="00ED79F2">
        <w:t>)</w:t>
      </w:r>
      <w:r w:rsidR="003705CD">
        <w:t>.</w:t>
      </w:r>
      <w:r w:rsidRPr="00ED79F2">
        <w:t xml:space="preserve"> </w:t>
      </w:r>
      <w:r w:rsidR="003705CD">
        <w:t>This</w:t>
      </w:r>
      <w:r w:rsidRPr="00ED79F2">
        <w:t xml:space="preserve"> aligns with the strengthening of the southern hemisphere storm tracks</w:t>
      </w:r>
      <w:r w:rsidRPr="00EA7A46">
        <w:t>.</w:t>
      </w:r>
      <w:r>
        <w:t xml:space="preserve"> For all RCPs, an increase in extreme winds over the South Island and the southern part of the North Island is projected. </w:t>
      </w:r>
    </w:p>
    <w:p w14:paraId="23F54F6A" w14:textId="77777777" w:rsidR="007A2E09" w:rsidRDefault="007A2E09" w:rsidP="007A2E09">
      <w:pPr>
        <w:pStyle w:val="Heading3"/>
      </w:pPr>
      <w:r>
        <w:t>El Niño Southern Oscillation (ENSO) and Southern Annular Mode (SAM) patterns</w:t>
      </w:r>
    </w:p>
    <w:p w14:paraId="14F44D4B" w14:textId="77777777" w:rsidR="007A2E09" w:rsidRDefault="007A2E09" w:rsidP="00EA7A46">
      <w:pPr>
        <w:pStyle w:val="BodyText"/>
      </w:pPr>
      <w:r>
        <w:t xml:space="preserve">Climate model performance in AR6 simulating ENSO has not changed significantly between CMIP5 and CMIP6. The nature of sea surface temperature variability associated with ENSO is found in AR6 to exhibit no systematic change through the 21st century, which suggests that ENSO might continue to behave the same as it has in the past. However, the tropical precipitation variability associated with ENSO is projected to systematically increase. AR6 concluded there is </w:t>
      </w:r>
      <w:r w:rsidRPr="00ED79F2">
        <w:rPr>
          <w:i/>
          <w:iCs/>
        </w:rPr>
        <w:t>high confidence</w:t>
      </w:r>
      <w:r>
        <w:t xml:space="preserve"> that under SSP3-7.0 and SSP5-8.5 the SAM will become more positive in all seasons. SSP1-1.9 shows a decrease of positive occurrences during the austral summer. </w:t>
      </w:r>
    </w:p>
    <w:p w14:paraId="7B4605C7" w14:textId="77777777" w:rsidR="007A2E09" w:rsidRDefault="007A2E09" w:rsidP="007A2E09">
      <w:pPr>
        <w:pStyle w:val="Heading3"/>
      </w:pPr>
      <w:r>
        <w:lastRenderedPageBreak/>
        <w:t>Drought</w:t>
      </w:r>
    </w:p>
    <w:p w14:paraId="4858AF72" w14:textId="154C72A7" w:rsidR="007A2E09" w:rsidRDefault="007A2E09" w:rsidP="00EA7A46">
      <w:pPr>
        <w:pStyle w:val="BodyText"/>
      </w:pPr>
      <w:r w:rsidRPr="00ED79F2">
        <w:t xml:space="preserve">In the north and east of </w:t>
      </w:r>
      <w:r w:rsidR="00A66149" w:rsidRPr="00ED79F2">
        <w:t>Aotearoa</w:t>
      </w:r>
      <w:r w:rsidRPr="00ED79F2">
        <w:t xml:space="preserve">, aridity is projected to increase with </w:t>
      </w:r>
      <w:r w:rsidRPr="00ED79F2">
        <w:rPr>
          <w:i/>
          <w:iCs/>
        </w:rPr>
        <w:t>medium confidence</w:t>
      </w:r>
      <w:r w:rsidRPr="00ED79F2">
        <w:t xml:space="preserve"> by 2090, while a decrease is projected with </w:t>
      </w:r>
      <w:r w:rsidRPr="00ED79F2">
        <w:rPr>
          <w:i/>
          <w:iCs/>
        </w:rPr>
        <w:t>medium confidence</w:t>
      </w:r>
      <w:r w:rsidRPr="00ED79F2">
        <w:t xml:space="preserve"> in the south and west of </w:t>
      </w:r>
      <w:r w:rsidR="00A66149" w:rsidRPr="00ED79F2">
        <w:t>the country</w:t>
      </w:r>
      <w:r w:rsidRPr="00ED79F2">
        <w:t xml:space="preserve"> for the same </w:t>
      </w:r>
      <w:proofErr w:type="gramStart"/>
      <w:r w:rsidRPr="00ED79F2">
        <w:t>time period</w:t>
      </w:r>
      <w:proofErr w:type="gramEnd"/>
      <w:r w:rsidRPr="00EA7A46">
        <w:t>.</w:t>
      </w:r>
      <w:r>
        <w:t xml:space="preserve"> Drought severity is projected to increase in most areas of the country, except for Taranaki-Manawatu, the West Coast and Southland. Weather that causes conditions conducive to fire is also projected to increase by 2090 in many parts of </w:t>
      </w:r>
      <w:r w:rsidR="00A66149">
        <w:t>Aotearoa</w:t>
      </w:r>
      <w:r>
        <w:t xml:space="preserve"> (</w:t>
      </w:r>
      <w:r w:rsidRPr="00ED79F2">
        <w:rPr>
          <w:i/>
          <w:iCs/>
        </w:rPr>
        <w:t>medium confidence</w:t>
      </w:r>
      <w:r>
        <w:t>), particularly with respect to extreme fire.</w:t>
      </w:r>
    </w:p>
    <w:p w14:paraId="0D4F8C4C" w14:textId="77777777" w:rsidR="007A2E09" w:rsidRDefault="007A2E09" w:rsidP="007A2E09">
      <w:pPr>
        <w:pStyle w:val="Heading3"/>
      </w:pPr>
      <w:r>
        <w:t>Glacier volume</w:t>
      </w:r>
    </w:p>
    <w:p w14:paraId="3FC5F7F5" w14:textId="4E5364F5" w:rsidR="007A2E09" w:rsidRDefault="007A2E09" w:rsidP="00EA7A46">
      <w:pPr>
        <w:pStyle w:val="BodyText"/>
      </w:pPr>
      <w:r>
        <w:t xml:space="preserve">The number of annual snow days in </w:t>
      </w:r>
      <w:r w:rsidR="00A66149">
        <w:t>Aotearoa</w:t>
      </w:r>
      <w:r>
        <w:t xml:space="preserve"> is projected to decrease by 30 days or more by 2090 under RCP8.5</w:t>
      </w:r>
      <w:r w:rsidR="00D04F57">
        <w:t xml:space="preserve"> (</w:t>
      </w:r>
      <w:r>
        <w:t>MfE</w:t>
      </w:r>
      <w:r w:rsidR="00D04F57">
        <w:t>,</w:t>
      </w:r>
      <w:r>
        <w:t xml:space="preserve"> 2018)</w:t>
      </w:r>
      <w:r w:rsidR="00D04F57">
        <w:t xml:space="preserve">, resulting in a </w:t>
      </w:r>
      <w:r>
        <w:t xml:space="preserve">decrease in glacier volume by the end of the century. The decline is projected to be 36 ± 44%, 53 ± 33%, and 77 ± 27% under RCP2.6, RCP4.5, and RCP8.5, respectively. </w:t>
      </w:r>
    </w:p>
    <w:p w14:paraId="28C63C42" w14:textId="77777777" w:rsidR="007A2E09" w:rsidRDefault="007A2E09" w:rsidP="007A2E09">
      <w:pPr>
        <w:pStyle w:val="Heading3"/>
      </w:pPr>
      <w:r>
        <w:t xml:space="preserve">Marine heatwaves </w:t>
      </w:r>
    </w:p>
    <w:p w14:paraId="58028A0A" w14:textId="4F70371B" w:rsidR="007A2E09" w:rsidRDefault="007A2E09" w:rsidP="00EA7A46">
      <w:pPr>
        <w:pStyle w:val="BodyText"/>
      </w:pPr>
      <w:r w:rsidRPr="00540700">
        <w:t>Over the past century, regional sea surface temperatures have increased in the northern Tasman Sea/</w:t>
      </w:r>
      <w:r w:rsidR="00A66149" w:rsidRPr="00540700">
        <w:t>Aotearoa</w:t>
      </w:r>
      <w:r w:rsidRPr="00540700">
        <w:t xml:space="preserve"> region</w:t>
      </w:r>
      <w:r w:rsidR="00D04F57">
        <w:t>,</w:t>
      </w:r>
      <w:r w:rsidRPr="00540700">
        <w:t xml:space="preserve"> resulting in an increase in the frequency of marine heatwaves</w:t>
      </w:r>
      <w:r w:rsidRPr="00EA7A46">
        <w:t>.</w:t>
      </w:r>
      <w:r>
        <w:t xml:space="preserve"> AR6 concludes that it is </w:t>
      </w:r>
      <w:bookmarkStart w:id="10" w:name="_Int_KBBUM666"/>
      <w:r>
        <w:t>very likely</w:t>
      </w:r>
      <w:bookmarkEnd w:id="10"/>
      <w:r>
        <w:t xml:space="preserve"> there will be further increases in frequency, duration, spatial exten</w:t>
      </w:r>
      <w:r w:rsidR="00D04F57">
        <w:t>t,</w:t>
      </w:r>
      <w:r>
        <w:t xml:space="preserve"> and intensity of marine heatwaves under future global warming in the 21st century. Globally, the frequency of marine heatwaves is expected to increase by between four (SSP1-2.6) and eight (SSP5-8.5) times (IPCC AR6 box 9.2); for </w:t>
      </w:r>
      <w:r w:rsidR="00A66149">
        <w:t>Aotearoa</w:t>
      </w:r>
      <w:r>
        <w:t xml:space="preserve"> SSP1-2.6 doubles the occurrence of marine heatwaves, whereas SSP5-8.5 quadruples it (NIWA, 2022). </w:t>
      </w:r>
    </w:p>
    <w:p w14:paraId="74768835" w14:textId="77777777" w:rsidR="007A2E09" w:rsidRDefault="007A2E09" w:rsidP="007A2E09">
      <w:pPr>
        <w:pStyle w:val="Heading3"/>
      </w:pPr>
      <w:r>
        <w:t>Groundwater</w:t>
      </w:r>
    </w:p>
    <w:p w14:paraId="02544CA6" w14:textId="2953414A" w:rsidR="007A2E09" w:rsidRDefault="007A2E09" w:rsidP="00EA7A46">
      <w:pPr>
        <w:pStyle w:val="BodyText"/>
      </w:pPr>
      <w:r>
        <w:t xml:space="preserve">While climate change impacts the availability, recharge and water table elevation of groundwater, projections of this are not provided in AR6. </w:t>
      </w:r>
      <w:r w:rsidR="00D04F57">
        <w:t>P</w:t>
      </w:r>
      <w:r>
        <w:t xml:space="preserve">rojections for Hawkes Bay and Otago show a decrease in groundwater available under RCP4.5 and RCP8.5, although due to the influence of topography on the regional variability of precipitation, Otago shows more variability. The modelled rainwater recharge and water table projections </w:t>
      </w:r>
      <w:bookmarkStart w:id="11" w:name="_Int_Tj6KRV6f"/>
      <w:r>
        <w:t>generally follow</w:t>
      </w:r>
      <w:bookmarkEnd w:id="11"/>
      <w:r>
        <w:t xml:space="preserve"> rainfall projections. </w:t>
      </w:r>
    </w:p>
    <w:p w14:paraId="770D254A" w14:textId="77777777" w:rsidR="007A2E09" w:rsidRDefault="007A2E09" w:rsidP="007A2E09">
      <w:pPr>
        <w:pStyle w:val="Heading2"/>
      </w:pPr>
      <w:r>
        <w:t>What is next?</w:t>
      </w:r>
    </w:p>
    <w:p w14:paraId="4E73F2C9" w14:textId="63A923ED" w:rsidR="00FA0C86" w:rsidRDefault="00A66149" w:rsidP="00EA7A46">
      <w:pPr>
        <w:pStyle w:val="BodyText"/>
      </w:pPr>
      <w:r>
        <w:rPr>
          <w:noProof/>
        </w:rPr>
        <mc:AlternateContent>
          <mc:Choice Requires="wps">
            <w:drawing>
              <wp:anchor distT="0" distB="0" distL="114300" distR="114300" simplePos="0" relativeHeight="251662338" behindDoc="0" locked="1" layoutInCell="1" allowOverlap="1" wp14:anchorId="536731AD" wp14:editId="0626C6B3">
                <wp:simplePos x="0" y="0"/>
                <wp:positionH relativeFrom="column">
                  <wp:posOffset>-11430</wp:posOffset>
                </wp:positionH>
                <wp:positionV relativeFrom="page">
                  <wp:posOffset>9431020</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A66149" w14:paraId="7901F3A5"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5D88335D" w14:textId="69EDAD1C" w:rsidR="00A66149" w:rsidRDefault="00A66149" w:rsidP="003A6769">
                                  <w:pPr>
                                    <w:pStyle w:val="TableText"/>
                                  </w:pPr>
                                  <w:r>
                                    <w:br/>
                                  </w:r>
                                  <w:r w:rsidRPr="006C18C8">
                                    <w:t xml:space="preserve">Published in </w:t>
                                  </w:r>
                                  <w:r>
                                    <w:t>February 2023</w:t>
                                  </w:r>
                                  <w:r w:rsidRPr="006C18C8">
                                    <w:t xml:space="preserve"> by the </w:t>
                                  </w:r>
                                  <w:r w:rsidRPr="006C18C8">
                                    <w:br/>
                                    <w:t>Ministry for the Environment – Manatū Mō Te Taiao</w:t>
                                  </w:r>
                                  <w:r w:rsidRPr="006C18C8">
                                    <w:br/>
                                    <w:t xml:space="preserve">Publication number: </w:t>
                                  </w:r>
                                  <w:r w:rsidR="003348CD" w:rsidRPr="003348CD">
                                    <w:t>INFO 1142</w:t>
                                  </w:r>
                                </w:p>
                              </w:tc>
                              <w:tc>
                                <w:tcPr>
                                  <w:tcW w:w="3588" w:type="dxa"/>
                                  <w:tcBorders>
                                    <w:bottom w:val="none" w:sz="0" w:space="0" w:color="auto"/>
                                  </w:tcBorders>
                                  <w:shd w:val="clear" w:color="auto" w:fill="FFFFFF" w:themeFill="background1"/>
                                  <w:tcMar>
                                    <w:left w:w="0" w:type="dxa"/>
                                    <w:right w:w="0" w:type="dxa"/>
                                  </w:tcMar>
                                  <w:vAlign w:val="bottom"/>
                                </w:tcPr>
                                <w:p w14:paraId="4D275558" w14:textId="77777777" w:rsidR="00A66149" w:rsidRDefault="00A66149" w:rsidP="00E57601">
                                  <w:pPr>
                                    <w:pStyle w:val="Footer"/>
                                    <w:jc w:val="right"/>
                                  </w:pPr>
                                  <w:r>
                                    <w:rPr>
                                      <w:noProof/>
                                    </w:rPr>
                                    <w:drawing>
                                      <wp:inline distT="0" distB="0" distL="0" distR="0" wp14:anchorId="52968B80" wp14:editId="74728191">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2">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AED099C" w14:textId="77777777" w:rsidR="00A66149" w:rsidRPr="00C82C4B" w:rsidRDefault="00A66149" w:rsidP="00A66149">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731AD" id="Text Box 1" o:spid="_x0000_s1027" type="#_x0000_t202" style="position:absolute;margin-left:-.9pt;margin-top:742.6pt;width:459.5pt;height:80.55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onKQ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A66149" w14:paraId="7901F3A5"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5D88335D" w14:textId="69EDAD1C" w:rsidR="00A66149" w:rsidRDefault="00A66149" w:rsidP="003A6769">
                            <w:pPr>
                              <w:pStyle w:val="TableText"/>
                            </w:pPr>
                            <w:r>
                              <w:br/>
                            </w:r>
                            <w:r w:rsidRPr="006C18C8">
                              <w:t xml:space="preserve">Published in </w:t>
                            </w:r>
                            <w:r>
                              <w:t>February 2023</w:t>
                            </w:r>
                            <w:r w:rsidRPr="006C18C8">
                              <w:t xml:space="preserve"> by the </w:t>
                            </w:r>
                            <w:r w:rsidRPr="006C18C8">
                              <w:br/>
                              <w:t>Ministry for the Environment – Manatū Mō Te Taiao</w:t>
                            </w:r>
                            <w:r w:rsidRPr="006C18C8">
                              <w:br/>
                              <w:t xml:space="preserve">Publication number: </w:t>
                            </w:r>
                            <w:r w:rsidR="003348CD" w:rsidRPr="003348CD">
                              <w:t>INFO 1142</w:t>
                            </w:r>
                          </w:p>
                        </w:tc>
                        <w:tc>
                          <w:tcPr>
                            <w:tcW w:w="3588" w:type="dxa"/>
                            <w:tcBorders>
                              <w:bottom w:val="none" w:sz="0" w:space="0" w:color="auto"/>
                            </w:tcBorders>
                            <w:shd w:val="clear" w:color="auto" w:fill="FFFFFF" w:themeFill="background1"/>
                            <w:tcMar>
                              <w:left w:w="0" w:type="dxa"/>
                              <w:right w:w="0" w:type="dxa"/>
                            </w:tcMar>
                            <w:vAlign w:val="bottom"/>
                          </w:tcPr>
                          <w:p w14:paraId="4D275558" w14:textId="77777777" w:rsidR="00A66149" w:rsidRDefault="00A66149" w:rsidP="00E57601">
                            <w:pPr>
                              <w:pStyle w:val="Footer"/>
                              <w:jc w:val="right"/>
                            </w:pPr>
                            <w:r>
                              <w:rPr>
                                <w:noProof/>
                              </w:rPr>
                              <w:drawing>
                                <wp:inline distT="0" distB="0" distL="0" distR="0" wp14:anchorId="52968B80" wp14:editId="74728191">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2">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AED099C" w14:textId="77777777" w:rsidR="00A66149" w:rsidRPr="00C82C4B" w:rsidRDefault="00A66149" w:rsidP="00A66149">
                      <w:pPr>
                        <w:pStyle w:val="BodyText"/>
                        <w:spacing w:before="0" w:after="0" w:line="240" w:lineRule="auto"/>
                        <w:rPr>
                          <w:sz w:val="16"/>
                          <w:szCs w:val="16"/>
                        </w:rPr>
                      </w:pPr>
                    </w:p>
                  </w:txbxContent>
                </v:textbox>
                <w10:wrap anchory="page"/>
                <w10:anchorlock/>
              </v:shape>
            </w:pict>
          </mc:Fallback>
        </mc:AlternateContent>
      </w:r>
      <w:r w:rsidR="007A2E09">
        <w:t xml:space="preserve">Regional-scale climate projections for </w:t>
      </w:r>
      <w:r>
        <w:t>Aotearoa</w:t>
      </w:r>
      <w:r w:rsidR="007A2E09">
        <w:t xml:space="preserve"> based on global CMIP6 data will be provided in 2024</w:t>
      </w:r>
      <w:r w:rsidR="00D04F57">
        <w:t>,</w:t>
      </w:r>
      <w:r w:rsidR="007A2E09">
        <w:t xml:space="preserve"> following </w:t>
      </w:r>
      <w:hyperlink r:id="rId23" w:history="1">
        <w:r w:rsidRPr="00517732">
          <w:rPr>
            <w:rStyle w:val="Hyperlink"/>
          </w:rPr>
          <w:t>n</w:t>
        </w:r>
        <w:r w:rsidR="007A2E09" w:rsidRPr="00517732">
          <w:rPr>
            <w:rStyle w:val="Hyperlink"/>
          </w:rPr>
          <w:t xml:space="preserve">ational </w:t>
        </w:r>
        <w:r w:rsidRPr="00517732">
          <w:rPr>
            <w:rStyle w:val="Hyperlink"/>
          </w:rPr>
          <w:t>a</w:t>
        </w:r>
        <w:r w:rsidR="007A2E09" w:rsidRPr="00517732">
          <w:rPr>
            <w:rStyle w:val="Hyperlink"/>
          </w:rPr>
          <w:t>daptation</w:t>
        </w:r>
        <w:r w:rsidR="007A2E09" w:rsidRPr="00517732">
          <w:rPr>
            <w:rStyle w:val="Hyperlink"/>
          </w:rPr>
          <w:t xml:space="preserve"> </w:t>
        </w:r>
        <w:r w:rsidRPr="00517732">
          <w:rPr>
            <w:rStyle w:val="Hyperlink"/>
          </w:rPr>
          <w:t>p</w:t>
        </w:r>
        <w:r w:rsidR="007A2E09" w:rsidRPr="00517732">
          <w:rPr>
            <w:rStyle w:val="Hyperlink"/>
          </w:rPr>
          <w:t>lan</w:t>
        </w:r>
      </w:hyperlink>
      <w:r w:rsidR="007A2E09">
        <w:t xml:space="preserve"> action 3.1. Projections for temperatures, wind patterns and other datasets might change when this is completed. Until this downscaling is completed, regional climate projections reported in </w:t>
      </w:r>
      <w:hyperlink r:id="rId24" w:history="1">
        <w:r w:rsidR="00D04F57" w:rsidRPr="00D04F57">
          <w:rPr>
            <w:rStyle w:val="Hyperlink"/>
          </w:rPr>
          <w:t>c</w:t>
        </w:r>
        <w:r w:rsidR="007A2E09" w:rsidRPr="00D04F57">
          <w:rPr>
            <w:rStyle w:val="Hyperlink"/>
          </w:rPr>
          <w:t xml:space="preserve">limate </w:t>
        </w:r>
        <w:r w:rsidR="00D04F57" w:rsidRPr="00D04F57">
          <w:rPr>
            <w:rStyle w:val="Hyperlink"/>
          </w:rPr>
          <w:t>c</w:t>
        </w:r>
        <w:r w:rsidR="007A2E09" w:rsidRPr="00D04F57">
          <w:rPr>
            <w:rStyle w:val="Hyperlink"/>
          </w:rPr>
          <w:t xml:space="preserve">hange </w:t>
        </w:r>
        <w:r w:rsidR="00D04F57" w:rsidRPr="00D04F57">
          <w:rPr>
            <w:rStyle w:val="Hyperlink"/>
          </w:rPr>
          <w:t>p</w:t>
        </w:r>
        <w:r w:rsidR="007A2E09" w:rsidRPr="00D04F57">
          <w:rPr>
            <w:rStyle w:val="Hyperlink"/>
          </w:rPr>
          <w:t>roject</w:t>
        </w:r>
        <w:r w:rsidR="007A2E09" w:rsidRPr="00D04F57">
          <w:rPr>
            <w:rStyle w:val="Hyperlink"/>
          </w:rPr>
          <w:t>i</w:t>
        </w:r>
        <w:r w:rsidR="007A2E09" w:rsidRPr="00D04F57">
          <w:rPr>
            <w:rStyle w:val="Hyperlink"/>
          </w:rPr>
          <w:t>ons for New Zealand</w:t>
        </w:r>
      </w:hyperlink>
      <w:r w:rsidR="007A2E09">
        <w:t xml:space="preserve"> (MfE</w:t>
      </w:r>
      <w:r w:rsidR="00D04F57">
        <w:t>,</w:t>
      </w:r>
      <w:r w:rsidR="007A2E09">
        <w:t xml:space="preserve"> 2018) can continue to be used with reasonable confidence. </w:t>
      </w:r>
    </w:p>
    <w:sectPr w:rsidR="00FA0C86" w:rsidSect="0085118C">
      <w:footerReference w:type="even" r:id="rId25"/>
      <w:footerReference w:type="default" r:id="rId26"/>
      <w:footerReference w:type="first" r:id="rId27"/>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3441" w14:textId="77777777" w:rsidR="008F2DAF" w:rsidRDefault="008F2DAF" w:rsidP="0080531E">
      <w:pPr>
        <w:spacing w:before="0" w:after="0" w:line="240" w:lineRule="auto"/>
      </w:pPr>
      <w:r>
        <w:separator/>
      </w:r>
    </w:p>
    <w:p w14:paraId="511A9AC6" w14:textId="77777777" w:rsidR="008F2DAF" w:rsidRDefault="008F2DAF"/>
  </w:endnote>
  <w:endnote w:type="continuationSeparator" w:id="0">
    <w:p w14:paraId="7F4BE51E" w14:textId="77777777" w:rsidR="008F2DAF" w:rsidRDefault="008F2DAF" w:rsidP="0080531E">
      <w:pPr>
        <w:spacing w:before="0" w:after="0" w:line="240" w:lineRule="auto"/>
      </w:pPr>
      <w:r>
        <w:continuationSeparator/>
      </w:r>
    </w:p>
    <w:p w14:paraId="1DA1A384" w14:textId="77777777" w:rsidR="008F2DAF" w:rsidRDefault="008F2DAF"/>
  </w:endnote>
  <w:endnote w:type="continuationNotice" w:id="1">
    <w:p w14:paraId="7FFE6586" w14:textId="77777777" w:rsidR="008F2DAF" w:rsidRDefault="008F2D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54B" w14:textId="04A7C228"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D04F57" w:rsidRPr="00C675C4">
      <w:t xml:space="preserve">Aotearoa New Zealand </w:t>
    </w:r>
    <w:r w:rsidR="00D04F57">
      <w:t>c</w:t>
    </w:r>
    <w:r w:rsidR="00D04F57" w:rsidRPr="00C675C4">
      <w:t xml:space="preserve">limate </w:t>
    </w:r>
    <w:r w:rsidR="00D04F57">
      <w:t>c</w:t>
    </w:r>
    <w:r w:rsidR="00D04F57" w:rsidRPr="00C675C4">
      <w:t xml:space="preserve">hange </w:t>
    </w:r>
    <w:r w:rsidR="00D04F57">
      <w:t>p</w:t>
    </w:r>
    <w:r w:rsidR="00D04F57" w:rsidRPr="00C675C4">
      <w:t>rojections</w:t>
    </w:r>
    <w:r w:rsidR="00D04F57">
      <w:t>: Quick reference g</w:t>
    </w:r>
    <w:r w:rsidR="00D04F57" w:rsidRPr="00C675C4">
      <w:t>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B7D8" w14:textId="41A9079D" w:rsidR="006C18C8" w:rsidRPr="003A6769" w:rsidRDefault="00FE4F91" w:rsidP="00FE4F91">
    <w:pPr>
      <w:pStyle w:val="Footerodd"/>
    </w:pPr>
    <w:r>
      <w:tab/>
    </w:r>
    <w:r w:rsidR="00D04F57" w:rsidRPr="00C675C4">
      <w:t xml:space="preserve">Aotearoa New Zealand </w:t>
    </w:r>
    <w:r w:rsidR="00D04F57">
      <w:t>c</w:t>
    </w:r>
    <w:r w:rsidR="00D04F57" w:rsidRPr="00C675C4">
      <w:t xml:space="preserve">limate </w:t>
    </w:r>
    <w:r w:rsidR="00D04F57">
      <w:t>c</w:t>
    </w:r>
    <w:r w:rsidR="00D04F57" w:rsidRPr="00C675C4">
      <w:t xml:space="preserve">hange </w:t>
    </w:r>
    <w:r w:rsidR="00D04F57">
      <w:t>p</w:t>
    </w:r>
    <w:r w:rsidR="00D04F57" w:rsidRPr="00C675C4">
      <w:t>rojections</w:t>
    </w:r>
    <w:r w:rsidR="00D04F57">
      <w:t>: Quick reference g</w:t>
    </w:r>
    <w:r w:rsidR="00D04F57" w:rsidRPr="00C675C4">
      <w:t>uide</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18A" w14:textId="2D58BF4A" w:rsidR="0085118C" w:rsidRDefault="0085118C" w:rsidP="0085118C">
    <w:pPr>
      <w:pStyle w:val="Footerodd"/>
    </w:pPr>
    <w:r>
      <w:tab/>
    </w:r>
    <w:r w:rsidR="00C675C4" w:rsidRPr="00C675C4">
      <w:t xml:space="preserve">Aotearoa New Zealand </w:t>
    </w:r>
    <w:r w:rsidR="00D04F57">
      <w:t>c</w:t>
    </w:r>
    <w:r w:rsidR="00C675C4" w:rsidRPr="00C675C4">
      <w:t xml:space="preserve">limate </w:t>
    </w:r>
    <w:r w:rsidR="00D04F57">
      <w:t>c</w:t>
    </w:r>
    <w:r w:rsidR="00C675C4" w:rsidRPr="00C675C4">
      <w:t xml:space="preserve">hange </w:t>
    </w:r>
    <w:r w:rsidR="00D04F57">
      <w:t>p</w:t>
    </w:r>
    <w:r w:rsidR="00C675C4" w:rsidRPr="00C675C4">
      <w:t>rojections</w:t>
    </w:r>
    <w:r w:rsidR="00D04F57">
      <w:t>: Quick reference g</w:t>
    </w:r>
    <w:r w:rsidR="00C675C4" w:rsidRPr="00C675C4">
      <w:t>uide</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B9A3" w14:textId="77777777" w:rsidR="008F2DAF" w:rsidRDefault="008F2DAF" w:rsidP="00CB5C5F">
      <w:pPr>
        <w:spacing w:before="0" w:after="80" w:line="240" w:lineRule="auto"/>
      </w:pPr>
      <w:bookmarkStart w:id="0" w:name="_Hlk86912439"/>
      <w:bookmarkEnd w:id="0"/>
      <w:r>
        <w:separator/>
      </w:r>
    </w:p>
  </w:footnote>
  <w:footnote w:type="continuationSeparator" w:id="0">
    <w:p w14:paraId="77F06F0D" w14:textId="77777777" w:rsidR="008F2DAF" w:rsidRDefault="008F2DAF" w:rsidP="0080531E">
      <w:pPr>
        <w:spacing w:before="0" w:after="0" w:line="240" w:lineRule="auto"/>
      </w:pPr>
      <w:r>
        <w:continuationSeparator/>
      </w:r>
    </w:p>
    <w:p w14:paraId="5DE1464D" w14:textId="77777777" w:rsidR="008F2DAF" w:rsidRDefault="008F2DAF"/>
  </w:footnote>
  <w:footnote w:type="continuationNotice" w:id="1">
    <w:p w14:paraId="52422A7E" w14:textId="77777777" w:rsidR="008F2DAF" w:rsidRDefault="008F2DA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5"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29"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042717"/>
    <w:multiLevelType w:val="multilevel"/>
    <w:tmpl w:val="DCDEB9D0"/>
    <w:numStyleLink w:val="Style1"/>
  </w:abstractNum>
  <w:abstractNum w:abstractNumId="3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3"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57196525">
    <w:abstractNumId w:val="14"/>
  </w:num>
  <w:num w:numId="2" w16cid:durableId="659116008">
    <w:abstractNumId w:val="24"/>
  </w:num>
  <w:num w:numId="3" w16cid:durableId="428039246">
    <w:abstractNumId w:val="35"/>
  </w:num>
  <w:num w:numId="4" w16cid:durableId="1688940720">
    <w:abstractNumId w:val="19"/>
  </w:num>
  <w:num w:numId="5" w16cid:durableId="1790082978">
    <w:abstractNumId w:val="12"/>
  </w:num>
  <w:num w:numId="6" w16cid:durableId="571161853">
    <w:abstractNumId w:val="7"/>
  </w:num>
  <w:num w:numId="7" w16cid:durableId="851066908">
    <w:abstractNumId w:val="22"/>
  </w:num>
  <w:num w:numId="8" w16cid:durableId="61224443">
    <w:abstractNumId w:val="21"/>
  </w:num>
  <w:num w:numId="9" w16cid:durableId="972250063">
    <w:abstractNumId w:val="34"/>
  </w:num>
  <w:num w:numId="10" w16cid:durableId="181745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4372">
    <w:abstractNumId w:val="1"/>
  </w:num>
  <w:num w:numId="12" w16cid:durableId="279385941">
    <w:abstractNumId w:val="28"/>
  </w:num>
  <w:num w:numId="13" w16cid:durableId="948007045">
    <w:abstractNumId w:val="11"/>
  </w:num>
  <w:num w:numId="14" w16cid:durableId="823200718">
    <w:abstractNumId w:val="30"/>
  </w:num>
  <w:num w:numId="15" w16cid:durableId="703866721">
    <w:abstractNumId w:val="20"/>
  </w:num>
  <w:num w:numId="16" w16cid:durableId="192305151">
    <w:abstractNumId w:val="10"/>
  </w:num>
  <w:num w:numId="17" w16cid:durableId="24016450">
    <w:abstractNumId w:val="29"/>
  </w:num>
  <w:num w:numId="18" w16cid:durableId="717705514">
    <w:abstractNumId w:val="25"/>
  </w:num>
  <w:num w:numId="19" w16cid:durableId="691230062">
    <w:abstractNumId w:val="31"/>
  </w:num>
  <w:num w:numId="20" w16cid:durableId="1343435891">
    <w:abstractNumId w:val="13"/>
  </w:num>
  <w:num w:numId="21" w16cid:durableId="4983556">
    <w:abstractNumId w:val="26"/>
  </w:num>
  <w:num w:numId="22" w16cid:durableId="1442725474">
    <w:abstractNumId w:val="4"/>
  </w:num>
  <w:num w:numId="23" w16cid:durableId="380246717">
    <w:abstractNumId w:val="23"/>
  </w:num>
  <w:num w:numId="24" w16cid:durableId="1964146203">
    <w:abstractNumId w:val="15"/>
  </w:num>
  <w:num w:numId="25" w16cid:durableId="1810130802">
    <w:abstractNumId w:val="33"/>
  </w:num>
  <w:num w:numId="26" w16cid:durableId="404837251">
    <w:abstractNumId w:val="27"/>
  </w:num>
  <w:num w:numId="27" w16cid:durableId="1851795376">
    <w:abstractNumId w:val="0"/>
  </w:num>
  <w:num w:numId="28" w16cid:durableId="1318416344">
    <w:abstractNumId w:val="17"/>
  </w:num>
  <w:num w:numId="29" w16cid:durableId="1533492555">
    <w:abstractNumId w:val="8"/>
  </w:num>
  <w:num w:numId="30" w16cid:durableId="1154376177">
    <w:abstractNumId w:val="3"/>
  </w:num>
  <w:num w:numId="31" w16cid:durableId="944464173">
    <w:abstractNumId w:val="2"/>
  </w:num>
  <w:num w:numId="32" w16cid:durableId="1884168811">
    <w:abstractNumId w:val="5"/>
  </w:num>
  <w:num w:numId="33" w16cid:durableId="1627159036">
    <w:abstractNumId w:val="9"/>
  </w:num>
  <w:num w:numId="34" w16cid:durableId="1671175605">
    <w:abstractNumId w:val="18"/>
  </w:num>
  <w:num w:numId="35" w16cid:durableId="152792863">
    <w:abstractNumId w:val="16"/>
  </w:num>
  <w:num w:numId="36" w16cid:durableId="448669641">
    <w:abstractNumId w:val="6"/>
  </w:num>
  <w:num w:numId="37" w16cid:durableId="41442950">
    <w:abstractNumId w:val="32"/>
  </w:num>
  <w:num w:numId="38" w16cid:durableId="592393198">
    <w:abstractNumId w:val="24"/>
  </w:num>
  <w:num w:numId="39" w16cid:durableId="5885368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81"/>
    <w:rsid w:val="00000792"/>
    <w:rsid w:val="00000F04"/>
    <w:rsid w:val="00003C4F"/>
    <w:rsid w:val="00004E0A"/>
    <w:rsid w:val="00004FD3"/>
    <w:rsid w:val="0000507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D8"/>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99A"/>
    <w:rsid w:val="000B6D1F"/>
    <w:rsid w:val="000C062F"/>
    <w:rsid w:val="000C0668"/>
    <w:rsid w:val="000C17E7"/>
    <w:rsid w:val="000C3270"/>
    <w:rsid w:val="000C574D"/>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722C"/>
    <w:rsid w:val="000E730A"/>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4B81"/>
    <w:rsid w:val="000F5285"/>
    <w:rsid w:val="000F52E0"/>
    <w:rsid w:val="000F53A9"/>
    <w:rsid w:val="000F6464"/>
    <w:rsid w:val="000F662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731C"/>
    <w:rsid w:val="00127945"/>
    <w:rsid w:val="00127D94"/>
    <w:rsid w:val="00127E90"/>
    <w:rsid w:val="001302C1"/>
    <w:rsid w:val="001306D3"/>
    <w:rsid w:val="001308F4"/>
    <w:rsid w:val="001310BF"/>
    <w:rsid w:val="00131EC2"/>
    <w:rsid w:val="00133E73"/>
    <w:rsid w:val="00133FDB"/>
    <w:rsid w:val="00134C79"/>
    <w:rsid w:val="00134F4A"/>
    <w:rsid w:val="00135E4E"/>
    <w:rsid w:val="00136246"/>
    <w:rsid w:val="001362A1"/>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77D5B"/>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2D7"/>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B8A"/>
    <w:rsid w:val="001B7DB5"/>
    <w:rsid w:val="001B7E91"/>
    <w:rsid w:val="001C0748"/>
    <w:rsid w:val="001C147E"/>
    <w:rsid w:val="001C151B"/>
    <w:rsid w:val="001C19E5"/>
    <w:rsid w:val="001C3800"/>
    <w:rsid w:val="001C3C7B"/>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DAB"/>
    <w:rsid w:val="00287FB6"/>
    <w:rsid w:val="002900C5"/>
    <w:rsid w:val="002901E0"/>
    <w:rsid w:val="0029075B"/>
    <w:rsid w:val="00290BB1"/>
    <w:rsid w:val="00291BC1"/>
    <w:rsid w:val="002933B9"/>
    <w:rsid w:val="002933CA"/>
    <w:rsid w:val="00293A8F"/>
    <w:rsid w:val="00295155"/>
    <w:rsid w:val="00295D51"/>
    <w:rsid w:val="00296203"/>
    <w:rsid w:val="00296428"/>
    <w:rsid w:val="0029643D"/>
    <w:rsid w:val="00296A94"/>
    <w:rsid w:val="00296B25"/>
    <w:rsid w:val="00296F24"/>
    <w:rsid w:val="0029706A"/>
    <w:rsid w:val="002972EE"/>
    <w:rsid w:val="00297C02"/>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3ED7"/>
    <w:rsid w:val="002B4778"/>
    <w:rsid w:val="002B4F0F"/>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7F6"/>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26E4"/>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48CD"/>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5CD"/>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71AD"/>
    <w:rsid w:val="003A7D1D"/>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17A"/>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4EFC"/>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173"/>
    <w:rsid w:val="004255B4"/>
    <w:rsid w:val="00426766"/>
    <w:rsid w:val="004267D0"/>
    <w:rsid w:val="004276CB"/>
    <w:rsid w:val="004279CA"/>
    <w:rsid w:val="00427A82"/>
    <w:rsid w:val="00427EA2"/>
    <w:rsid w:val="00430115"/>
    <w:rsid w:val="004303CA"/>
    <w:rsid w:val="00430A4B"/>
    <w:rsid w:val="00431C46"/>
    <w:rsid w:val="004327E6"/>
    <w:rsid w:val="004329DC"/>
    <w:rsid w:val="00432AC6"/>
    <w:rsid w:val="00434C5E"/>
    <w:rsid w:val="00435765"/>
    <w:rsid w:val="004360B6"/>
    <w:rsid w:val="004362E5"/>
    <w:rsid w:val="00436356"/>
    <w:rsid w:val="0044041E"/>
    <w:rsid w:val="00440722"/>
    <w:rsid w:val="00440DF5"/>
    <w:rsid w:val="004425D9"/>
    <w:rsid w:val="00443244"/>
    <w:rsid w:val="00444AF6"/>
    <w:rsid w:val="0044519D"/>
    <w:rsid w:val="00445544"/>
    <w:rsid w:val="00445C0B"/>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5CB8"/>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98D"/>
    <w:rsid w:val="004C1B7D"/>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1E71"/>
    <w:rsid w:val="004D2809"/>
    <w:rsid w:val="004D2CDF"/>
    <w:rsid w:val="004D33CE"/>
    <w:rsid w:val="004D4AAE"/>
    <w:rsid w:val="004D5714"/>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385D"/>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732"/>
    <w:rsid w:val="0051785D"/>
    <w:rsid w:val="00517913"/>
    <w:rsid w:val="0052005F"/>
    <w:rsid w:val="00520200"/>
    <w:rsid w:val="00520E2D"/>
    <w:rsid w:val="00520F04"/>
    <w:rsid w:val="00521717"/>
    <w:rsid w:val="005224B2"/>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0700"/>
    <w:rsid w:val="00541222"/>
    <w:rsid w:val="00541A8D"/>
    <w:rsid w:val="00541D4D"/>
    <w:rsid w:val="00542693"/>
    <w:rsid w:val="0054309B"/>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1E9F"/>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487"/>
    <w:rsid w:val="005B17C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760E"/>
    <w:rsid w:val="005C7E9E"/>
    <w:rsid w:val="005D18C9"/>
    <w:rsid w:val="005D1B72"/>
    <w:rsid w:val="005D23BD"/>
    <w:rsid w:val="005D2471"/>
    <w:rsid w:val="005D25A3"/>
    <w:rsid w:val="005D2779"/>
    <w:rsid w:val="005D2E2A"/>
    <w:rsid w:val="005D3242"/>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588E"/>
    <w:rsid w:val="005F6774"/>
    <w:rsid w:val="005F7079"/>
    <w:rsid w:val="005F79AA"/>
    <w:rsid w:val="0060044B"/>
    <w:rsid w:val="006013D7"/>
    <w:rsid w:val="006014DB"/>
    <w:rsid w:val="00601587"/>
    <w:rsid w:val="00601E61"/>
    <w:rsid w:val="00602079"/>
    <w:rsid w:val="006022F3"/>
    <w:rsid w:val="00602579"/>
    <w:rsid w:val="00602817"/>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0B1"/>
    <w:rsid w:val="006578A1"/>
    <w:rsid w:val="006578A6"/>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17D3"/>
    <w:rsid w:val="006927F2"/>
    <w:rsid w:val="006931E1"/>
    <w:rsid w:val="00693509"/>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46F"/>
    <w:rsid w:val="006F00E7"/>
    <w:rsid w:val="006F0F6E"/>
    <w:rsid w:val="006F1B22"/>
    <w:rsid w:val="006F1BA4"/>
    <w:rsid w:val="006F1F06"/>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278DD"/>
    <w:rsid w:val="00730EA6"/>
    <w:rsid w:val="00731C15"/>
    <w:rsid w:val="00732045"/>
    <w:rsid w:val="007322A0"/>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1ED"/>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777"/>
    <w:rsid w:val="00763CCB"/>
    <w:rsid w:val="007642B4"/>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FE4"/>
    <w:rsid w:val="007730F4"/>
    <w:rsid w:val="007736E8"/>
    <w:rsid w:val="00774ACE"/>
    <w:rsid w:val="00775786"/>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18A"/>
    <w:rsid w:val="00795365"/>
    <w:rsid w:val="0079567E"/>
    <w:rsid w:val="007961D5"/>
    <w:rsid w:val="00796A6F"/>
    <w:rsid w:val="00796C5D"/>
    <w:rsid w:val="00797B06"/>
    <w:rsid w:val="00797B9C"/>
    <w:rsid w:val="007A0483"/>
    <w:rsid w:val="007A1065"/>
    <w:rsid w:val="007A1D86"/>
    <w:rsid w:val="007A2A97"/>
    <w:rsid w:val="007A2CDC"/>
    <w:rsid w:val="007A2E09"/>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18C5"/>
    <w:rsid w:val="007B1925"/>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6F"/>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67BF2"/>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77FBC"/>
    <w:rsid w:val="00881511"/>
    <w:rsid w:val="0088194A"/>
    <w:rsid w:val="00882448"/>
    <w:rsid w:val="00882F1D"/>
    <w:rsid w:val="00883A4D"/>
    <w:rsid w:val="00883B21"/>
    <w:rsid w:val="00883E9A"/>
    <w:rsid w:val="00883F8F"/>
    <w:rsid w:val="00884235"/>
    <w:rsid w:val="00885285"/>
    <w:rsid w:val="00885985"/>
    <w:rsid w:val="00886699"/>
    <w:rsid w:val="00886A21"/>
    <w:rsid w:val="0088709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13D"/>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2C00"/>
    <w:rsid w:val="008D427A"/>
    <w:rsid w:val="008D4AC9"/>
    <w:rsid w:val="008D4DD5"/>
    <w:rsid w:val="008D5657"/>
    <w:rsid w:val="008D5F2F"/>
    <w:rsid w:val="008D6752"/>
    <w:rsid w:val="008D69E7"/>
    <w:rsid w:val="008D6FC1"/>
    <w:rsid w:val="008E0140"/>
    <w:rsid w:val="008E0688"/>
    <w:rsid w:val="008E0BEF"/>
    <w:rsid w:val="008E266D"/>
    <w:rsid w:val="008E2F0C"/>
    <w:rsid w:val="008E3E23"/>
    <w:rsid w:val="008E52DA"/>
    <w:rsid w:val="008E547B"/>
    <w:rsid w:val="008E5DF8"/>
    <w:rsid w:val="008E7B47"/>
    <w:rsid w:val="008F0250"/>
    <w:rsid w:val="008F11F4"/>
    <w:rsid w:val="008F1952"/>
    <w:rsid w:val="008F1EF5"/>
    <w:rsid w:val="008F254D"/>
    <w:rsid w:val="008F2DAF"/>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C91"/>
    <w:rsid w:val="00906C95"/>
    <w:rsid w:val="00907656"/>
    <w:rsid w:val="00907E47"/>
    <w:rsid w:val="009107BA"/>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0C03"/>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33D3"/>
    <w:rsid w:val="009339B6"/>
    <w:rsid w:val="00933B4C"/>
    <w:rsid w:val="00933DC4"/>
    <w:rsid w:val="0093431B"/>
    <w:rsid w:val="009346D6"/>
    <w:rsid w:val="00934743"/>
    <w:rsid w:val="0093487E"/>
    <w:rsid w:val="00934F74"/>
    <w:rsid w:val="00934FFE"/>
    <w:rsid w:val="00936405"/>
    <w:rsid w:val="00936B64"/>
    <w:rsid w:val="00936F76"/>
    <w:rsid w:val="009379C4"/>
    <w:rsid w:val="00940186"/>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FB"/>
    <w:rsid w:val="0095538B"/>
    <w:rsid w:val="0095695D"/>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216F"/>
    <w:rsid w:val="00972C3B"/>
    <w:rsid w:val="00973057"/>
    <w:rsid w:val="00973604"/>
    <w:rsid w:val="00974D50"/>
    <w:rsid w:val="009751AF"/>
    <w:rsid w:val="0097532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6495"/>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3931"/>
    <w:rsid w:val="00A239EB"/>
    <w:rsid w:val="00A23FD6"/>
    <w:rsid w:val="00A25317"/>
    <w:rsid w:val="00A25706"/>
    <w:rsid w:val="00A25C26"/>
    <w:rsid w:val="00A25D84"/>
    <w:rsid w:val="00A26029"/>
    <w:rsid w:val="00A262E4"/>
    <w:rsid w:val="00A267C2"/>
    <w:rsid w:val="00A268EA"/>
    <w:rsid w:val="00A2703A"/>
    <w:rsid w:val="00A31CE0"/>
    <w:rsid w:val="00A31FA9"/>
    <w:rsid w:val="00A333BF"/>
    <w:rsid w:val="00A33825"/>
    <w:rsid w:val="00A3398F"/>
    <w:rsid w:val="00A34598"/>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12F"/>
    <w:rsid w:val="00A64815"/>
    <w:rsid w:val="00A65043"/>
    <w:rsid w:val="00A66149"/>
    <w:rsid w:val="00A66DF9"/>
    <w:rsid w:val="00A704E4"/>
    <w:rsid w:val="00A706FC"/>
    <w:rsid w:val="00A70BD2"/>
    <w:rsid w:val="00A7136A"/>
    <w:rsid w:val="00A71C44"/>
    <w:rsid w:val="00A72296"/>
    <w:rsid w:val="00A73268"/>
    <w:rsid w:val="00A7388E"/>
    <w:rsid w:val="00A73E0A"/>
    <w:rsid w:val="00A74544"/>
    <w:rsid w:val="00A74548"/>
    <w:rsid w:val="00A74DF2"/>
    <w:rsid w:val="00A74E4D"/>
    <w:rsid w:val="00A7592E"/>
    <w:rsid w:val="00A7599F"/>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97FB7"/>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27D5"/>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265"/>
    <w:rsid w:val="00AD2717"/>
    <w:rsid w:val="00AD2F6A"/>
    <w:rsid w:val="00AD3644"/>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32C"/>
    <w:rsid w:val="00B06737"/>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4FE6"/>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757"/>
    <w:rsid w:val="00B87A7D"/>
    <w:rsid w:val="00B87DF9"/>
    <w:rsid w:val="00B91951"/>
    <w:rsid w:val="00B91A58"/>
    <w:rsid w:val="00B91EA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4E36"/>
    <w:rsid w:val="00BB56C7"/>
    <w:rsid w:val="00BB5B62"/>
    <w:rsid w:val="00BB6502"/>
    <w:rsid w:val="00BB6BCD"/>
    <w:rsid w:val="00BB70F9"/>
    <w:rsid w:val="00BB7C9B"/>
    <w:rsid w:val="00BC1527"/>
    <w:rsid w:val="00BC2306"/>
    <w:rsid w:val="00BC2F31"/>
    <w:rsid w:val="00BC316E"/>
    <w:rsid w:val="00BC4036"/>
    <w:rsid w:val="00BC4F0A"/>
    <w:rsid w:val="00BC509F"/>
    <w:rsid w:val="00BC51D2"/>
    <w:rsid w:val="00BC555E"/>
    <w:rsid w:val="00BC64BE"/>
    <w:rsid w:val="00BC7155"/>
    <w:rsid w:val="00BC7550"/>
    <w:rsid w:val="00BD0B72"/>
    <w:rsid w:val="00BD2668"/>
    <w:rsid w:val="00BD3924"/>
    <w:rsid w:val="00BD3C33"/>
    <w:rsid w:val="00BD450F"/>
    <w:rsid w:val="00BD4512"/>
    <w:rsid w:val="00BD52AA"/>
    <w:rsid w:val="00BD7FF4"/>
    <w:rsid w:val="00BE1061"/>
    <w:rsid w:val="00BE1321"/>
    <w:rsid w:val="00BE2893"/>
    <w:rsid w:val="00BE2EB4"/>
    <w:rsid w:val="00BE2F5A"/>
    <w:rsid w:val="00BE357D"/>
    <w:rsid w:val="00BE37D3"/>
    <w:rsid w:val="00BE4098"/>
    <w:rsid w:val="00BE522A"/>
    <w:rsid w:val="00BE57B5"/>
    <w:rsid w:val="00BE5ABE"/>
    <w:rsid w:val="00BE7A7C"/>
    <w:rsid w:val="00BE7E3D"/>
    <w:rsid w:val="00BF0A44"/>
    <w:rsid w:val="00BF0CEC"/>
    <w:rsid w:val="00BF1A44"/>
    <w:rsid w:val="00BF1EDF"/>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7E76"/>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21AC"/>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5C4"/>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0ADD"/>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2C5E"/>
    <w:rsid w:val="00D0330B"/>
    <w:rsid w:val="00D03BF7"/>
    <w:rsid w:val="00D03F1E"/>
    <w:rsid w:val="00D0428E"/>
    <w:rsid w:val="00D04426"/>
    <w:rsid w:val="00D0482F"/>
    <w:rsid w:val="00D04A33"/>
    <w:rsid w:val="00D04F57"/>
    <w:rsid w:val="00D05892"/>
    <w:rsid w:val="00D066AE"/>
    <w:rsid w:val="00D06824"/>
    <w:rsid w:val="00D06C03"/>
    <w:rsid w:val="00D1037A"/>
    <w:rsid w:val="00D10D09"/>
    <w:rsid w:val="00D1163E"/>
    <w:rsid w:val="00D12362"/>
    <w:rsid w:val="00D12A4F"/>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2F21"/>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6A0"/>
    <w:rsid w:val="00D93C1C"/>
    <w:rsid w:val="00D94026"/>
    <w:rsid w:val="00D94120"/>
    <w:rsid w:val="00D951DD"/>
    <w:rsid w:val="00D952ED"/>
    <w:rsid w:val="00D957FA"/>
    <w:rsid w:val="00D9664C"/>
    <w:rsid w:val="00D97404"/>
    <w:rsid w:val="00D975A3"/>
    <w:rsid w:val="00D979D0"/>
    <w:rsid w:val="00D97B45"/>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A4F"/>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5C6C"/>
    <w:rsid w:val="00E3621B"/>
    <w:rsid w:val="00E36D6F"/>
    <w:rsid w:val="00E36F43"/>
    <w:rsid w:val="00E37F0C"/>
    <w:rsid w:val="00E40ADF"/>
    <w:rsid w:val="00E418E3"/>
    <w:rsid w:val="00E41F8B"/>
    <w:rsid w:val="00E423DE"/>
    <w:rsid w:val="00E4296F"/>
    <w:rsid w:val="00E42F07"/>
    <w:rsid w:val="00E4370F"/>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46"/>
    <w:rsid w:val="00EA7A7E"/>
    <w:rsid w:val="00EB05DA"/>
    <w:rsid w:val="00EB190F"/>
    <w:rsid w:val="00EB235B"/>
    <w:rsid w:val="00EB2EF9"/>
    <w:rsid w:val="00EB31A3"/>
    <w:rsid w:val="00EB325B"/>
    <w:rsid w:val="00EB3E22"/>
    <w:rsid w:val="00EB693B"/>
    <w:rsid w:val="00EB7BA9"/>
    <w:rsid w:val="00EB7D75"/>
    <w:rsid w:val="00EC0B20"/>
    <w:rsid w:val="00EC0EE7"/>
    <w:rsid w:val="00EC1C3A"/>
    <w:rsid w:val="00EC1F51"/>
    <w:rsid w:val="00EC2075"/>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3890"/>
    <w:rsid w:val="00ED4206"/>
    <w:rsid w:val="00ED58A2"/>
    <w:rsid w:val="00ED58C3"/>
    <w:rsid w:val="00ED5C71"/>
    <w:rsid w:val="00ED5EEE"/>
    <w:rsid w:val="00ED667C"/>
    <w:rsid w:val="00ED7966"/>
    <w:rsid w:val="00ED79F2"/>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CAD"/>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1C1"/>
    <w:rsid w:val="00F3769D"/>
    <w:rsid w:val="00F404F4"/>
    <w:rsid w:val="00F4076F"/>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25D9"/>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0E39"/>
    <w:rsid w:val="00F6150C"/>
    <w:rsid w:val="00F6159C"/>
    <w:rsid w:val="00F61714"/>
    <w:rsid w:val="00F6238F"/>
    <w:rsid w:val="00F63E59"/>
    <w:rsid w:val="00F64915"/>
    <w:rsid w:val="00F64BE0"/>
    <w:rsid w:val="00F65B68"/>
    <w:rsid w:val="00F67846"/>
    <w:rsid w:val="00F67B42"/>
    <w:rsid w:val="00F70B72"/>
    <w:rsid w:val="00F70DEF"/>
    <w:rsid w:val="00F70EA3"/>
    <w:rsid w:val="00F71398"/>
    <w:rsid w:val="00F7294C"/>
    <w:rsid w:val="00F72C5F"/>
    <w:rsid w:val="00F73549"/>
    <w:rsid w:val="00F7451B"/>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DC85"/>
  <w15:docId w15:val="{93D7A9EB-DAD2-448D-A324-8CA0D5F9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E09"/>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Chiller" w:eastAsia="Times New Roman" w:hAnsi="Chiller"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Chiller" w:eastAsia="Times New Roman" w:hAnsi="Chiller"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Chiller" w:eastAsia="Times New Roman" w:hAnsi="Chiller" w:cs="Times New Roman"/>
        <w:b/>
        <w:bCs/>
      </w:rPr>
    </w:tblStylePr>
    <w:tblStylePr w:type="lastCol">
      <w:rPr>
        <w:rFonts w:ascii="Chiller" w:eastAsia="Times New Roman" w:hAnsi="Chiller"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Chiller" w:eastAsia="Times New Roman" w:hAnsi="Chiller"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rsid w:val="00363B9A"/>
    <w:pPr>
      <w:spacing w:line="240" w:lineRule="auto"/>
    </w:pPr>
    <w:rPr>
      <w:sz w:val="20"/>
      <w:szCs w:val="20"/>
    </w:rPr>
  </w:style>
  <w:style w:type="character" w:customStyle="1" w:styleId="CommentTextChar">
    <w:name w:val="Comment Text Char"/>
    <w:basedOn w:val="DefaultParagraphFont"/>
    <w:link w:val="CommentText"/>
    <w:uiPriority w:val="99"/>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ention">
    <w:name w:val="Mention"/>
    <w:basedOn w:val="DefaultParagraphFont"/>
    <w:uiPriority w:val="99"/>
    <w:unhideWhenUsed/>
    <w:rsid w:val="008D2C00"/>
    <w:rPr>
      <w:color w:val="2B579A"/>
      <w:shd w:val="clear" w:color="auto" w:fill="E6E6E6"/>
    </w:rPr>
  </w:style>
  <w:style w:type="paragraph" w:styleId="NoSpacing">
    <w:name w:val="No Spacing"/>
    <w:uiPriority w:val="1"/>
    <w:qFormat/>
    <w:rsid w:val="007A2E0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vironment.govt.nz/publications/aotearoa-new-zealand-climate-change-projections-guidance/"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nvironment.govt.nz/publications/interim-guidance-on-the-use-of-new-sea-level-rise-projection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nvironment.govt.nz/publications/national-adaptation-plan-and-emissions-reduction-plan-resource-management-act-1991-guidance-not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nvironment.govt.nz/publications/aotearoa-new-zealands-first-national-adaptation-plan/" TargetMode="External"/><Relationship Id="rId20" Type="http://schemas.openxmlformats.org/officeDocument/2006/relationships/hyperlink" Target="https://environment.govt.nz/publications/coastal-hazards-and-climate-change-guidance-for-local-govern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nvironment.govt.nz/publications/climate-change-projections-for-new-zealand/" TargetMode="External"/><Relationship Id="rId5" Type="http://schemas.openxmlformats.org/officeDocument/2006/relationships/customXml" Target="../customXml/item5.xml"/><Relationship Id="rId15" Type="http://schemas.openxmlformats.org/officeDocument/2006/relationships/hyperlink" Target="https://environment.govt.nz/publications/aotearoa-new-zealand-climate-change-projections-guidance/" TargetMode="External"/><Relationship Id="rId23" Type="http://schemas.openxmlformats.org/officeDocument/2006/relationships/hyperlink" Target="https://environment.govt.nz/publications/aotearoa-new-zealands-first-national-adaptation-pla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pcc.ch/report/ar6/wg1/" TargetMode="External"/><Relationship Id="rId22" Type="http://schemas.openxmlformats.org/officeDocument/2006/relationships/image" Target="media/image4.pn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ECM-1611556306-210032</_dlc_DocId>
    <_dlc_DocIdUrl xmlns="58a6f171-52cb-4404-b47d-af1c8daf8fd1">
      <Url>https://ministryforenvironment.sharepoint.com/sites/ECM-GS-PR/_layouts/15/DocIdRedir.aspx?ID=ECM-1611556306-210032</Url>
      <Description>ECM-1611556306-210032</Description>
    </_dlc_DocIdUrl>
    <From xmlns="4a94300e-a927-4b92-9d3a-682523035cb6" xsi:nil="true"/>
    <IconOverlay xmlns="http://schemas.microsoft.com/sharepoint/v4"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Supplemental_x0020_Markings xmlns="4a94300e-a927-4b92-9d3a-682523035cb6" xsi:nil="true"/>
    <Contract_x0020_Number xmlns="4a94300e-a927-4b92-9d3a-682523035cb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5" ma:contentTypeDescription="Create a new document." ma:contentTypeScope="" ma:versionID="3048d35d247501ec75f9e27c6fe78cda">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xmlns:ns5="http://schemas.microsoft.com/sharepoint/v4" targetNamespace="http://schemas.microsoft.com/office/2006/metadata/properties" ma:root="true" ma:fieldsID="8adf2c8fefe1c6a2a4767c3a804954a1" ns1:_="" ns2:_="" ns3:_="" ns4:_="" ns5:_="">
    <xsd:import namespace="http://schemas.microsoft.com/sharepoint/v3"/>
    <xsd:import namespace="58a6f171-52cb-4404-b47d-af1c8daf8fd1"/>
    <xsd:import namespace="4a94300e-a927-4b92-9d3a-682523035cb6"/>
    <xsd:import namespace="0a5b0190-e301-4766-933d-448c7c363fc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To" minOccurs="0"/>
                <xsd:element ref="ns3:From" minOccurs="0"/>
                <xsd:element ref="ns3:Sent_x002f_Received" minOccurs="0"/>
                <xsd:element ref="ns3:Other_x0020_Details_2" minOccurs="0"/>
                <xsd:element ref="ns3:Other_x0020_Details_3" minOccurs="0"/>
                <xsd:element ref="ns3:MediaServiceMetadata" minOccurs="0"/>
                <xsd:element ref="ns3:MediaServiceFastMetadata" minOccurs="0"/>
                <xsd:element ref="ns3:MediaServiceAutoKeyPoints" minOccurs="0"/>
                <xsd:element ref="ns3:MediaServiceKeyPoints" minOccurs="0"/>
                <xsd:element ref="ns3:MTS_x0020_Type" minOccurs="0"/>
                <xsd:element ref="ns3:MTS_x0020_ID" minOccurs="0"/>
                <xsd:element ref="ns3:Supplemental_x0020_Marking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Contract_x0020_Numbe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5:IconOverlay"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6" nillable="true" ma:displayName="Unified Compliance Policy Properties" ma:hidden="true" ma:internalName="_ip_UnifiedCompliancePolicyProperties">
      <xsd:simpleType>
        <xsd:restriction base="dms:Note"/>
      </xsd:simpleType>
    </xsd:element>
    <xsd:element name="_ip_UnifiedCompliancePolicyUIAction" ma:index="4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4" nillable="true" ma:displayName="Taxonomy Catch All Column" ma:hidden="true" ma:list="{31619bcc-8832-487c-a140-e6acfd73ab79}"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Library" ma:index="12" nillable="true" ma:displayName="Library" ma:default="" ma:description="" ma:internalName="Library">
      <xsd:simpleType>
        <xsd:restriction base="dms:Text">
          <xsd:maxLength value="255"/>
        </xsd:restriction>
      </xsd:simpleType>
    </xsd:element>
    <xsd:element name="Legacy_x0020_DocID" ma:index="13" nillable="true" ma:displayName="Legacy DocID" ma:decimals="-1" ma:default="" ma:description="" ma:internalName="Legacy_x0020_DocID">
      <xsd:simpleType>
        <xsd:restriction base="dms:Number"/>
      </xsd:simpleType>
    </xsd:element>
    <xsd:element name="Legacy_x0020_Version" ma:index="14" nillable="true" ma:displayName="Legacy Version" ma:default="" ma:description="" ma:internalName="Legacy_x0020_Version">
      <xsd:simpleType>
        <xsd:restriction base="dms:Text">
          <xsd:maxLength value="255"/>
        </xsd:restriction>
      </xsd:simpleType>
    </xsd:element>
    <xsd:element name="Class" ma:index="15" nillable="true" ma:displayName="Class" ma:default="" ma:description="" ma:internalName="Class">
      <xsd:simpleType>
        <xsd:restriction base="dms:Text">
          <xsd:maxLength value="255"/>
        </xsd:restriction>
      </xsd:simpleType>
    </xsd:element>
    <xsd:element name="Author0" ma:index="16" nillable="true" ma:displayName="Author" ma:default="" ma:description="" ma:internalName="Author0">
      <xsd:simpleType>
        <xsd:restriction base="dms:Text">
          <xsd:maxLength value="255"/>
        </xsd:restriction>
      </xsd:simpleType>
    </xsd:element>
    <xsd:element name="Status" ma:index="17" nillable="true" ma:displayName="Status" ma:default="" ma:description="" ma:internalName="Status">
      <xsd:simpleType>
        <xsd:restriction base="dms:Text">
          <xsd:maxLength value="255"/>
        </xsd:restriction>
      </xsd:simpleType>
    </xsd:element>
    <xsd:element name="Year" ma:index="18" nillable="true" ma:displayName="Year" ma:default="" ma:description="" ma:internalName="Year">
      <xsd:simpleType>
        <xsd:restriction base="dms:Text">
          <xsd:maxLength value="255"/>
        </xsd:restriction>
      </xsd:simpleType>
    </xsd:element>
    <xsd:element name="Other_x0020_Details" ma:index="19" nillable="true" ma:displayName="Other Details" ma:default="" ma:description="" ma:internalName="Other_x0020_Details">
      <xsd:simpleType>
        <xsd:restriction base="dms:Text">
          <xsd:maxLength value="255"/>
        </xsd:restriction>
      </xsd:simpleType>
    </xsd:element>
    <xsd:element name="Sender" ma:index="20" nillable="true" ma:displayName="Sender" ma:description="" ma:internalName="Sender">
      <xsd:simpleType>
        <xsd:restriction base="dms:Text">
          <xsd:maxLength value="255"/>
        </xsd:restriction>
      </xsd:simpleType>
    </xsd:element>
    <xsd:element name="Receiver" ma:index="21" nillable="true" ma:displayName="Receiver" ma:description="" ma:internalName="Receiver">
      <xsd:simpleType>
        <xsd:restriction base="dms:Text">
          <xsd:maxLength value="255"/>
        </xsd:restriction>
      </xsd:simpleType>
    </xsd:element>
    <xsd:element name="Sender_x0020_Date" ma:index="22" nillable="true" ma:displayName="Sender Date" ma:default="" ma:description="" ma:format="DateTime" ma:internalName="Sender_x0020_Date">
      <xsd:simpleType>
        <xsd:restriction base="dms:DateTime"/>
      </xsd:simpleType>
    </xsd:element>
    <xsd:element name="Receiver_x0020_Date" ma:index="23" nillable="true" ma:displayName="Receiver Date" ma:default="" ma:description="" ma:format="DateTime" ma:internalName="Receiver_x0020_Date">
      <xsd:simpleType>
        <xsd:restriction base="dms:DateTime"/>
      </xsd:simpleType>
    </xsd:element>
    <xsd:element name="Carbon_x0020_Copy" ma:index="24" nillable="true" ma:displayName="Carbon Copy" ma:description="" ma:internalName="Carbon_x0020_Copy">
      <xsd:simpleType>
        <xsd:restriction base="dms:Text">
          <xsd:maxLength value="255"/>
        </xsd:restriction>
      </xsd:simpleType>
    </xsd:element>
    <xsd:element name="Email_x0020_Table" ma:index="26" nillable="true" ma:displayName="Email Table" ma:description="" ma:internalName="Email_x0020_Table">
      <xsd:simpleType>
        <xsd:restriction base="dms:Note">
          <xsd:maxLength value="255"/>
        </xsd:restriction>
      </xsd:simpleType>
    </xsd:element>
    <xsd:element name="To" ma:index="27" nillable="true" ma:displayName="To" ma:default="" ma:description="" ma:internalName="To">
      <xsd:simpleType>
        <xsd:restriction base="dms:Note">
          <xsd:maxLength value="255"/>
        </xsd:restriction>
      </xsd:simpleType>
    </xsd:element>
    <xsd:element name="From" ma:index="28" nillable="true" ma:displayName="From" ma:default="" ma:description="" ma:internalName="From">
      <xsd:simpleType>
        <xsd:restriction base="dms:Text">
          <xsd:maxLength value="255"/>
        </xsd:restriction>
      </xsd:simpleType>
    </xsd:element>
    <xsd:element name="Sent_x002f_Received" ma:index="29" nillable="true" ma:displayName="Sent/Received" ma:default="" ma:description="" ma:internalName="Sent_x002f_Received">
      <xsd:simpleType>
        <xsd:restriction base="dms:Text">
          <xsd:maxLength value="255"/>
        </xsd:restriction>
      </xsd:simpleType>
    </xsd:element>
    <xsd:element name="Other_x0020_Details_2" ma:index="30" nillable="true" ma:displayName="Other Details_2" ma:description="" ma:internalName="Other_x0020_Details_2">
      <xsd:simpleType>
        <xsd:restriction base="dms:Text">
          <xsd:maxLength value="255"/>
        </xsd:restriction>
      </xsd:simpleType>
    </xsd:element>
    <xsd:element name="Other_x0020_Details_3" ma:index="31" nillable="true" ma:displayName="Other Details_3" ma:description="" ma:internalName="Other_x0020_Details_3">
      <xsd:simpleType>
        <xsd:restriction base="dms:Text">
          <xsd:maxLength value="255"/>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TS_x0020_Type" ma:index="36" nillable="true" ma:displayName="MTS Type" ma:default="" ma:description="" ma:internalName="MTS_x0020_Type">
      <xsd:simpleType>
        <xsd:restriction base="dms:Note">
          <xsd:maxLength value="255"/>
        </xsd:restriction>
      </xsd:simpleType>
    </xsd:element>
    <xsd:element name="MTS_x0020_ID" ma:index="37" nillable="true" ma:displayName="MTS ID" ma:default="" ma:description="" ma:internalName="MTS_x0020_ID">
      <xsd:simpleType>
        <xsd:restriction base="dms:Text">
          <xsd:maxLength value="255"/>
        </xsd:restriction>
      </xsd:simpleType>
    </xsd:element>
    <xsd:element name="Supplemental_x0020_Markings" ma:index="38" nillable="true" ma:displayName="Supplemental Markings" ma:description="" ma:internalName="Supplemental_x0020_Markings">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Contract_x0020_Number" ma:index="44" nillable="true" ma:displayName="Contract Number" ma:default="" ma:description="" ma:internalName="Contract_x0020_Number">
      <xsd:simpleType>
        <xsd:restriction base="dms:Text">
          <xsd:maxLength value="255"/>
        </xsd:restriction>
      </xsd:simpleType>
    </xsd:element>
    <xsd:element name="MediaServiceLocation" ma:index="45" nillable="true" ma:displayName="Location" ma:internalName="MediaServiceLocation" ma:readOnly="true">
      <xsd:simpleType>
        <xsd:restriction base="dms:Text"/>
      </xsd:simpleType>
    </xsd:element>
    <xsd:element name="MediaLengthInSeconds" ma:index="51" nillable="true" ma:displayName="Length (seconds)"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2.xml><?xml version="1.0" encoding="utf-8"?>
<ds:datastoreItem xmlns:ds="http://schemas.openxmlformats.org/officeDocument/2006/customXml" ds:itemID="{D4782A9D-DC48-4629-895C-D762F7C3ACF5}">
  <ds:schemaRefs>
    <ds:schemaRef ds:uri="http://schemas.microsoft.com/office/2006/metadata/properties"/>
    <ds:schemaRef ds:uri="http://schemas.microsoft.com/office/infopath/2007/PartnerControls"/>
    <ds:schemaRef ds:uri="4a94300e-a927-4b92-9d3a-682523035cb6"/>
    <ds:schemaRef ds:uri="http://schemas.microsoft.com/sharepoint/v3"/>
    <ds:schemaRef ds:uri="58a6f171-52cb-4404-b47d-af1c8daf8fd1"/>
    <ds:schemaRef ds:uri="http://schemas.microsoft.com/sharepoint/v4"/>
  </ds:schemaRefs>
</ds:datastoreItem>
</file>

<file path=customXml/itemProps3.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4.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5.xml><?xml version="1.0" encoding="utf-8"?>
<ds:datastoreItem xmlns:ds="http://schemas.openxmlformats.org/officeDocument/2006/customXml" ds:itemID="{EDC5E9E1-D2DB-4CD4-84A0-55032EB07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CharactersWithSpaces>
  <SharedDoc>false</SharedDoc>
  <HLinks>
    <vt:vector size="12" baseType="variant">
      <vt:variant>
        <vt:i4>7340128</vt:i4>
      </vt:variant>
      <vt:variant>
        <vt:i4>9</vt:i4>
      </vt:variant>
      <vt:variant>
        <vt:i4>0</vt:i4>
      </vt:variant>
      <vt:variant>
        <vt:i4>5</vt:i4>
      </vt:variant>
      <vt:variant>
        <vt:lpwstr>http://www.environment.govt.nz/</vt:lpwstr>
      </vt:variant>
      <vt:variant>
        <vt:lpwstr/>
      </vt:variant>
      <vt:variant>
        <vt:i4>7340128</vt:i4>
      </vt:variant>
      <vt:variant>
        <vt:i4>6</vt:i4>
      </vt:variant>
      <vt:variant>
        <vt:i4>0</vt:i4>
      </vt:variant>
      <vt:variant>
        <vt:i4>5</vt:i4>
      </vt:variant>
      <vt:variant>
        <vt:lpwstr>http://www.environment.govt.nz/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Daisy Smith</cp:lastModifiedBy>
  <cp:revision>4</cp:revision>
  <dcterms:created xsi:type="dcterms:W3CDTF">2023-02-09T02:21:00Z</dcterms:created>
  <dcterms:modified xsi:type="dcterms:W3CDTF">2023-02-10T00:37:00Z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3742940a-875a-4b68-8b56-62f30264fa56</vt:lpwstr>
  </property>
  <property fmtid="{D5CDD505-2E9C-101B-9397-08002B2CF9AE}" pid="11" name="MediaServiceImageTags">
    <vt:lpwstr/>
  </property>
</Properties>
</file>