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0A18" w14:textId="54235DFC" w:rsidR="00347482" w:rsidRPr="00347482" w:rsidRDefault="00D41514" w:rsidP="00347482">
      <w:pPr>
        <w:pStyle w:val="BodyText"/>
        <w:rPr>
          <w:highlight w:val="yellow"/>
        </w:rPr>
      </w:pPr>
      <w:r>
        <w:rPr>
          <w:noProof/>
          <w:color w:val="FF0000"/>
        </w:rPr>
        <w:drawing>
          <wp:anchor distT="0" distB="0" distL="114300" distR="114300" simplePos="0" relativeHeight="251658240" behindDoc="0" locked="0" layoutInCell="1" allowOverlap="1" wp14:anchorId="3AFA03B6" wp14:editId="1DDBC1CB">
            <wp:simplePos x="0" y="0"/>
            <wp:positionH relativeFrom="column">
              <wp:posOffset>-1058545</wp:posOffset>
            </wp:positionH>
            <wp:positionV relativeFrom="paragraph">
              <wp:posOffset>-668817</wp:posOffset>
            </wp:positionV>
            <wp:extent cx="7529830" cy="10650660"/>
            <wp:effectExtent l="0" t="0" r="0" b="0"/>
            <wp:wrapNone/>
            <wp:docPr id="11" name="Picture 1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ackground pattern&#10;&#10;Description automatically generated"/>
                    <pic:cNvPicPr/>
                  </pic:nvPicPr>
                  <pic:blipFill>
                    <a:blip r:embed="rId12"/>
                    <a:stretch>
                      <a:fillRect/>
                    </a:stretch>
                  </pic:blipFill>
                  <pic:spPr>
                    <a:xfrm>
                      <a:off x="0" y="0"/>
                      <a:ext cx="7529830" cy="10650660"/>
                    </a:xfrm>
                    <a:prstGeom prst="rect">
                      <a:avLst/>
                    </a:prstGeom>
                  </pic:spPr>
                </pic:pic>
              </a:graphicData>
            </a:graphic>
            <wp14:sizeRelH relativeFrom="page">
              <wp14:pctWidth>0</wp14:pctWidth>
            </wp14:sizeRelH>
            <wp14:sizeRelV relativeFrom="page">
              <wp14:pctHeight>0</wp14:pctHeight>
            </wp14:sizeRelV>
          </wp:anchor>
        </w:drawing>
      </w:r>
    </w:p>
    <w:p w14:paraId="0B94AFE0" w14:textId="06570623" w:rsidR="0003640E" w:rsidRPr="006B77BB" w:rsidRDefault="0003640E" w:rsidP="0003640E">
      <w:pPr>
        <w:pStyle w:val="BodyText"/>
      </w:pPr>
    </w:p>
    <w:p w14:paraId="622BE27D" w14:textId="64560C51" w:rsidR="0003640E" w:rsidRPr="006B77BB" w:rsidRDefault="0003640E" w:rsidP="0080531E">
      <w:pPr>
        <w:jc w:val="left"/>
        <w:rPr>
          <w:color w:val="FF0000"/>
        </w:rPr>
        <w:sectPr w:rsidR="0003640E" w:rsidRPr="006B77BB" w:rsidSect="00D41514">
          <w:headerReference w:type="even" r:id="rId13"/>
          <w:headerReference w:type="default" r:id="rId14"/>
          <w:footerReference w:type="even" r:id="rId15"/>
          <w:footerReference w:type="default" r:id="rId16"/>
          <w:headerReference w:type="first" r:id="rId17"/>
          <w:footerReference w:type="first" r:id="rId18"/>
          <w:pgSz w:w="11907" w:h="16840" w:code="9"/>
          <w:pgMar w:top="567" w:right="1701" w:bottom="1701" w:left="1701" w:header="567" w:footer="1134" w:gutter="0"/>
          <w:cols w:space="720"/>
        </w:sectPr>
      </w:pPr>
    </w:p>
    <w:p w14:paraId="489CC581" w14:textId="77777777" w:rsidR="00452EC4" w:rsidRPr="006B77BB" w:rsidRDefault="00452EC4" w:rsidP="00775F57">
      <w:pPr>
        <w:pStyle w:val="Imprint"/>
        <w:spacing w:before="0" w:after="0"/>
        <w:rPr>
          <w:b/>
        </w:rPr>
      </w:pPr>
      <w:r w:rsidRPr="006B77BB">
        <w:rPr>
          <w:b/>
        </w:rPr>
        <w:lastRenderedPageBreak/>
        <w:t>Disclaimer</w:t>
      </w:r>
    </w:p>
    <w:p w14:paraId="10F00EC7" w14:textId="77777777" w:rsidR="009F1594" w:rsidRPr="009F1594" w:rsidRDefault="009F1594" w:rsidP="009F1594">
      <w:pPr>
        <w:jc w:val="left"/>
        <w:rPr>
          <w:rFonts w:eastAsia="Times New Roman" w:cs="Times New Roman"/>
        </w:rPr>
      </w:pPr>
      <w:r w:rsidRPr="009F1594">
        <w:rPr>
          <w:rFonts w:eastAsia="Times New Roman" w:cs="Times New Roman"/>
        </w:rPr>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64739E8A" w14:textId="77777777" w:rsidR="009F1594" w:rsidRPr="009F1594" w:rsidRDefault="009F1594" w:rsidP="00AC7EAA">
      <w:pPr>
        <w:pStyle w:val="Bullet"/>
      </w:pPr>
      <w:r w:rsidRPr="009F1594">
        <w:t xml:space="preserve">The information does not alter the laws of New Zealand, other official guidelines, or requirements. </w:t>
      </w:r>
    </w:p>
    <w:p w14:paraId="42960174" w14:textId="77777777" w:rsidR="009F1594" w:rsidRPr="009F1594" w:rsidRDefault="009F1594" w:rsidP="00AC7EAA">
      <w:pPr>
        <w:pStyle w:val="Bullet"/>
      </w:pPr>
      <w:r w:rsidRPr="009F1594">
        <w:t xml:space="preserve">It does not constitute legal advice, and users should take specific advice from qualified professionals before taking any action based on information in this publication. </w:t>
      </w:r>
    </w:p>
    <w:p w14:paraId="0FC29982" w14:textId="77777777" w:rsidR="009F1594" w:rsidRPr="009F1594" w:rsidRDefault="009F1594" w:rsidP="00AC7EAA">
      <w:pPr>
        <w:pStyle w:val="Bullet"/>
      </w:pPr>
      <w:r w:rsidRPr="009F1594">
        <w:t>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w:t>
      </w:r>
    </w:p>
    <w:p w14:paraId="3787C5F3" w14:textId="77777777" w:rsidR="009F1594" w:rsidRPr="009F1594" w:rsidRDefault="009F1594" w:rsidP="00AC7EAA">
      <w:pPr>
        <w:pStyle w:val="Bullet"/>
      </w:pPr>
      <w:r w:rsidRPr="009F1594">
        <w:t>All references to websites, organisations or people not within the Ministry are for convenience only and should not be taken as endorsement of those websites or information contained in those websites nor of organisations or people referred to.</w:t>
      </w:r>
    </w:p>
    <w:p w14:paraId="76AD3FA6" w14:textId="77777777" w:rsidR="00452EC4" w:rsidRPr="006B77BB" w:rsidRDefault="00452EC4" w:rsidP="00452EC4">
      <w:pPr>
        <w:pStyle w:val="Imprint"/>
      </w:pPr>
    </w:p>
    <w:p w14:paraId="2B5BFE9E" w14:textId="12D76E54" w:rsidR="00452EC4" w:rsidRDefault="00452EC4" w:rsidP="00452EC4">
      <w:pPr>
        <w:pStyle w:val="Imprint"/>
      </w:pPr>
    </w:p>
    <w:p w14:paraId="58A9F49A" w14:textId="77777777" w:rsidR="00B57E2C" w:rsidRDefault="00B57E2C" w:rsidP="00452EC4">
      <w:pPr>
        <w:pStyle w:val="Imprint"/>
      </w:pPr>
    </w:p>
    <w:p w14:paraId="0343B26B" w14:textId="77777777" w:rsidR="00452EC4" w:rsidRPr="006B77BB" w:rsidRDefault="00452EC4" w:rsidP="00452EC4">
      <w:pPr>
        <w:pStyle w:val="Imprint"/>
      </w:pPr>
    </w:p>
    <w:p w14:paraId="57205D21" w14:textId="610BC4CB" w:rsidR="00452EC4" w:rsidRPr="006B77BB" w:rsidRDefault="00452EC4" w:rsidP="00452EC4">
      <w:pPr>
        <w:pStyle w:val="Imprint"/>
      </w:pPr>
      <w:r w:rsidRPr="006B77BB">
        <w:t xml:space="preserve">This </w:t>
      </w:r>
      <w:r w:rsidR="00775F57" w:rsidRPr="006B77BB">
        <w:t>document</w:t>
      </w:r>
      <w:r w:rsidRPr="006B77BB">
        <w:t xml:space="preserve"> may be cited as:</w:t>
      </w:r>
      <w:r w:rsidR="00775F57" w:rsidRPr="006B77BB">
        <w:t xml:space="preserve"> </w:t>
      </w:r>
      <w:r w:rsidR="00775F57" w:rsidRPr="00946DF7">
        <w:t>Ministry for the Environment</w:t>
      </w:r>
      <w:r w:rsidR="00C97709" w:rsidRPr="00946DF7">
        <w:t xml:space="preserve"> and Ministry for Primary Industries</w:t>
      </w:r>
      <w:r w:rsidR="00775F57" w:rsidRPr="00946DF7">
        <w:t xml:space="preserve">. </w:t>
      </w:r>
      <w:r w:rsidR="00FF6F5D" w:rsidRPr="00946DF7">
        <w:t>2022</w:t>
      </w:r>
      <w:r w:rsidR="00775F57" w:rsidRPr="00946DF7">
        <w:t>.</w:t>
      </w:r>
      <w:r w:rsidR="00FF6F5D" w:rsidRPr="00946DF7">
        <w:t xml:space="preserve"> </w:t>
      </w:r>
      <w:r w:rsidR="00FF6F5D" w:rsidRPr="00946DF7">
        <w:rPr>
          <w:i/>
          <w:iCs/>
        </w:rPr>
        <w:t xml:space="preserve">Amendments to intensive winter grazing regulations: Section 32 </w:t>
      </w:r>
      <w:r w:rsidR="001D479F" w:rsidRPr="00946DF7">
        <w:rPr>
          <w:i/>
          <w:iCs/>
        </w:rPr>
        <w:t>r</w:t>
      </w:r>
      <w:r w:rsidR="00FF6F5D" w:rsidRPr="00946DF7">
        <w:rPr>
          <w:i/>
          <w:iCs/>
        </w:rPr>
        <w:t>eport</w:t>
      </w:r>
      <w:r w:rsidR="00775F57" w:rsidRPr="00946DF7">
        <w:t>.</w:t>
      </w:r>
      <w:r w:rsidR="00775F57" w:rsidRPr="006B77BB">
        <w:t xml:space="preserve"> Wellington: Ministry for the Environment.</w:t>
      </w:r>
    </w:p>
    <w:p w14:paraId="0FA1A5EB" w14:textId="77777777" w:rsidR="0080531E" w:rsidRDefault="0080531E" w:rsidP="0080531E">
      <w:pPr>
        <w:pStyle w:val="Imprint"/>
      </w:pPr>
    </w:p>
    <w:p w14:paraId="7291FE0A" w14:textId="77777777" w:rsidR="00B57E2C" w:rsidRDefault="00B57E2C" w:rsidP="0080531E">
      <w:pPr>
        <w:pStyle w:val="Imprint"/>
      </w:pPr>
    </w:p>
    <w:p w14:paraId="4E0FF08D" w14:textId="77777777" w:rsidR="00B57E2C" w:rsidRDefault="00B57E2C" w:rsidP="0080531E">
      <w:pPr>
        <w:pStyle w:val="Imprint"/>
      </w:pPr>
    </w:p>
    <w:p w14:paraId="3CCFD7BA" w14:textId="77777777" w:rsidR="00B57E2C" w:rsidRPr="006B77BB" w:rsidRDefault="00B57E2C" w:rsidP="0080531E">
      <w:pPr>
        <w:pStyle w:val="Imprint"/>
      </w:pPr>
    </w:p>
    <w:p w14:paraId="3115C672" w14:textId="77777777" w:rsidR="00457135" w:rsidRPr="006B77BB" w:rsidRDefault="00457135" w:rsidP="0080531E">
      <w:pPr>
        <w:pStyle w:val="Imprint"/>
      </w:pPr>
    </w:p>
    <w:p w14:paraId="2B6ADE01" w14:textId="30354F61" w:rsidR="0080531E" w:rsidRPr="006B77BB" w:rsidRDefault="0080531E" w:rsidP="0080531E">
      <w:pPr>
        <w:pStyle w:val="Imprint"/>
      </w:pPr>
      <w:r w:rsidRPr="006B77BB">
        <w:t xml:space="preserve">Published in </w:t>
      </w:r>
      <w:r w:rsidR="00F54792">
        <w:t>June</w:t>
      </w:r>
      <w:r w:rsidR="00775F57" w:rsidRPr="00663783">
        <w:t xml:space="preserve"> </w:t>
      </w:r>
      <w:r w:rsidR="00FF6F5D">
        <w:t>2022</w:t>
      </w:r>
      <w:r w:rsidR="00FF6F5D" w:rsidRPr="006B77BB">
        <w:t xml:space="preserve"> </w:t>
      </w:r>
      <w:r w:rsidRPr="006B77BB">
        <w:t>by the</w:t>
      </w:r>
      <w:r w:rsidRPr="006B77BB">
        <w:br/>
        <w:t xml:space="preserve">Ministry for the Environment </w:t>
      </w:r>
      <w:r w:rsidRPr="006B77BB">
        <w:br/>
        <w:t>Manatū Mō Te Taiao</w:t>
      </w:r>
      <w:r w:rsidRPr="006B77BB">
        <w:br/>
        <w:t>PO Box 10362, Wellington 6143, New Zealand</w:t>
      </w:r>
    </w:p>
    <w:p w14:paraId="795464D0" w14:textId="14BE1274" w:rsidR="0080531E" w:rsidRPr="006B77BB" w:rsidRDefault="0080531E" w:rsidP="3BFA3519">
      <w:pPr>
        <w:pStyle w:val="Imprint"/>
      </w:pPr>
      <w:r w:rsidRPr="006B77BB">
        <w:t xml:space="preserve">ISBN: </w:t>
      </w:r>
      <w:r w:rsidR="001D479F" w:rsidRPr="001D479F">
        <w:t>978-1-99-102519-7</w:t>
      </w:r>
      <w:r w:rsidR="001D479F" w:rsidRPr="00384A82" w:rsidDel="001D479F">
        <w:t xml:space="preserve"> </w:t>
      </w:r>
      <w:r>
        <w:br/>
      </w:r>
      <w:r w:rsidRPr="006B77BB">
        <w:t xml:space="preserve">Publication number: </w:t>
      </w:r>
      <w:r w:rsidRPr="000656BD">
        <w:t xml:space="preserve">ME </w:t>
      </w:r>
      <w:r w:rsidR="00FF6F5D">
        <w:t>1633</w:t>
      </w:r>
    </w:p>
    <w:p w14:paraId="35AC77E6" w14:textId="218BC67C" w:rsidR="0080531E" w:rsidRPr="006B77BB" w:rsidRDefault="0080531E" w:rsidP="00593E94">
      <w:pPr>
        <w:pStyle w:val="Imprint"/>
        <w:spacing w:after="80"/>
      </w:pPr>
      <w:r w:rsidRPr="006B77BB">
        <w:t xml:space="preserve">© Crown copyright New Zealand </w:t>
      </w:r>
      <w:r w:rsidR="001D479F">
        <w:t>2022</w:t>
      </w:r>
    </w:p>
    <w:p w14:paraId="3480819B" w14:textId="77777777" w:rsidR="00A84FE1" w:rsidRDefault="0080531E" w:rsidP="00A84FE1">
      <w:pPr>
        <w:pStyle w:val="Imprint"/>
        <w:spacing w:before="240" w:after="0"/>
      </w:pPr>
      <w:r w:rsidRPr="006B77BB">
        <w:t>This document is available on the Ministry for</w:t>
      </w:r>
      <w:r w:rsidR="004C4E8A" w:rsidRPr="006B77BB">
        <w:t xml:space="preserve"> the Environment </w:t>
      </w:r>
      <w:r w:rsidR="00CB557F" w:rsidRPr="006B77BB">
        <w:t>website</w:t>
      </w:r>
      <w:r w:rsidRPr="006B77BB">
        <w:t xml:space="preserve">: </w:t>
      </w:r>
      <w:hyperlink r:id="rId19" w:history="1">
        <w:r w:rsidR="00563317" w:rsidRPr="005A5193">
          <w:rPr>
            <w:rStyle w:val="Hyperlink"/>
          </w:rPr>
          <w:t>environment.govt.nz</w:t>
        </w:r>
      </w:hyperlink>
      <w:r w:rsidR="00B51610" w:rsidRPr="006B77BB">
        <w:rPr>
          <w:rStyle w:val="Hyperlink"/>
          <w:color w:val="auto"/>
        </w:rPr>
        <w:t>.</w:t>
      </w:r>
    </w:p>
    <w:p w14:paraId="40F8E2FD" w14:textId="77777777" w:rsidR="0080531E" w:rsidRPr="00A84FE1" w:rsidRDefault="0080531E" w:rsidP="00A84FE1">
      <w:pPr>
        <w:sectPr w:rsidR="0080531E" w:rsidRPr="00A84FE1" w:rsidSect="008A7498">
          <w:headerReference w:type="even" r:id="rId20"/>
          <w:headerReference w:type="default" r:id="rId21"/>
          <w:footerReference w:type="even" r:id="rId22"/>
          <w:footerReference w:type="default" r:id="rId23"/>
          <w:pgSz w:w="11907" w:h="16840" w:code="9"/>
          <w:pgMar w:top="1134" w:right="1701" w:bottom="1134" w:left="1701" w:header="567" w:footer="567" w:gutter="0"/>
          <w:pgNumType w:fmt="lowerRoman"/>
          <w:cols w:space="720"/>
        </w:sectPr>
      </w:pPr>
    </w:p>
    <w:p w14:paraId="2728C8EC" w14:textId="4E3E3BE1" w:rsidR="0080531E" w:rsidRPr="00F06E0B" w:rsidRDefault="0080531E" w:rsidP="00585FD0">
      <w:pPr>
        <w:pStyle w:val="Heading"/>
      </w:pPr>
      <w:r w:rsidRPr="00F06E0B">
        <w:lastRenderedPageBreak/>
        <w:t>Contents</w:t>
      </w:r>
    </w:p>
    <w:p w14:paraId="77693249" w14:textId="6A589A82" w:rsidR="00F26EA5" w:rsidRDefault="00775F57">
      <w:pPr>
        <w:pStyle w:val="TOC1"/>
        <w:rPr>
          <w:rFonts w:asciiTheme="minorHAnsi" w:hAnsiTheme="minorHAnsi"/>
          <w:noProof/>
        </w:rPr>
      </w:pPr>
      <w:r w:rsidRPr="006B77BB">
        <w:rPr>
          <w:color w:val="0092CF"/>
        </w:rPr>
        <w:fldChar w:fldCharType="begin"/>
      </w:r>
      <w:r w:rsidRPr="006B77BB">
        <w:rPr>
          <w:color w:val="0092CF"/>
        </w:rPr>
        <w:instrText xml:space="preserve"> TOC \h \z \t "Heading 1,1,Heading 2,2" </w:instrText>
      </w:r>
      <w:r w:rsidRPr="006B77BB">
        <w:rPr>
          <w:color w:val="0092CF"/>
        </w:rPr>
        <w:fldChar w:fldCharType="separate"/>
      </w:r>
      <w:hyperlink w:anchor="_Toc99614837" w:history="1">
        <w:r w:rsidR="00F26EA5" w:rsidRPr="002413D9">
          <w:rPr>
            <w:rStyle w:val="Hyperlink"/>
            <w:noProof/>
          </w:rPr>
          <w:t>Glossary</w:t>
        </w:r>
        <w:r w:rsidR="00F26EA5">
          <w:rPr>
            <w:noProof/>
            <w:webHidden/>
          </w:rPr>
          <w:tab/>
        </w:r>
        <w:r w:rsidR="00F26EA5">
          <w:rPr>
            <w:noProof/>
            <w:webHidden/>
          </w:rPr>
          <w:fldChar w:fldCharType="begin"/>
        </w:r>
        <w:r w:rsidR="00F26EA5">
          <w:rPr>
            <w:noProof/>
            <w:webHidden/>
          </w:rPr>
          <w:instrText xml:space="preserve"> PAGEREF _Toc99614837 \h </w:instrText>
        </w:r>
        <w:r w:rsidR="00F26EA5">
          <w:rPr>
            <w:noProof/>
            <w:webHidden/>
          </w:rPr>
        </w:r>
        <w:r w:rsidR="00F26EA5">
          <w:rPr>
            <w:noProof/>
            <w:webHidden/>
          </w:rPr>
          <w:fldChar w:fldCharType="separate"/>
        </w:r>
        <w:r w:rsidR="000825D1">
          <w:rPr>
            <w:noProof/>
            <w:webHidden/>
          </w:rPr>
          <w:t>5</w:t>
        </w:r>
        <w:r w:rsidR="00F26EA5">
          <w:rPr>
            <w:noProof/>
            <w:webHidden/>
          </w:rPr>
          <w:fldChar w:fldCharType="end"/>
        </w:r>
      </w:hyperlink>
    </w:p>
    <w:p w14:paraId="19BB22E4" w14:textId="54D874B4" w:rsidR="00F26EA5" w:rsidRDefault="00F54792">
      <w:pPr>
        <w:pStyle w:val="TOC1"/>
        <w:rPr>
          <w:rFonts w:asciiTheme="minorHAnsi" w:hAnsiTheme="minorHAnsi"/>
          <w:noProof/>
        </w:rPr>
      </w:pPr>
      <w:hyperlink w:anchor="_Toc99614838" w:history="1">
        <w:r w:rsidR="00F26EA5" w:rsidRPr="002413D9">
          <w:rPr>
            <w:rStyle w:val="Hyperlink"/>
            <w:noProof/>
          </w:rPr>
          <w:t>Executive summary</w:t>
        </w:r>
        <w:r w:rsidR="00F26EA5">
          <w:rPr>
            <w:noProof/>
            <w:webHidden/>
          </w:rPr>
          <w:tab/>
        </w:r>
        <w:r w:rsidR="00F26EA5">
          <w:rPr>
            <w:noProof/>
            <w:webHidden/>
          </w:rPr>
          <w:fldChar w:fldCharType="begin"/>
        </w:r>
        <w:r w:rsidR="00F26EA5">
          <w:rPr>
            <w:noProof/>
            <w:webHidden/>
          </w:rPr>
          <w:instrText xml:space="preserve"> PAGEREF _Toc99614838 \h </w:instrText>
        </w:r>
        <w:r w:rsidR="00F26EA5">
          <w:rPr>
            <w:noProof/>
            <w:webHidden/>
          </w:rPr>
        </w:r>
        <w:r w:rsidR="00F26EA5">
          <w:rPr>
            <w:noProof/>
            <w:webHidden/>
          </w:rPr>
          <w:fldChar w:fldCharType="separate"/>
        </w:r>
        <w:r w:rsidR="000825D1">
          <w:rPr>
            <w:noProof/>
            <w:webHidden/>
          </w:rPr>
          <w:t>6</w:t>
        </w:r>
        <w:r w:rsidR="00F26EA5">
          <w:rPr>
            <w:noProof/>
            <w:webHidden/>
          </w:rPr>
          <w:fldChar w:fldCharType="end"/>
        </w:r>
      </w:hyperlink>
    </w:p>
    <w:p w14:paraId="3B364EC8" w14:textId="5D2AF96D" w:rsidR="00F26EA5" w:rsidRDefault="00F54792">
      <w:pPr>
        <w:pStyle w:val="TOC1"/>
        <w:rPr>
          <w:rFonts w:asciiTheme="minorHAnsi" w:hAnsiTheme="minorHAnsi"/>
          <w:noProof/>
        </w:rPr>
      </w:pPr>
      <w:hyperlink w:anchor="_Toc99614839" w:history="1">
        <w:r w:rsidR="00F26EA5" w:rsidRPr="002413D9">
          <w:rPr>
            <w:rStyle w:val="Hyperlink"/>
            <w:noProof/>
          </w:rPr>
          <w:t>Introduction</w:t>
        </w:r>
        <w:r w:rsidR="00F26EA5">
          <w:rPr>
            <w:noProof/>
            <w:webHidden/>
          </w:rPr>
          <w:tab/>
        </w:r>
        <w:r w:rsidR="00F26EA5">
          <w:rPr>
            <w:noProof/>
            <w:webHidden/>
          </w:rPr>
          <w:fldChar w:fldCharType="begin"/>
        </w:r>
        <w:r w:rsidR="00F26EA5">
          <w:rPr>
            <w:noProof/>
            <w:webHidden/>
          </w:rPr>
          <w:instrText xml:space="preserve"> PAGEREF _Toc99614839 \h </w:instrText>
        </w:r>
        <w:r w:rsidR="00F26EA5">
          <w:rPr>
            <w:noProof/>
            <w:webHidden/>
          </w:rPr>
        </w:r>
        <w:r w:rsidR="00F26EA5">
          <w:rPr>
            <w:noProof/>
            <w:webHidden/>
          </w:rPr>
          <w:fldChar w:fldCharType="separate"/>
        </w:r>
        <w:r w:rsidR="000825D1">
          <w:rPr>
            <w:noProof/>
            <w:webHidden/>
          </w:rPr>
          <w:t>7</w:t>
        </w:r>
        <w:r w:rsidR="00F26EA5">
          <w:rPr>
            <w:noProof/>
            <w:webHidden/>
          </w:rPr>
          <w:fldChar w:fldCharType="end"/>
        </w:r>
      </w:hyperlink>
    </w:p>
    <w:p w14:paraId="2D793336" w14:textId="745D8AAA" w:rsidR="00F26EA5" w:rsidRDefault="00F54792">
      <w:pPr>
        <w:pStyle w:val="TOC2"/>
        <w:rPr>
          <w:rFonts w:asciiTheme="minorHAnsi" w:hAnsiTheme="minorHAnsi"/>
          <w:noProof/>
        </w:rPr>
      </w:pPr>
      <w:hyperlink w:anchor="_Toc99614840" w:history="1">
        <w:r w:rsidR="00F26EA5" w:rsidRPr="002413D9">
          <w:rPr>
            <w:rStyle w:val="Hyperlink"/>
            <w:noProof/>
          </w:rPr>
          <w:t>Structure of the report</w:t>
        </w:r>
        <w:r w:rsidR="00F26EA5">
          <w:rPr>
            <w:noProof/>
            <w:webHidden/>
          </w:rPr>
          <w:tab/>
        </w:r>
        <w:r w:rsidR="00F26EA5">
          <w:rPr>
            <w:noProof/>
            <w:webHidden/>
          </w:rPr>
          <w:fldChar w:fldCharType="begin"/>
        </w:r>
        <w:r w:rsidR="00F26EA5">
          <w:rPr>
            <w:noProof/>
            <w:webHidden/>
          </w:rPr>
          <w:instrText xml:space="preserve"> PAGEREF _Toc99614840 \h </w:instrText>
        </w:r>
        <w:r w:rsidR="00F26EA5">
          <w:rPr>
            <w:noProof/>
            <w:webHidden/>
          </w:rPr>
        </w:r>
        <w:r w:rsidR="00F26EA5">
          <w:rPr>
            <w:noProof/>
            <w:webHidden/>
          </w:rPr>
          <w:fldChar w:fldCharType="separate"/>
        </w:r>
        <w:r w:rsidR="000825D1">
          <w:rPr>
            <w:noProof/>
            <w:webHidden/>
          </w:rPr>
          <w:t>8</w:t>
        </w:r>
        <w:r w:rsidR="00F26EA5">
          <w:rPr>
            <w:noProof/>
            <w:webHidden/>
          </w:rPr>
          <w:fldChar w:fldCharType="end"/>
        </w:r>
      </w:hyperlink>
    </w:p>
    <w:p w14:paraId="1DAE6F51" w14:textId="0CA969D4" w:rsidR="00F26EA5" w:rsidRDefault="00F54792">
      <w:pPr>
        <w:pStyle w:val="TOC2"/>
        <w:rPr>
          <w:rFonts w:asciiTheme="minorHAnsi" w:hAnsiTheme="minorHAnsi"/>
          <w:noProof/>
        </w:rPr>
      </w:pPr>
      <w:hyperlink w:anchor="_Toc99614841" w:history="1">
        <w:r w:rsidR="00F26EA5" w:rsidRPr="002413D9">
          <w:rPr>
            <w:rStyle w:val="Hyperlink"/>
            <w:noProof/>
          </w:rPr>
          <w:t>Reading this evaluation report</w:t>
        </w:r>
        <w:r w:rsidR="00F26EA5">
          <w:rPr>
            <w:noProof/>
            <w:webHidden/>
          </w:rPr>
          <w:tab/>
        </w:r>
        <w:r w:rsidR="00F26EA5">
          <w:rPr>
            <w:noProof/>
            <w:webHidden/>
          </w:rPr>
          <w:fldChar w:fldCharType="begin"/>
        </w:r>
        <w:r w:rsidR="00F26EA5">
          <w:rPr>
            <w:noProof/>
            <w:webHidden/>
          </w:rPr>
          <w:instrText xml:space="preserve"> PAGEREF _Toc99614841 \h </w:instrText>
        </w:r>
        <w:r w:rsidR="00F26EA5">
          <w:rPr>
            <w:noProof/>
            <w:webHidden/>
          </w:rPr>
        </w:r>
        <w:r w:rsidR="00F26EA5">
          <w:rPr>
            <w:noProof/>
            <w:webHidden/>
          </w:rPr>
          <w:fldChar w:fldCharType="separate"/>
        </w:r>
        <w:r w:rsidR="000825D1">
          <w:rPr>
            <w:noProof/>
            <w:webHidden/>
          </w:rPr>
          <w:t>8</w:t>
        </w:r>
        <w:r w:rsidR="00F26EA5">
          <w:rPr>
            <w:noProof/>
            <w:webHidden/>
          </w:rPr>
          <w:fldChar w:fldCharType="end"/>
        </w:r>
      </w:hyperlink>
    </w:p>
    <w:p w14:paraId="47F141F4" w14:textId="715FFCC2" w:rsidR="00F26EA5" w:rsidRDefault="00F54792">
      <w:pPr>
        <w:pStyle w:val="TOC1"/>
        <w:rPr>
          <w:rFonts w:asciiTheme="minorHAnsi" w:hAnsiTheme="minorHAnsi"/>
          <w:noProof/>
        </w:rPr>
      </w:pPr>
      <w:hyperlink w:anchor="_Toc99614842" w:history="1">
        <w:r w:rsidR="00F26EA5" w:rsidRPr="002413D9">
          <w:rPr>
            <w:rStyle w:val="Hyperlink"/>
            <w:noProof/>
          </w:rPr>
          <w:t>Overview</w:t>
        </w:r>
        <w:r w:rsidR="00F26EA5">
          <w:rPr>
            <w:noProof/>
            <w:webHidden/>
          </w:rPr>
          <w:tab/>
        </w:r>
        <w:r w:rsidR="00F26EA5">
          <w:rPr>
            <w:noProof/>
            <w:webHidden/>
          </w:rPr>
          <w:fldChar w:fldCharType="begin"/>
        </w:r>
        <w:r w:rsidR="00F26EA5">
          <w:rPr>
            <w:noProof/>
            <w:webHidden/>
          </w:rPr>
          <w:instrText xml:space="preserve"> PAGEREF _Toc99614842 \h </w:instrText>
        </w:r>
        <w:r w:rsidR="00F26EA5">
          <w:rPr>
            <w:noProof/>
            <w:webHidden/>
          </w:rPr>
        </w:r>
        <w:r w:rsidR="00F26EA5">
          <w:rPr>
            <w:noProof/>
            <w:webHidden/>
          </w:rPr>
          <w:fldChar w:fldCharType="separate"/>
        </w:r>
        <w:r w:rsidR="000825D1">
          <w:rPr>
            <w:noProof/>
            <w:webHidden/>
          </w:rPr>
          <w:t>9</w:t>
        </w:r>
        <w:r w:rsidR="00F26EA5">
          <w:rPr>
            <w:noProof/>
            <w:webHidden/>
          </w:rPr>
          <w:fldChar w:fldCharType="end"/>
        </w:r>
      </w:hyperlink>
    </w:p>
    <w:p w14:paraId="0D7C0B14" w14:textId="1B9E80E4" w:rsidR="00F26EA5" w:rsidRDefault="00F54792">
      <w:pPr>
        <w:pStyle w:val="TOC2"/>
        <w:rPr>
          <w:rFonts w:asciiTheme="minorHAnsi" w:hAnsiTheme="minorHAnsi"/>
          <w:noProof/>
        </w:rPr>
      </w:pPr>
      <w:hyperlink w:anchor="_Toc99614843" w:history="1">
        <w:r w:rsidR="00F26EA5" w:rsidRPr="002413D9">
          <w:rPr>
            <w:rStyle w:val="Hyperlink"/>
            <w:noProof/>
          </w:rPr>
          <w:t>Purpose of this report</w:t>
        </w:r>
        <w:r w:rsidR="00F26EA5">
          <w:rPr>
            <w:noProof/>
            <w:webHidden/>
          </w:rPr>
          <w:tab/>
        </w:r>
        <w:r w:rsidR="00F26EA5">
          <w:rPr>
            <w:noProof/>
            <w:webHidden/>
          </w:rPr>
          <w:fldChar w:fldCharType="begin"/>
        </w:r>
        <w:r w:rsidR="00F26EA5">
          <w:rPr>
            <w:noProof/>
            <w:webHidden/>
          </w:rPr>
          <w:instrText xml:space="preserve"> PAGEREF _Toc99614843 \h </w:instrText>
        </w:r>
        <w:r w:rsidR="00F26EA5">
          <w:rPr>
            <w:noProof/>
            <w:webHidden/>
          </w:rPr>
        </w:r>
        <w:r w:rsidR="00F26EA5">
          <w:rPr>
            <w:noProof/>
            <w:webHidden/>
          </w:rPr>
          <w:fldChar w:fldCharType="separate"/>
        </w:r>
        <w:r w:rsidR="000825D1">
          <w:rPr>
            <w:noProof/>
            <w:webHidden/>
          </w:rPr>
          <w:t>9</w:t>
        </w:r>
        <w:r w:rsidR="00F26EA5">
          <w:rPr>
            <w:noProof/>
            <w:webHidden/>
          </w:rPr>
          <w:fldChar w:fldCharType="end"/>
        </w:r>
      </w:hyperlink>
    </w:p>
    <w:p w14:paraId="6AC1C525" w14:textId="26EE2684" w:rsidR="00F26EA5" w:rsidRDefault="00F54792">
      <w:pPr>
        <w:pStyle w:val="TOC2"/>
        <w:rPr>
          <w:rFonts w:asciiTheme="minorHAnsi" w:hAnsiTheme="minorHAnsi"/>
          <w:noProof/>
        </w:rPr>
      </w:pPr>
      <w:hyperlink w:anchor="_Toc99614844" w:history="1">
        <w:r w:rsidR="00F26EA5" w:rsidRPr="002413D9">
          <w:rPr>
            <w:rStyle w:val="Hyperlink"/>
            <w:noProof/>
          </w:rPr>
          <w:t>Scale and significance of the proposal</w:t>
        </w:r>
        <w:r w:rsidR="00F26EA5">
          <w:rPr>
            <w:noProof/>
            <w:webHidden/>
          </w:rPr>
          <w:tab/>
        </w:r>
        <w:r w:rsidR="00F26EA5">
          <w:rPr>
            <w:noProof/>
            <w:webHidden/>
          </w:rPr>
          <w:fldChar w:fldCharType="begin"/>
        </w:r>
        <w:r w:rsidR="00F26EA5">
          <w:rPr>
            <w:noProof/>
            <w:webHidden/>
          </w:rPr>
          <w:instrText xml:space="preserve"> PAGEREF _Toc99614844 \h </w:instrText>
        </w:r>
        <w:r w:rsidR="00F26EA5">
          <w:rPr>
            <w:noProof/>
            <w:webHidden/>
          </w:rPr>
        </w:r>
        <w:r w:rsidR="00F26EA5">
          <w:rPr>
            <w:noProof/>
            <w:webHidden/>
          </w:rPr>
          <w:fldChar w:fldCharType="separate"/>
        </w:r>
        <w:r w:rsidR="000825D1">
          <w:rPr>
            <w:noProof/>
            <w:webHidden/>
          </w:rPr>
          <w:t>10</w:t>
        </w:r>
        <w:r w:rsidR="00F26EA5">
          <w:rPr>
            <w:noProof/>
            <w:webHidden/>
          </w:rPr>
          <w:fldChar w:fldCharType="end"/>
        </w:r>
      </w:hyperlink>
    </w:p>
    <w:p w14:paraId="26B51634" w14:textId="062A27A5" w:rsidR="00F26EA5" w:rsidRDefault="00F54792">
      <w:pPr>
        <w:pStyle w:val="TOC2"/>
        <w:rPr>
          <w:rFonts w:asciiTheme="minorHAnsi" w:hAnsiTheme="minorHAnsi"/>
          <w:noProof/>
        </w:rPr>
      </w:pPr>
      <w:hyperlink w:anchor="_Toc99614845" w:history="1">
        <w:r w:rsidR="00F26EA5" w:rsidRPr="002413D9">
          <w:rPr>
            <w:rStyle w:val="Hyperlink"/>
            <w:noProof/>
          </w:rPr>
          <w:t>Overview of the proposed amendments</w:t>
        </w:r>
        <w:r w:rsidR="00F26EA5">
          <w:rPr>
            <w:noProof/>
            <w:webHidden/>
          </w:rPr>
          <w:tab/>
        </w:r>
        <w:r w:rsidR="00F26EA5">
          <w:rPr>
            <w:noProof/>
            <w:webHidden/>
          </w:rPr>
          <w:fldChar w:fldCharType="begin"/>
        </w:r>
        <w:r w:rsidR="00F26EA5">
          <w:rPr>
            <w:noProof/>
            <w:webHidden/>
          </w:rPr>
          <w:instrText xml:space="preserve"> PAGEREF _Toc99614845 \h </w:instrText>
        </w:r>
        <w:r w:rsidR="00F26EA5">
          <w:rPr>
            <w:noProof/>
            <w:webHidden/>
          </w:rPr>
        </w:r>
        <w:r w:rsidR="00F26EA5">
          <w:rPr>
            <w:noProof/>
            <w:webHidden/>
          </w:rPr>
          <w:fldChar w:fldCharType="separate"/>
        </w:r>
        <w:r w:rsidR="000825D1">
          <w:rPr>
            <w:noProof/>
            <w:webHidden/>
          </w:rPr>
          <w:t>10</w:t>
        </w:r>
        <w:r w:rsidR="00F26EA5">
          <w:rPr>
            <w:noProof/>
            <w:webHidden/>
          </w:rPr>
          <w:fldChar w:fldCharType="end"/>
        </w:r>
      </w:hyperlink>
    </w:p>
    <w:p w14:paraId="0C2182BD" w14:textId="13F53BFD" w:rsidR="00F26EA5" w:rsidRDefault="00F54792">
      <w:pPr>
        <w:pStyle w:val="TOC1"/>
        <w:rPr>
          <w:rFonts w:asciiTheme="minorHAnsi" w:hAnsiTheme="minorHAnsi"/>
          <w:noProof/>
        </w:rPr>
      </w:pPr>
      <w:hyperlink w:anchor="_Toc99614846" w:history="1">
        <w:r w:rsidR="00F26EA5" w:rsidRPr="002413D9">
          <w:rPr>
            <w:rStyle w:val="Hyperlink"/>
            <w:noProof/>
          </w:rPr>
          <w:t>Statutory and policy context</w:t>
        </w:r>
        <w:r w:rsidR="00F26EA5">
          <w:rPr>
            <w:noProof/>
            <w:webHidden/>
          </w:rPr>
          <w:tab/>
        </w:r>
        <w:r w:rsidR="00F26EA5">
          <w:rPr>
            <w:noProof/>
            <w:webHidden/>
          </w:rPr>
          <w:fldChar w:fldCharType="begin"/>
        </w:r>
        <w:r w:rsidR="00F26EA5">
          <w:rPr>
            <w:noProof/>
            <w:webHidden/>
          </w:rPr>
          <w:instrText xml:space="preserve"> PAGEREF _Toc99614846 \h </w:instrText>
        </w:r>
        <w:r w:rsidR="00F26EA5">
          <w:rPr>
            <w:noProof/>
            <w:webHidden/>
          </w:rPr>
        </w:r>
        <w:r w:rsidR="00F26EA5">
          <w:rPr>
            <w:noProof/>
            <w:webHidden/>
          </w:rPr>
          <w:fldChar w:fldCharType="separate"/>
        </w:r>
        <w:r w:rsidR="000825D1">
          <w:rPr>
            <w:noProof/>
            <w:webHidden/>
          </w:rPr>
          <w:t>12</w:t>
        </w:r>
        <w:r w:rsidR="00F26EA5">
          <w:rPr>
            <w:noProof/>
            <w:webHidden/>
          </w:rPr>
          <w:fldChar w:fldCharType="end"/>
        </w:r>
      </w:hyperlink>
    </w:p>
    <w:p w14:paraId="7CA148D3" w14:textId="3BECEEE3" w:rsidR="00F26EA5" w:rsidRDefault="00F54792">
      <w:pPr>
        <w:pStyle w:val="TOC2"/>
        <w:rPr>
          <w:rFonts w:asciiTheme="minorHAnsi" w:hAnsiTheme="minorHAnsi"/>
          <w:noProof/>
        </w:rPr>
      </w:pPr>
      <w:hyperlink w:anchor="_Toc99614847" w:history="1">
        <w:r w:rsidR="00F26EA5" w:rsidRPr="002413D9">
          <w:rPr>
            <w:rStyle w:val="Hyperlink"/>
            <w:noProof/>
          </w:rPr>
          <w:t>Part 2 of the RMA</w:t>
        </w:r>
        <w:r w:rsidR="00F26EA5">
          <w:rPr>
            <w:noProof/>
            <w:webHidden/>
          </w:rPr>
          <w:tab/>
        </w:r>
        <w:r w:rsidR="00F26EA5">
          <w:rPr>
            <w:noProof/>
            <w:webHidden/>
          </w:rPr>
          <w:fldChar w:fldCharType="begin"/>
        </w:r>
        <w:r w:rsidR="00F26EA5">
          <w:rPr>
            <w:noProof/>
            <w:webHidden/>
          </w:rPr>
          <w:instrText xml:space="preserve"> PAGEREF _Toc99614847 \h </w:instrText>
        </w:r>
        <w:r w:rsidR="00F26EA5">
          <w:rPr>
            <w:noProof/>
            <w:webHidden/>
          </w:rPr>
        </w:r>
        <w:r w:rsidR="00F26EA5">
          <w:rPr>
            <w:noProof/>
            <w:webHidden/>
          </w:rPr>
          <w:fldChar w:fldCharType="separate"/>
        </w:r>
        <w:r w:rsidR="000825D1">
          <w:rPr>
            <w:noProof/>
            <w:webHidden/>
          </w:rPr>
          <w:t>12</w:t>
        </w:r>
        <w:r w:rsidR="00F26EA5">
          <w:rPr>
            <w:noProof/>
            <w:webHidden/>
          </w:rPr>
          <w:fldChar w:fldCharType="end"/>
        </w:r>
      </w:hyperlink>
    </w:p>
    <w:p w14:paraId="5273C162" w14:textId="7CBB8FE4" w:rsidR="00F26EA5" w:rsidRDefault="00F54792">
      <w:pPr>
        <w:pStyle w:val="TOC2"/>
        <w:rPr>
          <w:rFonts w:asciiTheme="minorHAnsi" w:hAnsiTheme="minorHAnsi"/>
          <w:noProof/>
        </w:rPr>
      </w:pPr>
      <w:hyperlink w:anchor="_Toc99614848" w:history="1">
        <w:r w:rsidR="00F26EA5" w:rsidRPr="002413D9">
          <w:rPr>
            <w:rStyle w:val="Hyperlink"/>
            <w:noProof/>
          </w:rPr>
          <w:t>National Environmental Standards</w:t>
        </w:r>
        <w:r w:rsidR="00F26EA5">
          <w:rPr>
            <w:noProof/>
            <w:webHidden/>
          </w:rPr>
          <w:tab/>
        </w:r>
        <w:r w:rsidR="00F26EA5">
          <w:rPr>
            <w:noProof/>
            <w:webHidden/>
          </w:rPr>
          <w:fldChar w:fldCharType="begin"/>
        </w:r>
        <w:r w:rsidR="00F26EA5">
          <w:rPr>
            <w:noProof/>
            <w:webHidden/>
          </w:rPr>
          <w:instrText xml:space="preserve"> PAGEREF _Toc99614848 \h </w:instrText>
        </w:r>
        <w:r w:rsidR="00F26EA5">
          <w:rPr>
            <w:noProof/>
            <w:webHidden/>
          </w:rPr>
        </w:r>
        <w:r w:rsidR="00F26EA5">
          <w:rPr>
            <w:noProof/>
            <w:webHidden/>
          </w:rPr>
          <w:fldChar w:fldCharType="separate"/>
        </w:r>
        <w:r w:rsidR="000825D1">
          <w:rPr>
            <w:noProof/>
            <w:webHidden/>
          </w:rPr>
          <w:t>14</w:t>
        </w:r>
        <w:r w:rsidR="00F26EA5">
          <w:rPr>
            <w:noProof/>
            <w:webHidden/>
          </w:rPr>
          <w:fldChar w:fldCharType="end"/>
        </w:r>
      </w:hyperlink>
    </w:p>
    <w:p w14:paraId="3DCEBAD2" w14:textId="123863CD" w:rsidR="00F26EA5" w:rsidRDefault="00F54792">
      <w:pPr>
        <w:pStyle w:val="TOC2"/>
        <w:rPr>
          <w:rFonts w:asciiTheme="minorHAnsi" w:hAnsiTheme="minorHAnsi"/>
          <w:noProof/>
        </w:rPr>
      </w:pPr>
      <w:hyperlink w:anchor="_Toc99614849" w:history="1">
        <w:r w:rsidR="00F26EA5" w:rsidRPr="002413D9">
          <w:rPr>
            <w:rStyle w:val="Hyperlink"/>
            <w:noProof/>
          </w:rPr>
          <w:t>National Direction for Freshwater Management</w:t>
        </w:r>
        <w:r w:rsidR="00F26EA5">
          <w:rPr>
            <w:noProof/>
            <w:webHidden/>
          </w:rPr>
          <w:tab/>
        </w:r>
        <w:r w:rsidR="00F26EA5">
          <w:rPr>
            <w:noProof/>
            <w:webHidden/>
          </w:rPr>
          <w:fldChar w:fldCharType="begin"/>
        </w:r>
        <w:r w:rsidR="00F26EA5">
          <w:rPr>
            <w:noProof/>
            <w:webHidden/>
          </w:rPr>
          <w:instrText xml:space="preserve"> PAGEREF _Toc99614849 \h </w:instrText>
        </w:r>
        <w:r w:rsidR="00F26EA5">
          <w:rPr>
            <w:noProof/>
            <w:webHidden/>
          </w:rPr>
        </w:r>
        <w:r w:rsidR="00F26EA5">
          <w:rPr>
            <w:noProof/>
            <w:webHidden/>
          </w:rPr>
          <w:fldChar w:fldCharType="separate"/>
        </w:r>
        <w:r w:rsidR="000825D1">
          <w:rPr>
            <w:noProof/>
            <w:webHidden/>
          </w:rPr>
          <w:t>14</w:t>
        </w:r>
        <w:r w:rsidR="00F26EA5">
          <w:rPr>
            <w:noProof/>
            <w:webHidden/>
          </w:rPr>
          <w:fldChar w:fldCharType="end"/>
        </w:r>
      </w:hyperlink>
    </w:p>
    <w:p w14:paraId="3EE1EB8C" w14:textId="37D6FA38" w:rsidR="00F26EA5" w:rsidRDefault="00F54792">
      <w:pPr>
        <w:pStyle w:val="TOC1"/>
        <w:rPr>
          <w:rFonts w:asciiTheme="minorHAnsi" w:hAnsiTheme="minorHAnsi"/>
          <w:noProof/>
        </w:rPr>
      </w:pPr>
      <w:hyperlink w:anchor="_Toc99614850" w:history="1">
        <w:r w:rsidR="00F26EA5" w:rsidRPr="002413D9">
          <w:rPr>
            <w:rStyle w:val="Hyperlink"/>
            <w:noProof/>
          </w:rPr>
          <w:t>Evaluation of the proposed amendments</w:t>
        </w:r>
        <w:r w:rsidR="00F26EA5">
          <w:rPr>
            <w:noProof/>
            <w:webHidden/>
          </w:rPr>
          <w:tab/>
        </w:r>
        <w:r w:rsidR="00F26EA5">
          <w:rPr>
            <w:noProof/>
            <w:webHidden/>
          </w:rPr>
          <w:fldChar w:fldCharType="begin"/>
        </w:r>
        <w:r w:rsidR="00F26EA5">
          <w:rPr>
            <w:noProof/>
            <w:webHidden/>
          </w:rPr>
          <w:instrText xml:space="preserve"> PAGEREF _Toc99614850 \h </w:instrText>
        </w:r>
        <w:r w:rsidR="00F26EA5">
          <w:rPr>
            <w:noProof/>
            <w:webHidden/>
          </w:rPr>
        </w:r>
        <w:r w:rsidR="00F26EA5">
          <w:rPr>
            <w:noProof/>
            <w:webHidden/>
          </w:rPr>
          <w:fldChar w:fldCharType="separate"/>
        </w:r>
        <w:r w:rsidR="000825D1">
          <w:rPr>
            <w:noProof/>
            <w:webHidden/>
          </w:rPr>
          <w:t>16</w:t>
        </w:r>
        <w:r w:rsidR="00F26EA5">
          <w:rPr>
            <w:noProof/>
            <w:webHidden/>
          </w:rPr>
          <w:fldChar w:fldCharType="end"/>
        </w:r>
      </w:hyperlink>
    </w:p>
    <w:p w14:paraId="7C162ADB" w14:textId="2AACABA8" w:rsidR="00F26EA5" w:rsidRDefault="00F54792">
      <w:pPr>
        <w:pStyle w:val="TOC2"/>
        <w:rPr>
          <w:rFonts w:asciiTheme="minorHAnsi" w:hAnsiTheme="minorHAnsi"/>
          <w:noProof/>
        </w:rPr>
      </w:pPr>
      <w:hyperlink w:anchor="_Toc99614851" w:history="1">
        <w:r w:rsidR="00F26EA5" w:rsidRPr="002413D9">
          <w:rPr>
            <w:rStyle w:val="Hyperlink"/>
            <w:noProof/>
          </w:rPr>
          <w:t>Intensive winter grazing regulations</w:t>
        </w:r>
        <w:r w:rsidR="00F26EA5">
          <w:rPr>
            <w:noProof/>
            <w:webHidden/>
          </w:rPr>
          <w:tab/>
        </w:r>
        <w:r w:rsidR="00F26EA5">
          <w:rPr>
            <w:noProof/>
            <w:webHidden/>
          </w:rPr>
          <w:fldChar w:fldCharType="begin"/>
        </w:r>
        <w:r w:rsidR="00F26EA5">
          <w:rPr>
            <w:noProof/>
            <w:webHidden/>
          </w:rPr>
          <w:instrText xml:space="preserve"> PAGEREF _Toc99614851 \h </w:instrText>
        </w:r>
        <w:r w:rsidR="00F26EA5">
          <w:rPr>
            <w:noProof/>
            <w:webHidden/>
          </w:rPr>
        </w:r>
        <w:r w:rsidR="00F26EA5">
          <w:rPr>
            <w:noProof/>
            <w:webHidden/>
          </w:rPr>
          <w:fldChar w:fldCharType="separate"/>
        </w:r>
        <w:r w:rsidR="000825D1">
          <w:rPr>
            <w:noProof/>
            <w:webHidden/>
          </w:rPr>
          <w:t>16</w:t>
        </w:r>
        <w:r w:rsidR="00F26EA5">
          <w:rPr>
            <w:noProof/>
            <w:webHidden/>
          </w:rPr>
          <w:fldChar w:fldCharType="end"/>
        </w:r>
      </w:hyperlink>
    </w:p>
    <w:p w14:paraId="7976FAF5" w14:textId="2BC2640F" w:rsidR="00F26EA5" w:rsidRDefault="00F54792">
      <w:pPr>
        <w:pStyle w:val="TOC2"/>
        <w:rPr>
          <w:rFonts w:asciiTheme="minorHAnsi" w:hAnsiTheme="minorHAnsi"/>
          <w:noProof/>
        </w:rPr>
      </w:pPr>
      <w:hyperlink w:anchor="_Toc99614852" w:history="1">
        <w:r w:rsidR="00F26EA5" w:rsidRPr="002413D9">
          <w:rPr>
            <w:rStyle w:val="Hyperlink"/>
            <w:noProof/>
          </w:rPr>
          <w:t>Te Tiriti o Waitangi | Treaty of Waitangi</w:t>
        </w:r>
        <w:r w:rsidR="00F26EA5">
          <w:rPr>
            <w:noProof/>
            <w:webHidden/>
          </w:rPr>
          <w:tab/>
        </w:r>
        <w:r w:rsidR="00F26EA5">
          <w:rPr>
            <w:noProof/>
            <w:webHidden/>
          </w:rPr>
          <w:fldChar w:fldCharType="begin"/>
        </w:r>
        <w:r w:rsidR="00F26EA5">
          <w:rPr>
            <w:noProof/>
            <w:webHidden/>
          </w:rPr>
          <w:instrText xml:space="preserve"> PAGEREF _Toc99614852 \h </w:instrText>
        </w:r>
        <w:r w:rsidR="00F26EA5">
          <w:rPr>
            <w:noProof/>
            <w:webHidden/>
          </w:rPr>
        </w:r>
        <w:r w:rsidR="00F26EA5">
          <w:rPr>
            <w:noProof/>
            <w:webHidden/>
          </w:rPr>
          <w:fldChar w:fldCharType="separate"/>
        </w:r>
        <w:r w:rsidR="000825D1">
          <w:rPr>
            <w:noProof/>
            <w:webHidden/>
          </w:rPr>
          <w:t>17</w:t>
        </w:r>
        <w:r w:rsidR="00F26EA5">
          <w:rPr>
            <w:noProof/>
            <w:webHidden/>
          </w:rPr>
          <w:fldChar w:fldCharType="end"/>
        </w:r>
      </w:hyperlink>
    </w:p>
    <w:p w14:paraId="64867C51" w14:textId="2648FDE1" w:rsidR="00F26EA5" w:rsidRDefault="00F54792">
      <w:pPr>
        <w:pStyle w:val="TOC2"/>
        <w:rPr>
          <w:rFonts w:asciiTheme="minorHAnsi" w:hAnsiTheme="minorHAnsi"/>
          <w:noProof/>
        </w:rPr>
      </w:pPr>
      <w:hyperlink w:anchor="_Toc99614853" w:history="1">
        <w:r w:rsidR="00F26EA5" w:rsidRPr="002413D9">
          <w:rPr>
            <w:rStyle w:val="Hyperlink"/>
            <w:noProof/>
          </w:rPr>
          <w:t>Evaluation of the purpose of the proposed amendments</w:t>
        </w:r>
        <w:r w:rsidR="00F26EA5">
          <w:rPr>
            <w:noProof/>
            <w:webHidden/>
          </w:rPr>
          <w:tab/>
        </w:r>
        <w:r w:rsidR="00F26EA5">
          <w:rPr>
            <w:noProof/>
            <w:webHidden/>
          </w:rPr>
          <w:fldChar w:fldCharType="begin"/>
        </w:r>
        <w:r w:rsidR="00F26EA5">
          <w:rPr>
            <w:noProof/>
            <w:webHidden/>
          </w:rPr>
          <w:instrText xml:space="preserve"> PAGEREF _Toc99614853 \h </w:instrText>
        </w:r>
        <w:r w:rsidR="00F26EA5">
          <w:rPr>
            <w:noProof/>
            <w:webHidden/>
          </w:rPr>
        </w:r>
        <w:r w:rsidR="00F26EA5">
          <w:rPr>
            <w:noProof/>
            <w:webHidden/>
          </w:rPr>
          <w:fldChar w:fldCharType="separate"/>
        </w:r>
        <w:r w:rsidR="000825D1">
          <w:rPr>
            <w:noProof/>
            <w:webHidden/>
          </w:rPr>
          <w:t>19</w:t>
        </w:r>
        <w:r w:rsidR="00F26EA5">
          <w:rPr>
            <w:noProof/>
            <w:webHidden/>
          </w:rPr>
          <w:fldChar w:fldCharType="end"/>
        </w:r>
      </w:hyperlink>
    </w:p>
    <w:p w14:paraId="165C1E3F" w14:textId="16DF91A4" w:rsidR="00F26EA5" w:rsidRDefault="00F54792">
      <w:pPr>
        <w:pStyle w:val="TOC1"/>
        <w:rPr>
          <w:rFonts w:asciiTheme="minorHAnsi" w:hAnsiTheme="minorHAnsi"/>
          <w:noProof/>
        </w:rPr>
      </w:pPr>
      <w:hyperlink w:anchor="_Toc99614854" w:history="1">
        <w:r w:rsidR="00F26EA5" w:rsidRPr="002413D9">
          <w:rPr>
            <w:rStyle w:val="Hyperlink"/>
            <w:noProof/>
          </w:rPr>
          <w:t>Conclusion</w:t>
        </w:r>
        <w:r w:rsidR="00F26EA5">
          <w:rPr>
            <w:noProof/>
            <w:webHidden/>
          </w:rPr>
          <w:tab/>
        </w:r>
        <w:r w:rsidR="00F26EA5">
          <w:rPr>
            <w:noProof/>
            <w:webHidden/>
          </w:rPr>
          <w:fldChar w:fldCharType="begin"/>
        </w:r>
        <w:r w:rsidR="00F26EA5">
          <w:rPr>
            <w:noProof/>
            <w:webHidden/>
          </w:rPr>
          <w:instrText xml:space="preserve"> PAGEREF _Toc99614854 \h </w:instrText>
        </w:r>
        <w:r w:rsidR="00F26EA5">
          <w:rPr>
            <w:noProof/>
            <w:webHidden/>
          </w:rPr>
        </w:r>
        <w:r w:rsidR="00F26EA5">
          <w:rPr>
            <w:noProof/>
            <w:webHidden/>
          </w:rPr>
          <w:fldChar w:fldCharType="separate"/>
        </w:r>
        <w:r w:rsidR="000825D1">
          <w:rPr>
            <w:noProof/>
            <w:webHidden/>
          </w:rPr>
          <w:t>27</w:t>
        </w:r>
        <w:r w:rsidR="00F26EA5">
          <w:rPr>
            <w:noProof/>
            <w:webHidden/>
          </w:rPr>
          <w:fldChar w:fldCharType="end"/>
        </w:r>
      </w:hyperlink>
    </w:p>
    <w:p w14:paraId="7A7D97C3" w14:textId="67012329" w:rsidR="0080531E" w:rsidRPr="006B77BB" w:rsidRDefault="00775F57" w:rsidP="002B4778">
      <w:pPr>
        <w:pStyle w:val="Glossary"/>
      </w:pPr>
      <w:r w:rsidRPr="006B77BB">
        <w:rPr>
          <w:color w:val="0092CF"/>
        </w:rPr>
        <w:fldChar w:fldCharType="end"/>
      </w:r>
    </w:p>
    <w:p w14:paraId="3F34050F" w14:textId="77777777" w:rsidR="00796A6F" w:rsidRPr="00554B30" w:rsidRDefault="00796A6F" w:rsidP="00554B30">
      <w:r w:rsidRPr="00554B30">
        <w:br w:type="page"/>
      </w:r>
    </w:p>
    <w:p w14:paraId="49B2D59C" w14:textId="77777777" w:rsidR="00532334" w:rsidRPr="006B77BB" w:rsidRDefault="00532334" w:rsidP="00585FD0">
      <w:pPr>
        <w:pStyle w:val="Heading"/>
      </w:pPr>
      <w:r w:rsidRPr="006B77BB">
        <w:lastRenderedPageBreak/>
        <w:t>Tables</w:t>
      </w:r>
    </w:p>
    <w:p w14:paraId="44C69B48" w14:textId="1DFE9BBD" w:rsidR="00F26EA5" w:rsidRDefault="004943C2">
      <w:pPr>
        <w:pStyle w:val="TableofFigures"/>
        <w:tabs>
          <w:tab w:val="right" w:pos="8495"/>
        </w:tabs>
        <w:rPr>
          <w:rFonts w:asciiTheme="minorHAnsi" w:hAnsiTheme="minorHAnsi"/>
          <w:noProof/>
        </w:rPr>
      </w:pPr>
      <w:r w:rsidRPr="006B77BB">
        <w:fldChar w:fldCharType="begin"/>
      </w:r>
      <w:r w:rsidRPr="006B77BB">
        <w:instrText xml:space="preserve"> TOC \h \z \t "Table heading" \c </w:instrText>
      </w:r>
      <w:r w:rsidRPr="006B77BB">
        <w:fldChar w:fldCharType="separate"/>
      </w:r>
      <w:hyperlink w:anchor="_Toc99614855" w:history="1">
        <w:r w:rsidR="00F26EA5" w:rsidRPr="007435DA">
          <w:rPr>
            <w:rStyle w:val="Hyperlink"/>
            <w:noProof/>
          </w:rPr>
          <w:t>Table 1:</w:t>
        </w:r>
        <w:r w:rsidR="00F26EA5">
          <w:rPr>
            <w:rFonts w:asciiTheme="minorHAnsi" w:hAnsiTheme="minorHAnsi"/>
            <w:noProof/>
          </w:rPr>
          <w:tab/>
        </w:r>
        <w:r w:rsidR="00F26EA5" w:rsidRPr="007435DA">
          <w:rPr>
            <w:rStyle w:val="Hyperlink"/>
            <w:noProof/>
          </w:rPr>
          <w:t>Proposed amendments</w:t>
        </w:r>
        <w:r w:rsidR="00F26EA5">
          <w:rPr>
            <w:noProof/>
            <w:webHidden/>
          </w:rPr>
          <w:tab/>
        </w:r>
        <w:r w:rsidR="00F26EA5">
          <w:rPr>
            <w:noProof/>
            <w:webHidden/>
          </w:rPr>
          <w:fldChar w:fldCharType="begin"/>
        </w:r>
        <w:r w:rsidR="00F26EA5">
          <w:rPr>
            <w:noProof/>
            <w:webHidden/>
          </w:rPr>
          <w:instrText xml:space="preserve"> PAGEREF _Toc99614855 \h </w:instrText>
        </w:r>
        <w:r w:rsidR="00F26EA5">
          <w:rPr>
            <w:noProof/>
            <w:webHidden/>
          </w:rPr>
        </w:r>
        <w:r w:rsidR="00F26EA5">
          <w:rPr>
            <w:noProof/>
            <w:webHidden/>
          </w:rPr>
          <w:fldChar w:fldCharType="separate"/>
        </w:r>
        <w:r w:rsidR="000825D1">
          <w:rPr>
            <w:noProof/>
            <w:webHidden/>
          </w:rPr>
          <w:t>10</w:t>
        </w:r>
        <w:r w:rsidR="00F26EA5">
          <w:rPr>
            <w:noProof/>
            <w:webHidden/>
          </w:rPr>
          <w:fldChar w:fldCharType="end"/>
        </w:r>
      </w:hyperlink>
    </w:p>
    <w:p w14:paraId="123FEFDA" w14:textId="3F24B87C" w:rsidR="00F26EA5" w:rsidRDefault="00F54792">
      <w:pPr>
        <w:pStyle w:val="TableofFigures"/>
        <w:tabs>
          <w:tab w:val="right" w:pos="8495"/>
        </w:tabs>
        <w:rPr>
          <w:rFonts w:asciiTheme="minorHAnsi" w:hAnsiTheme="minorHAnsi"/>
          <w:noProof/>
        </w:rPr>
      </w:pPr>
      <w:hyperlink w:anchor="_Toc99614856" w:history="1">
        <w:r w:rsidR="00F26EA5" w:rsidRPr="007435DA">
          <w:rPr>
            <w:rStyle w:val="Hyperlink"/>
            <w:noProof/>
          </w:rPr>
          <w:t>Table 2:</w:t>
        </w:r>
        <w:r w:rsidR="00F26EA5">
          <w:rPr>
            <w:rFonts w:asciiTheme="minorHAnsi" w:hAnsiTheme="minorHAnsi"/>
            <w:noProof/>
          </w:rPr>
          <w:tab/>
        </w:r>
        <w:r w:rsidR="00F26EA5" w:rsidRPr="007435DA">
          <w:rPr>
            <w:rStyle w:val="Hyperlink"/>
            <w:noProof/>
          </w:rPr>
          <w:t>Assessment of effectiveness of proposed amendments to the IWG standards – against the NPS-FM objective</w:t>
        </w:r>
        <w:r w:rsidR="00F26EA5">
          <w:rPr>
            <w:noProof/>
            <w:webHidden/>
          </w:rPr>
          <w:tab/>
        </w:r>
        <w:r w:rsidR="00F26EA5">
          <w:rPr>
            <w:noProof/>
            <w:webHidden/>
          </w:rPr>
          <w:fldChar w:fldCharType="begin"/>
        </w:r>
        <w:r w:rsidR="00F26EA5">
          <w:rPr>
            <w:noProof/>
            <w:webHidden/>
          </w:rPr>
          <w:instrText xml:space="preserve"> PAGEREF _Toc99614856 \h </w:instrText>
        </w:r>
        <w:r w:rsidR="00F26EA5">
          <w:rPr>
            <w:noProof/>
            <w:webHidden/>
          </w:rPr>
        </w:r>
        <w:r w:rsidR="00F26EA5">
          <w:rPr>
            <w:noProof/>
            <w:webHidden/>
          </w:rPr>
          <w:fldChar w:fldCharType="separate"/>
        </w:r>
        <w:r w:rsidR="000825D1">
          <w:rPr>
            <w:noProof/>
            <w:webHidden/>
          </w:rPr>
          <w:t>20</w:t>
        </w:r>
        <w:r w:rsidR="00F26EA5">
          <w:rPr>
            <w:noProof/>
            <w:webHidden/>
          </w:rPr>
          <w:fldChar w:fldCharType="end"/>
        </w:r>
      </w:hyperlink>
    </w:p>
    <w:p w14:paraId="39E137BE" w14:textId="16021681" w:rsidR="00F26EA5" w:rsidRDefault="00F54792">
      <w:pPr>
        <w:pStyle w:val="TableofFigures"/>
        <w:tabs>
          <w:tab w:val="right" w:pos="8495"/>
        </w:tabs>
        <w:rPr>
          <w:rFonts w:asciiTheme="minorHAnsi" w:hAnsiTheme="minorHAnsi"/>
          <w:noProof/>
        </w:rPr>
      </w:pPr>
      <w:hyperlink w:anchor="_Toc99614857" w:history="1">
        <w:r w:rsidR="00F26EA5" w:rsidRPr="007435DA">
          <w:rPr>
            <w:rStyle w:val="Hyperlink"/>
            <w:noProof/>
          </w:rPr>
          <w:t>Table 3:</w:t>
        </w:r>
        <w:r w:rsidR="00F26EA5">
          <w:rPr>
            <w:rFonts w:asciiTheme="minorHAnsi" w:hAnsiTheme="minorHAnsi"/>
            <w:noProof/>
          </w:rPr>
          <w:tab/>
        </w:r>
        <w:r w:rsidR="00F26EA5" w:rsidRPr="007435DA">
          <w:rPr>
            <w:rStyle w:val="Hyperlink"/>
            <w:noProof/>
          </w:rPr>
          <w:t>Assessment of effectiveness of amendments to the IWG standards – against the elements of the specific problem definition</w:t>
        </w:r>
        <w:r w:rsidR="00F26EA5">
          <w:rPr>
            <w:noProof/>
            <w:webHidden/>
          </w:rPr>
          <w:tab/>
        </w:r>
        <w:r w:rsidR="00F26EA5">
          <w:rPr>
            <w:noProof/>
            <w:webHidden/>
          </w:rPr>
          <w:fldChar w:fldCharType="begin"/>
        </w:r>
        <w:r w:rsidR="00F26EA5">
          <w:rPr>
            <w:noProof/>
            <w:webHidden/>
          </w:rPr>
          <w:instrText xml:space="preserve"> PAGEREF _Toc99614857 \h </w:instrText>
        </w:r>
        <w:r w:rsidR="00F26EA5">
          <w:rPr>
            <w:noProof/>
            <w:webHidden/>
          </w:rPr>
        </w:r>
        <w:r w:rsidR="00F26EA5">
          <w:rPr>
            <w:noProof/>
            <w:webHidden/>
          </w:rPr>
          <w:fldChar w:fldCharType="separate"/>
        </w:r>
        <w:r w:rsidR="000825D1">
          <w:rPr>
            <w:noProof/>
            <w:webHidden/>
          </w:rPr>
          <w:t>21</w:t>
        </w:r>
        <w:r w:rsidR="00F26EA5">
          <w:rPr>
            <w:noProof/>
            <w:webHidden/>
          </w:rPr>
          <w:fldChar w:fldCharType="end"/>
        </w:r>
      </w:hyperlink>
    </w:p>
    <w:p w14:paraId="10243AAF" w14:textId="7432793D" w:rsidR="00F26EA5" w:rsidRDefault="00F54792">
      <w:pPr>
        <w:pStyle w:val="TableofFigures"/>
        <w:tabs>
          <w:tab w:val="right" w:pos="8495"/>
        </w:tabs>
        <w:rPr>
          <w:rFonts w:asciiTheme="minorHAnsi" w:hAnsiTheme="minorHAnsi"/>
          <w:noProof/>
        </w:rPr>
      </w:pPr>
      <w:hyperlink w:anchor="_Toc99614858" w:history="1">
        <w:r w:rsidR="00F26EA5" w:rsidRPr="007435DA">
          <w:rPr>
            <w:rStyle w:val="Hyperlink"/>
            <w:noProof/>
          </w:rPr>
          <w:t>Table 4:</w:t>
        </w:r>
        <w:r w:rsidR="00F26EA5">
          <w:rPr>
            <w:rFonts w:asciiTheme="minorHAnsi" w:hAnsiTheme="minorHAnsi"/>
            <w:noProof/>
          </w:rPr>
          <w:tab/>
        </w:r>
        <w:r w:rsidR="00F26EA5" w:rsidRPr="007435DA">
          <w:rPr>
            <w:rStyle w:val="Hyperlink"/>
            <w:noProof/>
          </w:rPr>
          <w:t>Assessment of efficiency of amendments to the IWG standards</w:t>
        </w:r>
        <w:r w:rsidR="00F26EA5">
          <w:rPr>
            <w:noProof/>
            <w:webHidden/>
          </w:rPr>
          <w:tab/>
        </w:r>
        <w:r w:rsidR="00F26EA5">
          <w:rPr>
            <w:noProof/>
            <w:webHidden/>
          </w:rPr>
          <w:fldChar w:fldCharType="begin"/>
        </w:r>
        <w:r w:rsidR="00F26EA5">
          <w:rPr>
            <w:noProof/>
            <w:webHidden/>
          </w:rPr>
          <w:instrText xml:space="preserve"> PAGEREF _Toc99614858 \h </w:instrText>
        </w:r>
        <w:r w:rsidR="00F26EA5">
          <w:rPr>
            <w:noProof/>
            <w:webHidden/>
          </w:rPr>
        </w:r>
        <w:r w:rsidR="00F26EA5">
          <w:rPr>
            <w:noProof/>
            <w:webHidden/>
          </w:rPr>
          <w:fldChar w:fldCharType="separate"/>
        </w:r>
        <w:r w:rsidR="000825D1">
          <w:rPr>
            <w:noProof/>
            <w:webHidden/>
          </w:rPr>
          <w:t>23</w:t>
        </w:r>
        <w:r w:rsidR="00F26EA5">
          <w:rPr>
            <w:noProof/>
            <w:webHidden/>
          </w:rPr>
          <w:fldChar w:fldCharType="end"/>
        </w:r>
      </w:hyperlink>
    </w:p>
    <w:p w14:paraId="34A4AF89" w14:textId="58EC0A10" w:rsidR="00796A6F" w:rsidRPr="00554B30" w:rsidRDefault="004943C2" w:rsidP="0025414D">
      <w:pPr>
        <w:pStyle w:val="BodyText"/>
      </w:pPr>
      <w:r w:rsidRPr="006B77BB">
        <w:fldChar w:fldCharType="end"/>
      </w:r>
      <w:bookmarkStart w:id="0" w:name="_Toc215561202"/>
      <w:r w:rsidR="00796A6F" w:rsidRPr="00554B30">
        <w:br w:type="page"/>
      </w:r>
    </w:p>
    <w:p w14:paraId="6A685C18" w14:textId="1D8F24FE" w:rsidR="005126A8" w:rsidRPr="00A11338" w:rsidRDefault="001F7652" w:rsidP="00A11338">
      <w:pPr>
        <w:pStyle w:val="Heading1"/>
        <w:spacing w:after="480"/>
      </w:pPr>
      <w:bookmarkStart w:id="1" w:name="_Toc99614837"/>
      <w:bookmarkStart w:id="2" w:name="_Toc345760336"/>
      <w:bookmarkEnd w:id="0"/>
      <w:r w:rsidRPr="00A11338">
        <w:lastRenderedPageBreak/>
        <w:t>Glossary</w:t>
      </w:r>
      <w:bookmarkEnd w:id="1"/>
    </w:p>
    <w:tbl>
      <w:tblPr>
        <w:tblStyle w:val="TableGrid"/>
        <w:tblW w:w="8505" w:type="dxa"/>
        <w:tblInd w:w="113"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1730"/>
        <w:gridCol w:w="6775"/>
      </w:tblGrid>
      <w:tr w:rsidR="005126A8" w:rsidRPr="006B77BB" w14:paraId="56214487" w14:textId="77777777" w:rsidTr="0025414D">
        <w:trPr>
          <w:tblHeader/>
        </w:trPr>
        <w:tc>
          <w:tcPr>
            <w:tcW w:w="1730" w:type="dxa"/>
            <w:shd w:val="clear" w:color="auto" w:fill="1B556B"/>
          </w:tcPr>
          <w:p w14:paraId="40A1E527" w14:textId="00C5D3DC" w:rsidR="005126A8" w:rsidRPr="006B77BB" w:rsidRDefault="001F7652" w:rsidP="00A16FFE">
            <w:pPr>
              <w:pStyle w:val="TableTextbold"/>
              <w:rPr>
                <w:color w:val="FFFFFF" w:themeColor="background1"/>
              </w:rPr>
            </w:pPr>
            <w:r>
              <w:rPr>
                <w:color w:val="FFFFFF" w:themeColor="background1"/>
              </w:rPr>
              <w:t>Term</w:t>
            </w:r>
          </w:p>
        </w:tc>
        <w:tc>
          <w:tcPr>
            <w:tcW w:w="6775" w:type="dxa"/>
            <w:shd w:val="clear" w:color="auto" w:fill="1B556B"/>
          </w:tcPr>
          <w:p w14:paraId="1DE0DA3E" w14:textId="08D20EEB" w:rsidR="005126A8" w:rsidRPr="006B77BB" w:rsidRDefault="001F7652" w:rsidP="00A16FFE">
            <w:pPr>
              <w:pStyle w:val="TableTextbold"/>
              <w:rPr>
                <w:color w:val="FFFFFF" w:themeColor="background1"/>
              </w:rPr>
            </w:pPr>
            <w:r>
              <w:rPr>
                <w:color w:val="FFFFFF" w:themeColor="background1"/>
              </w:rPr>
              <w:t>Definition</w:t>
            </w:r>
          </w:p>
        </w:tc>
      </w:tr>
      <w:tr w:rsidR="005126A8" w:rsidRPr="006B77BB" w14:paraId="0A010329" w14:textId="77777777" w:rsidTr="0025414D">
        <w:tc>
          <w:tcPr>
            <w:tcW w:w="1730" w:type="dxa"/>
            <w:shd w:val="clear" w:color="auto" w:fill="auto"/>
          </w:tcPr>
          <w:p w14:paraId="554EDE3C" w14:textId="4802924B" w:rsidR="005126A8" w:rsidRPr="006B77BB" w:rsidRDefault="0030478E" w:rsidP="0030478E">
            <w:pPr>
              <w:pStyle w:val="TableText"/>
            </w:pPr>
            <w:r>
              <w:t>FW-FP</w:t>
            </w:r>
          </w:p>
        </w:tc>
        <w:tc>
          <w:tcPr>
            <w:tcW w:w="6775" w:type="dxa"/>
            <w:shd w:val="clear" w:color="auto" w:fill="auto"/>
          </w:tcPr>
          <w:p w14:paraId="4DB092EA" w14:textId="6F34087D" w:rsidR="005126A8" w:rsidRPr="006B77BB" w:rsidRDefault="002426F4" w:rsidP="00A16FFE">
            <w:pPr>
              <w:pStyle w:val="TableText"/>
            </w:pPr>
            <w:r w:rsidRPr="002426F4">
              <w:t xml:space="preserve">Freshwater </w:t>
            </w:r>
            <w:r w:rsidR="00986756">
              <w:t>f</w:t>
            </w:r>
            <w:r w:rsidR="00986756" w:rsidRPr="002426F4">
              <w:t xml:space="preserve">arm </w:t>
            </w:r>
            <w:r w:rsidR="00986756">
              <w:t>p</w:t>
            </w:r>
            <w:r w:rsidR="00986756" w:rsidRPr="002426F4">
              <w:t>lan</w:t>
            </w:r>
          </w:p>
        </w:tc>
      </w:tr>
      <w:tr w:rsidR="005126A8" w:rsidRPr="006B77BB" w14:paraId="38466291" w14:textId="77777777" w:rsidTr="0025414D">
        <w:tc>
          <w:tcPr>
            <w:tcW w:w="1730" w:type="dxa"/>
            <w:shd w:val="clear" w:color="auto" w:fill="auto"/>
          </w:tcPr>
          <w:p w14:paraId="63E301CD" w14:textId="2EFB644D" w:rsidR="005126A8" w:rsidRPr="006B77BB" w:rsidRDefault="0030478E" w:rsidP="00A16FFE">
            <w:pPr>
              <w:pStyle w:val="TableText"/>
            </w:pPr>
            <w:r>
              <w:t>IWG</w:t>
            </w:r>
          </w:p>
        </w:tc>
        <w:tc>
          <w:tcPr>
            <w:tcW w:w="6775" w:type="dxa"/>
            <w:shd w:val="clear" w:color="auto" w:fill="auto"/>
          </w:tcPr>
          <w:p w14:paraId="16C9015F" w14:textId="3F23E1AA" w:rsidR="005126A8" w:rsidRPr="006B77BB" w:rsidRDefault="00B479AD" w:rsidP="00A16FFE">
            <w:pPr>
              <w:pStyle w:val="TableText"/>
            </w:pPr>
            <w:r w:rsidRPr="00B479AD">
              <w:t xml:space="preserve">Intensive </w:t>
            </w:r>
            <w:r w:rsidR="00986756">
              <w:t>w</w:t>
            </w:r>
            <w:r w:rsidR="00986756" w:rsidRPr="00B479AD">
              <w:t xml:space="preserve">inter </w:t>
            </w:r>
            <w:r w:rsidR="00986756">
              <w:t>g</w:t>
            </w:r>
            <w:r w:rsidR="00986756" w:rsidRPr="00B479AD">
              <w:t>razing</w:t>
            </w:r>
          </w:p>
        </w:tc>
      </w:tr>
      <w:tr w:rsidR="005126A8" w:rsidRPr="006B77BB" w14:paraId="62139F03" w14:textId="77777777" w:rsidTr="0025414D">
        <w:tc>
          <w:tcPr>
            <w:tcW w:w="1730" w:type="dxa"/>
          </w:tcPr>
          <w:p w14:paraId="7F403255" w14:textId="6AF7EC1F" w:rsidR="005126A8" w:rsidRPr="006B77BB" w:rsidRDefault="0030478E" w:rsidP="00A16FFE">
            <w:pPr>
              <w:pStyle w:val="TableText"/>
            </w:pPr>
            <w:r>
              <w:t>MfE</w:t>
            </w:r>
          </w:p>
        </w:tc>
        <w:tc>
          <w:tcPr>
            <w:tcW w:w="6775" w:type="dxa"/>
          </w:tcPr>
          <w:p w14:paraId="5CD7E907" w14:textId="0D25F8C6" w:rsidR="005126A8" w:rsidRPr="006B77BB" w:rsidRDefault="001241DD" w:rsidP="001241DD">
            <w:pPr>
              <w:pStyle w:val="TableText"/>
            </w:pPr>
            <w:r>
              <w:t>Ministry for the Environment</w:t>
            </w:r>
          </w:p>
        </w:tc>
      </w:tr>
      <w:tr w:rsidR="008973A1" w:rsidRPr="006B77BB" w14:paraId="0E349AF0" w14:textId="77777777" w:rsidTr="0025414D">
        <w:tc>
          <w:tcPr>
            <w:tcW w:w="1730" w:type="dxa"/>
          </w:tcPr>
          <w:p w14:paraId="18C5C8F7" w14:textId="2B18389B" w:rsidR="008973A1" w:rsidRPr="006B77BB" w:rsidRDefault="0030478E" w:rsidP="00A16FFE">
            <w:pPr>
              <w:pStyle w:val="TableText"/>
            </w:pPr>
            <w:r>
              <w:t>MPI</w:t>
            </w:r>
          </w:p>
        </w:tc>
        <w:tc>
          <w:tcPr>
            <w:tcW w:w="6775" w:type="dxa"/>
          </w:tcPr>
          <w:p w14:paraId="76BB6592" w14:textId="30572B49" w:rsidR="008973A1" w:rsidRPr="006B77BB" w:rsidRDefault="001241DD" w:rsidP="00A16FFE">
            <w:pPr>
              <w:pStyle w:val="TableText"/>
            </w:pPr>
            <w:r>
              <w:t>Ministry for Primary Industr</w:t>
            </w:r>
            <w:r w:rsidR="00986756">
              <w:t>ies</w:t>
            </w:r>
          </w:p>
        </w:tc>
      </w:tr>
      <w:tr w:rsidR="001241DD" w:rsidRPr="006B77BB" w14:paraId="6D0764E2" w14:textId="77777777" w:rsidTr="0025414D">
        <w:tc>
          <w:tcPr>
            <w:tcW w:w="1730" w:type="dxa"/>
          </w:tcPr>
          <w:p w14:paraId="20B2149D" w14:textId="06D6AAE8" w:rsidR="001241DD" w:rsidRPr="006B77BB" w:rsidRDefault="0030478E" w:rsidP="0030478E">
            <w:pPr>
              <w:pStyle w:val="TableText"/>
            </w:pPr>
            <w:r>
              <w:t>NES</w:t>
            </w:r>
          </w:p>
        </w:tc>
        <w:tc>
          <w:tcPr>
            <w:tcW w:w="6775" w:type="dxa"/>
          </w:tcPr>
          <w:p w14:paraId="6ACD9CDB" w14:textId="103A4D01" w:rsidR="001241DD" w:rsidRDefault="00887A46" w:rsidP="00887A46">
            <w:pPr>
              <w:pStyle w:val="TableText"/>
            </w:pPr>
            <w:r>
              <w:t>National Environmental Standard</w:t>
            </w:r>
          </w:p>
        </w:tc>
      </w:tr>
      <w:tr w:rsidR="001241DD" w:rsidRPr="006B77BB" w14:paraId="68A37B09" w14:textId="77777777" w:rsidTr="0025414D">
        <w:tc>
          <w:tcPr>
            <w:tcW w:w="1730" w:type="dxa"/>
          </w:tcPr>
          <w:p w14:paraId="265AE7B2" w14:textId="3C00D23C" w:rsidR="001241DD" w:rsidRPr="006B77BB" w:rsidRDefault="0030478E" w:rsidP="00A16FFE">
            <w:pPr>
              <w:pStyle w:val="TableText"/>
            </w:pPr>
            <w:r>
              <w:t>NES-F</w:t>
            </w:r>
          </w:p>
        </w:tc>
        <w:tc>
          <w:tcPr>
            <w:tcW w:w="6775" w:type="dxa"/>
          </w:tcPr>
          <w:p w14:paraId="08776D29" w14:textId="4CF87573" w:rsidR="001241DD" w:rsidRDefault="00887A46" w:rsidP="00A16FFE">
            <w:pPr>
              <w:pStyle w:val="TableText"/>
            </w:pPr>
            <w:r>
              <w:t>Resource Management (National Environmental Standards for Freshwater) Regulations 2020</w:t>
            </w:r>
          </w:p>
        </w:tc>
      </w:tr>
      <w:tr w:rsidR="001241DD" w:rsidRPr="006B77BB" w14:paraId="7159E22F" w14:textId="77777777" w:rsidTr="0025414D">
        <w:tc>
          <w:tcPr>
            <w:tcW w:w="1730" w:type="dxa"/>
          </w:tcPr>
          <w:p w14:paraId="22CADC11" w14:textId="60DAEE90" w:rsidR="001241DD" w:rsidRPr="006B77BB" w:rsidRDefault="0030478E" w:rsidP="00A16FFE">
            <w:pPr>
              <w:pStyle w:val="TableText"/>
            </w:pPr>
            <w:r>
              <w:t>NOF</w:t>
            </w:r>
          </w:p>
        </w:tc>
        <w:tc>
          <w:tcPr>
            <w:tcW w:w="6775" w:type="dxa"/>
          </w:tcPr>
          <w:p w14:paraId="5B694A72" w14:textId="637C48EC" w:rsidR="001241DD" w:rsidRDefault="00887A46" w:rsidP="00A16FFE">
            <w:pPr>
              <w:pStyle w:val="TableText"/>
            </w:pPr>
            <w:r>
              <w:t>National Objectives Framework</w:t>
            </w:r>
          </w:p>
        </w:tc>
      </w:tr>
      <w:tr w:rsidR="001241DD" w:rsidRPr="006B77BB" w14:paraId="5738C83B" w14:textId="77777777" w:rsidTr="0025414D">
        <w:tc>
          <w:tcPr>
            <w:tcW w:w="1730" w:type="dxa"/>
          </w:tcPr>
          <w:p w14:paraId="4AE2C402" w14:textId="32F3BDF8" w:rsidR="001241DD" w:rsidRPr="006B77BB" w:rsidRDefault="0030478E" w:rsidP="00A16FFE">
            <w:pPr>
              <w:pStyle w:val="TableText"/>
            </w:pPr>
            <w:r>
              <w:t>NPS</w:t>
            </w:r>
          </w:p>
        </w:tc>
        <w:tc>
          <w:tcPr>
            <w:tcW w:w="6775" w:type="dxa"/>
          </w:tcPr>
          <w:p w14:paraId="78866760" w14:textId="55ECCC9A" w:rsidR="001241DD" w:rsidRDefault="00887A46" w:rsidP="00A16FFE">
            <w:pPr>
              <w:pStyle w:val="TableText"/>
            </w:pPr>
            <w:r>
              <w:t>National Policy Statement</w:t>
            </w:r>
          </w:p>
        </w:tc>
      </w:tr>
      <w:tr w:rsidR="008973A1" w:rsidRPr="006B77BB" w14:paraId="5FB0B41B" w14:textId="77777777" w:rsidTr="0025414D">
        <w:tc>
          <w:tcPr>
            <w:tcW w:w="1730" w:type="dxa"/>
          </w:tcPr>
          <w:p w14:paraId="34C48E2F" w14:textId="168C33D1" w:rsidR="008973A1" w:rsidRPr="006B77BB" w:rsidRDefault="0030478E" w:rsidP="00A16FFE">
            <w:pPr>
              <w:pStyle w:val="TableText"/>
            </w:pPr>
            <w:r>
              <w:t>NPS-FM 2020</w:t>
            </w:r>
          </w:p>
        </w:tc>
        <w:tc>
          <w:tcPr>
            <w:tcW w:w="6775" w:type="dxa"/>
          </w:tcPr>
          <w:p w14:paraId="738F68B4" w14:textId="7E8AAE33" w:rsidR="008973A1" w:rsidRPr="006B77BB" w:rsidRDefault="00887A46" w:rsidP="00A16FFE">
            <w:pPr>
              <w:pStyle w:val="TableText"/>
            </w:pPr>
            <w:r>
              <w:t>National Policy Statement for Freshwater Management 2020</w:t>
            </w:r>
          </w:p>
        </w:tc>
      </w:tr>
      <w:tr w:rsidR="008973A1" w:rsidRPr="006B77BB" w14:paraId="101324AE" w14:textId="77777777" w:rsidTr="0025414D">
        <w:tc>
          <w:tcPr>
            <w:tcW w:w="1730" w:type="dxa"/>
          </w:tcPr>
          <w:p w14:paraId="56F5130F" w14:textId="7EB62D2E" w:rsidR="008973A1" w:rsidRPr="006B77BB" w:rsidRDefault="0030478E" w:rsidP="00A16FFE">
            <w:pPr>
              <w:pStyle w:val="TableText"/>
            </w:pPr>
            <w:r>
              <w:t>RIA</w:t>
            </w:r>
          </w:p>
        </w:tc>
        <w:tc>
          <w:tcPr>
            <w:tcW w:w="6775" w:type="dxa"/>
          </w:tcPr>
          <w:p w14:paraId="12E9028A" w14:textId="18017F99" w:rsidR="008973A1" w:rsidRPr="006B77BB" w:rsidRDefault="00887A46" w:rsidP="00A16FFE">
            <w:pPr>
              <w:pStyle w:val="TableText"/>
            </w:pPr>
            <w:r>
              <w:t xml:space="preserve">Regulatory </w:t>
            </w:r>
            <w:r w:rsidR="00902502">
              <w:t>i</w:t>
            </w:r>
            <w:r>
              <w:t xml:space="preserve">mpact </w:t>
            </w:r>
            <w:r w:rsidR="00902502">
              <w:t xml:space="preserve">assessment </w:t>
            </w:r>
            <w:r>
              <w:t>(</w:t>
            </w:r>
            <w:r w:rsidR="00986756">
              <w:t xml:space="preserve">also </w:t>
            </w:r>
            <w:r>
              <w:t xml:space="preserve">referred to as </w:t>
            </w:r>
            <w:r w:rsidR="00902502">
              <w:t>regulatory impact statement</w:t>
            </w:r>
            <w:r>
              <w:t>)</w:t>
            </w:r>
          </w:p>
        </w:tc>
      </w:tr>
      <w:tr w:rsidR="008973A1" w:rsidRPr="006B77BB" w14:paraId="7B502C8C" w14:textId="77777777" w:rsidTr="0025414D">
        <w:tc>
          <w:tcPr>
            <w:tcW w:w="1730" w:type="dxa"/>
          </w:tcPr>
          <w:p w14:paraId="38252187" w14:textId="269E88BC" w:rsidR="008973A1" w:rsidRPr="006B77BB" w:rsidRDefault="0030478E" w:rsidP="00A16FFE">
            <w:pPr>
              <w:pStyle w:val="TableText"/>
            </w:pPr>
            <w:r>
              <w:t>RIS</w:t>
            </w:r>
          </w:p>
        </w:tc>
        <w:tc>
          <w:tcPr>
            <w:tcW w:w="6775" w:type="dxa"/>
          </w:tcPr>
          <w:p w14:paraId="038408BF" w14:textId="0EE6230B" w:rsidR="008973A1" w:rsidRPr="006B77BB" w:rsidRDefault="00887A46" w:rsidP="00A16FFE">
            <w:pPr>
              <w:pStyle w:val="TableText"/>
            </w:pPr>
            <w:r>
              <w:t xml:space="preserve">Regulatory </w:t>
            </w:r>
            <w:r w:rsidR="00902502">
              <w:t xml:space="preserve">impact statement </w:t>
            </w:r>
          </w:p>
        </w:tc>
      </w:tr>
      <w:tr w:rsidR="00887A46" w:rsidRPr="006B77BB" w14:paraId="0A491E91" w14:textId="77777777" w:rsidTr="0025414D">
        <w:tc>
          <w:tcPr>
            <w:tcW w:w="1730" w:type="dxa"/>
          </w:tcPr>
          <w:p w14:paraId="2FFEB1F2" w14:textId="2BEBC669" w:rsidR="00887A46" w:rsidRPr="006B77BB" w:rsidRDefault="0030478E" w:rsidP="00A16FFE">
            <w:pPr>
              <w:pStyle w:val="TableText"/>
            </w:pPr>
            <w:r>
              <w:t>RMA</w:t>
            </w:r>
          </w:p>
        </w:tc>
        <w:tc>
          <w:tcPr>
            <w:tcW w:w="6775" w:type="dxa"/>
          </w:tcPr>
          <w:p w14:paraId="58FD58EB" w14:textId="44ECA817" w:rsidR="00887A46" w:rsidRDefault="00887A46" w:rsidP="00A16FFE">
            <w:pPr>
              <w:pStyle w:val="TableText"/>
            </w:pPr>
            <w:r>
              <w:t>Resource Management Act 1991</w:t>
            </w:r>
          </w:p>
        </w:tc>
      </w:tr>
      <w:tr w:rsidR="001F7652" w:rsidRPr="006B77BB" w14:paraId="05C2A4B8" w14:textId="77777777" w:rsidTr="0025414D">
        <w:tc>
          <w:tcPr>
            <w:tcW w:w="1730" w:type="dxa"/>
          </w:tcPr>
          <w:p w14:paraId="664A0ED3" w14:textId="0C20BB8B" w:rsidR="001F7652" w:rsidRDefault="001F7652" w:rsidP="001F7652">
            <w:pPr>
              <w:pStyle w:val="TableText"/>
            </w:pPr>
            <w:r w:rsidRPr="00FB0BD1">
              <w:t>Taonga</w:t>
            </w:r>
            <w:r>
              <w:t>*</w:t>
            </w:r>
          </w:p>
        </w:tc>
        <w:tc>
          <w:tcPr>
            <w:tcW w:w="6775" w:type="dxa"/>
          </w:tcPr>
          <w:p w14:paraId="4227A3C5" w14:textId="360FDFCB" w:rsidR="001F7652" w:rsidRDefault="001F7652" w:rsidP="001F7652">
            <w:pPr>
              <w:pStyle w:val="TableText"/>
            </w:pPr>
            <w:r>
              <w:t>A treasured item. It can be tangible or intangible</w:t>
            </w:r>
          </w:p>
        </w:tc>
      </w:tr>
      <w:tr w:rsidR="001F7652" w:rsidRPr="006B77BB" w14:paraId="33CBB9D4" w14:textId="77777777" w:rsidTr="0025414D">
        <w:tc>
          <w:tcPr>
            <w:tcW w:w="1730" w:type="dxa"/>
          </w:tcPr>
          <w:p w14:paraId="74B93FC5" w14:textId="70A96999" w:rsidR="001F7652" w:rsidRDefault="001F7652" w:rsidP="001F7652">
            <w:pPr>
              <w:pStyle w:val="TableText"/>
            </w:pPr>
            <w:r w:rsidRPr="00C9396E">
              <w:t>Te Mana o Te Wai</w:t>
            </w:r>
            <w:r>
              <w:t>*</w:t>
            </w:r>
          </w:p>
        </w:tc>
        <w:tc>
          <w:tcPr>
            <w:tcW w:w="6775" w:type="dxa"/>
          </w:tcPr>
          <w:p w14:paraId="01D06BFF" w14:textId="70357F8B" w:rsidR="001F7652" w:rsidRDefault="001F7652" w:rsidP="001F7652">
            <w:pPr>
              <w:pStyle w:val="TableText"/>
            </w:pPr>
            <w:r>
              <w:t>Fundamental concept of the NPS-FM as defined in clause 1.3 of the NPS-FM 2020</w:t>
            </w:r>
          </w:p>
        </w:tc>
      </w:tr>
    </w:tbl>
    <w:p w14:paraId="5B81DE98" w14:textId="1D3DBECB" w:rsidR="00C9396E" w:rsidRDefault="001F7652" w:rsidP="005126A8">
      <w:pPr>
        <w:pStyle w:val="BodyText"/>
      </w:pPr>
      <w:r>
        <w:t>*</w:t>
      </w:r>
      <w:r w:rsidRPr="001F7652">
        <w:t xml:space="preserve"> </w:t>
      </w:r>
      <w:r>
        <w:t xml:space="preserve">Refer </w:t>
      </w:r>
      <w:r w:rsidRPr="00903455">
        <w:t xml:space="preserve">to the RMA and NPS-FM 2020 </w:t>
      </w:r>
      <w:r>
        <w:t xml:space="preserve">in the first instance </w:t>
      </w:r>
      <w:r w:rsidRPr="00903455">
        <w:t>for interpretation of terms.</w:t>
      </w:r>
    </w:p>
    <w:p w14:paraId="6A8A8A70" w14:textId="77777777" w:rsidR="00C9396E" w:rsidRDefault="00C9396E">
      <w:pPr>
        <w:spacing w:before="0" w:after="200" w:line="276" w:lineRule="auto"/>
        <w:jc w:val="left"/>
      </w:pPr>
      <w:r>
        <w:br w:type="page"/>
      </w:r>
    </w:p>
    <w:p w14:paraId="7140D10A" w14:textId="0FC90346" w:rsidR="00C9396E" w:rsidRDefault="00C9396E" w:rsidP="00DC3CFC">
      <w:pPr>
        <w:pStyle w:val="Heading1"/>
        <w:rPr>
          <w:rStyle w:val="Heading1Char"/>
          <w:b/>
        </w:rPr>
      </w:pPr>
      <w:bookmarkStart w:id="3" w:name="_Toc99614838"/>
      <w:r>
        <w:rPr>
          <w:rStyle w:val="Heading1Char"/>
          <w:b/>
        </w:rPr>
        <w:lastRenderedPageBreak/>
        <w:t xml:space="preserve">Executive </w:t>
      </w:r>
      <w:r w:rsidR="00986756">
        <w:rPr>
          <w:rStyle w:val="Heading1Char"/>
          <w:b/>
        </w:rPr>
        <w:t>summary</w:t>
      </w:r>
      <w:bookmarkEnd w:id="3"/>
    </w:p>
    <w:p w14:paraId="3B96B775" w14:textId="708C1462" w:rsidR="00C25AF9" w:rsidRDefault="00C25AF9" w:rsidP="00986756">
      <w:pPr>
        <w:pStyle w:val="BodyText"/>
      </w:pPr>
      <w:r>
        <w:t xml:space="preserve">The Minister for the Environment has proposed amendments to the </w:t>
      </w:r>
      <w:hyperlink r:id="rId24" w:history="1">
        <w:r w:rsidRPr="000C7B30">
          <w:rPr>
            <w:rStyle w:val="Hyperlink"/>
          </w:rPr>
          <w:t>Resource Management (National Environmental Standard</w:t>
        </w:r>
        <w:r w:rsidR="006441D0" w:rsidRPr="000C7B30">
          <w:rPr>
            <w:rStyle w:val="Hyperlink"/>
          </w:rPr>
          <w:t>s</w:t>
        </w:r>
        <w:r w:rsidRPr="000C7B30">
          <w:rPr>
            <w:rStyle w:val="Hyperlink"/>
          </w:rPr>
          <w:t xml:space="preserve"> for Freshwater) Regulations 2020</w:t>
        </w:r>
      </w:hyperlink>
      <w:r>
        <w:t xml:space="preserve"> (NES-F) to address stakeholder feedback on intensive winter grazing</w:t>
      </w:r>
      <w:r w:rsidR="001F7652">
        <w:t xml:space="preserve"> (IWG)</w:t>
      </w:r>
      <w:r>
        <w:t xml:space="preserve"> regulations 26 and 27.</w:t>
      </w:r>
    </w:p>
    <w:p w14:paraId="2008D8ED" w14:textId="0C985B8E" w:rsidR="00C25AF9" w:rsidRDefault="00C25AF9" w:rsidP="00986756">
      <w:pPr>
        <w:pStyle w:val="BodyText"/>
      </w:pPr>
      <w:r>
        <w:t xml:space="preserve">The proposed amendments have been </w:t>
      </w:r>
      <w:r w:rsidR="006D38C2">
        <w:t xml:space="preserve">recommended </w:t>
      </w:r>
      <w:r>
        <w:t>following analysis undertaken and published by the Ministry for the Environment in 2021, reports from advisory groups and panels, and submissions received during the 2021 consultation period.</w:t>
      </w:r>
    </w:p>
    <w:p w14:paraId="0E76B246" w14:textId="455B1AC7" w:rsidR="00C25AF9" w:rsidRDefault="00C25AF9" w:rsidP="00986756">
      <w:pPr>
        <w:pStyle w:val="BodyText"/>
      </w:pPr>
      <w:r>
        <w:t xml:space="preserve">The proposed amendments </w:t>
      </w:r>
      <w:r w:rsidR="000938D5">
        <w:t>address concerns from stakeholders identified through ongoing implementation of these regulations</w:t>
      </w:r>
      <w:r>
        <w:t>.</w:t>
      </w:r>
      <w:r w:rsidR="00AA0450">
        <w:t xml:space="preserve"> The</w:t>
      </w:r>
      <w:r w:rsidR="005377C1">
        <w:t>y are designed to make complying with the IWG regulations more practical, while still ensuring the environmental effects of the activity are managed.</w:t>
      </w:r>
      <w:r>
        <w:t xml:space="preserve"> Once available, the </w:t>
      </w:r>
      <w:r w:rsidR="007C19BD">
        <w:t>f</w:t>
      </w:r>
      <w:r>
        <w:t>resh</w:t>
      </w:r>
      <w:r w:rsidR="000F4B16">
        <w:t>w</w:t>
      </w:r>
      <w:r>
        <w:t xml:space="preserve">ater </w:t>
      </w:r>
      <w:r w:rsidR="001F7652">
        <w:t>farm</w:t>
      </w:r>
      <w:r w:rsidDel="001F7652">
        <w:t xml:space="preserve"> </w:t>
      </w:r>
      <w:r w:rsidR="001F7652">
        <w:t xml:space="preserve">plan </w:t>
      </w:r>
      <w:r w:rsidR="006441D0">
        <w:t xml:space="preserve">(FW-FP) </w:t>
      </w:r>
      <w:r>
        <w:t>pathway will enable a tailor-made approach to IWG activities, while the resource consent process will control activities that are unable to comply with the default conditions or obtain a FW-FP.</w:t>
      </w:r>
    </w:p>
    <w:p w14:paraId="7AA1E76A" w14:textId="531F2087" w:rsidR="00C25AF9" w:rsidRDefault="00C25AF9" w:rsidP="00986756">
      <w:pPr>
        <w:pStyle w:val="BodyText"/>
      </w:pPr>
      <w:r>
        <w:t>The proposed amendments will defer regulation</w:t>
      </w:r>
      <w:r w:rsidR="00330A8B">
        <w:t>s 26 and</w:t>
      </w:r>
      <w:r>
        <w:t xml:space="preserve"> 27 until 1 November 2022. The deferral </w:t>
      </w:r>
      <w:r w:rsidR="00E15279">
        <w:t xml:space="preserve">is being </w:t>
      </w:r>
      <w:r>
        <w:t>made in recognition that farming decisions have already been made for the 2022 winter season and therefore allows farmers time to prepare to comply with the regulations before the 2023 winter season</w:t>
      </w:r>
      <w:r w:rsidR="00E3353D">
        <w:t xml:space="preserve"> (which begins on 1 May 2023)</w:t>
      </w:r>
      <w:r>
        <w:t>.</w:t>
      </w:r>
    </w:p>
    <w:p w14:paraId="5C55E06E" w14:textId="2FA8A07C" w:rsidR="00C25AF9" w:rsidRDefault="00C25AF9" w:rsidP="00986756">
      <w:pPr>
        <w:pStyle w:val="BodyText"/>
      </w:pPr>
      <w:r>
        <w:t xml:space="preserve">This section 32 report provides an evaluation of the proposed amendments to the intensive winter grazing regulations in accordance with the Resource Management Act 1991 (RMA). It should be read alongside the </w:t>
      </w:r>
      <w:hyperlink r:id="rId25" w:history="1">
        <w:r w:rsidR="000A346C">
          <w:rPr>
            <w:rStyle w:val="Hyperlink"/>
          </w:rPr>
          <w:t>2020</w:t>
        </w:r>
        <w:r w:rsidR="0020787F" w:rsidRPr="00DF55BB">
          <w:rPr>
            <w:rStyle w:val="Hyperlink"/>
          </w:rPr>
          <w:t xml:space="preserve"> section 32 report</w:t>
        </w:r>
      </w:hyperlink>
      <w:r>
        <w:t>, which provide</w:t>
      </w:r>
      <w:r w:rsidDel="00E739F5">
        <w:t>s</w:t>
      </w:r>
      <w:r>
        <w:t xml:space="preserve"> a full evaluation of all the NES-F intensive winter grazing regulations and the higher-level freshwater objective and policy framework in the </w:t>
      </w:r>
      <w:hyperlink r:id="rId26" w:history="1">
        <w:r w:rsidR="00DC2F5B">
          <w:rPr>
            <w:rStyle w:val="Hyperlink"/>
          </w:rPr>
          <w:t>National Policy Statement for Freshwater Management 2020</w:t>
        </w:r>
      </w:hyperlink>
      <w:r w:rsidR="00DC2F5B">
        <w:t xml:space="preserve"> (</w:t>
      </w:r>
      <w:r>
        <w:t>NPS-FM 2020</w:t>
      </w:r>
      <w:r w:rsidR="00DC2F5B">
        <w:t>)</w:t>
      </w:r>
      <w:r>
        <w:t>.</w:t>
      </w:r>
    </w:p>
    <w:p w14:paraId="2E3A8EDA" w14:textId="178719B0" w:rsidR="00C25AF9" w:rsidRDefault="00C25AF9">
      <w:pPr>
        <w:spacing w:before="0" w:after="200" w:line="276" w:lineRule="auto"/>
        <w:jc w:val="left"/>
      </w:pPr>
      <w:r>
        <w:br w:type="page"/>
      </w:r>
    </w:p>
    <w:p w14:paraId="0479F3B8" w14:textId="40938AC4" w:rsidR="005057DB" w:rsidRDefault="00C25AF9" w:rsidP="00F40C4C">
      <w:pPr>
        <w:pStyle w:val="Heading1"/>
        <w:rPr>
          <w:rStyle w:val="Heading1Char"/>
          <w:b/>
          <w:bCs/>
        </w:rPr>
      </w:pPr>
      <w:bookmarkStart w:id="4" w:name="_Toc99614839"/>
      <w:r>
        <w:rPr>
          <w:rStyle w:val="Heading1Char"/>
          <w:b/>
        </w:rPr>
        <w:t>Introductio</w:t>
      </w:r>
      <w:r w:rsidR="005057DB">
        <w:rPr>
          <w:rStyle w:val="Heading1Char"/>
          <w:b/>
        </w:rPr>
        <w:t>n</w:t>
      </w:r>
      <w:bookmarkEnd w:id="4"/>
      <w:r w:rsidR="005057DB">
        <w:rPr>
          <w:rStyle w:val="Heading1Char"/>
          <w:b/>
        </w:rPr>
        <w:t xml:space="preserve"> </w:t>
      </w:r>
    </w:p>
    <w:p w14:paraId="4B014C2F" w14:textId="0768726B" w:rsidR="00C0375D" w:rsidRDefault="00C0375D" w:rsidP="00986756">
      <w:pPr>
        <w:pStyle w:val="BodyText"/>
      </w:pPr>
      <w:r>
        <w:t xml:space="preserve">Intensive winter grazing (IWG) is a farming practice where livestock (cattle, sheep, </w:t>
      </w:r>
      <w:r w:rsidR="00857926">
        <w:t xml:space="preserve">and </w:t>
      </w:r>
      <w:r>
        <w:t>deer) are confined over winter to outdoor feeding areas planted with annual forage crops (eg</w:t>
      </w:r>
      <w:r w:rsidR="004854E8">
        <w:t>,</w:t>
      </w:r>
      <w:r>
        <w:t xml:space="preserve"> swedes, kale and fodder beet). </w:t>
      </w:r>
    </w:p>
    <w:p w14:paraId="0BD4759A" w14:textId="6FC678AE" w:rsidR="00C0375D" w:rsidRDefault="00C0375D" w:rsidP="00986756">
      <w:pPr>
        <w:pStyle w:val="BodyText"/>
      </w:pPr>
      <w:r>
        <w:t xml:space="preserve">Annual forage crops are a part of some pastoral farm production systems. They provide feed when there is no or low pasture growth and contribute to pasture renewal rotations for improved production. However, it is widely acknowledged that, if done poorly or too extensively, IWG can have serious negative effects on both animal welfare and the environment, particularly freshwater and estuary health. </w:t>
      </w:r>
    </w:p>
    <w:p w14:paraId="70B05635" w14:textId="3E8510EC" w:rsidR="00C0375D" w:rsidRDefault="00C0375D" w:rsidP="00986756">
      <w:pPr>
        <w:pStyle w:val="BodyText"/>
      </w:pPr>
      <w:r>
        <w:t>Due to the intensive nature of this grazing practice, which strips the protective vegetative cover from the land, it can result in the increased discharge of nutrients, sediments and microbial pathogens into surface water and groundwater. In some locations, and with good practice, these impacts can be reduced.</w:t>
      </w:r>
      <w:r w:rsidDel="00197F8D">
        <w:t xml:space="preserve"> </w:t>
      </w:r>
      <w:r>
        <w:t>Carried out too extensively, on heavy soils and steep slopes with poor practices, more extreme impacts occur.</w:t>
      </w:r>
    </w:p>
    <w:p w14:paraId="37E8111C" w14:textId="39A02AE6" w:rsidR="00C0375D" w:rsidRDefault="00C0375D" w:rsidP="00986756">
      <w:pPr>
        <w:pStyle w:val="BodyText"/>
      </w:pPr>
      <w:r>
        <w:t>The Resource Management (National Environmental Standards for Freshwater) Regulations 2020 (NES-F) regulate activities such as IWG, that pose a high risk to freshwater. The NES-F IWG regulations were due to come into effect on 1 May 2021. Following stakeholder feedback on the practical challenges associated with meeting and implementing the new requirements, implementation of the IWG regulations was deferred to 1 May 2022.</w:t>
      </w:r>
      <w:r w:rsidDel="00394372">
        <w:t xml:space="preserve"> </w:t>
      </w:r>
      <w:r>
        <w:t>That deferral provided time for further improvement in IWG practices, increased monitoring and compliance, and consideration of amendments to address the implementation issues.</w:t>
      </w:r>
    </w:p>
    <w:p w14:paraId="5CE541B3" w14:textId="0F25E461" w:rsidR="00C0375D" w:rsidRDefault="00C0375D" w:rsidP="00986756">
      <w:pPr>
        <w:pStyle w:val="BodyText"/>
      </w:pPr>
      <w:r>
        <w:t>The amendments now proposed to address the IWG implementation issues raised are the subject of this report, prepared under section 32 of the</w:t>
      </w:r>
      <w:r w:rsidR="006059A2">
        <w:t xml:space="preserve"> Resource Management Act 1991</w:t>
      </w:r>
      <w:r>
        <w:t xml:space="preserve"> </w:t>
      </w:r>
      <w:r w:rsidR="006059A2">
        <w:t>(</w:t>
      </w:r>
      <w:r>
        <w:t>RMA</w:t>
      </w:r>
      <w:r w:rsidR="006059A2">
        <w:t>)</w:t>
      </w:r>
      <w:r>
        <w:t xml:space="preserve">. Prior to finalising these </w:t>
      </w:r>
      <w:r w:rsidR="001143EA">
        <w:t xml:space="preserve">proposed </w:t>
      </w:r>
      <w:r>
        <w:t>amendments, the Ministry for the Environment (MfE) and the Ministry for Primary Industries (MPI) sought feedback through public consultation on</w:t>
      </w:r>
      <w:r w:rsidR="00394372">
        <w:t xml:space="preserve"> the </w:t>
      </w:r>
      <w:hyperlink r:id="rId27" w:history="1">
        <w:r w:rsidR="0046593F" w:rsidRPr="0046593F">
          <w:rPr>
            <w:rStyle w:val="Hyperlink"/>
          </w:rPr>
          <w:t xml:space="preserve">managing intensive winter grazing </w:t>
        </w:r>
        <w:r w:rsidR="00394372" w:rsidRPr="0046593F">
          <w:rPr>
            <w:rStyle w:val="Hyperlink"/>
          </w:rPr>
          <w:t>discussion document</w:t>
        </w:r>
      </w:hyperlink>
      <w:r w:rsidR="00394372">
        <w:t>.</w:t>
      </w:r>
      <w:r>
        <w:t xml:space="preserve"> 85 submissions were received during the 26 August 2021 to 7 October 2021 consultation period.</w:t>
      </w:r>
    </w:p>
    <w:p w14:paraId="62166AC2" w14:textId="4CFA194F" w:rsidR="00C0375D" w:rsidRDefault="00C0375D" w:rsidP="00986756">
      <w:pPr>
        <w:pStyle w:val="BodyText"/>
      </w:pPr>
      <w:r>
        <w:t xml:space="preserve">The scope of the discussion document, submissions and the </w:t>
      </w:r>
      <w:r w:rsidR="00D81E1B">
        <w:t>proposed</w:t>
      </w:r>
      <w:r>
        <w:t xml:space="preserve"> amendments to the NES-F includes:</w:t>
      </w:r>
    </w:p>
    <w:p w14:paraId="110A828D" w14:textId="2AA4DF96" w:rsidR="00C0375D" w:rsidRPr="00986756" w:rsidRDefault="00394372" w:rsidP="00986756">
      <w:pPr>
        <w:pStyle w:val="Bullet"/>
      </w:pPr>
      <w:r>
        <w:t>t</w:t>
      </w:r>
      <w:r w:rsidRPr="00986756">
        <w:t xml:space="preserve">otal </w:t>
      </w:r>
      <w:r w:rsidR="00C0375D" w:rsidRPr="00986756">
        <w:t>area</w:t>
      </w:r>
    </w:p>
    <w:p w14:paraId="5B3F082E" w14:textId="3F011F0D" w:rsidR="00C0375D" w:rsidRPr="00986756" w:rsidRDefault="00394372" w:rsidP="00986756">
      <w:pPr>
        <w:pStyle w:val="Bullet"/>
      </w:pPr>
      <w:r>
        <w:t>s</w:t>
      </w:r>
      <w:r w:rsidRPr="00986756">
        <w:t xml:space="preserve">lope </w:t>
      </w:r>
      <w:r w:rsidR="00C0375D" w:rsidRPr="00986756">
        <w:t>threshold</w:t>
      </w:r>
    </w:p>
    <w:p w14:paraId="1C29A5F4" w14:textId="0C7C0A82" w:rsidR="00C0375D" w:rsidRPr="00986756" w:rsidRDefault="00394372" w:rsidP="00986756">
      <w:pPr>
        <w:pStyle w:val="Bullet"/>
      </w:pPr>
      <w:r>
        <w:t>p</w:t>
      </w:r>
      <w:r w:rsidRPr="00986756">
        <w:t>ugging</w:t>
      </w:r>
    </w:p>
    <w:p w14:paraId="04D041EF" w14:textId="2F7D3212" w:rsidR="00C0375D" w:rsidRPr="00986756" w:rsidRDefault="00394372" w:rsidP="00986756">
      <w:pPr>
        <w:pStyle w:val="Bullet"/>
      </w:pPr>
      <w:r>
        <w:t>b</w:t>
      </w:r>
      <w:r w:rsidRPr="00986756">
        <w:t xml:space="preserve">uffer </w:t>
      </w:r>
      <w:r w:rsidR="00C0375D" w:rsidRPr="00986756">
        <w:t>zones from waterways, specifically drains</w:t>
      </w:r>
    </w:p>
    <w:p w14:paraId="447E1B75" w14:textId="4897E252" w:rsidR="00C0375D" w:rsidRPr="00986756" w:rsidRDefault="00394372" w:rsidP="00986756">
      <w:pPr>
        <w:pStyle w:val="Bullet"/>
      </w:pPr>
      <w:r>
        <w:t>r</w:t>
      </w:r>
      <w:r w:rsidRPr="00986756">
        <w:t>esowing</w:t>
      </w:r>
    </w:p>
    <w:p w14:paraId="34F022BC" w14:textId="697ED820" w:rsidR="00C0375D" w:rsidRPr="00986756" w:rsidRDefault="00394372" w:rsidP="00986756">
      <w:pPr>
        <w:pStyle w:val="Bullet"/>
      </w:pPr>
      <w:r>
        <w:t>c</w:t>
      </w:r>
      <w:r w:rsidRPr="00986756">
        <w:t xml:space="preserve">ritical </w:t>
      </w:r>
      <w:r w:rsidR="00C0375D" w:rsidRPr="00986756">
        <w:t>source areas</w:t>
      </w:r>
    </w:p>
    <w:p w14:paraId="7B7147DB" w14:textId="6467ECC6" w:rsidR="00C0375D" w:rsidRPr="00986756" w:rsidRDefault="00394372" w:rsidP="00986756">
      <w:pPr>
        <w:pStyle w:val="Bullet"/>
      </w:pPr>
      <w:r>
        <w:t>d</w:t>
      </w:r>
      <w:r w:rsidRPr="00986756">
        <w:t xml:space="preserve">efinitions </w:t>
      </w:r>
    </w:p>
    <w:p w14:paraId="43DE9A4A" w14:textId="31A9CC82" w:rsidR="00C0375D" w:rsidRPr="00986756" w:rsidRDefault="00394372" w:rsidP="00986756">
      <w:pPr>
        <w:pStyle w:val="Bullet"/>
      </w:pPr>
      <w:r>
        <w:t>c</w:t>
      </w:r>
      <w:r w:rsidRPr="00986756">
        <w:t xml:space="preserve">ommencement </w:t>
      </w:r>
      <w:r w:rsidR="00C0375D" w:rsidRPr="00986756">
        <w:t xml:space="preserve">date for </w:t>
      </w:r>
      <w:r w:rsidR="002C68AD">
        <w:t>regulations 26 and 27</w:t>
      </w:r>
      <w:r w:rsidR="00C0375D" w:rsidRPr="00986756">
        <w:t xml:space="preserve"> coming into force. </w:t>
      </w:r>
    </w:p>
    <w:p w14:paraId="16C7E35E" w14:textId="5A1764C7" w:rsidR="00C0375D" w:rsidRDefault="00331234" w:rsidP="00986756">
      <w:pPr>
        <w:pStyle w:val="BodyText"/>
      </w:pPr>
      <w:r>
        <w:t>T</w:t>
      </w:r>
      <w:r w:rsidR="00C0375D">
        <w:t>his section 32 report consider</w:t>
      </w:r>
      <w:r>
        <w:t>s</w:t>
      </w:r>
      <w:r w:rsidR="00C0375D">
        <w:t xml:space="preserve"> the </w:t>
      </w:r>
      <w:r w:rsidR="00D81E1B">
        <w:t>proposed</w:t>
      </w:r>
      <w:r w:rsidR="00C0375D">
        <w:t xml:space="preserve"> amendments to regulations 26 </w:t>
      </w:r>
      <w:r w:rsidR="001877A0">
        <w:t>and</w:t>
      </w:r>
      <w:r w:rsidR="00C0375D">
        <w:t xml:space="preserve"> 27 of the NES-F.</w:t>
      </w:r>
    </w:p>
    <w:p w14:paraId="72A11A50" w14:textId="4BE0951A" w:rsidR="005057DB" w:rsidRDefault="005057DB" w:rsidP="005057DB">
      <w:pPr>
        <w:pStyle w:val="Heading2"/>
      </w:pPr>
      <w:bookmarkStart w:id="5" w:name="_Toc99614840"/>
      <w:r>
        <w:t>Structure of the report</w:t>
      </w:r>
      <w:bookmarkEnd w:id="5"/>
    </w:p>
    <w:p w14:paraId="1318D4C4" w14:textId="4B6DE507" w:rsidR="00EB1729" w:rsidRDefault="00D546A2" w:rsidP="00986756">
      <w:pPr>
        <w:pStyle w:val="BodyText"/>
      </w:pPr>
      <w:r>
        <w:t>This report provides an</w:t>
      </w:r>
      <w:r w:rsidR="00EB1729">
        <w:t xml:space="preserve"> overview of the proposed amendments to the IWG regulations, the statutory context for amending a national environmental standard and the requirements for preparing and publishing evaluation reports for the proposals. </w:t>
      </w:r>
      <w:r>
        <w:t>It also</w:t>
      </w:r>
      <w:r w:rsidR="00EB1729" w:rsidDel="00D546A2">
        <w:t xml:space="preserve"> </w:t>
      </w:r>
      <w:r>
        <w:t xml:space="preserve">evaluates </w:t>
      </w:r>
      <w:r w:rsidR="00EB1729">
        <w:t xml:space="preserve">the efficiency and effectiveness of the </w:t>
      </w:r>
      <w:r w:rsidR="00222FEC">
        <w:t xml:space="preserve">proposed </w:t>
      </w:r>
      <w:r w:rsidR="00EB1729">
        <w:t xml:space="preserve">amendments to </w:t>
      </w:r>
      <w:r w:rsidR="004F17A4">
        <w:t>the IWG</w:t>
      </w:r>
      <w:r w:rsidR="00EB1729">
        <w:t xml:space="preserve"> regulations.</w:t>
      </w:r>
    </w:p>
    <w:p w14:paraId="11E6C281" w14:textId="572FCC5C" w:rsidR="005057DB" w:rsidRDefault="00EB1729" w:rsidP="00986756">
      <w:pPr>
        <w:pStyle w:val="BodyText"/>
      </w:pPr>
      <w:r>
        <w:t xml:space="preserve">This report has been prepared alongside the drafting of the </w:t>
      </w:r>
      <w:r w:rsidR="00222FEC">
        <w:t xml:space="preserve">proposed </w:t>
      </w:r>
      <w:r>
        <w:t>amendments</w:t>
      </w:r>
      <w:r w:rsidR="000B7578" w:rsidDel="000B7578">
        <w:t xml:space="preserve"> </w:t>
      </w:r>
      <w:r w:rsidR="00D60071">
        <w:t>being finalised</w:t>
      </w:r>
      <w:r>
        <w:t>.</w:t>
      </w:r>
      <w:r w:rsidDel="00331234">
        <w:t xml:space="preserve"> </w:t>
      </w:r>
      <w:r>
        <w:t xml:space="preserve">To the extent possible, this report reflects the most recent drafting of the </w:t>
      </w:r>
      <w:r w:rsidR="00D35D22">
        <w:t>proposed</w:t>
      </w:r>
      <w:r>
        <w:t xml:space="preserve"> amendments to the regulations. There may be small differences between drafting described in this report and the final drafting. </w:t>
      </w:r>
      <w:r w:rsidR="00A97F8D">
        <w:t>However</w:t>
      </w:r>
      <w:r>
        <w:t>, the conclusions in this report are consistent with the final drafting of the regulations.</w:t>
      </w:r>
    </w:p>
    <w:p w14:paraId="17EA021F" w14:textId="77777777" w:rsidR="008363C0" w:rsidRDefault="008363C0" w:rsidP="008363C0">
      <w:pPr>
        <w:pStyle w:val="Heading2"/>
      </w:pPr>
      <w:bookmarkStart w:id="6" w:name="_Toc99614841"/>
      <w:r>
        <w:t>Reading this evaluation report</w:t>
      </w:r>
      <w:bookmarkEnd w:id="6"/>
    </w:p>
    <w:p w14:paraId="07601F7B" w14:textId="07E9A8A6" w:rsidR="008363C0" w:rsidRDefault="008363C0" w:rsidP="008363C0">
      <w:pPr>
        <w:pStyle w:val="BodyText"/>
      </w:pPr>
      <w:r>
        <w:t xml:space="preserve">The </w:t>
      </w:r>
      <w:hyperlink w:anchor="_Overview" w:history="1">
        <w:r w:rsidR="000751D1" w:rsidRPr="000751D1">
          <w:rPr>
            <w:rStyle w:val="Hyperlink"/>
          </w:rPr>
          <w:t>Overview</w:t>
        </w:r>
      </w:hyperlink>
      <w:r w:rsidR="000751D1">
        <w:t xml:space="preserve"> and </w:t>
      </w:r>
      <w:hyperlink w:anchor="_Statutory_and_policy" w:history="1">
        <w:r w:rsidR="000751D1" w:rsidRPr="000751D1">
          <w:rPr>
            <w:rStyle w:val="Hyperlink"/>
          </w:rPr>
          <w:t>S</w:t>
        </w:r>
        <w:r w:rsidRPr="000751D1">
          <w:rPr>
            <w:rStyle w:val="Hyperlink"/>
          </w:rPr>
          <w:t>tatutory and policy context</w:t>
        </w:r>
      </w:hyperlink>
      <w:r w:rsidR="000751D1">
        <w:t xml:space="preserve"> sections are</w:t>
      </w:r>
      <w:r>
        <w:t xml:space="preserve"> largely for the benefit of readers who are not familiar with the background and requirements of evaluations prepared under section 32 of the RMA.</w:t>
      </w:r>
    </w:p>
    <w:p w14:paraId="29896B66" w14:textId="3722FB53" w:rsidR="008363C0" w:rsidRDefault="008363C0" w:rsidP="00986756">
      <w:pPr>
        <w:pStyle w:val="BodyText"/>
      </w:pPr>
      <w:r>
        <w:t xml:space="preserve">The assessment </w:t>
      </w:r>
      <w:r w:rsidR="00AE2445">
        <w:t xml:space="preserve">of </w:t>
      </w:r>
      <w:r>
        <w:t xml:space="preserve">proposed amendments begins in the </w:t>
      </w:r>
      <w:hyperlink w:anchor="_Evaluation_of_the" w:history="1">
        <w:r w:rsidRPr="008D691F">
          <w:rPr>
            <w:rStyle w:val="Hyperlink"/>
          </w:rPr>
          <w:t xml:space="preserve">Evaluation of the </w:t>
        </w:r>
        <w:r w:rsidR="00222FEC">
          <w:rPr>
            <w:rStyle w:val="Hyperlink"/>
          </w:rPr>
          <w:t xml:space="preserve">proposed </w:t>
        </w:r>
        <w:r w:rsidRPr="008D691F">
          <w:rPr>
            <w:rStyle w:val="Hyperlink"/>
          </w:rPr>
          <w:t>amendments</w:t>
        </w:r>
      </w:hyperlink>
      <w:r w:rsidR="00AE2445">
        <w:t xml:space="preserve"> section</w:t>
      </w:r>
      <w:r>
        <w:t>.</w:t>
      </w:r>
    </w:p>
    <w:p w14:paraId="56807309" w14:textId="18CA12FD" w:rsidR="00EB1729" w:rsidRDefault="00EB1729">
      <w:pPr>
        <w:spacing w:before="0" w:after="200" w:line="276" w:lineRule="auto"/>
        <w:jc w:val="left"/>
      </w:pPr>
      <w:r>
        <w:br w:type="page"/>
      </w:r>
    </w:p>
    <w:p w14:paraId="600F2486" w14:textId="77777777" w:rsidR="009C7B89" w:rsidRDefault="009C7B89" w:rsidP="00950D64">
      <w:pPr>
        <w:pStyle w:val="Heading1"/>
        <w:rPr>
          <w:rStyle w:val="Heading1Char"/>
          <w:b/>
          <w:bCs/>
        </w:rPr>
      </w:pPr>
      <w:bookmarkStart w:id="7" w:name="_Overview"/>
      <w:bookmarkStart w:id="8" w:name="_Toc99614842"/>
      <w:bookmarkEnd w:id="7"/>
      <w:r>
        <w:rPr>
          <w:rStyle w:val="Heading1Char"/>
          <w:b/>
        </w:rPr>
        <w:t>Overview</w:t>
      </w:r>
      <w:bookmarkEnd w:id="8"/>
    </w:p>
    <w:p w14:paraId="2D64C3B9" w14:textId="19F243B3" w:rsidR="00537586" w:rsidRDefault="00537586" w:rsidP="00986756">
      <w:pPr>
        <w:pStyle w:val="BodyText"/>
      </w:pPr>
      <w:r>
        <w:t xml:space="preserve">The NES-F regulations came into force </w:t>
      </w:r>
      <w:r w:rsidR="00F15A0B">
        <w:t xml:space="preserve">in 2020 </w:t>
      </w:r>
      <w:r>
        <w:t xml:space="preserve">alongside the new </w:t>
      </w:r>
      <w:hyperlink r:id="rId28" w:history="1">
        <w:r w:rsidR="00A97F8D" w:rsidRPr="002D54AC">
          <w:rPr>
            <w:rStyle w:val="Hyperlink"/>
          </w:rPr>
          <w:t>National Policy Statement for Freshwater Management</w:t>
        </w:r>
        <w:r w:rsidR="009A7210" w:rsidRPr="009A7210">
          <w:rPr>
            <w:rStyle w:val="Hyperlink"/>
          </w:rPr>
          <w:t xml:space="preserve"> 2020</w:t>
        </w:r>
      </w:hyperlink>
      <w:r w:rsidR="00A97F8D">
        <w:t xml:space="preserve"> (NPS-FM 2020) </w:t>
      </w:r>
      <w:r>
        <w:t>.</w:t>
      </w:r>
      <w:r w:rsidDel="00A97F8D">
        <w:t xml:space="preserve"> </w:t>
      </w:r>
      <w:r>
        <w:t xml:space="preserve">At the same time MfE published a </w:t>
      </w:r>
      <w:hyperlink r:id="rId29" w:history="1">
        <w:r w:rsidR="00B21139" w:rsidRPr="007F7AE4">
          <w:rPr>
            <w:rStyle w:val="Hyperlink"/>
          </w:rPr>
          <w:t xml:space="preserve">regulatory </w:t>
        </w:r>
        <w:r w:rsidR="006B2E56" w:rsidRPr="007F7AE4">
          <w:rPr>
            <w:rStyle w:val="Hyperlink"/>
          </w:rPr>
          <w:t>impact assessment</w:t>
        </w:r>
      </w:hyperlink>
      <w:r w:rsidR="00EE4249">
        <w:t xml:space="preserve"> (RIA)</w:t>
      </w:r>
      <w:r w:rsidR="00F8207F">
        <w:t xml:space="preserve"> and </w:t>
      </w:r>
      <w:r w:rsidR="00EE4249">
        <w:t xml:space="preserve">a </w:t>
      </w:r>
      <w:hyperlink r:id="rId30" w:history="1">
        <w:r w:rsidR="009B69CC">
          <w:rPr>
            <w:rStyle w:val="Hyperlink"/>
          </w:rPr>
          <w:t xml:space="preserve">2020 </w:t>
        </w:r>
        <w:r w:rsidRPr="002D54AC">
          <w:rPr>
            <w:rStyle w:val="Hyperlink"/>
          </w:rPr>
          <w:t>section 32 report</w:t>
        </w:r>
      </w:hyperlink>
      <w:r>
        <w:t xml:space="preserve"> that evaluated th</w:t>
      </w:r>
      <w:r w:rsidR="00F251B2">
        <w:t>os</w:t>
      </w:r>
      <w:r>
        <w:t xml:space="preserve">e two freshwater legislative instruments. The 2020 section 32 report provides a </w:t>
      </w:r>
      <w:r w:rsidR="006B2E56">
        <w:t xml:space="preserve">comprehensive </w:t>
      </w:r>
      <w:r>
        <w:t xml:space="preserve">evaluation of the freshwater objective, policies, and regulations. Therefore, </w:t>
      </w:r>
      <w:r w:rsidR="00F8207F">
        <w:t>that RIA and s</w:t>
      </w:r>
      <w:r w:rsidR="006F0605">
        <w:t>ection 32 report</w:t>
      </w:r>
      <w:r>
        <w:t xml:space="preserve"> should be read in conjunction with this report to provide the freshwater provisions framework for the IWG regulations and the context for the </w:t>
      </w:r>
      <w:r w:rsidR="00FC40C4">
        <w:t>proposed</w:t>
      </w:r>
      <w:r>
        <w:t xml:space="preserve"> amendments.</w:t>
      </w:r>
    </w:p>
    <w:p w14:paraId="0DB56A0D" w14:textId="33095C72" w:rsidR="00537586" w:rsidRDefault="00537586" w:rsidP="00986756">
      <w:pPr>
        <w:pStyle w:val="BodyText"/>
      </w:pPr>
      <w:r>
        <w:t xml:space="preserve">This report does not re-evaluate each of the IWG regulations but </w:t>
      </w:r>
      <w:r w:rsidR="006B2E56">
        <w:t xml:space="preserve">focuses </w:t>
      </w:r>
      <w:r>
        <w:t xml:space="preserve">on the scope of amendments made to the specific default conditions contained within the regulations </w:t>
      </w:r>
      <w:r w:rsidRPr="00580972">
        <w:t xml:space="preserve">(Regulation </w:t>
      </w:r>
      <w:r w:rsidRPr="00282C16">
        <w:t>26 (</w:t>
      </w:r>
      <w:r w:rsidRPr="00580972">
        <w:t>4)</w:t>
      </w:r>
      <w:r>
        <w:t>)</w:t>
      </w:r>
      <w:r w:rsidRPr="00580972">
        <w:t>.</w:t>
      </w:r>
    </w:p>
    <w:p w14:paraId="03B22009" w14:textId="70D68FEB" w:rsidR="00537586" w:rsidRDefault="00537586" w:rsidP="00986756">
      <w:pPr>
        <w:pStyle w:val="BodyText"/>
      </w:pPr>
      <w:r>
        <w:t xml:space="preserve">Reference should also be made to the </w:t>
      </w:r>
      <w:hyperlink r:id="rId31" w:history="1">
        <w:r w:rsidR="00202013" w:rsidRPr="00964E22">
          <w:rPr>
            <w:rStyle w:val="Hyperlink"/>
          </w:rPr>
          <w:t>Regulatory Impact Statement: Intensive Winter Grazing</w:t>
        </w:r>
      </w:hyperlink>
      <w:r w:rsidR="00202013" w:rsidRPr="00964E22">
        <w:t xml:space="preserve"> </w:t>
      </w:r>
      <w:r w:rsidR="00271A03" w:rsidRPr="00964E22">
        <w:t xml:space="preserve">(RIS) </w:t>
      </w:r>
      <w:r w:rsidRPr="00964E22">
        <w:t xml:space="preserve">that assessed the proposed amendments to the NES-F. The RIS contains a detailed analysis of options and the costs and benefits of the </w:t>
      </w:r>
      <w:r w:rsidR="00FC40C4" w:rsidRPr="00964E22">
        <w:t>proposed</w:t>
      </w:r>
      <w:r w:rsidRPr="00964E22">
        <w:t xml:space="preserve"> amendments</w:t>
      </w:r>
      <w:r>
        <w:t xml:space="preserve"> to the NES-F.</w:t>
      </w:r>
    </w:p>
    <w:p w14:paraId="0397E9A8" w14:textId="6C6C85F0" w:rsidR="00537586" w:rsidRDefault="00537586" w:rsidP="00537586">
      <w:pPr>
        <w:pStyle w:val="Heading2"/>
      </w:pPr>
      <w:bookmarkStart w:id="9" w:name="_Toc99614843"/>
      <w:r>
        <w:t>Purpose of th</w:t>
      </w:r>
      <w:r w:rsidR="0031616C">
        <w:t>is</w:t>
      </w:r>
      <w:r>
        <w:t xml:space="preserve"> report</w:t>
      </w:r>
      <w:bookmarkEnd w:id="9"/>
    </w:p>
    <w:p w14:paraId="772D2518" w14:textId="29573BCA" w:rsidR="00D63593" w:rsidRDefault="00D63593" w:rsidP="00986756">
      <w:pPr>
        <w:pStyle w:val="BodyText"/>
      </w:pPr>
      <w:r>
        <w:t>In 202</w:t>
      </w:r>
      <w:r w:rsidR="008C2679">
        <w:t>1</w:t>
      </w:r>
      <w:r>
        <w:t xml:space="preserve">, the Minister for </w:t>
      </w:r>
      <w:r w:rsidRPr="00580972">
        <w:t xml:space="preserve">the Environment </w:t>
      </w:r>
      <w:r w:rsidR="008C2679">
        <w:t xml:space="preserve">proposed changes </w:t>
      </w:r>
      <w:r>
        <w:t>to the NES-F IWG regulations under section 46A of the RMA.</w:t>
      </w:r>
      <w:r w:rsidDel="00D411DF">
        <w:t xml:space="preserve"> </w:t>
      </w:r>
      <w:r>
        <w:t xml:space="preserve">This report provides an evaluation </w:t>
      </w:r>
      <w:r w:rsidRPr="00D63593">
        <w:t xml:space="preserve">of </w:t>
      </w:r>
      <w:r>
        <w:t xml:space="preserve">the </w:t>
      </w:r>
      <w:r w:rsidR="00406190">
        <w:t>proposed</w:t>
      </w:r>
      <w:r>
        <w:t xml:space="preserve"> amendments to the NES-F IWG regulations in accordance with section 32 of the RMA.</w:t>
      </w:r>
    </w:p>
    <w:p w14:paraId="19F50BDF" w14:textId="07717CF7" w:rsidR="00D63593" w:rsidRDefault="00D63593" w:rsidP="00986756">
      <w:pPr>
        <w:pStyle w:val="BodyText"/>
      </w:pPr>
      <w:r w:rsidRPr="00960B9C">
        <w:t>Section 32 requires any person developing</w:t>
      </w:r>
      <w:r>
        <w:t xml:space="preserve"> or amending</w:t>
      </w:r>
      <w:r w:rsidRPr="00960B9C">
        <w:t xml:space="preserve"> a policy or regulatory instrument under the RMA to carry out an evaluation of the appropriateness of the proposal in achieving the purpose of the RMA. The evaluation examines </w:t>
      </w:r>
      <w:r w:rsidR="001366AE">
        <w:t xml:space="preserve">the </w:t>
      </w:r>
      <w:r w:rsidRPr="00960B9C">
        <w:t xml:space="preserve">appropriateness of the proposal in two ways: </w:t>
      </w:r>
    </w:p>
    <w:p w14:paraId="75481EA8" w14:textId="52ED5817" w:rsidR="00791DCD" w:rsidRDefault="001366AE" w:rsidP="003D5ED7">
      <w:pPr>
        <w:pStyle w:val="Bullet"/>
      </w:pPr>
      <w:r>
        <w:t>t</w:t>
      </w:r>
      <w:r w:rsidRPr="00960B9C">
        <w:t xml:space="preserve">he </w:t>
      </w:r>
      <w:r w:rsidR="00D63593" w:rsidRPr="00960B9C">
        <w:t>extent to which the objectives of the proposal are the most appropriate way to achieve the purpose of the RMA</w:t>
      </w:r>
      <w:r w:rsidR="00D63593" w:rsidRPr="0063677E">
        <w:rPr>
          <w:vertAlign w:val="superscript"/>
        </w:rPr>
        <w:footnoteReference w:id="2"/>
      </w:r>
    </w:p>
    <w:p w14:paraId="55CA3433" w14:textId="7F33D32F" w:rsidR="00D63593" w:rsidRPr="00960B9C" w:rsidRDefault="001366AE" w:rsidP="003D5ED7">
      <w:pPr>
        <w:pStyle w:val="Bullet"/>
      </w:pPr>
      <w:r>
        <w:t>w</w:t>
      </w:r>
      <w:r w:rsidRPr="00960B9C">
        <w:t xml:space="preserve">hether </w:t>
      </w:r>
      <w:r w:rsidR="00D63593" w:rsidRPr="00960B9C">
        <w:t>the provisions in the proposal are the most appropriate way to achieve the objectives.</w:t>
      </w:r>
      <w:r w:rsidR="0063677E" w:rsidRPr="0063677E">
        <w:rPr>
          <w:vertAlign w:val="superscript"/>
        </w:rPr>
        <w:footnoteReference w:id="3"/>
      </w:r>
      <w:r w:rsidR="00D63593" w:rsidDel="001366AE">
        <w:t xml:space="preserve"> </w:t>
      </w:r>
      <w:r w:rsidR="00D63593" w:rsidRPr="00960B9C">
        <w:t>The provisions are the specific policies and methods that implement, or give effect to, the objectives of the proposal.</w:t>
      </w:r>
    </w:p>
    <w:p w14:paraId="49415C5F" w14:textId="6A15856B" w:rsidR="00D63593" w:rsidRPr="00960B9C" w:rsidRDefault="00D63593" w:rsidP="00886AB2">
      <w:pPr>
        <w:pStyle w:val="BodyText"/>
      </w:pPr>
      <w:r w:rsidRPr="00D63593">
        <w:t>The evaluation must clearly identify the best practicable options for giving effect to the proposed objectives and provide an assessment of the efficiency and effectiveness of each of the proposed provisions.</w:t>
      </w:r>
      <w:r w:rsidRPr="00D63593" w:rsidDel="001366AE">
        <w:t xml:space="preserve"> </w:t>
      </w:r>
      <w:r w:rsidRPr="00960B9C">
        <w:t>This includes consideration of:</w:t>
      </w:r>
    </w:p>
    <w:p w14:paraId="6E27B8D6" w14:textId="017BA899" w:rsidR="00791DCD" w:rsidRDefault="001366AE" w:rsidP="003D5ED7">
      <w:pPr>
        <w:pStyle w:val="Bullet"/>
      </w:pPr>
      <w:r>
        <w:t>t</w:t>
      </w:r>
      <w:r w:rsidRPr="00960B9C">
        <w:t xml:space="preserve">he </w:t>
      </w:r>
      <w:r w:rsidR="00D63593" w:rsidRPr="00960B9C">
        <w:t xml:space="preserve">risk of acting or not acting; and </w:t>
      </w:r>
      <w:r w:rsidR="00D63593">
        <w:t>if there is uncertain or insufficient information</w:t>
      </w:r>
      <w:r w:rsidR="00D63593" w:rsidRPr="00AC1EAB">
        <w:t>; and</w:t>
      </w:r>
    </w:p>
    <w:p w14:paraId="63EB176C" w14:textId="42219AF8" w:rsidR="00D63593" w:rsidRDefault="001366AE" w:rsidP="003D5ED7">
      <w:pPr>
        <w:pStyle w:val="Bullet"/>
      </w:pPr>
      <w:r>
        <w:t>t</w:t>
      </w:r>
      <w:r w:rsidRPr="00960B9C">
        <w:t xml:space="preserve">he </w:t>
      </w:r>
      <w:r w:rsidR="00D63593" w:rsidRPr="00960B9C">
        <w:t>benefits and costs of the environmental, economic</w:t>
      </w:r>
      <w:r w:rsidR="00D63593">
        <w:t>,</w:t>
      </w:r>
      <w:r w:rsidR="00D63593" w:rsidRPr="00960B9C">
        <w:t xml:space="preserve"> social</w:t>
      </w:r>
      <w:r w:rsidR="00D63593">
        <w:t>,</w:t>
      </w:r>
      <w:r w:rsidR="00D63593" w:rsidRPr="00960B9C">
        <w:t xml:space="preserve"> and cultural effects </w:t>
      </w:r>
      <w:r w:rsidR="00D63593" w:rsidRPr="00D63593">
        <w:t>that are anticipated from the implementation of the provisions, including opportunities for, or effects on, economic growth and employment.</w:t>
      </w:r>
    </w:p>
    <w:p w14:paraId="4CEE874A" w14:textId="77777777" w:rsidR="00D63593" w:rsidRDefault="00D63593" w:rsidP="00886AB2">
      <w:pPr>
        <w:pStyle w:val="BodyText"/>
      </w:pPr>
      <w:r>
        <w:t>Specifically, this section 32 report provides:</w:t>
      </w:r>
    </w:p>
    <w:p w14:paraId="75C901CA" w14:textId="64F1D9DF" w:rsidR="00D63593" w:rsidRPr="00D46EEF" w:rsidRDefault="003306DA" w:rsidP="00E810E1">
      <w:pPr>
        <w:pStyle w:val="Bullet"/>
      </w:pPr>
      <w:r>
        <w:t>a</w:t>
      </w:r>
      <w:r w:rsidRPr="00D46EEF">
        <w:t xml:space="preserve">n </w:t>
      </w:r>
      <w:r w:rsidR="00D63593" w:rsidRPr="00D46EEF">
        <w:t xml:space="preserve">evaluation of whether the </w:t>
      </w:r>
      <w:r w:rsidR="00FA0B73">
        <w:t xml:space="preserve">proposed </w:t>
      </w:r>
      <w:r w:rsidR="00D63593">
        <w:t xml:space="preserve">amendments </w:t>
      </w:r>
      <w:r w:rsidR="00D63593" w:rsidRPr="00D46EEF">
        <w:t>to the NES-F IWG regulations are the most appropriate way to achieve the objective</w:t>
      </w:r>
      <w:r w:rsidR="00D63593">
        <w:t xml:space="preserve"> of th</w:t>
      </w:r>
      <w:r w:rsidR="00385774">
        <w:t>es</w:t>
      </w:r>
      <w:r w:rsidR="00D63593">
        <w:t>e amendments</w:t>
      </w:r>
      <w:r w:rsidR="00C4050B">
        <w:t>;</w:t>
      </w:r>
    </w:p>
    <w:p w14:paraId="3B568F67" w14:textId="7C9192A5" w:rsidR="00D63593" w:rsidRPr="00D46EEF" w:rsidRDefault="003306DA" w:rsidP="00E810E1">
      <w:pPr>
        <w:pStyle w:val="Bullet"/>
      </w:pPr>
      <w:r>
        <w:t>a</w:t>
      </w:r>
      <w:r w:rsidR="00D63593" w:rsidRPr="00282C16">
        <w:t xml:space="preserve"> summary of the reasons for deciding on the </w:t>
      </w:r>
      <w:r w:rsidR="00FA0B73">
        <w:t xml:space="preserve">proposed </w:t>
      </w:r>
      <w:r w:rsidR="00D63593">
        <w:t xml:space="preserve">amendments </w:t>
      </w:r>
      <w:r w:rsidR="00D63593" w:rsidRPr="00282C16">
        <w:t>to NES-F regulations</w:t>
      </w:r>
      <w:r w:rsidR="00C4050B">
        <w:t>; and</w:t>
      </w:r>
    </w:p>
    <w:p w14:paraId="02C8475A" w14:textId="6449930B" w:rsidR="00D63593" w:rsidRPr="00D46EEF" w:rsidRDefault="003306DA" w:rsidP="00E810E1">
      <w:pPr>
        <w:pStyle w:val="Bullet"/>
      </w:pPr>
      <w:r>
        <w:t>a</w:t>
      </w:r>
      <w:r w:rsidR="00D63593" w:rsidRPr="00D46EEF">
        <w:t xml:space="preserve">n assessment of benefits and costs of the effects that are anticipated from the </w:t>
      </w:r>
      <w:r w:rsidR="00FA0B73">
        <w:t xml:space="preserve">proposed </w:t>
      </w:r>
      <w:r w:rsidR="00D63593">
        <w:t xml:space="preserve">amendments </w:t>
      </w:r>
      <w:r w:rsidR="00D63593" w:rsidRPr="00D46EEF">
        <w:t>to the NES-F.</w:t>
      </w:r>
    </w:p>
    <w:p w14:paraId="714CFA5E" w14:textId="77777777" w:rsidR="00273F20" w:rsidRDefault="00273F20" w:rsidP="00273F20">
      <w:pPr>
        <w:pStyle w:val="Heading2"/>
      </w:pPr>
      <w:bookmarkStart w:id="10" w:name="_Toc99614844"/>
      <w:r>
        <w:t>Scale and significance of the proposal</w:t>
      </w:r>
      <w:bookmarkEnd w:id="10"/>
    </w:p>
    <w:p w14:paraId="20072208" w14:textId="69F5B49C" w:rsidR="005968C0" w:rsidRDefault="00273F20" w:rsidP="00273F20">
      <w:pPr>
        <w:pStyle w:val="BodyText"/>
      </w:pPr>
      <w:r w:rsidRPr="004B6911">
        <w:t>Section 32(1)(c) of the RMA states that the evaluation must contain a level of detail that corresponds to the scale and significance of the effects that are anticipated from the implementation of the</w:t>
      </w:r>
      <w:r w:rsidR="00385774">
        <w:t xml:space="preserve"> proposed</w:t>
      </w:r>
      <w:r w:rsidRPr="004B6911">
        <w:t xml:space="preserve"> </w:t>
      </w:r>
      <w:r>
        <w:t>amendments to the IWG regulations</w:t>
      </w:r>
      <w:r w:rsidRPr="004B6911">
        <w:t>.</w:t>
      </w:r>
    </w:p>
    <w:p w14:paraId="2D93BF7C" w14:textId="569C20A9" w:rsidR="00537586" w:rsidRDefault="00273F20" w:rsidP="00886AB2">
      <w:pPr>
        <w:pStyle w:val="BodyText"/>
      </w:pPr>
      <w:r>
        <w:t xml:space="preserve">The </w:t>
      </w:r>
      <w:r w:rsidR="00385774">
        <w:t xml:space="preserve">proposed </w:t>
      </w:r>
      <w:r>
        <w:t xml:space="preserve">amendments to the existing NES-F regulations are technical amendments related to IWG only. This report should be read in conjunction with the </w:t>
      </w:r>
      <w:hyperlink r:id="rId32" w:history="1">
        <w:r w:rsidRPr="00303F1D">
          <w:rPr>
            <w:rStyle w:val="Hyperlink"/>
          </w:rPr>
          <w:t>2020 section 32 report</w:t>
        </w:r>
      </w:hyperlink>
      <w:r>
        <w:t xml:space="preserve"> on the NPS-FM 2020 and NES-F.</w:t>
      </w:r>
      <w:r w:rsidR="005968C0">
        <w:t xml:space="preserve"> This report</w:t>
      </w:r>
      <w:r w:rsidR="00D63593">
        <w:t xml:space="preserve"> provides the rationale for the </w:t>
      </w:r>
      <w:r w:rsidR="00385774">
        <w:t xml:space="preserve">proposed </w:t>
      </w:r>
      <w:r w:rsidR="00D63593">
        <w:t xml:space="preserve">amendments to the NES-F and evaluates the likely impacts, benefits, and costs of the proposals. It draws on the available relevant policy papers, reports, submission feedback and supporting evidence </w:t>
      </w:r>
      <w:r w:rsidR="00D63593" w:rsidRPr="001E26EE">
        <w:t xml:space="preserve">(refer to </w:t>
      </w:r>
      <w:hyperlink w:anchor="_Evaluation_of_the" w:history="1">
        <w:r w:rsidR="001F1B3C" w:rsidRPr="001F1B3C">
          <w:rPr>
            <w:rStyle w:val="Hyperlink"/>
          </w:rPr>
          <w:t xml:space="preserve">Evaluation of the </w:t>
        </w:r>
        <w:r w:rsidR="00385774">
          <w:rPr>
            <w:rStyle w:val="Hyperlink"/>
          </w:rPr>
          <w:t xml:space="preserve">proposed </w:t>
        </w:r>
        <w:r w:rsidR="001F1B3C" w:rsidRPr="001F1B3C">
          <w:rPr>
            <w:rStyle w:val="Hyperlink"/>
          </w:rPr>
          <w:t>amendments</w:t>
        </w:r>
      </w:hyperlink>
      <w:r w:rsidR="00D63593">
        <w:t>).</w:t>
      </w:r>
    </w:p>
    <w:p w14:paraId="0D33746F" w14:textId="5B45AC16" w:rsidR="00E810E1" w:rsidRDefault="00E810E1" w:rsidP="00E810E1">
      <w:pPr>
        <w:pStyle w:val="Heading2"/>
      </w:pPr>
      <w:bookmarkStart w:id="11" w:name="_Toc99614845"/>
      <w:r>
        <w:t>Overview of the proposed amendments</w:t>
      </w:r>
      <w:bookmarkEnd w:id="11"/>
    </w:p>
    <w:p w14:paraId="0E47C96E" w14:textId="4623CDF5" w:rsidR="00737839" w:rsidRDefault="006A5C18" w:rsidP="00886AB2">
      <w:pPr>
        <w:pStyle w:val="BodyText"/>
      </w:pPr>
      <w:r>
        <w:t>Initial</w:t>
      </w:r>
      <w:r w:rsidR="0031243A">
        <w:t xml:space="preserve"> proposals to</w:t>
      </w:r>
      <w:r>
        <w:t xml:space="preserve"> amend</w:t>
      </w:r>
      <w:r w:rsidR="006C0E09">
        <w:t xml:space="preserve"> the IWG regulations </w:t>
      </w:r>
      <w:r>
        <w:t xml:space="preserve">were </w:t>
      </w:r>
      <w:r w:rsidR="006C0E09">
        <w:t xml:space="preserve">developed based on stakeholder feedback about implementation issues. These were set out </w:t>
      </w:r>
      <w:r>
        <w:t>in the discussion document</w:t>
      </w:r>
      <w:r w:rsidR="006C0E09">
        <w:t xml:space="preserve">, and the subject of </w:t>
      </w:r>
      <w:r>
        <w:t>public consultation</w:t>
      </w:r>
      <w:r w:rsidR="006C0E09">
        <w:t>. An</w:t>
      </w:r>
      <w:r>
        <w:t xml:space="preserve">alysis of the submissions received </w:t>
      </w:r>
      <w:r w:rsidR="006C0E09">
        <w:t xml:space="preserve">then </w:t>
      </w:r>
      <w:r w:rsidR="00664F90">
        <w:t>resulted in revised amendments. These were the subject of an exposure draft process</w:t>
      </w:r>
      <w:r w:rsidR="006C0E09">
        <w:t xml:space="preserve">, aimed at testing the </w:t>
      </w:r>
      <w:r w:rsidR="00C6077F">
        <w:t xml:space="preserve">specific </w:t>
      </w:r>
      <w:r w:rsidR="006C0E09">
        <w:t xml:space="preserve">drafting </w:t>
      </w:r>
      <w:r w:rsidR="00C6077F">
        <w:t>to ensure the policy objectives were met and there were no unintended consequences. Th</w:t>
      </w:r>
      <w:r w:rsidR="0054304D">
        <w:t xml:space="preserve">is is all set out in the </w:t>
      </w:r>
      <w:hyperlink r:id="rId33" w:history="1">
        <w:r w:rsidR="0054304D" w:rsidRPr="000D1868">
          <w:rPr>
            <w:rStyle w:val="Hyperlink"/>
          </w:rPr>
          <w:t>Report and Recommendations on intensive winter grazing amendments</w:t>
        </w:r>
      </w:hyperlink>
      <w:r w:rsidR="0054304D" w:rsidRPr="000D1868">
        <w:t>.</w:t>
      </w:r>
      <w:r w:rsidR="0054304D">
        <w:t xml:space="preserve"> </w:t>
      </w:r>
      <w:r w:rsidR="00FC1C55">
        <w:t>F</w:t>
      </w:r>
      <w:r w:rsidR="0054304D">
        <w:t>inal proposed amendments</w:t>
      </w:r>
      <w:r w:rsidR="00FC1C55">
        <w:t xml:space="preserve"> </w:t>
      </w:r>
      <w:r w:rsidR="0054304D">
        <w:t>are set out here in Table 1.</w:t>
      </w:r>
    </w:p>
    <w:p w14:paraId="1B948EF3" w14:textId="54A42F28" w:rsidR="007937F4" w:rsidRDefault="007937F4" w:rsidP="007937F4">
      <w:pPr>
        <w:pStyle w:val="Tableheading"/>
      </w:pPr>
      <w:bookmarkStart w:id="12" w:name="_Toc99614855"/>
      <w:r w:rsidRPr="006B77BB">
        <w:t xml:space="preserve">Table </w:t>
      </w:r>
      <w:r w:rsidR="006E2B6D">
        <w:t>1</w:t>
      </w:r>
      <w:r w:rsidRPr="006B77BB">
        <w:t>:</w:t>
      </w:r>
      <w:r w:rsidRPr="006B77BB">
        <w:tab/>
      </w:r>
      <w:r w:rsidR="00440BE4" w:rsidRPr="005A63E8">
        <w:t xml:space="preserve">Proposed </w:t>
      </w:r>
      <w:r w:rsidR="00B94640">
        <w:t>a</w:t>
      </w:r>
      <w:r w:rsidR="00B94640" w:rsidRPr="005A63E8">
        <w:t>mendments</w:t>
      </w:r>
      <w:bookmarkEnd w:id="12"/>
    </w:p>
    <w:tbl>
      <w:tblPr>
        <w:tblStyle w:val="MinistryfortheEnvironment"/>
        <w:tblW w:w="8505" w:type="dxa"/>
        <w:tblInd w:w="113" w:type="dxa"/>
        <w:tblBorders>
          <w:top w:val="single" w:sz="4" w:space="0" w:color="1B556B"/>
          <w:bottom w:val="single" w:sz="4" w:space="0" w:color="1B556B"/>
          <w:insideH w:val="single" w:sz="4" w:space="0" w:color="1B556B"/>
          <w:insideV w:val="single" w:sz="4" w:space="0" w:color="1B556B"/>
        </w:tblBorders>
        <w:tblCellMar>
          <w:bottom w:w="0" w:type="dxa"/>
        </w:tblCellMar>
        <w:tblLook w:val="04A0" w:firstRow="1" w:lastRow="0" w:firstColumn="1" w:lastColumn="0" w:noHBand="0" w:noVBand="1"/>
      </w:tblPr>
      <w:tblGrid>
        <w:gridCol w:w="1655"/>
        <w:gridCol w:w="6850"/>
      </w:tblGrid>
      <w:tr w:rsidR="00DC623E" w:rsidRPr="00736A7C" w14:paraId="263F7064" w14:textId="77777777" w:rsidTr="004E0B06">
        <w:trPr>
          <w:cnfStyle w:val="100000000000" w:firstRow="1" w:lastRow="0" w:firstColumn="0" w:lastColumn="0" w:oddVBand="0" w:evenVBand="0" w:oddHBand="0" w:evenHBand="0" w:firstRowFirstColumn="0" w:firstRowLastColumn="0" w:lastRowFirstColumn="0" w:lastRowLastColumn="0"/>
          <w:tblHeader/>
        </w:trPr>
        <w:tc>
          <w:tcPr>
            <w:tcW w:w="973" w:type="pct"/>
            <w:shd w:val="clear" w:color="auto" w:fill="1B556B"/>
            <w:tcMar>
              <w:bottom w:w="0" w:type="dxa"/>
            </w:tcMar>
          </w:tcPr>
          <w:p w14:paraId="2364C98D" w14:textId="77777777" w:rsidR="00DC623E" w:rsidRPr="00736A7C" w:rsidRDefault="00DC623E" w:rsidP="004E0B06">
            <w:pPr>
              <w:pStyle w:val="TableTextbold"/>
              <w:keepNext/>
              <w:rPr>
                <w:b/>
                <w:bCs/>
              </w:rPr>
            </w:pPr>
            <w:r w:rsidRPr="00736A7C">
              <w:rPr>
                <w:b/>
                <w:bCs/>
              </w:rPr>
              <w:t>Default condition</w:t>
            </w:r>
          </w:p>
        </w:tc>
        <w:tc>
          <w:tcPr>
            <w:tcW w:w="4027" w:type="pct"/>
            <w:shd w:val="clear" w:color="auto" w:fill="1B556B"/>
            <w:tcMar>
              <w:bottom w:w="0" w:type="dxa"/>
            </w:tcMar>
          </w:tcPr>
          <w:p w14:paraId="6C94DF17" w14:textId="77777777" w:rsidR="00DC623E" w:rsidRPr="00736A7C" w:rsidRDefault="00DC623E" w:rsidP="004E0B06">
            <w:pPr>
              <w:pStyle w:val="TableTextbold"/>
              <w:keepNext/>
            </w:pPr>
            <w:r w:rsidRPr="00736A7C">
              <w:rPr>
                <w:b/>
              </w:rPr>
              <w:t>Recommendations</w:t>
            </w:r>
          </w:p>
        </w:tc>
      </w:tr>
      <w:tr w:rsidR="00DC623E" w:rsidRPr="00736A7C" w14:paraId="16728473" w14:textId="77777777" w:rsidTr="004E0B06">
        <w:tc>
          <w:tcPr>
            <w:tcW w:w="973" w:type="pct"/>
          </w:tcPr>
          <w:p w14:paraId="7F2EA26F" w14:textId="554DE337" w:rsidR="00DC623E" w:rsidRPr="00736A7C" w:rsidRDefault="00DC623E" w:rsidP="004E0B06">
            <w:pPr>
              <w:pStyle w:val="TableText"/>
              <w:keepNext/>
            </w:pPr>
            <w:r w:rsidRPr="00736A7C">
              <w:t>Area</w:t>
            </w:r>
            <w:r w:rsidRPr="00736A7C">
              <w:br/>
              <w:t>(reg 26(4)(a))</w:t>
            </w:r>
          </w:p>
        </w:tc>
        <w:tc>
          <w:tcPr>
            <w:tcW w:w="4027" w:type="pct"/>
          </w:tcPr>
          <w:p w14:paraId="3B1A7556" w14:textId="77777777" w:rsidR="00DC623E" w:rsidRPr="00736A7C" w:rsidRDefault="00DC623E" w:rsidP="004E0B06">
            <w:pPr>
              <w:pStyle w:val="TableText"/>
              <w:rPr>
                <w:i/>
              </w:rPr>
            </w:pPr>
            <w:r w:rsidRPr="00736A7C">
              <w:t xml:space="preserve">Make no change: retain the area limit as 50 hectares or 10 per cent of the farm, whichever is greater. </w:t>
            </w:r>
            <w:r w:rsidRPr="00002667">
              <w:rPr>
                <w:u w:val="single"/>
              </w:rPr>
              <w:t>(Preferred)</w:t>
            </w:r>
          </w:p>
          <w:p w14:paraId="01142536" w14:textId="77777777" w:rsidR="00DC623E" w:rsidRPr="00736A7C" w:rsidRDefault="00DC623E" w:rsidP="004E0B06">
            <w:pPr>
              <w:pStyle w:val="TableText"/>
            </w:pPr>
            <w:r w:rsidRPr="00736A7C">
              <w:t>Preferred option because:</w:t>
            </w:r>
          </w:p>
          <w:p w14:paraId="7CE4283C" w14:textId="77777777" w:rsidR="00DC623E" w:rsidRPr="00736A7C" w:rsidRDefault="00DC623E" w:rsidP="004E0B06">
            <w:pPr>
              <w:pStyle w:val="TableBullet"/>
            </w:pPr>
            <w:r w:rsidRPr="00736A7C">
              <w:t>managing extent is an important tool for managing adverse effects</w:t>
            </w:r>
          </w:p>
          <w:p w14:paraId="57E878A9" w14:textId="77777777" w:rsidR="00DC623E" w:rsidRPr="00736A7C" w:rsidRDefault="00DC623E" w:rsidP="004E0B06">
            <w:pPr>
              <w:pStyle w:val="TableBullet"/>
            </w:pPr>
            <w:r w:rsidRPr="00736A7C">
              <w:t>of the ability to increase the area beyond the area limit, subject to a resource consent or FW-FP conditions</w:t>
            </w:r>
          </w:p>
          <w:p w14:paraId="0C69E24F" w14:textId="77777777" w:rsidR="00DC623E" w:rsidRPr="00736A7C" w:rsidRDefault="00DC623E" w:rsidP="004E0B06">
            <w:pPr>
              <w:pStyle w:val="TableBullet"/>
            </w:pPr>
            <w:r w:rsidRPr="00736A7C">
              <w:t>it will be clarified that the area to be calculated is only the area in IWG.</w:t>
            </w:r>
          </w:p>
          <w:p w14:paraId="551BAE4A" w14:textId="77777777" w:rsidR="00DC623E" w:rsidRPr="00736A7C" w:rsidRDefault="00DC623E" w:rsidP="004E0B06">
            <w:pPr>
              <w:pStyle w:val="TableText"/>
              <w:spacing w:after="0"/>
              <w:rPr>
                <w:b/>
                <w:bCs/>
              </w:rPr>
            </w:pPr>
            <w:r w:rsidRPr="00736A7C">
              <w:rPr>
                <w:b/>
                <w:bCs/>
              </w:rPr>
              <w:t>AND</w:t>
            </w:r>
          </w:p>
          <w:p w14:paraId="21FA3290" w14:textId="77777777" w:rsidR="00DC623E" w:rsidRPr="00736A7C" w:rsidRDefault="00DC623E" w:rsidP="004E0B06">
            <w:pPr>
              <w:pStyle w:val="TableText"/>
            </w:pPr>
            <w:r w:rsidRPr="00736A7C">
              <w:t>Develop clear guidance material to clarify how the total area is calculated (ie, the total area used for IWG (cultivated and grazed) in that year).</w:t>
            </w:r>
          </w:p>
        </w:tc>
      </w:tr>
      <w:tr w:rsidR="00DC623E" w:rsidRPr="00736A7C" w14:paraId="55C42F4B" w14:textId="77777777" w:rsidTr="004E0B06">
        <w:tc>
          <w:tcPr>
            <w:tcW w:w="973" w:type="pct"/>
          </w:tcPr>
          <w:p w14:paraId="0DE50541" w14:textId="6837EDFB" w:rsidR="00DC623E" w:rsidRPr="00736A7C" w:rsidRDefault="00DC623E" w:rsidP="004E0B06">
            <w:pPr>
              <w:pStyle w:val="TableText"/>
            </w:pPr>
            <w:r w:rsidRPr="00736A7C">
              <w:t>Slope</w:t>
            </w:r>
            <w:r w:rsidRPr="00736A7C">
              <w:br/>
              <w:t>(reg 26(4)(b))</w:t>
            </w:r>
          </w:p>
        </w:tc>
        <w:tc>
          <w:tcPr>
            <w:tcW w:w="4027" w:type="pct"/>
          </w:tcPr>
          <w:p w14:paraId="26074709" w14:textId="77777777" w:rsidR="00DC623E" w:rsidRPr="00736A7C" w:rsidRDefault="00DC623E" w:rsidP="004E0B06">
            <w:pPr>
              <w:pStyle w:val="TableText"/>
            </w:pPr>
            <w:r w:rsidRPr="00736A7C">
              <w:t xml:space="preserve">Amend to measure slope as a </w:t>
            </w:r>
            <w:r w:rsidRPr="00736A7C">
              <w:rPr>
                <w:i/>
                <w:iCs/>
              </w:rPr>
              <w:t>maximum</w:t>
            </w:r>
            <w:r>
              <w:t xml:space="preserve"> threshold</w:t>
            </w:r>
            <w:r w:rsidRPr="00736A7C">
              <w:t xml:space="preserve"> (rather than </w:t>
            </w:r>
            <w:r>
              <w:t xml:space="preserve">measuring </w:t>
            </w:r>
            <w:r w:rsidRPr="00736A7C">
              <w:t>a</w:t>
            </w:r>
            <w:r>
              <w:t>s</w:t>
            </w:r>
            <w:r w:rsidRPr="00736A7C">
              <w:t xml:space="preserve"> </w:t>
            </w:r>
            <w:r w:rsidRPr="00736A7C">
              <w:rPr>
                <w:i/>
                <w:iCs/>
              </w:rPr>
              <w:t xml:space="preserve">mean </w:t>
            </w:r>
            <w:r>
              <w:rPr>
                <w:i/>
                <w:iCs/>
              </w:rPr>
              <w:t xml:space="preserve">slope at </w:t>
            </w:r>
            <w:r w:rsidRPr="00736A7C">
              <w:rPr>
                <w:i/>
                <w:iCs/>
              </w:rPr>
              <w:t>the paddock</w:t>
            </w:r>
            <w:r>
              <w:rPr>
                <w:i/>
                <w:iCs/>
              </w:rPr>
              <w:t xml:space="preserve"> scale</w:t>
            </w:r>
            <w:r w:rsidRPr="00736A7C">
              <w:t>), and clarify that this slope threshold only applies to the area of land being used for IWG (</w:t>
            </w:r>
            <w:r>
              <w:t xml:space="preserve">ie, </w:t>
            </w:r>
            <w:r w:rsidRPr="00736A7C">
              <w:t>cultivated and grazed).</w:t>
            </w:r>
          </w:p>
          <w:p w14:paraId="003CF57F" w14:textId="77777777" w:rsidR="00DC623E" w:rsidRPr="00736A7C" w:rsidRDefault="00DC623E" w:rsidP="004E0B06">
            <w:pPr>
              <w:pStyle w:val="TableText"/>
              <w:spacing w:after="0"/>
              <w:rPr>
                <w:b/>
                <w:bCs/>
              </w:rPr>
            </w:pPr>
            <w:r w:rsidRPr="00736A7C">
              <w:rPr>
                <w:b/>
                <w:bCs/>
              </w:rPr>
              <w:t>AND</w:t>
            </w:r>
          </w:p>
          <w:p w14:paraId="3DA2B8B7" w14:textId="77777777" w:rsidR="00DC623E" w:rsidRPr="00736A7C" w:rsidRDefault="00DC623E" w:rsidP="004E0B06">
            <w:pPr>
              <w:pStyle w:val="TableText"/>
            </w:pPr>
            <w:r w:rsidRPr="00736A7C">
              <w:t>Specify that slope is measured as the slope across any 20-metre distance.</w:t>
            </w:r>
          </w:p>
          <w:p w14:paraId="26952B6F" w14:textId="77777777" w:rsidR="00DC623E" w:rsidRPr="00736A7C" w:rsidRDefault="00DC623E" w:rsidP="004E0B06">
            <w:pPr>
              <w:pStyle w:val="TableText"/>
              <w:spacing w:after="0"/>
              <w:rPr>
                <w:b/>
                <w:bCs/>
              </w:rPr>
            </w:pPr>
            <w:r w:rsidRPr="00736A7C">
              <w:rPr>
                <w:b/>
                <w:bCs/>
              </w:rPr>
              <w:t>AND</w:t>
            </w:r>
          </w:p>
          <w:p w14:paraId="43B01937" w14:textId="77777777" w:rsidR="00DC623E" w:rsidRPr="00736A7C" w:rsidRDefault="00DC623E" w:rsidP="004E0B06">
            <w:pPr>
              <w:pStyle w:val="TableText"/>
            </w:pPr>
            <w:r w:rsidRPr="00736A7C">
              <w:t>Retain the slope threshold of 10 degrees.</w:t>
            </w:r>
          </w:p>
        </w:tc>
      </w:tr>
      <w:tr w:rsidR="00DC623E" w:rsidRPr="00736A7C" w14:paraId="6F2CCDD9" w14:textId="77777777" w:rsidTr="004E0B06">
        <w:tc>
          <w:tcPr>
            <w:tcW w:w="973" w:type="pct"/>
          </w:tcPr>
          <w:p w14:paraId="43B46E26" w14:textId="79E729B8" w:rsidR="00DC623E" w:rsidRPr="00736A7C" w:rsidRDefault="00DC623E" w:rsidP="004E0B06">
            <w:pPr>
              <w:pStyle w:val="TableText"/>
            </w:pPr>
            <w:r w:rsidRPr="00736A7C">
              <w:t>Pugging</w:t>
            </w:r>
            <w:r w:rsidRPr="00736A7C">
              <w:br/>
              <w:t>(reg 26(4)(c))</w:t>
            </w:r>
          </w:p>
        </w:tc>
        <w:tc>
          <w:tcPr>
            <w:tcW w:w="4027" w:type="pct"/>
          </w:tcPr>
          <w:p w14:paraId="7BF28264" w14:textId="77777777" w:rsidR="00DC623E" w:rsidRPr="00002667" w:rsidRDefault="00DC623E" w:rsidP="004E0B06">
            <w:pPr>
              <w:pStyle w:val="TableText"/>
            </w:pPr>
            <w:r w:rsidRPr="00002667">
              <w:t>Remove the pugging condition prescribing set restrictions on depth and area, and instead manage pugging through a stand-alone duty that requires farmers to take all reasonably practicable steps to minimise the effects on freshwater of any pugging that occurs on that land; and make any consequential amendments required to ensure this works together with the FW-FP pathway.</w:t>
            </w:r>
          </w:p>
          <w:p w14:paraId="21812752" w14:textId="77777777" w:rsidR="00DC623E" w:rsidRPr="00736A7C" w:rsidRDefault="00DC623E" w:rsidP="004E0B06">
            <w:pPr>
              <w:pStyle w:val="TableText"/>
              <w:spacing w:after="0"/>
              <w:rPr>
                <w:b/>
                <w:bCs/>
              </w:rPr>
            </w:pPr>
            <w:r w:rsidRPr="00736A7C">
              <w:rPr>
                <w:b/>
                <w:bCs/>
              </w:rPr>
              <w:t>AND</w:t>
            </w:r>
          </w:p>
          <w:p w14:paraId="72CE4B54" w14:textId="77777777" w:rsidR="00DC623E" w:rsidRPr="00736A7C" w:rsidRDefault="00DC623E" w:rsidP="004E0B06">
            <w:pPr>
              <w:pStyle w:val="TableText"/>
            </w:pPr>
            <w:r w:rsidRPr="00736A7C">
              <w:t xml:space="preserve">Develop clear guidance material with relevant stakeholders </w:t>
            </w:r>
            <w:r w:rsidRPr="00620E1D">
              <w:t xml:space="preserve">to ensure effective implementation of the pugging </w:t>
            </w:r>
            <w:r w:rsidRPr="00002667">
              <w:t>stand-alone duty</w:t>
            </w:r>
            <w:r w:rsidRPr="00620E1D">
              <w:t xml:space="preserve"> and</w:t>
            </w:r>
            <w:r w:rsidRPr="00736A7C">
              <w:t xml:space="preserve"> ensure farmers and councils have a shared understanding of what practicable steps are.</w:t>
            </w:r>
          </w:p>
        </w:tc>
      </w:tr>
      <w:tr w:rsidR="00DC623E" w:rsidRPr="00736A7C" w14:paraId="395BF42E" w14:textId="77777777" w:rsidTr="004E0B06">
        <w:tc>
          <w:tcPr>
            <w:tcW w:w="973" w:type="pct"/>
          </w:tcPr>
          <w:p w14:paraId="0B3D83A5" w14:textId="11338F22" w:rsidR="00DC623E" w:rsidRPr="00736A7C" w:rsidRDefault="00DC623E" w:rsidP="004E0B06">
            <w:pPr>
              <w:pStyle w:val="TableText"/>
            </w:pPr>
            <w:r w:rsidRPr="00736A7C">
              <w:t>Buffer zones and subsurface drains</w:t>
            </w:r>
            <w:r w:rsidRPr="00736A7C">
              <w:br/>
              <w:t>(reg 26(4)(d))</w:t>
            </w:r>
          </w:p>
        </w:tc>
        <w:tc>
          <w:tcPr>
            <w:tcW w:w="4027" w:type="pct"/>
          </w:tcPr>
          <w:p w14:paraId="51EFF68E" w14:textId="77777777" w:rsidR="00DC623E" w:rsidRPr="00736A7C" w:rsidRDefault="00DC623E" w:rsidP="004E0B06">
            <w:pPr>
              <w:pStyle w:val="TableText"/>
            </w:pPr>
            <w:r w:rsidRPr="00736A7C">
              <w:t>Amend the definition of ‘drains’ to exclude subsurface drains in relation to the IWG regulations.</w:t>
            </w:r>
          </w:p>
          <w:p w14:paraId="7DD28677" w14:textId="77777777" w:rsidR="00DC623E" w:rsidRPr="00736A7C" w:rsidRDefault="00DC623E" w:rsidP="004E0B06">
            <w:pPr>
              <w:pStyle w:val="TableText"/>
              <w:spacing w:after="0"/>
              <w:rPr>
                <w:b/>
                <w:bCs/>
              </w:rPr>
            </w:pPr>
            <w:r w:rsidRPr="00736A7C">
              <w:rPr>
                <w:b/>
                <w:bCs/>
              </w:rPr>
              <w:t>AND</w:t>
            </w:r>
          </w:p>
          <w:p w14:paraId="107D7E1E" w14:textId="77777777" w:rsidR="00DC623E" w:rsidRPr="00736A7C" w:rsidRDefault="00DC623E" w:rsidP="004E0B06">
            <w:pPr>
              <w:pStyle w:val="TableText"/>
            </w:pPr>
            <w:r w:rsidRPr="00736A7C">
              <w:t>Note that we also recommend excluding subsurface drains from the definition of ‘critical source areas’. (</w:t>
            </w:r>
            <w:r w:rsidRPr="00270662">
              <w:t xml:space="preserve">See </w:t>
            </w:r>
            <w:r w:rsidRPr="00002667">
              <w:t>Critical source areas</w:t>
            </w:r>
            <w:r w:rsidRPr="00270662">
              <w:t>.)</w:t>
            </w:r>
          </w:p>
        </w:tc>
      </w:tr>
      <w:tr w:rsidR="00DC623E" w:rsidRPr="00736A7C" w14:paraId="1CF240F9" w14:textId="77777777" w:rsidTr="004E0B06">
        <w:tc>
          <w:tcPr>
            <w:tcW w:w="973" w:type="pct"/>
          </w:tcPr>
          <w:p w14:paraId="55A2465F" w14:textId="7E2DD1AB" w:rsidR="00DC623E" w:rsidRPr="00736A7C" w:rsidRDefault="00DC623E" w:rsidP="004E0B06">
            <w:pPr>
              <w:pStyle w:val="TableText"/>
              <w:keepNext/>
            </w:pPr>
            <w:r w:rsidRPr="00736A7C">
              <w:t>Resow</w:t>
            </w:r>
            <w:r w:rsidRPr="00736A7C">
              <w:br/>
              <w:t>(reg 26(4)(e))</w:t>
            </w:r>
          </w:p>
        </w:tc>
        <w:tc>
          <w:tcPr>
            <w:tcW w:w="4027" w:type="pct"/>
          </w:tcPr>
          <w:p w14:paraId="4D728A1F" w14:textId="77777777" w:rsidR="00DC623E" w:rsidRPr="00002667" w:rsidRDefault="00DC623E" w:rsidP="004E0B06">
            <w:pPr>
              <w:pStyle w:val="TableText"/>
            </w:pPr>
            <w:r w:rsidRPr="00002667">
              <w:t>Remove the resow condition requiring farmers to resow by a prescribed date, and instead manage replanting through a stand-alone duty that requires farmers to</w:t>
            </w:r>
            <w:r w:rsidRPr="00002667">
              <w:rPr>
                <w:rFonts w:asciiTheme="minorHAnsi" w:eastAsia="TimesNewRomanPSMT" w:hAnsiTheme="minorHAnsi" w:cstheme="minorHAnsi"/>
                <w:szCs w:val="24"/>
                <w:lang w:eastAsia="en-US"/>
              </w:rPr>
              <w:t xml:space="preserve"> ensure vegetation is established as ground cover over the whole area of that land (used for IWG) as soon as practicable after livestock have finished grazing the land</w:t>
            </w:r>
            <w:r w:rsidRPr="00002667">
              <w:t xml:space="preserve">; and make any consequential amendments required to ensure this works together with the FW-FP pathway. </w:t>
            </w:r>
          </w:p>
          <w:p w14:paraId="3E299869" w14:textId="77777777" w:rsidR="00DC623E" w:rsidRPr="00270662" w:rsidRDefault="00DC623E" w:rsidP="004E0B06">
            <w:pPr>
              <w:pStyle w:val="TableText"/>
              <w:spacing w:after="0"/>
              <w:rPr>
                <w:b/>
                <w:bCs/>
              </w:rPr>
            </w:pPr>
            <w:r w:rsidRPr="00270662">
              <w:rPr>
                <w:b/>
                <w:bCs/>
              </w:rPr>
              <w:t>AND</w:t>
            </w:r>
          </w:p>
          <w:p w14:paraId="5CC8C31E" w14:textId="77777777" w:rsidR="00DC623E" w:rsidRPr="00736A7C" w:rsidRDefault="00DC623E" w:rsidP="004E0B06">
            <w:pPr>
              <w:pStyle w:val="TableText"/>
            </w:pPr>
            <w:r w:rsidRPr="00270662">
              <w:t xml:space="preserve">Develop clear guidance material with relevant stakeholders to ensure the effective implementation of this </w:t>
            </w:r>
            <w:r w:rsidRPr="00002667">
              <w:t>stand-alone duty and</w:t>
            </w:r>
            <w:r w:rsidRPr="00736A7C">
              <w:t xml:space="preserve"> to give more clarity as to what steps could demonstrate that farmers are resowing as soon as practicable.</w:t>
            </w:r>
          </w:p>
        </w:tc>
      </w:tr>
      <w:tr w:rsidR="00DC623E" w:rsidRPr="00736A7C" w14:paraId="59D097A8" w14:textId="77777777" w:rsidTr="004E0B06">
        <w:tc>
          <w:tcPr>
            <w:tcW w:w="973" w:type="pct"/>
          </w:tcPr>
          <w:p w14:paraId="3F80B41F" w14:textId="0A128C14" w:rsidR="00DC623E" w:rsidRPr="00DC623E" w:rsidRDefault="00DC623E" w:rsidP="004E0B06">
            <w:pPr>
              <w:pStyle w:val="TableText"/>
            </w:pPr>
            <w:r w:rsidRPr="00736A7C">
              <w:t>Critical source areas (CSAs)</w:t>
            </w:r>
            <w:r w:rsidRPr="00736A7C">
              <w:br/>
              <w:t>(new condition)</w:t>
            </w:r>
          </w:p>
        </w:tc>
        <w:tc>
          <w:tcPr>
            <w:tcW w:w="4027" w:type="pct"/>
          </w:tcPr>
          <w:p w14:paraId="478AE0ED" w14:textId="77777777" w:rsidR="00DC623E" w:rsidRPr="00736A7C" w:rsidRDefault="00DC623E" w:rsidP="004E0B06">
            <w:pPr>
              <w:pStyle w:val="TableText"/>
            </w:pPr>
            <w:r w:rsidRPr="00736A7C">
              <w:t>Include a new condition requiring that CSAs must be protected (uncultivated and ungrazed) during the period that IWG can take place (only) (ie, 1 May to 30 September each year), and that ground cover (other than annual forage crops) be maintained throughout that period.</w:t>
            </w:r>
          </w:p>
          <w:p w14:paraId="35E3D1DE" w14:textId="77777777" w:rsidR="00DC623E" w:rsidRPr="00736A7C" w:rsidRDefault="00DC623E" w:rsidP="004E0B06">
            <w:pPr>
              <w:pStyle w:val="TableText"/>
              <w:spacing w:after="0"/>
              <w:rPr>
                <w:b/>
                <w:bCs/>
              </w:rPr>
            </w:pPr>
            <w:r w:rsidRPr="00736A7C">
              <w:rPr>
                <w:b/>
                <w:bCs/>
              </w:rPr>
              <w:t>AND</w:t>
            </w:r>
          </w:p>
          <w:p w14:paraId="7FF70F75" w14:textId="77777777" w:rsidR="00DC623E" w:rsidRPr="00736A7C" w:rsidRDefault="00DC623E" w:rsidP="004E0B06">
            <w:pPr>
              <w:pStyle w:val="TableText"/>
            </w:pPr>
            <w:r w:rsidRPr="00736A7C">
              <w:t>Define CSAs, using a definition which:</w:t>
            </w:r>
          </w:p>
          <w:p w14:paraId="4418E53A" w14:textId="77777777" w:rsidR="00DC623E" w:rsidRPr="00736A7C" w:rsidRDefault="00DC623E" w:rsidP="004E0B06">
            <w:pPr>
              <w:pStyle w:val="TableBullet"/>
            </w:pPr>
            <w:r w:rsidRPr="00736A7C">
              <w:t>includes a connection to a waterbody</w:t>
            </w:r>
          </w:p>
          <w:p w14:paraId="0A1EC74D" w14:textId="77777777" w:rsidR="00DC623E" w:rsidRPr="00736A7C" w:rsidRDefault="00DC623E" w:rsidP="004E0B06">
            <w:pPr>
              <w:pStyle w:val="TableBullet"/>
            </w:pPr>
            <w:r w:rsidRPr="00736A7C">
              <w:t>excludes subsurface drains</w:t>
            </w:r>
          </w:p>
        </w:tc>
      </w:tr>
      <w:tr w:rsidR="00DC623E" w:rsidRPr="00736A7C" w14:paraId="2BE4C17E" w14:textId="77777777" w:rsidTr="004E0B06">
        <w:tc>
          <w:tcPr>
            <w:tcW w:w="973" w:type="pct"/>
          </w:tcPr>
          <w:p w14:paraId="3256FB32" w14:textId="77777777" w:rsidR="00DC623E" w:rsidRDefault="00DC623E" w:rsidP="004E0B06">
            <w:pPr>
              <w:pStyle w:val="TableText"/>
            </w:pPr>
            <w:r w:rsidRPr="00736A7C">
              <w:t>Definitions</w:t>
            </w:r>
          </w:p>
          <w:p w14:paraId="4DEF8DF9" w14:textId="0C2BB22E" w:rsidR="00DC623E" w:rsidRPr="00736A7C" w:rsidRDefault="00DC623E" w:rsidP="004E0B06">
            <w:pPr>
              <w:pStyle w:val="TableText"/>
              <w:rPr>
                <w:highlight w:val="yellow"/>
              </w:rPr>
            </w:pPr>
          </w:p>
        </w:tc>
        <w:tc>
          <w:tcPr>
            <w:tcW w:w="4027" w:type="pct"/>
          </w:tcPr>
          <w:p w14:paraId="7A265701" w14:textId="77777777" w:rsidR="00DC623E" w:rsidRPr="00736A7C" w:rsidRDefault="00DC623E" w:rsidP="004E0B06">
            <w:pPr>
              <w:pStyle w:val="TableText"/>
            </w:pPr>
            <w:r w:rsidRPr="00736A7C">
              <w:t>Amend the definition of ‘annual forage crop’ to avoid capturing crops that are not intended to be included.</w:t>
            </w:r>
          </w:p>
        </w:tc>
      </w:tr>
      <w:tr w:rsidR="00DC623E" w:rsidRPr="00736A7C" w14:paraId="3A500CB9" w14:textId="77777777" w:rsidTr="004E0B06">
        <w:tc>
          <w:tcPr>
            <w:tcW w:w="973" w:type="pct"/>
          </w:tcPr>
          <w:p w14:paraId="0146EA94" w14:textId="31C20CDB" w:rsidR="00DC623E" w:rsidRPr="00736A7C" w:rsidRDefault="00DC623E" w:rsidP="004E0B06">
            <w:pPr>
              <w:pStyle w:val="TableText"/>
            </w:pPr>
            <w:r w:rsidRPr="00736A7C">
              <w:t>Deferral</w:t>
            </w:r>
          </w:p>
        </w:tc>
        <w:tc>
          <w:tcPr>
            <w:tcW w:w="4027" w:type="pct"/>
          </w:tcPr>
          <w:p w14:paraId="18A1CF04" w14:textId="77777777" w:rsidR="00DC623E" w:rsidRPr="00736A7C" w:rsidRDefault="00DC623E" w:rsidP="004E0B06">
            <w:pPr>
              <w:pStyle w:val="TableText"/>
            </w:pPr>
            <w:r w:rsidRPr="00736A7C">
              <w:t>Defer the regulations, to come into effect on 1 November 2022 instead of 1 May 2022.</w:t>
            </w:r>
          </w:p>
          <w:p w14:paraId="128F8D1D" w14:textId="77777777" w:rsidR="00DC623E" w:rsidRPr="00736A7C" w:rsidRDefault="00DC623E" w:rsidP="004E0B06">
            <w:pPr>
              <w:pStyle w:val="TableText"/>
              <w:spacing w:after="0"/>
              <w:rPr>
                <w:b/>
                <w:bCs/>
              </w:rPr>
            </w:pPr>
            <w:r w:rsidRPr="00736A7C">
              <w:rPr>
                <w:b/>
                <w:bCs/>
              </w:rPr>
              <w:t>AND</w:t>
            </w:r>
          </w:p>
          <w:p w14:paraId="28254EE2" w14:textId="77777777" w:rsidR="00DC623E" w:rsidRPr="00736A7C" w:rsidRDefault="00DC623E" w:rsidP="004E0B06">
            <w:pPr>
              <w:pStyle w:val="TableText"/>
            </w:pPr>
            <w:r w:rsidRPr="00736A7C">
              <w:t>Clarify the relationship between IWG and temporary existing use rights, by amending the definition of ‘intensive winter grazing’ to clarify that it is a continuous, year-round activity with sowing, growing and grazing phases, while making any consequential changes necessary to avoid imposing additional controls on the non-grazing phases of the activity.</w:t>
            </w:r>
          </w:p>
        </w:tc>
      </w:tr>
    </w:tbl>
    <w:p w14:paraId="47FBD123" w14:textId="77777777" w:rsidR="00CE1726" w:rsidRDefault="00CE1726" w:rsidP="00CE1726"/>
    <w:p w14:paraId="7DB06599" w14:textId="77777777" w:rsidR="00CE1726" w:rsidRPr="00CE1726" w:rsidRDefault="00CE1726" w:rsidP="00DC623E"/>
    <w:p w14:paraId="08D4CEB7" w14:textId="111A9D4E" w:rsidR="00F97657" w:rsidRDefault="00F97657">
      <w:pPr>
        <w:spacing w:before="0" w:after="200" w:line="276" w:lineRule="auto"/>
        <w:jc w:val="left"/>
      </w:pPr>
      <w:r>
        <w:br w:type="page"/>
      </w:r>
    </w:p>
    <w:p w14:paraId="030A470D" w14:textId="07F53EF3" w:rsidR="00EF5BFC" w:rsidRDefault="00EF5BFC" w:rsidP="005C6BA8">
      <w:pPr>
        <w:pStyle w:val="Heading1"/>
        <w:rPr>
          <w:rStyle w:val="Heading1Char"/>
          <w:b/>
          <w:bCs/>
        </w:rPr>
      </w:pPr>
      <w:bookmarkStart w:id="13" w:name="_Statutory_and_policy"/>
      <w:bookmarkStart w:id="14" w:name="_Toc97117734"/>
      <w:bookmarkStart w:id="15" w:name="_Toc99614846"/>
      <w:bookmarkEnd w:id="13"/>
      <w:r>
        <w:rPr>
          <w:rStyle w:val="Heading1Char"/>
          <w:b/>
        </w:rPr>
        <w:t>S</w:t>
      </w:r>
      <w:r w:rsidRPr="00EF5BFC">
        <w:rPr>
          <w:rStyle w:val="Heading1Char"/>
          <w:b/>
        </w:rPr>
        <w:t>tatutory</w:t>
      </w:r>
      <w:r w:rsidRPr="00EF5BFC">
        <w:rPr>
          <w:rStyle w:val="Heading1Char"/>
        </w:rPr>
        <w:t xml:space="preserve"> </w:t>
      </w:r>
      <w:r w:rsidRPr="00EF5BFC">
        <w:rPr>
          <w:rStyle w:val="Heading1Char"/>
          <w:b/>
        </w:rPr>
        <w:t>and</w:t>
      </w:r>
      <w:r w:rsidRPr="00EF5BFC">
        <w:rPr>
          <w:rStyle w:val="Heading1Char"/>
        </w:rPr>
        <w:t xml:space="preserve"> </w:t>
      </w:r>
      <w:r w:rsidRPr="00EF5BFC">
        <w:rPr>
          <w:rStyle w:val="Heading1Char"/>
          <w:b/>
        </w:rPr>
        <w:t>policy</w:t>
      </w:r>
      <w:r w:rsidRPr="00EF5BFC">
        <w:rPr>
          <w:rStyle w:val="Heading1Char"/>
        </w:rPr>
        <w:t xml:space="preserve"> </w:t>
      </w:r>
      <w:r w:rsidRPr="00EF5BFC">
        <w:rPr>
          <w:rStyle w:val="Heading1Char"/>
          <w:b/>
        </w:rPr>
        <w:t>context</w:t>
      </w:r>
      <w:bookmarkEnd w:id="14"/>
      <w:bookmarkEnd w:id="15"/>
    </w:p>
    <w:p w14:paraId="3C546775" w14:textId="0A8805CA" w:rsidR="00EF5BFC" w:rsidRDefault="00EF5BFC" w:rsidP="005C6BA8">
      <w:pPr>
        <w:pStyle w:val="Heading2"/>
      </w:pPr>
      <w:bookmarkStart w:id="16" w:name="_Toc97117735"/>
      <w:bookmarkStart w:id="17" w:name="_Toc99614847"/>
      <w:r>
        <w:t>Part 2 of the RMA</w:t>
      </w:r>
      <w:bookmarkEnd w:id="16"/>
      <w:bookmarkEnd w:id="17"/>
      <w:r>
        <w:t xml:space="preserve"> </w:t>
      </w:r>
    </w:p>
    <w:p w14:paraId="0D11D404" w14:textId="77777777" w:rsidR="00EF5BFC" w:rsidRDefault="00EF5BFC" w:rsidP="00886AB2">
      <w:pPr>
        <w:pStyle w:val="BodyText"/>
      </w:pPr>
      <w:r>
        <w:t xml:space="preserve">A fundamental part of carrying out an evaluation under section 32 of the RMA is understanding how the proposal achieves the purpose and principles in Part 2 of the RMA. </w:t>
      </w:r>
    </w:p>
    <w:p w14:paraId="7FFF6621" w14:textId="77777777" w:rsidR="00EF5BFC" w:rsidRDefault="00EF5BFC" w:rsidP="00886AB2">
      <w:pPr>
        <w:pStyle w:val="BodyText"/>
      </w:pPr>
      <w:r>
        <w:t>The sections below identify the matters in Part 2 of the RMA that are most relevant to the proposal.</w:t>
      </w:r>
    </w:p>
    <w:p w14:paraId="03FE078A" w14:textId="77777777" w:rsidR="00EF5BFC" w:rsidRDefault="00EF5BFC" w:rsidP="00EF5BFC">
      <w:pPr>
        <w:pStyle w:val="Heading3"/>
      </w:pPr>
      <w:r>
        <w:t>Section 5</w:t>
      </w:r>
    </w:p>
    <w:p w14:paraId="4373DCE0" w14:textId="77777777" w:rsidR="00EF5BFC" w:rsidRPr="000953D6" w:rsidRDefault="00EF5BFC" w:rsidP="00886AB2">
      <w:pPr>
        <w:pStyle w:val="BodyText"/>
      </w:pPr>
      <w:r w:rsidRPr="000953D6">
        <w:t>Section 5 of the RMA states the purpose of th</w:t>
      </w:r>
      <w:r>
        <w:t>e RMA</w:t>
      </w:r>
      <w:r w:rsidRPr="000953D6">
        <w:t xml:space="preserve"> as follows:</w:t>
      </w:r>
    </w:p>
    <w:tbl>
      <w:tblPr>
        <w:tblStyle w:val="TableGrid"/>
        <w:tblW w:w="8505" w:type="dxa"/>
        <w:tblInd w:w="108"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7314A3" w14:paraId="1D426203" w14:textId="77777777" w:rsidTr="00A16FFE">
        <w:tc>
          <w:tcPr>
            <w:tcW w:w="0" w:type="auto"/>
            <w:shd w:val="clear" w:color="auto" w:fill="D2DDE2"/>
          </w:tcPr>
          <w:p w14:paraId="72BB77E4" w14:textId="3D667164" w:rsidR="007314A3" w:rsidRPr="007314A3" w:rsidRDefault="007314A3" w:rsidP="00977C60">
            <w:pPr>
              <w:pStyle w:val="Boxheading0"/>
            </w:pPr>
            <w:r w:rsidRPr="007314A3">
              <w:t>5</w:t>
            </w:r>
            <w:r w:rsidRPr="007314A3">
              <w:tab/>
            </w:r>
            <w:r w:rsidR="00A03A6C" w:rsidRPr="005D3D76">
              <w:tab/>
            </w:r>
            <w:r w:rsidRPr="007314A3">
              <w:t>Purpose</w:t>
            </w:r>
          </w:p>
          <w:p w14:paraId="1CF347C3" w14:textId="42112E6E" w:rsidR="007314A3" w:rsidRPr="00902886" w:rsidRDefault="007314A3" w:rsidP="00977C60">
            <w:pPr>
              <w:pStyle w:val="Boxbullet"/>
              <w:numPr>
                <w:ilvl w:val="0"/>
                <w:numId w:val="0"/>
              </w:numPr>
              <w:tabs>
                <w:tab w:val="clear" w:pos="680"/>
                <w:tab w:val="left" w:pos="909"/>
              </w:tabs>
              <w:spacing w:before="120"/>
              <w:ind w:left="768" w:hanging="484"/>
            </w:pPr>
            <w:r w:rsidRPr="00902886">
              <w:t>(1)</w:t>
            </w:r>
            <w:r w:rsidR="00630983" w:rsidRPr="005D3D76">
              <w:tab/>
            </w:r>
            <w:r w:rsidRPr="00902886">
              <w:t>The purpose of this Act is to promote the sustainable management of natural and physical resources.</w:t>
            </w:r>
          </w:p>
          <w:p w14:paraId="3C14C6E7" w14:textId="77777777" w:rsidR="007314A3" w:rsidRPr="00977C60" w:rsidRDefault="007314A3" w:rsidP="00977C60">
            <w:pPr>
              <w:pStyle w:val="Boxbullet"/>
              <w:numPr>
                <w:ilvl w:val="0"/>
                <w:numId w:val="0"/>
              </w:numPr>
              <w:tabs>
                <w:tab w:val="clear" w:pos="680"/>
                <w:tab w:val="left" w:pos="909"/>
              </w:tabs>
              <w:ind w:left="768" w:hanging="484"/>
            </w:pPr>
            <w:r w:rsidRPr="00977C60">
              <w:t>(2)</w:t>
            </w:r>
            <w:r w:rsidRPr="00977C60">
              <w:tab/>
              <w:t>In this Act, sustainable management means managing the use, development, and protection of natural and physical resources in a way, or at a rate, which enables people and communities to provide for their social, economic, and cultural well-being and for their health and safety while-</w:t>
            </w:r>
          </w:p>
          <w:p w14:paraId="041F5534" w14:textId="4DEF4FA8" w:rsidR="007314A3" w:rsidRPr="00977C60" w:rsidRDefault="007314A3" w:rsidP="00977C60">
            <w:pPr>
              <w:pStyle w:val="Boxbullet"/>
              <w:numPr>
                <w:ilvl w:val="0"/>
                <w:numId w:val="0"/>
              </w:numPr>
              <w:tabs>
                <w:tab w:val="clear" w:pos="680"/>
                <w:tab w:val="left" w:pos="1193"/>
              </w:tabs>
              <w:ind w:left="1190" w:hanging="425"/>
            </w:pPr>
            <w:r w:rsidRPr="00977C60">
              <w:t>(a)</w:t>
            </w:r>
            <w:r w:rsidR="00A03A6C" w:rsidRPr="005D3D76">
              <w:tab/>
            </w:r>
            <w:r w:rsidRPr="00977C60">
              <w:t>sustaining the potential of natural and physical resources (excluding minerals) to meet the reasonably foreseeable needs of future generations; and</w:t>
            </w:r>
          </w:p>
          <w:p w14:paraId="411451BB" w14:textId="77777777" w:rsidR="007314A3" w:rsidRPr="00977C60" w:rsidRDefault="007314A3" w:rsidP="00977C60">
            <w:pPr>
              <w:pStyle w:val="Boxbullet"/>
              <w:numPr>
                <w:ilvl w:val="0"/>
                <w:numId w:val="0"/>
              </w:numPr>
              <w:ind w:left="681" w:firstLine="87"/>
            </w:pPr>
            <w:r w:rsidRPr="00977C60">
              <w:t>(b)</w:t>
            </w:r>
            <w:r w:rsidRPr="00977C60">
              <w:tab/>
              <w:t>safeguarding the life-supporting capacity of air, water, soil, and ecosystems; and</w:t>
            </w:r>
          </w:p>
          <w:p w14:paraId="6306F719" w14:textId="4390425C" w:rsidR="007314A3" w:rsidRPr="00345928" w:rsidRDefault="007314A3" w:rsidP="00977C60">
            <w:pPr>
              <w:pStyle w:val="Boxbullet"/>
              <w:numPr>
                <w:ilvl w:val="0"/>
                <w:numId w:val="0"/>
              </w:numPr>
              <w:tabs>
                <w:tab w:val="clear" w:pos="680"/>
              </w:tabs>
              <w:ind w:left="1162" w:hanging="397"/>
            </w:pPr>
            <w:r w:rsidRPr="00977C60">
              <w:t>(c)</w:t>
            </w:r>
            <w:r w:rsidRPr="00977C60">
              <w:tab/>
              <w:t>avoiding, remedying, or mitigating any adverse effects of activities on the environment.</w:t>
            </w:r>
          </w:p>
        </w:tc>
      </w:tr>
    </w:tbl>
    <w:p w14:paraId="146A4B70" w14:textId="77777777" w:rsidR="00EF5BFC" w:rsidRDefault="00EF5BFC" w:rsidP="00EF5BFC">
      <w:pPr>
        <w:pStyle w:val="Heading3"/>
      </w:pPr>
      <w:r>
        <w:t>Section 6</w:t>
      </w:r>
    </w:p>
    <w:p w14:paraId="4CDCB7CA" w14:textId="5EFF0233" w:rsidR="00EF5BFC" w:rsidRPr="000953D6" w:rsidRDefault="00EF5BFC" w:rsidP="00886AB2">
      <w:pPr>
        <w:pStyle w:val="BodyText"/>
      </w:pPr>
      <w:r w:rsidRPr="000953D6">
        <w:t>Section 6 of the RMA states the matters of national importance that must be recognised and provided for in achieving the purpose of the RMA.</w:t>
      </w:r>
      <w:r>
        <w:t xml:space="preserve"> </w:t>
      </w:r>
      <w:r w:rsidRPr="000953D6">
        <w:t xml:space="preserve">The matters of </w:t>
      </w:r>
      <w:r>
        <w:t xml:space="preserve">national importance that are </w:t>
      </w:r>
      <w:r w:rsidRPr="000953D6">
        <w:t>most relevan</w:t>
      </w:r>
      <w:r>
        <w:t>t</w:t>
      </w:r>
      <w:r w:rsidRPr="000953D6">
        <w:t xml:space="preserve"> to freshwater management are: </w:t>
      </w:r>
    </w:p>
    <w:tbl>
      <w:tblPr>
        <w:tblStyle w:val="TableGrid"/>
        <w:tblpPr w:leftFromText="180" w:rightFromText="180" w:vertAnchor="text" w:tblpX="108" w:tblpY="1"/>
        <w:tblOverlap w:val="never"/>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4C539B" w14:paraId="577720DF" w14:textId="77777777" w:rsidTr="00237E41">
        <w:tc>
          <w:tcPr>
            <w:tcW w:w="0" w:type="auto"/>
            <w:shd w:val="clear" w:color="auto" w:fill="D2DDE2"/>
          </w:tcPr>
          <w:p w14:paraId="142FF95C" w14:textId="08BF6ED7" w:rsidR="004C539B" w:rsidRDefault="004C539B" w:rsidP="00237E41">
            <w:pPr>
              <w:pStyle w:val="Boxheading0"/>
            </w:pPr>
            <w:r>
              <w:t>6</w:t>
            </w:r>
            <w:r w:rsidRPr="007314A3">
              <w:tab/>
            </w:r>
            <w:r w:rsidRPr="005D3D76">
              <w:tab/>
            </w:r>
            <w:r w:rsidRPr="004C539B">
              <w:t>Matters of National Importance</w:t>
            </w:r>
          </w:p>
          <w:p w14:paraId="76105741" w14:textId="77777777" w:rsidR="004C539B" w:rsidRPr="00B836E4" w:rsidRDefault="004C539B" w:rsidP="00237E41">
            <w:pPr>
              <w:pStyle w:val="Boxtext"/>
            </w:pPr>
            <w:r w:rsidRPr="00B836E4">
              <w:t>In achieving the purpose of this Act, all persons exercising functions and powers under it, in relation to managing the use, development, and protection of natural and physical resources, shall recognise and provide for the following matters of national importance:</w:t>
            </w:r>
          </w:p>
          <w:p w14:paraId="6BF058AA" w14:textId="77777777" w:rsidR="004C539B" w:rsidRPr="00C64BBD" w:rsidRDefault="004C539B" w:rsidP="00237E41">
            <w:pPr>
              <w:pStyle w:val="Boxbullet"/>
              <w:numPr>
                <w:ilvl w:val="0"/>
                <w:numId w:val="0"/>
              </w:numPr>
              <w:ind w:left="644" w:hanging="360"/>
            </w:pPr>
            <w:r w:rsidRPr="00C64BBD">
              <w:t>(a)</w:t>
            </w:r>
            <w:r w:rsidRPr="00C64BBD">
              <w:tab/>
              <w:t>the preservation of the natural character of the coastal environment (including the coastal marine area), wetlands, and lakes and rivers and their margins, and the protection of them from inappropriate subdivision, use, and development:</w:t>
            </w:r>
          </w:p>
          <w:p w14:paraId="7E865BED" w14:textId="77777777" w:rsidR="004C539B" w:rsidRPr="00C64BBD" w:rsidRDefault="004C539B" w:rsidP="00237E41">
            <w:pPr>
              <w:pStyle w:val="Boxbullet"/>
              <w:numPr>
                <w:ilvl w:val="0"/>
                <w:numId w:val="0"/>
              </w:numPr>
              <w:ind w:left="644" w:hanging="360"/>
            </w:pPr>
            <w:r w:rsidRPr="00C64BBD">
              <w:t>(b)</w:t>
            </w:r>
            <w:r w:rsidRPr="00C64BBD">
              <w:tab/>
              <w:t>the protection of outstanding natural features and landscapes from inappropriate subdivision, use, and development:</w:t>
            </w:r>
          </w:p>
          <w:p w14:paraId="0381A224" w14:textId="77777777" w:rsidR="004C539B" w:rsidRPr="00C64BBD" w:rsidRDefault="004C539B" w:rsidP="00237E41">
            <w:pPr>
              <w:pStyle w:val="Boxbullet"/>
              <w:numPr>
                <w:ilvl w:val="0"/>
                <w:numId w:val="0"/>
              </w:numPr>
              <w:ind w:left="644" w:hanging="360"/>
            </w:pPr>
            <w:r w:rsidRPr="00C64BBD">
              <w:t>(c)</w:t>
            </w:r>
            <w:r w:rsidRPr="00C64BBD">
              <w:tab/>
              <w:t>the protection of areas of significant indigenous vegetation and significant habitats of indigenous fauna:</w:t>
            </w:r>
          </w:p>
          <w:p w14:paraId="1F35E91D" w14:textId="77777777" w:rsidR="004C539B" w:rsidRPr="00C64BBD" w:rsidRDefault="004C539B" w:rsidP="00237E41">
            <w:pPr>
              <w:pStyle w:val="Boxbullet"/>
              <w:numPr>
                <w:ilvl w:val="0"/>
                <w:numId w:val="0"/>
              </w:numPr>
              <w:ind w:left="644" w:hanging="360"/>
            </w:pPr>
            <w:r w:rsidRPr="00C64BBD">
              <w:t>…</w:t>
            </w:r>
          </w:p>
          <w:p w14:paraId="723CD38D" w14:textId="77777777" w:rsidR="004C539B" w:rsidRPr="00C64BBD" w:rsidRDefault="004C539B" w:rsidP="00237E41">
            <w:pPr>
              <w:pStyle w:val="Boxbullet"/>
              <w:numPr>
                <w:ilvl w:val="0"/>
                <w:numId w:val="0"/>
              </w:numPr>
              <w:ind w:left="644" w:hanging="360"/>
            </w:pPr>
            <w:r w:rsidRPr="00C64BBD">
              <w:t>(e)</w:t>
            </w:r>
            <w:r w:rsidRPr="00C64BBD">
              <w:tab/>
              <w:t>the relationship of Māori and their culture and traditions with their ancestral lands, water, sites, waahi tapu, and other taonga:</w:t>
            </w:r>
          </w:p>
          <w:p w14:paraId="228CB625" w14:textId="77777777" w:rsidR="004C539B" w:rsidRPr="00C64BBD" w:rsidRDefault="004C539B" w:rsidP="00237E41">
            <w:pPr>
              <w:pStyle w:val="Boxbullet"/>
              <w:numPr>
                <w:ilvl w:val="0"/>
                <w:numId w:val="0"/>
              </w:numPr>
              <w:ind w:left="644" w:hanging="360"/>
            </w:pPr>
            <w:r w:rsidRPr="00C64BBD">
              <w:t>…</w:t>
            </w:r>
          </w:p>
          <w:p w14:paraId="531493CE" w14:textId="58BD3936" w:rsidR="004C539B" w:rsidRPr="00345928" w:rsidRDefault="004C539B" w:rsidP="00237E41">
            <w:pPr>
              <w:pStyle w:val="Boxbullet"/>
              <w:numPr>
                <w:ilvl w:val="0"/>
                <w:numId w:val="0"/>
              </w:numPr>
              <w:ind w:left="644" w:hanging="360"/>
            </w:pPr>
            <w:r w:rsidRPr="00C64BBD">
              <w:t>(g)</w:t>
            </w:r>
            <w:r w:rsidRPr="00C64BBD">
              <w:tab/>
              <w:t>the protection of protected customary rights:</w:t>
            </w:r>
          </w:p>
        </w:tc>
      </w:tr>
    </w:tbl>
    <w:p w14:paraId="432BA4F8" w14:textId="77777777" w:rsidR="00EF5BFC" w:rsidRDefault="00EF5BFC" w:rsidP="00EF5BFC">
      <w:pPr>
        <w:pStyle w:val="Heading3"/>
      </w:pPr>
      <w:r>
        <w:t>Section 7</w:t>
      </w:r>
    </w:p>
    <w:p w14:paraId="7C64965B" w14:textId="722ABBBB" w:rsidR="00EF5BFC" w:rsidRPr="000953D6" w:rsidRDefault="00EF5BFC" w:rsidP="00886AB2">
      <w:pPr>
        <w:pStyle w:val="BodyText"/>
      </w:pPr>
      <w:r w:rsidRPr="000953D6">
        <w:t>Section 7 sets out other matters that must be given particular regard to in managing the use, development</w:t>
      </w:r>
      <w:r>
        <w:t>,</w:t>
      </w:r>
      <w:r w:rsidRPr="000953D6">
        <w:t xml:space="preserve"> and protection of natural and physical resources in achieving the purpose of </w:t>
      </w:r>
      <w:r>
        <w:t>the RMA</w:t>
      </w:r>
      <w:r w:rsidRPr="000953D6">
        <w:t>.</w:t>
      </w:r>
      <w:r>
        <w:t xml:space="preserve"> </w:t>
      </w:r>
      <w:r w:rsidRPr="000953D6">
        <w:t>The matters of most relevance to freshwater management are:</w:t>
      </w:r>
    </w:p>
    <w:tbl>
      <w:tblPr>
        <w:tblStyle w:val="TableGrid"/>
        <w:tblW w:w="8505" w:type="dxa"/>
        <w:tblInd w:w="108"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C64BBD" w14:paraId="156D7CE7" w14:textId="77777777" w:rsidTr="00A16FFE">
        <w:tc>
          <w:tcPr>
            <w:tcW w:w="0" w:type="auto"/>
            <w:shd w:val="clear" w:color="auto" w:fill="D2DDE2"/>
          </w:tcPr>
          <w:p w14:paraId="6F49A6CC" w14:textId="335A9F7A" w:rsidR="00C64BBD" w:rsidRDefault="00A52A50" w:rsidP="00A16FFE">
            <w:pPr>
              <w:pStyle w:val="Boxheading0"/>
            </w:pPr>
            <w:r>
              <w:t>7</w:t>
            </w:r>
            <w:r w:rsidR="00C64BBD" w:rsidRPr="007314A3">
              <w:tab/>
            </w:r>
            <w:r w:rsidR="00C64BBD" w:rsidRPr="005D3D76">
              <w:tab/>
            </w:r>
            <w:r>
              <w:t>Other matters</w:t>
            </w:r>
          </w:p>
          <w:p w14:paraId="007728B9" w14:textId="77777777" w:rsidR="00A52A50" w:rsidRPr="00E02950" w:rsidRDefault="00A52A50" w:rsidP="00A52A50">
            <w:pPr>
              <w:pStyle w:val="Boxtext"/>
            </w:pPr>
            <w:r w:rsidRPr="00E02950">
              <w:t>In achieving the purpose of this Act, all persons exercising functions and powers under it, in relation to managing the use, development, and protection of natural and physical resources, shall have particular regard to—</w:t>
            </w:r>
          </w:p>
          <w:p w14:paraId="7661E3D2" w14:textId="77777777" w:rsidR="00A52A50" w:rsidRPr="00977C60" w:rsidRDefault="00A52A50" w:rsidP="00A52A50">
            <w:pPr>
              <w:pStyle w:val="Boxbullet"/>
              <w:numPr>
                <w:ilvl w:val="0"/>
                <w:numId w:val="0"/>
              </w:numPr>
              <w:ind w:left="644" w:hanging="360"/>
            </w:pPr>
            <w:r>
              <w:rPr>
                <w:iCs/>
              </w:rPr>
              <w:t>(a)</w:t>
            </w:r>
            <w:r>
              <w:rPr>
                <w:iCs/>
              </w:rPr>
              <w:tab/>
            </w:r>
            <w:r w:rsidRPr="00977C60">
              <w:t>kaitiakitanga:</w:t>
            </w:r>
          </w:p>
          <w:p w14:paraId="246DEC59" w14:textId="77777777" w:rsidR="00A52A50" w:rsidRPr="00E02950" w:rsidRDefault="00A52A50" w:rsidP="00A52A50">
            <w:pPr>
              <w:pStyle w:val="Boxbullet"/>
              <w:numPr>
                <w:ilvl w:val="0"/>
                <w:numId w:val="0"/>
              </w:numPr>
              <w:ind w:left="644" w:hanging="360"/>
              <w:rPr>
                <w:iCs/>
              </w:rPr>
            </w:pPr>
            <w:r w:rsidRPr="00E02950">
              <w:rPr>
                <w:iCs/>
              </w:rPr>
              <w:t>(aa)</w:t>
            </w:r>
            <w:r>
              <w:rPr>
                <w:iCs/>
              </w:rPr>
              <w:tab/>
            </w:r>
            <w:r w:rsidRPr="00E02950">
              <w:rPr>
                <w:iCs/>
              </w:rPr>
              <w:t>the ethic of stewardship:</w:t>
            </w:r>
          </w:p>
          <w:p w14:paraId="2810D77E" w14:textId="77777777" w:rsidR="00A52A50" w:rsidRPr="00E02950" w:rsidRDefault="00A52A50" w:rsidP="00A52A50">
            <w:pPr>
              <w:pStyle w:val="Boxbullet"/>
              <w:numPr>
                <w:ilvl w:val="0"/>
                <w:numId w:val="0"/>
              </w:numPr>
              <w:ind w:left="644" w:hanging="360"/>
              <w:rPr>
                <w:iCs/>
              </w:rPr>
            </w:pPr>
            <w:r w:rsidRPr="00E02950">
              <w:rPr>
                <w:iCs/>
              </w:rPr>
              <w:t>(b)</w:t>
            </w:r>
            <w:r w:rsidRPr="00E02950">
              <w:rPr>
                <w:iCs/>
              </w:rPr>
              <w:tab/>
              <w:t>the efficient use and development of natural and physical resources:</w:t>
            </w:r>
          </w:p>
          <w:p w14:paraId="2927C95A" w14:textId="77777777" w:rsidR="00A52A50" w:rsidRPr="00E02950" w:rsidRDefault="00A52A50" w:rsidP="00A52A50">
            <w:pPr>
              <w:pStyle w:val="Boxbullet"/>
              <w:numPr>
                <w:ilvl w:val="0"/>
                <w:numId w:val="0"/>
              </w:numPr>
              <w:ind w:left="644" w:hanging="360"/>
              <w:rPr>
                <w:iCs/>
              </w:rPr>
            </w:pPr>
            <w:r w:rsidRPr="00E02950">
              <w:rPr>
                <w:iCs/>
              </w:rPr>
              <w:t>(ba)</w:t>
            </w:r>
            <w:r>
              <w:rPr>
                <w:iCs/>
              </w:rPr>
              <w:tab/>
            </w:r>
            <w:r w:rsidRPr="00E02950">
              <w:rPr>
                <w:iCs/>
              </w:rPr>
              <w:t>the efficiency of the end use of energy:</w:t>
            </w:r>
          </w:p>
          <w:p w14:paraId="76644D98" w14:textId="77777777" w:rsidR="00A52A50" w:rsidRPr="00E02950" w:rsidRDefault="00A52A50" w:rsidP="00A52A50">
            <w:pPr>
              <w:pStyle w:val="Boxbullet"/>
              <w:numPr>
                <w:ilvl w:val="0"/>
                <w:numId w:val="0"/>
              </w:numPr>
              <w:ind w:left="644" w:hanging="360"/>
              <w:rPr>
                <w:iCs/>
              </w:rPr>
            </w:pPr>
            <w:r w:rsidRPr="00E02950">
              <w:rPr>
                <w:iCs/>
              </w:rPr>
              <w:t>(c)</w:t>
            </w:r>
            <w:r w:rsidRPr="00E02950">
              <w:rPr>
                <w:iCs/>
              </w:rPr>
              <w:tab/>
              <w:t>the maintenance and enhancement of amenity values:</w:t>
            </w:r>
          </w:p>
          <w:p w14:paraId="0101C080" w14:textId="77777777" w:rsidR="00A52A50" w:rsidRPr="00E02950" w:rsidRDefault="00A52A50" w:rsidP="00A52A50">
            <w:pPr>
              <w:pStyle w:val="Boxbullet"/>
              <w:numPr>
                <w:ilvl w:val="0"/>
                <w:numId w:val="0"/>
              </w:numPr>
              <w:ind w:left="644" w:hanging="360"/>
              <w:rPr>
                <w:iCs/>
              </w:rPr>
            </w:pPr>
            <w:r w:rsidRPr="00E02950">
              <w:rPr>
                <w:iCs/>
              </w:rPr>
              <w:t>(d)</w:t>
            </w:r>
            <w:r w:rsidRPr="00E02950">
              <w:rPr>
                <w:iCs/>
              </w:rPr>
              <w:tab/>
              <w:t>intrinsic values of ecosystems:</w:t>
            </w:r>
          </w:p>
          <w:p w14:paraId="3B42A0C7" w14:textId="77777777" w:rsidR="00A52A50" w:rsidRPr="00E02950" w:rsidRDefault="00A52A50" w:rsidP="00A52A50">
            <w:pPr>
              <w:pStyle w:val="Boxbullet"/>
              <w:numPr>
                <w:ilvl w:val="0"/>
                <w:numId w:val="0"/>
              </w:numPr>
              <w:ind w:left="644" w:hanging="360"/>
              <w:rPr>
                <w:iCs/>
              </w:rPr>
            </w:pPr>
            <w:r w:rsidRPr="00E02950">
              <w:rPr>
                <w:iCs/>
              </w:rPr>
              <w:t>…</w:t>
            </w:r>
          </w:p>
          <w:p w14:paraId="061EC791" w14:textId="77777777" w:rsidR="00A52A50" w:rsidRPr="00E02950" w:rsidRDefault="00A52A50" w:rsidP="00A52A50">
            <w:pPr>
              <w:pStyle w:val="Boxbullet"/>
              <w:numPr>
                <w:ilvl w:val="0"/>
                <w:numId w:val="0"/>
              </w:numPr>
              <w:ind w:left="644" w:hanging="360"/>
              <w:rPr>
                <w:iCs/>
              </w:rPr>
            </w:pPr>
            <w:r w:rsidRPr="00E02950">
              <w:rPr>
                <w:iCs/>
              </w:rPr>
              <w:t>(f)</w:t>
            </w:r>
            <w:r w:rsidRPr="00E02950">
              <w:rPr>
                <w:iCs/>
              </w:rPr>
              <w:tab/>
              <w:t>maintenance and enhancement of the quality of the environment:</w:t>
            </w:r>
          </w:p>
          <w:p w14:paraId="65DAB960" w14:textId="77777777" w:rsidR="00A52A50" w:rsidRPr="00E02950" w:rsidRDefault="00A52A50" w:rsidP="00A52A50">
            <w:pPr>
              <w:pStyle w:val="Boxbullet"/>
              <w:numPr>
                <w:ilvl w:val="0"/>
                <w:numId w:val="0"/>
              </w:numPr>
              <w:ind w:left="644" w:hanging="360"/>
              <w:rPr>
                <w:iCs/>
              </w:rPr>
            </w:pPr>
            <w:r w:rsidRPr="00E02950">
              <w:rPr>
                <w:iCs/>
              </w:rPr>
              <w:t>(g)</w:t>
            </w:r>
            <w:r w:rsidRPr="00E02950">
              <w:rPr>
                <w:iCs/>
              </w:rPr>
              <w:tab/>
              <w:t>any finite characteristics of natural and physical resources:</w:t>
            </w:r>
          </w:p>
          <w:p w14:paraId="13067E74" w14:textId="77777777" w:rsidR="00A52A50" w:rsidRPr="00E02950" w:rsidRDefault="00A52A50" w:rsidP="00A52A50">
            <w:pPr>
              <w:pStyle w:val="Boxbullet"/>
              <w:numPr>
                <w:ilvl w:val="0"/>
                <w:numId w:val="0"/>
              </w:numPr>
              <w:ind w:left="644" w:hanging="360"/>
              <w:rPr>
                <w:iCs/>
              </w:rPr>
            </w:pPr>
            <w:r w:rsidRPr="00E02950">
              <w:rPr>
                <w:iCs/>
              </w:rPr>
              <w:t>(h)</w:t>
            </w:r>
            <w:r w:rsidRPr="00E02950">
              <w:rPr>
                <w:iCs/>
              </w:rPr>
              <w:tab/>
              <w:t>the protection of the habitat of trout and salmon:</w:t>
            </w:r>
          </w:p>
          <w:p w14:paraId="7B2DF52A" w14:textId="77777777" w:rsidR="00A52A50" w:rsidRPr="00E02950" w:rsidRDefault="00A52A50" w:rsidP="00A52A50">
            <w:pPr>
              <w:pStyle w:val="Boxbullet"/>
              <w:numPr>
                <w:ilvl w:val="0"/>
                <w:numId w:val="0"/>
              </w:numPr>
              <w:ind w:left="644" w:hanging="360"/>
              <w:rPr>
                <w:iCs/>
              </w:rPr>
            </w:pPr>
            <w:r w:rsidRPr="00E02950">
              <w:rPr>
                <w:iCs/>
              </w:rPr>
              <w:t>(i)</w:t>
            </w:r>
            <w:r w:rsidRPr="00E02950">
              <w:rPr>
                <w:iCs/>
              </w:rPr>
              <w:tab/>
              <w:t>the effects of climate change:</w:t>
            </w:r>
          </w:p>
          <w:p w14:paraId="77410BC5" w14:textId="0B40C6A1" w:rsidR="00C64BBD" w:rsidRPr="00A52A50" w:rsidRDefault="00A52A50" w:rsidP="00A52A50">
            <w:pPr>
              <w:pStyle w:val="Boxbullet"/>
              <w:numPr>
                <w:ilvl w:val="0"/>
                <w:numId w:val="0"/>
              </w:numPr>
              <w:ind w:left="644" w:hanging="360"/>
              <w:rPr>
                <w:iCs/>
              </w:rPr>
            </w:pPr>
            <w:r w:rsidRPr="00E02950">
              <w:rPr>
                <w:iCs/>
              </w:rPr>
              <w:t>(j)</w:t>
            </w:r>
            <w:r w:rsidRPr="00E02950">
              <w:rPr>
                <w:iCs/>
              </w:rPr>
              <w:tab/>
              <w:t>the benefits to be derived from the use and development of renewable energy.</w:t>
            </w:r>
          </w:p>
        </w:tc>
      </w:tr>
    </w:tbl>
    <w:p w14:paraId="75930724" w14:textId="77777777" w:rsidR="00EF5BFC" w:rsidRDefault="00EF5BFC" w:rsidP="00EF5BFC">
      <w:pPr>
        <w:pStyle w:val="Heading3"/>
      </w:pPr>
      <w:r>
        <w:t xml:space="preserve">Section 8 </w:t>
      </w:r>
    </w:p>
    <w:p w14:paraId="2485F8C0" w14:textId="77777777" w:rsidR="00EF5BFC" w:rsidRDefault="00EF5BFC" w:rsidP="00886AB2">
      <w:pPr>
        <w:pStyle w:val="BodyText"/>
      </w:pPr>
      <w:r>
        <w:t xml:space="preserve">Section 8 requires the </w:t>
      </w:r>
      <w:r w:rsidRPr="000953D6">
        <w:t xml:space="preserve">principles of the </w:t>
      </w:r>
      <w:hyperlink r:id="rId34" w:anchor="DLM435834" w:history="1">
        <w:r w:rsidRPr="000953D6">
          <w:t>Treaty of Waitangi</w:t>
        </w:r>
      </w:hyperlink>
      <w:r w:rsidRPr="000953D6">
        <w:t xml:space="preserve"> (Te Tiriti o Waitangi) be taken into account in achieving the purpose of </w:t>
      </w:r>
      <w:r>
        <w:t>the RMA.</w:t>
      </w:r>
    </w:p>
    <w:tbl>
      <w:tblPr>
        <w:tblStyle w:val="TableGrid"/>
        <w:tblW w:w="8505" w:type="dxa"/>
        <w:tblInd w:w="108"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237E41" w14:paraId="35F2F48D" w14:textId="77777777" w:rsidTr="00A16FFE">
        <w:tc>
          <w:tcPr>
            <w:tcW w:w="0" w:type="auto"/>
            <w:shd w:val="clear" w:color="auto" w:fill="D2DDE2"/>
          </w:tcPr>
          <w:p w14:paraId="5948E33E" w14:textId="753166D0" w:rsidR="00237E41" w:rsidRDefault="00237E41" w:rsidP="00A16FFE">
            <w:pPr>
              <w:pStyle w:val="Boxheading0"/>
            </w:pPr>
            <w:r>
              <w:t>8</w:t>
            </w:r>
            <w:r w:rsidRPr="007314A3">
              <w:tab/>
            </w:r>
            <w:r w:rsidRPr="005D3D76">
              <w:tab/>
            </w:r>
            <w:r w:rsidRPr="00237E41">
              <w:t>Treaty of Waitangi</w:t>
            </w:r>
          </w:p>
          <w:p w14:paraId="30AE9E12" w14:textId="6FCFE64E" w:rsidR="00237E41" w:rsidRPr="00237E41" w:rsidRDefault="00237E41" w:rsidP="00237E41">
            <w:pPr>
              <w:pStyle w:val="Boxtext"/>
            </w:pPr>
            <w:r w:rsidRPr="00E02950">
              <w:t>In achieving the purpose of this Act, all persons exercising functions and powers under it, in relation to managing the use, development, and protection of natural and physical resources shall take into account the principles of the Treaty of Waitangi (Te Tiriti o Waitangi).</w:t>
            </w:r>
          </w:p>
        </w:tc>
      </w:tr>
    </w:tbl>
    <w:p w14:paraId="7639395B" w14:textId="77777777" w:rsidR="00237E41" w:rsidRPr="00950551" w:rsidRDefault="00237E41" w:rsidP="00237E41">
      <w:pPr>
        <w:rPr>
          <w:i/>
          <w:iCs/>
        </w:rPr>
      </w:pPr>
    </w:p>
    <w:p w14:paraId="108A93EC" w14:textId="570AB0A6" w:rsidR="00EF5BFC" w:rsidRDefault="00EF5BFC" w:rsidP="00950551">
      <w:pPr>
        <w:pStyle w:val="Heading2"/>
      </w:pPr>
      <w:bookmarkStart w:id="18" w:name="_Toc45189832"/>
      <w:bookmarkStart w:id="19" w:name="_Toc97117736"/>
      <w:bookmarkStart w:id="20" w:name="_Toc99614848"/>
      <w:r>
        <w:t>National Environmental Standards</w:t>
      </w:r>
      <w:bookmarkEnd w:id="18"/>
      <w:bookmarkEnd w:id="19"/>
      <w:bookmarkEnd w:id="20"/>
      <w:r>
        <w:t xml:space="preserve"> </w:t>
      </w:r>
    </w:p>
    <w:p w14:paraId="2F59822D" w14:textId="0110C761" w:rsidR="00EF5BFC" w:rsidRDefault="00EF5BFC" w:rsidP="00886AB2">
      <w:pPr>
        <w:pStyle w:val="BodyText"/>
      </w:pPr>
      <w:r w:rsidRPr="000F78AB">
        <w:t xml:space="preserve">The requirements for </w:t>
      </w:r>
      <w:r>
        <w:t>preparing National Environmental Standard</w:t>
      </w:r>
      <w:r w:rsidR="00B81249">
        <w:t>s</w:t>
      </w:r>
      <w:r>
        <w:t xml:space="preserve"> (NES)</w:t>
      </w:r>
      <w:r w:rsidRPr="000F78AB">
        <w:t xml:space="preserve"> are outlined in sections 43</w:t>
      </w:r>
      <w:r w:rsidR="00213D6A">
        <w:t>–</w:t>
      </w:r>
      <w:r w:rsidRPr="000F78AB">
        <w:t>44A</w:t>
      </w:r>
      <w:r>
        <w:t>, and section 46A,</w:t>
      </w:r>
      <w:r w:rsidRPr="000F78AB">
        <w:t xml:space="preserve"> of the RMA.</w:t>
      </w:r>
    </w:p>
    <w:p w14:paraId="17E3D017" w14:textId="714C12E6" w:rsidR="00EF5BFC" w:rsidRDefault="00EF5BFC" w:rsidP="00886AB2">
      <w:pPr>
        <w:pStyle w:val="BodyText"/>
      </w:pPr>
      <w:r>
        <w:t>An NES must not state that an activity is a permitted activity if that activity has significant adverse effects on the environment (section 43A (3)). An NES can also restrict the granting of a resource consent to matters specified in an NES (section 43A (1)(c)).</w:t>
      </w:r>
    </w:p>
    <w:p w14:paraId="19B2D0BC" w14:textId="017E1953" w:rsidR="00EF5BFC" w:rsidRDefault="00EF5BFC" w:rsidP="00886AB2">
      <w:pPr>
        <w:pStyle w:val="BodyText"/>
      </w:pPr>
      <w:r w:rsidRPr="006528E1">
        <w:t xml:space="preserve">The RMA sets out </w:t>
      </w:r>
      <w:r>
        <w:t xml:space="preserve">a </w:t>
      </w:r>
      <w:r w:rsidRPr="006528E1">
        <w:t xml:space="preserve">process for preparing </w:t>
      </w:r>
      <w:r>
        <w:t>an</w:t>
      </w:r>
      <w:r w:rsidRPr="006528E1">
        <w:t xml:space="preserve"> NES under section 46A.</w:t>
      </w:r>
      <w:r w:rsidRPr="006528E1" w:rsidDel="00E85D41">
        <w:t xml:space="preserve"> </w:t>
      </w:r>
      <w:r w:rsidRPr="00433113">
        <w:t xml:space="preserve">For </w:t>
      </w:r>
      <w:r>
        <w:t>these</w:t>
      </w:r>
      <w:r w:rsidR="00FD06CB">
        <w:t xml:space="preserve"> proposed</w:t>
      </w:r>
      <w:r>
        <w:t xml:space="preserve"> amendments to the</w:t>
      </w:r>
      <w:r w:rsidRPr="00433113">
        <w:t xml:space="preserve"> NES-F, the Minister </w:t>
      </w:r>
      <w:r>
        <w:t>for the</w:t>
      </w:r>
      <w:r w:rsidRPr="00433113">
        <w:t xml:space="preserve"> Environment established a process under section 46A</w:t>
      </w:r>
      <w:r>
        <w:t xml:space="preserve"> </w:t>
      </w:r>
      <w:r w:rsidRPr="00433113">
        <w:t>(3)(b) that meets the statutory requirements of 46A (4).</w:t>
      </w:r>
    </w:p>
    <w:tbl>
      <w:tblPr>
        <w:tblStyle w:val="TableGrid"/>
        <w:tblW w:w="8505" w:type="dxa"/>
        <w:tblInd w:w="108"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F97FBB" w14:paraId="15D718B6" w14:textId="77777777" w:rsidTr="00A16FFE">
        <w:tc>
          <w:tcPr>
            <w:tcW w:w="0" w:type="auto"/>
            <w:shd w:val="clear" w:color="auto" w:fill="D2DDE2"/>
          </w:tcPr>
          <w:p w14:paraId="5AE8441E" w14:textId="7E0C04EF" w:rsidR="00F97FBB" w:rsidRDefault="00F97FBB" w:rsidP="00F97FBB">
            <w:pPr>
              <w:pStyle w:val="Boxheading0"/>
            </w:pPr>
            <w:r>
              <w:t>P</w:t>
            </w:r>
            <w:r w:rsidRPr="00433113">
              <w:t>rocess under section 46A</w:t>
            </w:r>
            <w:r>
              <w:t xml:space="preserve"> </w:t>
            </w:r>
            <w:r w:rsidRPr="00433113">
              <w:t xml:space="preserve">(3)(b) </w:t>
            </w:r>
            <w:r w:rsidR="005107E3">
              <w:t xml:space="preserve">and </w:t>
            </w:r>
            <w:r w:rsidRPr="00433113">
              <w:t>46A (4)</w:t>
            </w:r>
          </w:p>
          <w:p w14:paraId="25C97DE6" w14:textId="2A1AA2E7" w:rsidR="00F97FBB" w:rsidRPr="00950551" w:rsidRDefault="00F97FBB" w:rsidP="00F97FBB">
            <w:pPr>
              <w:pStyle w:val="Boxtext"/>
            </w:pPr>
            <w:r>
              <w:t>Under 46A (3)(b) and (4), the process must include the following:</w:t>
            </w:r>
          </w:p>
          <w:p w14:paraId="3DEF96F4" w14:textId="77777777" w:rsidR="00F97FBB" w:rsidRPr="002572EB" w:rsidRDefault="00F97FBB" w:rsidP="00F97FBB">
            <w:pPr>
              <w:pStyle w:val="Boxbullet"/>
              <w:numPr>
                <w:ilvl w:val="0"/>
                <w:numId w:val="0"/>
              </w:numPr>
              <w:ind w:left="644" w:hanging="360"/>
            </w:pPr>
            <w:r w:rsidRPr="002572EB">
              <w:t>(a)</w:t>
            </w:r>
            <w:r w:rsidRPr="002572EB">
              <w:tab/>
              <w:t>the public and iwi authorities must be given notice of—</w:t>
            </w:r>
          </w:p>
          <w:p w14:paraId="2B7EE389" w14:textId="77777777" w:rsidR="00F97FBB" w:rsidRPr="002572EB" w:rsidRDefault="00F97FBB" w:rsidP="00F97FBB">
            <w:pPr>
              <w:pStyle w:val="Boxsub-bullet"/>
              <w:numPr>
                <w:ilvl w:val="0"/>
                <w:numId w:val="0"/>
              </w:numPr>
              <w:ind w:left="1077" w:hanging="397"/>
            </w:pPr>
            <w:r w:rsidRPr="002572EB">
              <w:t>(i)</w:t>
            </w:r>
            <w:r w:rsidRPr="002572EB">
              <w:tab/>
              <w:t>the proposed national direction; and</w:t>
            </w:r>
          </w:p>
          <w:p w14:paraId="3DEBD0E4" w14:textId="77777777" w:rsidR="00F97FBB" w:rsidRPr="002572EB" w:rsidRDefault="00F97FBB" w:rsidP="00F97FBB">
            <w:pPr>
              <w:pStyle w:val="Boxsub-bullet"/>
              <w:numPr>
                <w:ilvl w:val="0"/>
                <w:numId w:val="0"/>
              </w:numPr>
              <w:ind w:left="680"/>
            </w:pPr>
            <w:r w:rsidRPr="002572EB">
              <w:t>(ii)</w:t>
            </w:r>
            <w:r w:rsidRPr="002572EB">
              <w:tab/>
              <w:t>why the Minister considers that the proposed national direction is consistent with the purpose of the Act; and</w:t>
            </w:r>
          </w:p>
          <w:p w14:paraId="1AB997AB" w14:textId="77777777" w:rsidR="00F97FBB" w:rsidRPr="002572EB" w:rsidRDefault="00F97FBB" w:rsidP="00F97FBB">
            <w:pPr>
              <w:pStyle w:val="Boxbullet"/>
              <w:numPr>
                <w:ilvl w:val="0"/>
                <w:numId w:val="0"/>
              </w:numPr>
              <w:ind w:left="644" w:hanging="360"/>
            </w:pPr>
            <w:r w:rsidRPr="002572EB">
              <w:t>(b)</w:t>
            </w:r>
            <w:r w:rsidRPr="002572EB">
              <w:tab/>
              <w:t>those notified must be given adequate time and opportunity to make a submission on the subject matter of the proposed national direction; and</w:t>
            </w:r>
          </w:p>
          <w:p w14:paraId="5CFC309E" w14:textId="77777777" w:rsidR="00F97FBB" w:rsidRPr="002572EB" w:rsidRDefault="00F97FBB" w:rsidP="00F97FBB">
            <w:pPr>
              <w:pStyle w:val="Boxbullet"/>
              <w:numPr>
                <w:ilvl w:val="0"/>
                <w:numId w:val="0"/>
              </w:numPr>
              <w:ind w:left="644" w:hanging="360"/>
            </w:pPr>
            <w:r w:rsidRPr="002572EB">
              <w:t>(c)</w:t>
            </w:r>
            <w:r w:rsidRPr="002572EB">
              <w:tab/>
              <w:t>a report and recommendations must be made to the Minister on the submissions and the subject matter of the national direction; and</w:t>
            </w:r>
          </w:p>
          <w:p w14:paraId="418491B8" w14:textId="051A367C" w:rsidR="00F97FBB" w:rsidRPr="00A52A50" w:rsidRDefault="00F97FBB" w:rsidP="00F97FBB">
            <w:pPr>
              <w:pStyle w:val="Boxbullet"/>
              <w:numPr>
                <w:ilvl w:val="0"/>
                <w:numId w:val="0"/>
              </w:numPr>
              <w:ind w:left="644" w:hanging="360"/>
            </w:pPr>
            <w:r w:rsidRPr="002572EB">
              <w:t>(d)</w:t>
            </w:r>
            <w:r w:rsidRPr="002572EB">
              <w:tab/>
              <w:t>the matters listed in section 51(1) must be considered as if the references in that provision to a board of inquiry were references to the person who prepares the report and recommendations.</w:t>
            </w:r>
          </w:p>
        </w:tc>
      </w:tr>
    </w:tbl>
    <w:p w14:paraId="0561AA45" w14:textId="26BB746D" w:rsidR="00EF5BFC" w:rsidRDefault="00EF5BFC" w:rsidP="002B17C5">
      <w:pPr>
        <w:pStyle w:val="BodyText"/>
        <w:spacing w:before="240"/>
      </w:pPr>
      <w:r>
        <w:t xml:space="preserve">The process that has been undertaken to achieve the </w:t>
      </w:r>
      <w:r w:rsidR="00161FB7">
        <w:t xml:space="preserve">proposed </w:t>
      </w:r>
      <w:r>
        <w:t xml:space="preserve">amendments outlined in this assessment has been provided in </w:t>
      </w:r>
      <w:r w:rsidR="00E369B1">
        <w:t xml:space="preserve">the </w:t>
      </w:r>
      <w:hyperlink w:anchor="_Evaluation_of_the" w:history="1">
        <w:r w:rsidR="00E369B1" w:rsidRPr="00E369B1">
          <w:rPr>
            <w:rStyle w:val="Hyperlink"/>
          </w:rPr>
          <w:t xml:space="preserve">Evaluation of the </w:t>
        </w:r>
        <w:r w:rsidR="00161FB7">
          <w:rPr>
            <w:rStyle w:val="Hyperlink"/>
          </w:rPr>
          <w:t xml:space="preserve">proposed </w:t>
        </w:r>
        <w:r w:rsidR="00E369B1" w:rsidRPr="00E369B1">
          <w:rPr>
            <w:rStyle w:val="Hyperlink"/>
          </w:rPr>
          <w:t>amendments</w:t>
        </w:r>
      </w:hyperlink>
      <w:r w:rsidR="00E369B1">
        <w:t xml:space="preserve"> section </w:t>
      </w:r>
      <w:r>
        <w:t xml:space="preserve">of this report. </w:t>
      </w:r>
    </w:p>
    <w:p w14:paraId="63CC1304" w14:textId="53380DE5" w:rsidR="00EF5BFC" w:rsidRDefault="00EF5BFC" w:rsidP="00DF390A">
      <w:pPr>
        <w:pStyle w:val="Heading2"/>
      </w:pPr>
      <w:bookmarkStart w:id="21" w:name="_Toc97117738"/>
      <w:bookmarkStart w:id="22" w:name="_Toc99614849"/>
      <w:r>
        <w:t>National Direction for Freshwater Management</w:t>
      </w:r>
      <w:bookmarkEnd w:id="21"/>
      <w:bookmarkEnd w:id="22"/>
      <w:r>
        <w:t xml:space="preserve"> </w:t>
      </w:r>
    </w:p>
    <w:p w14:paraId="27027D36" w14:textId="4DC8D9D5" w:rsidR="00EF5BFC" w:rsidRDefault="00EF5BFC" w:rsidP="00886AB2">
      <w:pPr>
        <w:pStyle w:val="BodyText"/>
      </w:pPr>
      <w:r>
        <w:t>The Government set out to address New Zealand’s freshwater quality and ecosystem health issues through a series of initiatives including the</w:t>
      </w:r>
      <w:r w:rsidRPr="00184FCA">
        <w:t xml:space="preserve"> </w:t>
      </w:r>
      <w:hyperlink r:id="rId35" w:history="1">
        <w:r w:rsidRPr="001A41C9">
          <w:rPr>
            <w:rStyle w:val="Hyperlink"/>
            <w:i/>
            <w:iCs/>
          </w:rPr>
          <w:t>Essential Freshwater</w:t>
        </w:r>
        <w:r w:rsidRPr="001A41C9">
          <w:rPr>
            <w:rStyle w:val="Hyperlink"/>
          </w:rPr>
          <w:t>: Healthy Water, Fairly Allocated</w:t>
        </w:r>
      </w:hyperlink>
      <w:r>
        <w:t xml:space="preserve"> package introduced in October 2018. The overarching objectives of the </w:t>
      </w:r>
      <w:r w:rsidRPr="00C45465">
        <w:rPr>
          <w:i/>
        </w:rPr>
        <w:t>Essential Freshwater</w:t>
      </w:r>
      <w:r>
        <w:t xml:space="preserve"> package are to:</w:t>
      </w:r>
    </w:p>
    <w:p w14:paraId="2FBA0C68" w14:textId="72A68D39" w:rsidR="00883A0E" w:rsidRDefault="00E85D41" w:rsidP="00886AB2">
      <w:pPr>
        <w:pStyle w:val="Numberedparagraph"/>
        <w:numPr>
          <w:ilvl w:val="0"/>
          <w:numId w:val="38"/>
        </w:numPr>
      </w:pPr>
      <w:r>
        <w:t xml:space="preserve">stop </w:t>
      </w:r>
      <w:r w:rsidR="00EF5BFC">
        <w:t>further degradation of New Zealand’s freshwater resources and start making immediate improvements so that water quality is materially improving within five years</w:t>
      </w:r>
    </w:p>
    <w:p w14:paraId="366C37EC" w14:textId="334E0741" w:rsidR="00883A0E" w:rsidRDefault="00E85D41" w:rsidP="00886AB2">
      <w:pPr>
        <w:pStyle w:val="Numberedparagraph"/>
      </w:pPr>
      <w:r>
        <w:t xml:space="preserve">reverse </w:t>
      </w:r>
      <w:r w:rsidR="00EF5BFC">
        <w:t>past damage and bring New Zealand’s freshwater resources, waterways and ecosystems to a healthy state within a generation</w:t>
      </w:r>
    </w:p>
    <w:p w14:paraId="607E958D" w14:textId="688C2B2D" w:rsidR="00EF5BFC" w:rsidRDefault="00E85D41" w:rsidP="00886AB2">
      <w:pPr>
        <w:pStyle w:val="Numberedparagraph"/>
      </w:pPr>
      <w:r>
        <w:t xml:space="preserve">address </w:t>
      </w:r>
      <w:r w:rsidR="00EF5BFC">
        <w:t>water allocation issues having regard to all interests including M</w:t>
      </w:r>
      <w:r w:rsidR="00EF5BFC" w:rsidRPr="00883A0E">
        <w:t>ā</w:t>
      </w:r>
      <w:r w:rsidR="00EF5BFC">
        <w:t>ori and existing and potential new users.</w:t>
      </w:r>
    </w:p>
    <w:p w14:paraId="733C3CE1" w14:textId="2004A2C2" w:rsidR="00EF5BFC" w:rsidRDefault="00EF5BFC" w:rsidP="00886AB2">
      <w:pPr>
        <w:pStyle w:val="BodyText"/>
      </w:pPr>
      <w:r>
        <w:t xml:space="preserve">A major part of the </w:t>
      </w:r>
      <w:r w:rsidRPr="00044449">
        <w:rPr>
          <w:i/>
          <w:iCs/>
        </w:rPr>
        <w:t>Essential Freshwater</w:t>
      </w:r>
      <w:r>
        <w:t xml:space="preserve"> package is being delivered through new regulations under section 360 of the RMA, and implementation of the NPS-FM 2020, and NES-F.</w:t>
      </w:r>
    </w:p>
    <w:p w14:paraId="68F86AD6" w14:textId="77777777" w:rsidR="00EF5BFC" w:rsidRPr="00F15563" w:rsidRDefault="00EF5BFC" w:rsidP="00DF390A">
      <w:pPr>
        <w:pStyle w:val="Heading3"/>
      </w:pPr>
      <w:r>
        <w:t>The NPS-FM 2020</w:t>
      </w:r>
    </w:p>
    <w:p w14:paraId="1D27918D" w14:textId="4149DA50" w:rsidR="00EF5BFC" w:rsidRPr="0084559E" w:rsidRDefault="00EF5BFC" w:rsidP="00886AB2">
      <w:pPr>
        <w:pStyle w:val="BodyText"/>
      </w:pPr>
      <w:r w:rsidRPr="0084559E">
        <w:t xml:space="preserve">The NPS-FM 2020 </w:t>
      </w:r>
      <w:r>
        <w:t>has a single</w:t>
      </w:r>
      <w:r w:rsidRPr="0084559E">
        <w:t xml:space="preserve"> objective</w:t>
      </w:r>
      <w:r>
        <w:t>,</w:t>
      </w:r>
      <w:r w:rsidRPr="0084559E">
        <w:t xml:space="preserve"> policies </w:t>
      </w:r>
      <w:r>
        <w:t>and implementation policies</w:t>
      </w:r>
      <w:r w:rsidR="00883A0E">
        <w:t>.</w:t>
      </w:r>
      <w:r>
        <w:t xml:space="preserve"> It</w:t>
      </w:r>
      <w:r w:rsidRPr="0084559E">
        <w:t xml:space="preserve"> provides direction to local authorities about how to carry out their freshwater</w:t>
      </w:r>
      <w:r>
        <w:t xml:space="preserve"> management</w:t>
      </w:r>
      <w:r w:rsidRPr="0084559E">
        <w:t xml:space="preserve"> responsibilities under the RMA. </w:t>
      </w:r>
    </w:p>
    <w:p w14:paraId="44E22361" w14:textId="631A3E25" w:rsidR="00EF5BFC" w:rsidRPr="0084559E" w:rsidRDefault="00EF5BFC" w:rsidP="00886AB2">
      <w:pPr>
        <w:pStyle w:val="BodyText"/>
      </w:pPr>
      <w:r w:rsidRPr="0084559E">
        <w:t>The NPS-FM 2020 applies a framework that considers and recognises Te Mana o Te Wai</w:t>
      </w:r>
      <w:r>
        <w:t xml:space="preserve"> </w:t>
      </w:r>
      <w:r w:rsidRPr="0084559E">
        <w:t>as an integral part of freshwater management.</w:t>
      </w:r>
      <w:r w:rsidRPr="0063677E">
        <w:rPr>
          <w:vertAlign w:val="superscript"/>
        </w:rPr>
        <w:footnoteReference w:id="4"/>
      </w:r>
      <w:r>
        <w:t xml:space="preserve"> It </w:t>
      </w:r>
      <w:r w:rsidRPr="0084559E">
        <w:t xml:space="preserve">requires </w:t>
      </w:r>
      <w:r>
        <w:t xml:space="preserve">that </w:t>
      </w:r>
      <w:r w:rsidRPr="0084559E">
        <w:t>regional councils set long-term visions</w:t>
      </w:r>
      <w:r>
        <w:t xml:space="preserve"> for freshwater</w:t>
      </w:r>
      <w:r w:rsidRPr="0084559E">
        <w:t xml:space="preserve"> in their regional policy statements, and adopt</w:t>
      </w:r>
      <w:r>
        <w:t xml:space="preserve"> freshwater</w:t>
      </w:r>
      <w:r w:rsidRPr="0084559E">
        <w:t xml:space="preserve"> objectives, policies, rules (including limits) in their regional plans by 31 December 2024.</w:t>
      </w:r>
    </w:p>
    <w:p w14:paraId="078EB960" w14:textId="5B63110E" w:rsidR="004C67CC" w:rsidRPr="0084559E" w:rsidRDefault="001E073F" w:rsidP="00886AB2">
      <w:pPr>
        <w:pStyle w:val="BodyText"/>
      </w:pPr>
      <w:r>
        <w:t>Te Mana o te Wai</w:t>
      </w:r>
      <w:r w:rsidR="002A23FB">
        <w:t>,</w:t>
      </w:r>
      <w:r>
        <w:t xml:space="preserve"> </w:t>
      </w:r>
      <w:r w:rsidR="002A23FB">
        <w:t xml:space="preserve">and </w:t>
      </w:r>
      <w:r w:rsidR="002A23FB" w:rsidRPr="002A23FB">
        <w:t xml:space="preserve">the priority </w:t>
      </w:r>
      <w:r w:rsidR="002A23FB">
        <w:t xml:space="preserve">it </w:t>
      </w:r>
      <w:r w:rsidR="002A23FB" w:rsidRPr="002A23FB">
        <w:t>give</w:t>
      </w:r>
      <w:r w:rsidR="002A23FB">
        <w:t>s</w:t>
      </w:r>
      <w:r w:rsidR="002A23FB" w:rsidRPr="002A23FB">
        <w:t xml:space="preserve"> to the health and wellbeing of water bodies and freshwater ecosystems, is represented in the environmental protection criteria</w:t>
      </w:r>
      <w:r w:rsidR="002A23FB">
        <w:t xml:space="preserve"> set out in the RIS</w:t>
      </w:r>
      <w:r w:rsidR="00065C2C">
        <w:t xml:space="preserve"> and efforts to engage with iwi/Māori described above</w:t>
      </w:r>
      <w:r w:rsidR="002A23FB">
        <w:t>.</w:t>
      </w:r>
    </w:p>
    <w:p w14:paraId="327428D7" w14:textId="77777777" w:rsidR="00EF5BFC" w:rsidRPr="0084559E" w:rsidRDefault="00EF5BFC" w:rsidP="00DF390A">
      <w:pPr>
        <w:pStyle w:val="Heading3"/>
      </w:pPr>
      <w:r w:rsidRPr="0084559E">
        <w:t>The NES-F</w:t>
      </w:r>
      <w:r>
        <w:t>reshwater</w:t>
      </w:r>
    </w:p>
    <w:p w14:paraId="2D4F8976" w14:textId="68536600" w:rsidR="00EF5BFC" w:rsidRPr="0084559E" w:rsidRDefault="00EF5BFC" w:rsidP="00886AB2">
      <w:pPr>
        <w:pStyle w:val="BodyText"/>
      </w:pPr>
      <w:r w:rsidRPr="0084559E">
        <w:t xml:space="preserve">The NES-F is the primary implementation tool to stop further degradation of New Zealand’s freshwater resources and to start making improvements so that water quality is materially improving within five years. The standards for farming activities </w:t>
      </w:r>
      <w:r w:rsidR="005D2BF5">
        <w:t xml:space="preserve">(Part 2 of the NES-F) </w:t>
      </w:r>
      <w:r w:rsidRPr="0084559E">
        <w:t>control</w:t>
      </w:r>
      <w:r>
        <w:t xml:space="preserve"> </w:t>
      </w:r>
      <w:r w:rsidRPr="0084559E">
        <w:t xml:space="preserve">high-risk farming activities to </w:t>
      </w:r>
      <w:r>
        <w:t xml:space="preserve">contribute to </w:t>
      </w:r>
      <w:r w:rsidRPr="0084559E">
        <w:t>achiev</w:t>
      </w:r>
      <w:r>
        <w:t>ing</w:t>
      </w:r>
      <w:r w:rsidRPr="0084559E">
        <w:t xml:space="preserve"> the NPS-FM 2020 objective</w:t>
      </w:r>
      <w:r>
        <w:t xml:space="preserve"> of stopping further degradation of freshwater</w:t>
      </w:r>
      <w:r w:rsidRPr="0084559E">
        <w:t xml:space="preserve">. The default conditions for IWG provide a </w:t>
      </w:r>
      <w:r w:rsidR="004F0A4A">
        <w:t xml:space="preserve">permitted activity </w:t>
      </w:r>
      <w:r w:rsidRPr="0084559E">
        <w:t>pathway for the activity to be carried</w:t>
      </w:r>
      <w:r>
        <w:t xml:space="preserve"> out</w:t>
      </w:r>
      <w:r w:rsidRPr="0084559E">
        <w:t xml:space="preserve"> while </w:t>
      </w:r>
      <w:r w:rsidR="00E63F81">
        <w:t>f</w:t>
      </w:r>
      <w:r w:rsidR="00E63F81" w:rsidRPr="0084559E">
        <w:t xml:space="preserve">reshwater </w:t>
      </w:r>
      <w:r w:rsidR="00E63F81">
        <w:t>r</w:t>
      </w:r>
      <w:r w:rsidR="00E63F81" w:rsidRPr="0084559E">
        <w:t xml:space="preserve">egional </w:t>
      </w:r>
      <w:r w:rsidR="006D45F5">
        <w:t>planning instruments</w:t>
      </w:r>
      <w:r w:rsidR="00E63F81" w:rsidRPr="0084559E">
        <w:t xml:space="preserve"> </w:t>
      </w:r>
      <w:r w:rsidRPr="0084559E">
        <w:t>and</w:t>
      </w:r>
      <w:r>
        <w:t xml:space="preserve"> certified</w:t>
      </w:r>
      <w:r w:rsidRPr="0084559E">
        <w:t xml:space="preserve"> </w:t>
      </w:r>
      <w:r w:rsidR="00E63F81">
        <w:t>f</w:t>
      </w:r>
      <w:r w:rsidR="00E63F81" w:rsidRPr="0084559E">
        <w:t xml:space="preserve">reshwater </w:t>
      </w:r>
      <w:r w:rsidR="00E63F81">
        <w:t>f</w:t>
      </w:r>
      <w:r w:rsidR="00E63F81" w:rsidRPr="0084559E">
        <w:t xml:space="preserve">arm </w:t>
      </w:r>
      <w:r w:rsidR="00E63F81">
        <w:t>p</w:t>
      </w:r>
      <w:r w:rsidR="00E63F81" w:rsidRPr="0084559E">
        <w:t>lans</w:t>
      </w:r>
      <w:r w:rsidR="00E63F81">
        <w:t xml:space="preserve"> </w:t>
      </w:r>
      <w:r>
        <w:t>(FW-FP)</w:t>
      </w:r>
      <w:r w:rsidR="0068104F">
        <w:t xml:space="preserve"> </w:t>
      </w:r>
      <w:r w:rsidRPr="0084559E">
        <w:t>are being developed</w:t>
      </w:r>
      <w:r>
        <w:t>.</w:t>
      </w:r>
    </w:p>
    <w:p w14:paraId="5F594709" w14:textId="77777777" w:rsidR="00EF5BFC" w:rsidRDefault="00EF5BFC" w:rsidP="00886AB2">
      <w:pPr>
        <w:pStyle w:val="BodyText"/>
      </w:pPr>
      <w:r w:rsidRPr="0084559E">
        <w:t>The NES-F regulations c</w:t>
      </w:r>
      <w:r>
        <w:t>a</w:t>
      </w:r>
      <w:r w:rsidRPr="0084559E">
        <w:t>me into force in</w:t>
      </w:r>
      <w:r>
        <w:t xml:space="preserve"> September</w:t>
      </w:r>
      <w:r w:rsidRPr="0084559E">
        <w:t xml:space="preserve"> 2020, except for the regulations </w:t>
      </w:r>
      <w:r>
        <w:t>relating to:</w:t>
      </w:r>
    </w:p>
    <w:p w14:paraId="7F0715EF" w14:textId="31BD6549" w:rsidR="00EF5BFC" w:rsidRDefault="00EF5BFC" w:rsidP="00DF390A">
      <w:pPr>
        <w:pStyle w:val="Bullet"/>
      </w:pPr>
      <w:r w:rsidRPr="0084559E">
        <w:t>intensive winter grazing (</w:t>
      </w:r>
      <w:r>
        <w:t xml:space="preserve">some came into force on </w:t>
      </w:r>
      <w:r w:rsidRPr="0084559E">
        <w:t>1 May 2021</w:t>
      </w:r>
      <w:r w:rsidR="00690B36">
        <w:t>,</w:t>
      </w:r>
      <w:r>
        <w:t xml:space="preserve"> </w:t>
      </w:r>
      <w:r w:rsidR="008C7F16">
        <w:t>while</w:t>
      </w:r>
      <w:r>
        <w:t xml:space="preserve"> regulations 26 and 27 were deferred</w:t>
      </w:r>
      <w:r w:rsidR="008C7F16">
        <w:t>,</w:t>
      </w:r>
      <w:r>
        <w:t xml:space="preserve"> initially until 1 May 2022 and now </w:t>
      </w:r>
      <w:r w:rsidR="002338CB">
        <w:t xml:space="preserve">will be </w:t>
      </w:r>
      <w:r>
        <w:t xml:space="preserve">deferred </w:t>
      </w:r>
      <w:r w:rsidRPr="003C41DD">
        <w:t xml:space="preserve">to </w:t>
      </w:r>
      <w:r>
        <w:t xml:space="preserve">1 </w:t>
      </w:r>
      <w:r w:rsidRPr="003C41DD">
        <w:t>November 2022</w:t>
      </w:r>
      <w:r w:rsidRPr="0084559E">
        <w:t>)</w:t>
      </w:r>
    </w:p>
    <w:p w14:paraId="4DE160B8" w14:textId="77777777" w:rsidR="00EF5BFC" w:rsidRDefault="00EF5BFC" w:rsidP="00DF390A">
      <w:pPr>
        <w:pStyle w:val="Bullet"/>
      </w:pPr>
      <w:r w:rsidRPr="0084559E">
        <w:t xml:space="preserve">stockholding areas other than feedlots and synthetic nitrogen fertiliser (1 July 2021).  </w:t>
      </w:r>
    </w:p>
    <w:p w14:paraId="0600A410" w14:textId="129B8A8D" w:rsidR="006604BC" w:rsidRDefault="00EF5BFC" w:rsidP="00886AB2">
      <w:pPr>
        <w:pStyle w:val="BodyText"/>
      </w:pPr>
      <w:r w:rsidRPr="0084559E">
        <w:t xml:space="preserve">The </w:t>
      </w:r>
      <w:r>
        <w:t>purpose of staging the</w:t>
      </w:r>
      <w:r w:rsidRPr="0084559E">
        <w:t xml:space="preserve"> implementation of these regulations was to provide time for the </w:t>
      </w:r>
      <w:r w:rsidR="00790E7F">
        <w:t xml:space="preserve">primary </w:t>
      </w:r>
      <w:r w:rsidRPr="0084559E">
        <w:t>sector to prepare.</w:t>
      </w:r>
    </w:p>
    <w:p w14:paraId="44AC0E36" w14:textId="77777777" w:rsidR="006604BC" w:rsidRDefault="006604BC">
      <w:pPr>
        <w:spacing w:before="0" w:after="200" w:line="276" w:lineRule="auto"/>
        <w:jc w:val="left"/>
      </w:pPr>
      <w:r>
        <w:br w:type="page"/>
      </w:r>
    </w:p>
    <w:p w14:paraId="01CC73D2" w14:textId="5890AD19" w:rsidR="00C7528C" w:rsidRDefault="00C7528C" w:rsidP="00C7528C">
      <w:pPr>
        <w:pStyle w:val="Heading1"/>
        <w:rPr>
          <w:rStyle w:val="Heading1Char"/>
          <w:b/>
          <w:bCs/>
        </w:rPr>
      </w:pPr>
      <w:bookmarkStart w:id="23" w:name="_Evaluation_of_the"/>
      <w:bookmarkStart w:id="24" w:name="_Toc98846761"/>
      <w:bookmarkStart w:id="25" w:name="_Toc99614850"/>
      <w:bookmarkEnd w:id="23"/>
      <w:r>
        <w:rPr>
          <w:rStyle w:val="Heading1Char"/>
          <w:b/>
        </w:rPr>
        <w:t xml:space="preserve">Evaluation of the </w:t>
      </w:r>
      <w:r w:rsidR="00161FB7">
        <w:rPr>
          <w:rStyle w:val="Heading1Char"/>
          <w:b/>
        </w:rPr>
        <w:t xml:space="preserve">proposed </w:t>
      </w:r>
      <w:r>
        <w:rPr>
          <w:rStyle w:val="Heading1Char"/>
          <w:b/>
        </w:rPr>
        <w:t>amendments</w:t>
      </w:r>
      <w:bookmarkEnd w:id="24"/>
      <w:bookmarkEnd w:id="25"/>
    </w:p>
    <w:p w14:paraId="3BED85A8" w14:textId="149E0C39" w:rsidR="002A741A" w:rsidRDefault="002A741A" w:rsidP="00886AB2">
      <w:pPr>
        <w:pStyle w:val="BodyText"/>
      </w:pPr>
      <w:r>
        <w:t xml:space="preserve">This report has drawn on the following information to evaluate the </w:t>
      </w:r>
      <w:r w:rsidR="009973C4">
        <w:t>proposed</w:t>
      </w:r>
      <w:r>
        <w:t xml:space="preserve"> amendments to the IWG regulations:</w:t>
      </w:r>
    </w:p>
    <w:p w14:paraId="41DAB20C" w14:textId="535FFDD9" w:rsidR="00DE66F0" w:rsidRDefault="00F54792" w:rsidP="00DE66F0">
      <w:pPr>
        <w:pStyle w:val="Bullet"/>
      </w:pPr>
      <w:hyperlink r:id="rId36" w:history="1">
        <w:r w:rsidR="000544D0" w:rsidRPr="000544D0">
          <w:rPr>
            <w:rStyle w:val="Hyperlink"/>
          </w:rPr>
          <w:t xml:space="preserve">2020 </w:t>
        </w:r>
        <w:r w:rsidR="00DE66F0" w:rsidRPr="000544D0">
          <w:rPr>
            <w:rStyle w:val="Hyperlink"/>
          </w:rPr>
          <w:t>section 32 report</w:t>
        </w:r>
      </w:hyperlink>
      <w:r w:rsidR="00DE66F0">
        <w:t xml:space="preserve"> that accompanied the NPS-FM 2020 and NES-F</w:t>
      </w:r>
    </w:p>
    <w:p w14:paraId="6996E2AD" w14:textId="58066949" w:rsidR="00DE66F0" w:rsidRDefault="00F54792" w:rsidP="00DE66F0">
      <w:pPr>
        <w:pStyle w:val="Bullet"/>
      </w:pPr>
      <w:hyperlink r:id="rId37" w:history="1">
        <w:r w:rsidR="00AC0EF5" w:rsidRPr="002577C8">
          <w:rPr>
            <w:rStyle w:val="Hyperlink"/>
          </w:rPr>
          <w:t xml:space="preserve">regulatory impact </w:t>
        </w:r>
        <w:r w:rsidR="009163DC">
          <w:rPr>
            <w:rStyle w:val="Hyperlink"/>
          </w:rPr>
          <w:t>assessment</w:t>
        </w:r>
      </w:hyperlink>
      <w:r w:rsidR="00AC0EF5">
        <w:t xml:space="preserve"> </w:t>
      </w:r>
      <w:r w:rsidR="00DE66F0">
        <w:t>that accompanied the NPS-FM 2020 and NES-F</w:t>
      </w:r>
    </w:p>
    <w:p w14:paraId="6BBE5DDF" w14:textId="5124C96C" w:rsidR="00DE66F0" w:rsidRDefault="00F54792" w:rsidP="00DE66F0">
      <w:pPr>
        <w:pStyle w:val="Bullet"/>
      </w:pPr>
      <w:hyperlink r:id="rId38" w:history="1">
        <w:r w:rsidR="00E677B6" w:rsidRPr="006E2BF1">
          <w:rPr>
            <w:rStyle w:val="Hyperlink"/>
          </w:rPr>
          <w:t xml:space="preserve">report </w:t>
        </w:r>
      </w:hyperlink>
      <w:r w:rsidR="00DE66F0" w:rsidRPr="00AB3AB6">
        <w:t xml:space="preserve">from </w:t>
      </w:r>
      <w:r w:rsidR="00DE66F0">
        <w:t>t</w:t>
      </w:r>
      <w:r w:rsidR="00DE66F0" w:rsidRPr="00306AD8">
        <w:t>he Southland Intensive Winter Grazing NES Advisory Group (SAG)</w:t>
      </w:r>
    </w:p>
    <w:p w14:paraId="222D5A92" w14:textId="4955DF47" w:rsidR="002A741A" w:rsidRDefault="00F54792" w:rsidP="00ED6289">
      <w:pPr>
        <w:pStyle w:val="Bullet"/>
      </w:pPr>
      <w:hyperlink r:id="rId39" w:history="1">
        <w:r w:rsidR="00EE291C" w:rsidRPr="00EE291C">
          <w:rPr>
            <w:rStyle w:val="Hyperlink"/>
          </w:rPr>
          <w:t>discussion document</w:t>
        </w:r>
      </w:hyperlink>
      <w:r w:rsidR="00EE291C" w:rsidRPr="00920B33">
        <w:t xml:space="preserve"> on proposed changes to intensive winter grazing</w:t>
      </w:r>
    </w:p>
    <w:p w14:paraId="40F85307" w14:textId="7E14E13F" w:rsidR="002A741A" w:rsidRDefault="00F54792" w:rsidP="00ED6289">
      <w:pPr>
        <w:pStyle w:val="Bullet"/>
      </w:pPr>
      <w:hyperlink r:id="rId40" w:history="1">
        <w:r w:rsidR="00C91B83" w:rsidRPr="0016642E">
          <w:rPr>
            <w:rStyle w:val="Hyperlink"/>
          </w:rPr>
          <w:t>summary of submissions</w:t>
        </w:r>
      </w:hyperlink>
      <w:r w:rsidR="00C91B83" w:rsidRPr="0016642E">
        <w:t xml:space="preserve"> </w:t>
      </w:r>
      <w:r w:rsidR="00C91B83">
        <w:t xml:space="preserve">and </w:t>
      </w:r>
      <w:r w:rsidR="00E677B6" w:rsidRPr="00CE6507">
        <w:t>submissions</w:t>
      </w:r>
      <w:r w:rsidR="00E677B6">
        <w:t xml:space="preserve"> </w:t>
      </w:r>
      <w:r w:rsidR="002A741A">
        <w:t xml:space="preserve">from </w:t>
      </w:r>
      <w:r w:rsidR="00E677B6">
        <w:t xml:space="preserve">the </w:t>
      </w:r>
      <w:r w:rsidR="002A741A">
        <w:t xml:space="preserve">2021 consultation on the </w:t>
      </w:r>
      <w:r w:rsidR="00126A9E">
        <w:t xml:space="preserve">discussion </w:t>
      </w:r>
      <w:r w:rsidR="002A741A">
        <w:t>document</w:t>
      </w:r>
    </w:p>
    <w:p w14:paraId="23E01B6F" w14:textId="4C28130A" w:rsidR="00881ABD" w:rsidRDefault="00F54792" w:rsidP="00ED6289">
      <w:pPr>
        <w:pStyle w:val="Bullet"/>
      </w:pPr>
      <w:hyperlink r:id="rId41" w:history="1">
        <w:r w:rsidR="007C69B7" w:rsidRPr="00426DD2">
          <w:rPr>
            <w:rStyle w:val="Hyperlink"/>
          </w:rPr>
          <w:t>r</w:t>
        </w:r>
        <w:r w:rsidR="0036271F" w:rsidRPr="00426DD2">
          <w:rPr>
            <w:rStyle w:val="Hyperlink"/>
          </w:rPr>
          <w:t>eport and recommendations</w:t>
        </w:r>
      </w:hyperlink>
      <w:r w:rsidR="0036271F" w:rsidRPr="00426DD2">
        <w:t xml:space="preserve"> on i</w:t>
      </w:r>
      <w:r w:rsidR="006F7AA8" w:rsidRPr="00426DD2">
        <w:t>ntensive winter grazing amendments</w:t>
      </w:r>
      <w:r w:rsidR="006F7AA8">
        <w:rPr>
          <w:i/>
          <w:iCs/>
        </w:rPr>
        <w:t xml:space="preserve"> </w:t>
      </w:r>
    </w:p>
    <w:p w14:paraId="07B20E0B" w14:textId="7115747A" w:rsidR="002A741A" w:rsidRDefault="00F54792" w:rsidP="00ED6289">
      <w:pPr>
        <w:pStyle w:val="Bullet"/>
      </w:pPr>
      <w:hyperlink r:id="rId42" w:history="1">
        <w:r w:rsidR="007C69B7" w:rsidRPr="00964E22">
          <w:rPr>
            <w:rStyle w:val="Hyperlink"/>
          </w:rPr>
          <w:t>i</w:t>
        </w:r>
        <w:r w:rsidR="004D3BA0" w:rsidRPr="00964E22">
          <w:rPr>
            <w:rStyle w:val="Hyperlink"/>
          </w:rPr>
          <w:t>nterim regulatory impact statement</w:t>
        </w:r>
      </w:hyperlink>
      <w:r w:rsidR="00E677B6" w:rsidRPr="00964E22">
        <w:t xml:space="preserve"> on intensive winter grazing</w:t>
      </w:r>
      <w:r w:rsidR="00794414" w:rsidRPr="00964E22">
        <w:t xml:space="preserve"> </w:t>
      </w:r>
      <w:r w:rsidR="0036271F" w:rsidRPr="00964E22">
        <w:t>(</w:t>
      </w:r>
      <w:r w:rsidR="00794414" w:rsidRPr="00964E22">
        <w:t>August 2021</w:t>
      </w:r>
      <w:r w:rsidR="0036271F" w:rsidRPr="00964E22">
        <w:t>)</w:t>
      </w:r>
    </w:p>
    <w:p w14:paraId="54D17B16" w14:textId="7BE59789" w:rsidR="002A741A" w:rsidRPr="00964E22" w:rsidRDefault="00F54792" w:rsidP="00ED6289">
      <w:pPr>
        <w:pStyle w:val="Bullet"/>
      </w:pPr>
      <w:hyperlink r:id="rId43" w:history="1">
        <w:r w:rsidR="002A741A" w:rsidRPr="00964E22">
          <w:rPr>
            <w:rStyle w:val="Hyperlink"/>
          </w:rPr>
          <w:t xml:space="preserve">final </w:t>
        </w:r>
        <w:r w:rsidR="00AC0EF5" w:rsidRPr="00964E22">
          <w:rPr>
            <w:rStyle w:val="Hyperlink"/>
          </w:rPr>
          <w:t>regulatory impact statement</w:t>
        </w:r>
      </w:hyperlink>
      <w:r w:rsidR="00794414" w:rsidRPr="00964E22">
        <w:t xml:space="preserve"> on intensive winter grazing </w:t>
      </w:r>
      <w:r w:rsidR="003911D5" w:rsidRPr="00964E22">
        <w:t>(</w:t>
      </w:r>
      <w:r w:rsidR="00F26EA5">
        <w:t>March</w:t>
      </w:r>
      <w:r w:rsidR="005038FF" w:rsidRPr="00964E22">
        <w:t xml:space="preserve"> </w:t>
      </w:r>
      <w:r w:rsidR="00900D2A" w:rsidRPr="00964E22">
        <w:t>2022</w:t>
      </w:r>
      <w:r w:rsidR="003911D5" w:rsidRPr="00964E22">
        <w:t>)</w:t>
      </w:r>
      <w:r w:rsidR="00881ABD" w:rsidRPr="00964E22">
        <w:t>.</w:t>
      </w:r>
    </w:p>
    <w:p w14:paraId="036BD296" w14:textId="1A831B26" w:rsidR="002A741A" w:rsidRDefault="002A741A" w:rsidP="00ED6289">
      <w:pPr>
        <w:pStyle w:val="Heading2"/>
      </w:pPr>
      <w:bookmarkStart w:id="26" w:name="_Toc97117740"/>
      <w:bookmarkStart w:id="27" w:name="_Toc99614851"/>
      <w:r>
        <w:t>Intensive winter grazing regulations</w:t>
      </w:r>
      <w:bookmarkEnd w:id="26"/>
      <w:bookmarkEnd w:id="27"/>
    </w:p>
    <w:p w14:paraId="5A7A84EE" w14:textId="09E59B58" w:rsidR="002A741A" w:rsidRPr="00B55B4C" w:rsidRDefault="002A741A" w:rsidP="00886AB2">
      <w:pPr>
        <w:pStyle w:val="BodyText"/>
      </w:pPr>
      <w:r w:rsidRPr="00B55B4C">
        <w:t>Winter forage crops are an important part of the pastoral farm production system and profitability.</w:t>
      </w:r>
      <w:r w:rsidRPr="00B55B4C" w:rsidDel="00635E97">
        <w:t xml:space="preserve"> </w:t>
      </w:r>
      <w:r w:rsidRPr="00B55B4C">
        <w:t xml:space="preserve">Meeting feed demand </w:t>
      </w:r>
      <w:r>
        <w:t xml:space="preserve">from </w:t>
      </w:r>
      <w:r w:rsidRPr="00B55B4C">
        <w:t>increased stock numbers, has meant that some stock grazing systems are becoming increasingly intensive.</w:t>
      </w:r>
    </w:p>
    <w:p w14:paraId="294A8065" w14:textId="29D71B45" w:rsidR="002A741A" w:rsidRDefault="002A741A" w:rsidP="00886AB2">
      <w:pPr>
        <w:pStyle w:val="BodyText"/>
      </w:pPr>
      <w:r w:rsidRPr="00565FEE">
        <w:t xml:space="preserve">There is evidence that environmentally risky </w:t>
      </w:r>
      <w:r>
        <w:t xml:space="preserve">IWG practices </w:t>
      </w:r>
      <w:r w:rsidRPr="00565FEE">
        <w:t xml:space="preserve">have expanded in scope, frequency, and </w:t>
      </w:r>
      <w:r>
        <w:t>o</w:t>
      </w:r>
      <w:r w:rsidRPr="00565FEE">
        <w:t xml:space="preserve">nto unsuitable areas (eg, steeper slopes) causing soil erosion and degradation of waterways. Currently, many regional plans do not regulate </w:t>
      </w:r>
      <w:r>
        <w:t>IWG</w:t>
      </w:r>
      <w:r w:rsidRPr="00565FEE">
        <w:t xml:space="preserve"> in a targeted way</w:t>
      </w:r>
      <w:r w:rsidR="00534434">
        <w:t>,</w:t>
      </w:r>
      <w:r>
        <w:t xml:space="preserve"> yet the farming practice has become prominent in some regions including Southland, Canterbury, and Otago</w:t>
      </w:r>
      <w:r w:rsidR="002577C8">
        <w:t>.</w:t>
      </w:r>
      <w:r w:rsidRPr="00537FF9">
        <w:rPr>
          <w:vertAlign w:val="superscript"/>
        </w:rPr>
        <w:footnoteReference w:id="5"/>
      </w:r>
    </w:p>
    <w:p w14:paraId="2A2C65AE" w14:textId="74C2BA84" w:rsidR="002A741A" w:rsidRDefault="002A741A" w:rsidP="00886AB2">
      <w:pPr>
        <w:pStyle w:val="BodyText"/>
      </w:pPr>
      <w:r>
        <w:t>NES-F r</w:t>
      </w:r>
      <w:r w:rsidRPr="00BA1436">
        <w:t>egulations 26 and 27</w:t>
      </w:r>
      <w:r>
        <w:t xml:space="preserve"> </w:t>
      </w:r>
      <w:r w:rsidRPr="00BA1436">
        <w:t xml:space="preserve">introduced a </w:t>
      </w:r>
      <w:r w:rsidRPr="00BA1436" w:rsidDel="00CA7176">
        <w:t xml:space="preserve">nationally </w:t>
      </w:r>
      <w:r w:rsidRPr="00BA1436">
        <w:t>consistent consenting regime that targets the environmental risk</w:t>
      </w:r>
      <w:r>
        <w:t>s</w:t>
      </w:r>
      <w:r w:rsidRPr="00BA1436">
        <w:t xml:space="preserve"> associated with </w:t>
      </w:r>
      <w:r>
        <w:t>IWG</w:t>
      </w:r>
      <w:r w:rsidRPr="00BA1436">
        <w:t xml:space="preserve"> practices. The regulations provide a set of parameters </w:t>
      </w:r>
      <w:r>
        <w:t>for</w:t>
      </w:r>
      <w:r w:rsidRPr="00BA1436">
        <w:t xml:space="preserve"> managing land and land use activities to minimise sediment</w:t>
      </w:r>
      <w:r>
        <w:t xml:space="preserve"> in </w:t>
      </w:r>
      <w:r w:rsidRPr="00BA1436">
        <w:t xml:space="preserve">runoff </w:t>
      </w:r>
      <w:r>
        <w:t>to</w:t>
      </w:r>
      <w:r w:rsidRPr="00BA1436">
        <w:t xml:space="preserve"> waterways.</w:t>
      </w:r>
    </w:p>
    <w:p w14:paraId="04458687" w14:textId="77777777" w:rsidR="002A741A" w:rsidRPr="00BA1436" w:rsidRDefault="002A741A" w:rsidP="00ED6289">
      <w:pPr>
        <w:pStyle w:val="Heading3"/>
      </w:pPr>
      <w:r>
        <w:t>Regulation 26</w:t>
      </w:r>
    </w:p>
    <w:p w14:paraId="7A469300" w14:textId="7368D3BD" w:rsidR="002A741A" w:rsidRDefault="00F54792" w:rsidP="00886AB2">
      <w:pPr>
        <w:pStyle w:val="BodyText"/>
      </w:pPr>
      <w:hyperlink r:id="rId44" w:history="1">
        <w:r w:rsidR="002A741A" w:rsidRPr="0012326A">
          <w:rPr>
            <w:rStyle w:val="Hyperlink"/>
          </w:rPr>
          <w:t>Regulation 26</w:t>
        </w:r>
      </w:hyperlink>
      <w:r w:rsidR="002A741A" w:rsidRPr="00BA1436">
        <w:t xml:space="preserve"> provides </w:t>
      </w:r>
      <w:r w:rsidR="002A741A">
        <w:t>two</w:t>
      </w:r>
      <w:r w:rsidR="002A741A" w:rsidRPr="00BA1436">
        <w:t xml:space="preserve"> pathway</w:t>
      </w:r>
      <w:r w:rsidR="002A741A">
        <w:t>s</w:t>
      </w:r>
      <w:r w:rsidR="002A741A" w:rsidRPr="00BA1436">
        <w:t xml:space="preserve"> for IWG activities to occur as </w:t>
      </w:r>
      <w:r w:rsidR="002A741A">
        <w:t xml:space="preserve">a </w:t>
      </w:r>
      <w:r w:rsidR="002A741A" w:rsidRPr="00BA1436">
        <w:t xml:space="preserve">permitted </w:t>
      </w:r>
      <w:r w:rsidR="002A741A">
        <w:t>activity:</w:t>
      </w:r>
    </w:p>
    <w:p w14:paraId="00825C6B" w14:textId="74507B79" w:rsidR="002A741A" w:rsidRDefault="002A741A" w:rsidP="00ED6289">
      <w:pPr>
        <w:pStyle w:val="Bullet"/>
      </w:pPr>
      <w:r>
        <w:t>Pathway 1</w:t>
      </w:r>
      <w:r w:rsidR="00100B52">
        <w:t>:</w:t>
      </w:r>
      <w:r>
        <w:t xml:space="preserve"> </w:t>
      </w:r>
      <w:r w:rsidR="005678BA">
        <w:t>permitted if</w:t>
      </w:r>
      <w:r>
        <w:t xml:space="preserve"> a set of default conditions </w:t>
      </w:r>
      <w:r w:rsidR="005678BA">
        <w:t>are</w:t>
      </w:r>
      <w:r>
        <w:t xml:space="preserve"> met (regulation 26 (4)).</w:t>
      </w:r>
    </w:p>
    <w:p w14:paraId="24201A43" w14:textId="2D682A92" w:rsidR="002A741A" w:rsidRDefault="002A741A" w:rsidP="00ED6289">
      <w:pPr>
        <w:pStyle w:val="Bullet"/>
      </w:pPr>
      <w:r>
        <w:t>Pathway 2</w:t>
      </w:r>
      <w:r w:rsidR="005678BA">
        <w:t>: permitted if</w:t>
      </w:r>
      <w:r>
        <w:t xml:space="preserve"> </w:t>
      </w:r>
      <w:r w:rsidRPr="001552D5">
        <w:t xml:space="preserve">a certified FW-FP </w:t>
      </w:r>
      <w:r w:rsidR="005678BA">
        <w:t xml:space="preserve">is obtained, </w:t>
      </w:r>
      <w:r w:rsidRPr="001552D5">
        <w:t xml:space="preserve">under which the </w:t>
      </w:r>
      <w:r w:rsidR="00450C67">
        <w:t xml:space="preserve">adverse </w:t>
      </w:r>
      <w:r w:rsidRPr="001552D5">
        <w:t xml:space="preserve">effects </w:t>
      </w:r>
      <w:r w:rsidR="00EB1A4E">
        <w:t>must</w:t>
      </w:r>
      <w:r w:rsidRPr="001552D5">
        <w:t xml:space="preserve"> be no greater than had the default conditions been met</w:t>
      </w:r>
      <w:r>
        <w:t xml:space="preserve"> (regulation 26 (3)). </w:t>
      </w:r>
    </w:p>
    <w:p w14:paraId="7E9C4851" w14:textId="77777777" w:rsidR="002A741A" w:rsidRDefault="002A741A" w:rsidP="00886AB2">
      <w:pPr>
        <w:pStyle w:val="BodyText"/>
      </w:pPr>
      <w:r>
        <w:t>For Pathway 1 the</w:t>
      </w:r>
      <w:r w:rsidRPr="00BA1436">
        <w:t xml:space="preserve"> </w:t>
      </w:r>
      <w:r>
        <w:t>scope of the default conditions under the permitted</w:t>
      </w:r>
      <w:r w:rsidRPr="00BA1436">
        <w:t xml:space="preserve"> activity </w:t>
      </w:r>
      <w:r>
        <w:t>currently</w:t>
      </w:r>
      <w:r w:rsidRPr="00BA1436">
        <w:t xml:space="preserve"> </w:t>
      </w:r>
      <w:r>
        <w:t>includes:</w:t>
      </w:r>
    </w:p>
    <w:p w14:paraId="4C8F37CF" w14:textId="0B9E85D8" w:rsidR="002A741A" w:rsidRDefault="00F978D4" w:rsidP="00ED6289">
      <w:pPr>
        <w:pStyle w:val="Bullet"/>
      </w:pPr>
      <w:r>
        <w:t xml:space="preserve">total </w:t>
      </w:r>
      <w:r w:rsidR="002A741A" w:rsidRPr="00BA1436">
        <w:t>area</w:t>
      </w:r>
    </w:p>
    <w:p w14:paraId="2D5CE37B" w14:textId="17630BDD" w:rsidR="002A741A" w:rsidRDefault="002A741A" w:rsidP="00ED6289">
      <w:pPr>
        <w:pStyle w:val="Bullet"/>
      </w:pPr>
      <w:r w:rsidRPr="00BA1436">
        <w:t>slope</w:t>
      </w:r>
    </w:p>
    <w:p w14:paraId="5395BD92" w14:textId="1175BBA2" w:rsidR="00E90A78" w:rsidRDefault="00E90A78" w:rsidP="00E90A78">
      <w:pPr>
        <w:pStyle w:val="Bullet"/>
      </w:pPr>
      <w:r w:rsidRPr="00BA1436">
        <w:t>pugging</w:t>
      </w:r>
    </w:p>
    <w:p w14:paraId="105FCB62" w14:textId="1D377762" w:rsidR="00E90A78" w:rsidRDefault="00263820" w:rsidP="00E90A78">
      <w:pPr>
        <w:pStyle w:val="Bullet"/>
      </w:pPr>
      <w:r>
        <w:t>buffer zones</w:t>
      </w:r>
      <w:r w:rsidR="00E90A78" w:rsidRPr="00BA1436">
        <w:t xml:space="preserve"> from waterways</w:t>
      </w:r>
    </w:p>
    <w:p w14:paraId="5F8FB302" w14:textId="6B7F909B" w:rsidR="002A741A" w:rsidRDefault="00CA7176" w:rsidP="00ED6289">
      <w:pPr>
        <w:pStyle w:val="Bullet"/>
      </w:pPr>
      <w:r>
        <w:t>r</w:t>
      </w:r>
      <w:r w:rsidRPr="00BA1436">
        <w:t>esowing</w:t>
      </w:r>
      <w:r>
        <w:t>.</w:t>
      </w:r>
    </w:p>
    <w:p w14:paraId="7E46575A" w14:textId="7ECA2BA0" w:rsidR="002A741A" w:rsidRDefault="006D5E65" w:rsidP="00886AB2">
      <w:pPr>
        <w:pStyle w:val="BodyText"/>
      </w:pPr>
      <w:r>
        <w:t xml:space="preserve">Pathway 2 is not yet available, and </w:t>
      </w:r>
      <w:r w:rsidR="002A741A">
        <w:t xml:space="preserve">the </w:t>
      </w:r>
      <w:r w:rsidR="00146823" w:rsidRPr="000F388C">
        <w:t>Ministry for the E</w:t>
      </w:r>
      <w:r w:rsidR="00146823">
        <w:t>nv</w:t>
      </w:r>
      <w:r w:rsidR="00146823" w:rsidRPr="000F388C">
        <w:t>i</w:t>
      </w:r>
      <w:r w:rsidR="00146823">
        <w:t>r</w:t>
      </w:r>
      <w:r w:rsidR="00146823" w:rsidRPr="000F388C">
        <w:t xml:space="preserve">onment and the Ministry for Primary Industries </w:t>
      </w:r>
      <w:r w:rsidR="002A741A">
        <w:t xml:space="preserve">are </w:t>
      </w:r>
      <w:r w:rsidR="00D42FCA">
        <w:t xml:space="preserve">currently </w:t>
      </w:r>
      <w:r w:rsidR="002A741A">
        <w:t xml:space="preserve">developing the FW-FP </w:t>
      </w:r>
      <w:r w:rsidR="004D2974">
        <w:t>regime</w:t>
      </w:r>
      <w:r w:rsidR="002A741A">
        <w:t xml:space="preserve"> and certification process</w:t>
      </w:r>
      <w:r w:rsidR="004D2974">
        <w:t xml:space="preserve"> which sits behind</w:t>
      </w:r>
      <w:r>
        <w:t xml:space="preserve"> this pathway</w:t>
      </w:r>
      <w:r w:rsidR="002A741A">
        <w:t>.</w:t>
      </w:r>
    </w:p>
    <w:p w14:paraId="6B921679" w14:textId="77777777" w:rsidR="002A741A" w:rsidRDefault="002A741A" w:rsidP="00ED6289">
      <w:pPr>
        <w:pStyle w:val="Heading3"/>
      </w:pPr>
      <w:r>
        <w:t>Regulation 27</w:t>
      </w:r>
    </w:p>
    <w:p w14:paraId="5E7506AF" w14:textId="05796F03" w:rsidR="002A741A" w:rsidRDefault="002A741A" w:rsidP="00886AB2">
      <w:pPr>
        <w:pStyle w:val="BodyText"/>
      </w:pPr>
      <w:r>
        <w:t xml:space="preserve">Regulation 27 establishes that a </w:t>
      </w:r>
      <w:r w:rsidRPr="00BA1436">
        <w:t>resource consent as a restricted discretionary activity is required</w:t>
      </w:r>
      <w:r>
        <w:t xml:space="preserve"> f</w:t>
      </w:r>
      <w:r w:rsidRPr="00BA1436">
        <w:t xml:space="preserve">or </w:t>
      </w:r>
      <w:r>
        <w:t xml:space="preserve">IWG </w:t>
      </w:r>
      <w:r w:rsidRPr="00BA1436">
        <w:t xml:space="preserve">activities </w:t>
      </w:r>
      <w:r>
        <w:t xml:space="preserve">that are </w:t>
      </w:r>
      <w:r w:rsidRPr="00BA1436">
        <w:t>not able to meet the permitted activity conditions</w:t>
      </w:r>
      <w:r>
        <w:t xml:space="preserve"> in regulation 26</w:t>
      </w:r>
      <w:r w:rsidRPr="00BA1436">
        <w:t xml:space="preserve">. Applicants and decision makers need to specifically consider the </w:t>
      </w:r>
      <w:r>
        <w:t xml:space="preserve">matters </w:t>
      </w:r>
      <w:r w:rsidR="0082128A">
        <w:t xml:space="preserve">set out in </w:t>
      </w:r>
      <w:hyperlink r:id="rId45" w:history="1">
        <w:r w:rsidRPr="006B10F5">
          <w:rPr>
            <w:rStyle w:val="Hyperlink"/>
          </w:rPr>
          <w:t>Regulation 27(4)</w:t>
        </w:r>
      </w:hyperlink>
      <w:r w:rsidR="006B10F5">
        <w:t>:</w:t>
      </w:r>
    </w:p>
    <w:tbl>
      <w:tblPr>
        <w:tblStyle w:val="TableGrid"/>
        <w:tblW w:w="8505" w:type="dxa"/>
        <w:tblInd w:w="108"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204172" w14:paraId="60DC4D99" w14:textId="77777777" w:rsidTr="00A16FFE">
        <w:tc>
          <w:tcPr>
            <w:tcW w:w="0" w:type="auto"/>
            <w:shd w:val="clear" w:color="auto" w:fill="D2DDE2"/>
          </w:tcPr>
          <w:p w14:paraId="2A2BD9E1" w14:textId="2E151643" w:rsidR="00F21ECE" w:rsidRDefault="00F21ECE" w:rsidP="00F21ECE">
            <w:pPr>
              <w:pStyle w:val="Boxheading0"/>
            </w:pPr>
            <w:r>
              <w:t>27</w:t>
            </w:r>
            <w:r w:rsidRPr="007314A3">
              <w:tab/>
            </w:r>
            <w:r>
              <w:t>Restricted discretionary activities</w:t>
            </w:r>
          </w:p>
          <w:p w14:paraId="1CC4F9FB" w14:textId="755FDC82" w:rsidR="00FE598E" w:rsidRPr="00902886" w:rsidRDefault="00FE598E" w:rsidP="00FE598E">
            <w:pPr>
              <w:pStyle w:val="Boxbullet"/>
              <w:numPr>
                <w:ilvl w:val="0"/>
                <w:numId w:val="0"/>
              </w:numPr>
              <w:tabs>
                <w:tab w:val="clear" w:pos="680"/>
                <w:tab w:val="left" w:pos="909"/>
              </w:tabs>
              <w:spacing w:before="120"/>
              <w:ind w:left="768" w:hanging="484"/>
            </w:pPr>
            <w:r>
              <w:t>…</w:t>
            </w:r>
          </w:p>
          <w:p w14:paraId="3B914101" w14:textId="00D84805" w:rsidR="00F21ECE" w:rsidRPr="00F21ECE" w:rsidRDefault="00FE598E" w:rsidP="00FE598E">
            <w:pPr>
              <w:pStyle w:val="Boxbullet"/>
              <w:numPr>
                <w:ilvl w:val="0"/>
                <w:numId w:val="0"/>
              </w:numPr>
              <w:tabs>
                <w:tab w:val="clear" w:pos="680"/>
                <w:tab w:val="left" w:pos="909"/>
              </w:tabs>
              <w:spacing w:before="120"/>
              <w:ind w:left="768" w:hanging="484"/>
            </w:pPr>
            <w:r>
              <w:t>(4</w:t>
            </w:r>
            <w:r w:rsidRPr="00902886">
              <w:t>)</w:t>
            </w:r>
            <w:r w:rsidRPr="005D3D76">
              <w:tab/>
            </w:r>
            <w:r>
              <w:t>The discretion of a consent authority is restricted to the following matters:</w:t>
            </w:r>
          </w:p>
          <w:p w14:paraId="6689AADC" w14:textId="77777777" w:rsidR="00204172" w:rsidRPr="00204172" w:rsidRDefault="00204172" w:rsidP="00204172">
            <w:pPr>
              <w:pStyle w:val="Boxtext"/>
              <w:numPr>
                <w:ilvl w:val="0"/>
                <w:numId w:val="22"/>
              </w:numPr>
            </w:pPr>
            <w:r w:rsidRPr="00204172">
              <w:t>the adverse effects of the activity on ecosystems, freshwater, and water bodies;</w:t>
            </w:r>
          </w:p>
          <w:p w14:paraId="4A6C9569" w14:textId="77777777" w:rsidR="00204172" w:rsidRPr="00204172" w:rsidRDefault="00204172" w:rsidP="00204172">
            <w:pPr>
              <w:pStyle w:val="Boxtext"/>
              <w:numPr>
                <w:ilvl w:val="0"/>
                <w:numId w:val="22"/>
              </w:numPr>
            </w:pPr>
            <w:r w:rsidRPr="00204172">
              <w:t>the adverse effects on the water that people come into contact with;</w:t>
            </w:r>
          </w:p>
          <w:p w14:paraId="42ACAEAB" w14:textId="77777777" w:rsidR="00204172" w:rsidRPr="00204172" w:rsidRDefault="00204172" w:rsidP="00204172">
            <w:pPr>
              <w:pStyle w:val="Boxtext"/>
              <w:numPr>
                <w:ilvl w:val="0"/>
                <w:numId w:val="22"/>
              </w:numPr>
            </w:pPr>
            <w:r w:rsidRPr="00204172">
              <w:t>the adverse effects of the activity on Māori cultural values;</w:t>
            </w:r>
          </w:p>
          <w:p w14:paraId="75B5A192" w14:textId="77777777" w:rsidR="00204172" w:rsidRPr="00204172" w:rsidRDefault="00204172" w:rsidP="00204172">
            <w:pPr>
              <w:pStyle w:val="Boxtext"/>
              <w:numPr>
                <w:ilvl w:val="0"/>
                <w:numId w:val="22"/>
              </w:numPr>
            </w:pPr>
            <w:r w:rsidRPr="00204172">
              <w:t>the susceptibility of the land to erosion and the risk of sediment loss and other contaminants to water;</w:t>
            </w:r>
          </w:p>
          <w:p w14:paraId="5743D8AD" w14:textId="6BC4ADEC" w:rsidR="00204172" w:rsidRPr="00237E41" w:rsidRDefault="00204172" w:rsidP="00535C86">
            <w:pPr>
              <w:pStyle w:val="Boxtext"/>
              <w:numPr>
                <w:ilvl w:val="0"/>
                <w:numId w:val="22"/>
              </w:numPr>
            </w:pPr>
            <w:r w:rsidRPr="00204172">
              <w:t>methods proposed to avoid, remedy, or mitigate the loss of contaminants to water.</w:t>
            </w:r>
          </w:p>
        </w:tc>
      </w:tr>
    </w:tbl>
    <w:p w14:paraId="2BD80662" w14:textId="77777777" w:rsidR="0082314F" w:rsidRDefault="0082314F" w:rsidP="0082314F">
      <w:pPr>
        <w:pStyle w:val="Heading2"/>
      </w:pPr>
      <w:bookmarkStart w:id="28" w:name="_Toc99614852"/>
      <w:bookmarkStart w:id="29" w:name="_Toc97117741"/>
      <w:r>
        <w:t>Te Tiriti o Waitangi | Treaty of Waitangi</w:t>
      </w:r>
      <w:bookmarkEnd w:id="28"/>
    </w:p>
    <w:p w14:paraId="52233223" w14:textId="77777777" w:rsidR="00BC7C94" w:rsidRDefault="0082314F" w:rsidP="0082314F">
      <w:pPr>
        <w:pStyle w:val="BodyText"/>
      </w:pPr>
      <w:r w:rsidRPr="000D2B10">
        <w:t>Freshwater is a precious and limited resource, a taonga of huge significance, and is of particular importance to M</w:t>
      </w:r>
      <w:r w:rsidRPr="002572EB">
        <w:t>ā</w:t>
      </w:r>
      <w:r w:rsidRPr="000D2B10">
        <w:t xml:space="preserve">ori. </w:t>
      </w:r>
      <w:r w:rsidRPr="00975F23">
        <w:t xml:space="preserve"> The Crown has a range of duties as a result of Treaty settlements</w:t>
      </w:r>
      <w:r>
        <w:t>.</w:t>
      </w:r>
      <w:r w:rsidRPr="000D2B10">
        <w:t xml:space="preserve"> It also has broad responsibilities to protect taonga, the exercise of tino rangatiratanga and k</w:t>
      </w:r>
      <w:r w:rsidRPr="002572EB">
        <w:t>ā</w:t>
      </w:r>
      <w:r w:rsidRPr="000D2B10">
        <w:t>wanatanga, and the principles of the Treaty</w:t>
      </w:r>
      <w:r>
        <w:t xml:space="preserve"> of Waitangi</w:t>
      </w:r>
      <w:r w:rsidRPr="000D2B10">
        <w:t>.</w:t>
      </w:r>
    </w:p>
    <w:p w14:paraId="6A08739E" w14:textId="0E54468C" w:rsidR="0082314F" w:rsidRDefault="0082314F" w:rsidP="0082314F">
      <w:pPr>
        <w:pStyle w:val="BodyText"/>
      </w:pPr>
      <w:r>
        <w:t>Related to this, proposals to amend IWG regulations have been assessed against Te Mana o te Wai as a criteria and the priority it gives to the health and wellbeing of water bodies and freshwater ecosystems.</w:t>
      </w:r>
      <w:r>
        <w:rPr>
          <w:rStyle w:val="FootnoteReference"/>
        </w:rPr>
        <w:footnoteReference w:id="6"/>
      </w:r>
    </w:p>
    <w:p w14:paraId="318A724B" w14:textId="77777777" w:rsidR="0082314F" w:rsidRDefault="0082314F" w:rsidP="0082314F">
      <w:pPr>
        <w:pStyle w:val="BodyText"/>
      </w:pPr>
      <w:r>
        <w:t>Another important aspect of Te Mana o te Wai and principles of the Treaty of Waitangi is engaging with iwi/Māori, as kaitiaki and partners. In this context, the process for developing proposed changes can be summarised as:</w:t>
      </w:r>
    </w:p>
    <w:p w14:paraId="274F6F8E" w14:textId="77777777" w:rsidR="0082314F" w:rsidRDefault="0082314F" w:rsidP="0082314F">
      <w:pPr>
        <w:pStyle w:val="Bullet"/>
      </w:pPr>
      <w:r>
        <w:t>Government received feedback on regulations, including from the SAG which included Te Ao Marama Inc (TAMI) as observer. This raised implementation issues that are more prevalent in the south of New Zealand, and Ngāi Tahu’s takiwā.</w:t>
      </w:r>
    </w:p>
    <w:p w14:paraId="2D7758EE" w14:textId="77777777" w:rsidR="0082314F" w:rsidRDefault="0082314F" w:rsidP="0082314F">
      <w:pPr>
        <w:pStyle w:val="Bullet"/>
      </w:pPr>
      <w:r>
        <w:t>In September 2021, officials reached out to iwi/Māori stakeholders through Te Kōmiromiro e-pānui (MfE’s newsletter aimed at delivering the latest updates for tangata whenua from te Manatū mō te Taiao). This included notification of the public consultation process, and details for those interested in attending online hui.</w:t>
      </w:r>
    </w:p>
    <w:p w14:paraId="569B5ABB" w14:textId="77777777" w:rsidR="0082314F" w:rsidRDefault="0082314F" w:rsidP="0082314F">
      <w:pPr>
        <w:pStyle w:val="Bullet"/>
      </w:pPr>
      <w:r>
        <w:t>Officials undertook full public consultation from 26 August to 7 October 2021. This included a discussion document outlining the proposed changes, an online submission portal, and online hui (as part of combined sessions also covering engagement on the FW-FP regime and proposed changes to the low slope map in the stock exclusion regulations). In this process, officials had limited engagement with iwi/Māori: three submissions were received from iwi/Māori groups. This is understandable given the range of reforms underway that iwi/Māori are interested in; the limited scope of this work; and that IWG is largely a South Island activity, falling with Ngāi Tahu’s takiwā.</w:t>
      </w:r>
    </w:p>
    <w:p w14:paraId="20F4A196" w14:textId="77777777" w:rsidR="0082314F" w:rsidRDefault="0082314F" w:rsidP="0082314F">
      <w:pPr>
        <w:pStyle w:val="Bullet"/>
      </w:pPr>
      <w:r>
        <w:t xml:space="preserve">Through the targeted exposure draft process undertaken in March 2022 (further details below), officials engaged directly with Ngāi Tahu and Te Ao Marama to seek their feedback on the proposed drafting of the amendments. </w:t>
      </w:r>
      <w:r w:rsidRPr="00FD6EDE">
        <w:t xml:space="preserve">As set out </w:t>
      </w:r>
      <w:r>
        <w:t>in the RIS</w:t>
      </w:r>
      <w:r w:rsidRPr="00FD6EDE">
        <w:t>, that exposure draft process sought to test whether the drafting of the proposed changes would address the implementation issues as intended, and to minimise the risk of unintended consequences. It was not seeking further submissions on policies (which had been sought through the public consultation process), but was testing the workability of specific drafting changes to the NES-F.</w:t>
      </w:r>
    </w:p>
    <w:p w14:paraId="63E7AF50" w14:textId="77777777" w:rsidR="0082314F" w:rsidRDefault="0082314F" w:rsidP="0082314F">
      <w:pPr>
        <w:pStyle w:val="BodyText"/>
      </w:pPr>
      <w:r>
        <w:t>As a result of three submissions from the above, we understand issues of particular interest to iwi/Maori submitters include the following:</w:t>
      </w:r>
    </w:p>
    <w:p w14:paraId="4A3D7644" w14:textId="77777777" w:rsidR="0082314F" w:rsidRDefault="0082314F" w:rsidP="0082314F">
      <w:pPr>
        <w:pStyle w:val="Bullet"/>
      </w:pPr>
      <w:r w:rsidRPr="00133755">
        <w:t>Te Tumu Paeroa – The Office of the Māori Trustee had concerns relating to the application of the IWG regulations to leasehold land and the potential for driving unintentional</w:t>
      </w:r>
      <w:r>
        <w:t xml:space="preserve"> consequences regarding the use of leased Māori land and freehold land (in particular, regarding the limitations on area and slope).</w:t>
      </w:r>
    </w:p>
    <w:p w14:paraId="32EEDF41" w14:textId="77777777" w:rsidR="0082314F" w:rsidRDefault="0082314F" w:rsidP="0082314F">
      <w:pPr>
        <w:pStyle w:val="Bullet"/>
      </w:pPr>
      <w:r>
        <w:t>Ngāi Tahu’s submission can be summarised as that, while agreeing that some of the proposed amendments to the IWG regulations are appropriate in some areas, they are not appropriate in other areas (eg, conditions managing area, slope). Ngāi Tahu’s view is that this reinforces why a localised approach to environmental management, recognising mātauranga and local knowledge is important not only for recognising rangatiratanga and kaitiakitanga, but for ensuring good environmental outcomes. Ngāi Tahu also commented that there is no proposal for mana whenua input into guidelines relating to pugging, and the identification of CSAs.</w:t>
      </w:r>
    </w:p>
    <w:p w14:paraId="10F77E35" w14:textId="77777777" w:rsidR="0082314F" w:rsidRDefault="0082314F" w:rsidP="0082314F">
      <w:pPr>
        <w:pStyle w:val="Bullet"/>
      </w:pPr>
      <w:r>
        <w:t>Ngāi Tahu also noted enforcement concerns, especially regarding the conditions managing pugging and resow.</w:t>
      </w:r>
    </w:p>
    <w:p w14:paraId="01B17693" w14:textId="77777777" w:rsidR="0082314F" w:rsidRDefault="0082314F" w:rsidP="0082314F">
      <w:pPr>
        <w:pStyle w:val="Bullet"/>
      </w:pPr>
      <w:r>
        <w:t>Te Ao Marama were largely supportive of the proposed amendments. Their concerns relate to the implementation and enforcement of the “practicable” standard in pugging and resow. These concerns are shared by other submitters, and addressed further below and in the Report and Recommendations.</w:t>
      </w:r>
    </w:p>
    <w:p w14:paraId="101E852D" w14:textId="77777777" w:rsidR="0082314F" w:rsidRDefault="0082314F" w:rsidP="0082314F">
      <w:pPr>
        <w:pStyle w:val="BodyText"/>
      </w:pPr>
      <w:r>
        <w:t>Officials acknowledge these concerns, and agree that there are limitations with a permitted activity standard managing intensive winter grazing, given the local variation of the activity. This issue is addressed throughout the RIS, noting that FW-FPs will ultimately enable a more localised approach to environmental management, once they are available.</w:t>
      </w:r>
    </w:p>
    <w:p w14:paraId="7DE7C36C" w14:textId="77777777" w:rsidR="0082314F" w:rsidRDefault="0082314F" w:rsidP="0082314F">
      <w:pPr>
        <w:pStyle w:val="BodyText"/>
      </w:pPr>
      <w:r>
        <w:t>Officials acknowledge the concern raised by Ngāi Tahu about a lack of provision for mana whenua input into identifying CSAs within their takiwā. We propose to seek input from mana whenua into the development of guidance material relating to CSAs, which will include guidance on the identification of CSAs. This would be a more efficient and meaningful way to engage on this issue than regarding the identification of each individual CSA.</w:t>
      </w:r>
    </w:p>
    <w:p w14:paraId="3F41004B" w14:textId="77777777" w:rsidR="0082314F" w:rsidRDefault="0082314F" w:rsidP="0082314F">
      <w:pPr>
        <w:pStyle w:val="BodyText"/>
      </w:pPr>
      <w:r>
        <w:t>Concerns about enforceability are also shared by other submitters, and are assessed in more detail below and in the Report and Recommendations. However, the impacts of restrictions on total area and the decision-making roles under the RMA fall outside the scope of these proposals, and this work has a limited ability to address those wider concerns. These matters are also discussed in the RIS, and in the Report and Recommendations.</w:t>
      </w:r>
    </w:p>
    <w:p w14:paraId="41888AA4" w14:textId="0179A1A8" w:rsidR="002A741A" w:rsidRDefault="002A741A" w:rsidP="00695556">
      <w:pPr>
        <w:pStyle w:val="Heading2"/>
      </w:pPr>
      <w:bookmarkStart w:id="30" w:name="_Toc99614853"/>
      <w:r>
        <w:t xml:space="preserve">Evaluation of the purpose of the </w:t>
      </w:r>
      <w:r w:rsidR="00115BBC">
        <w:t xml:space="preserve">proposed </w:t>
      </w:r>
      <w:r>
        <w:t>amendments</w:t>
      </w:r>
      <w:bookmarkEnd w:id="29"/>
      <w:bookmarkEnd w:id="30"/>
      <w:r>
        <w:t xml:space="preserve"> </w:t>
      </w:r>
    </w:p>
    <w:p w14:paraId="2E3B8E38" w14:textId="52C9FF65" w:rsidR="002A741A" w:rsidRDefault="002A741A" w:rsidP="00B56DF1">
      <w:pPr>
        <w:pStyle w:val="BodyText"/>
        <w:spacing w:after="240"/>
      </w:pPr>
      <w:r w:rsidRPr="009F232A">
        <w:t>Section 32(1)(a) of the RMA requires that an evaluation examines the extent to which the objective of the proposal</w:t>
      </w:r>
      <w:r>
        <w:t xml:space="preserve"> (ie</w:t>
      </w:r>
      <w:r w:rsidR="002A261F">
        <w:t>,</w:t>
      </w:r>
      <w:r>
        <w:t xml:space="preserve"> the objective of the set of </w:t>
      </w:r>
      <w:r w:rsidR="00115BBC">
        <w:t xml:space="preserve">proposed </w:t>
      </w:r>
      <w:r>
        <w:t>amendments)</w:t>
      </w:r>
      <w:r w:rsidRPr="009F232A">
        <w:t xml:space="preserve"> is the most appropriate way to achieve the purpose of the RMA. </w:t>
      </w:r>
      <w:r>
        <w:t>The NES-F is a standards-based instrument and does not contain any objectives. However, the objective of the</w:t>
      </w:r>
      <w:r w:rsidR="00115BBC">
        <w:t xml:space="preserve"> proposed</w:t>
      </w:r>
      <w:r>
        <w:t xml:space="preserve"> amendments is to </w:t>
      </w:r>
      <w:r w:rsidRPr="00EA22B1">
        <w:t>make the NES</w:t>
      </w:r>
      <w:r w:rsidR="002A261F">
        <w:t>-F</w:t>
      </w:r>
      <w:r w:rsidRPr="00EA22B1">
        <w:t xml:space="preserve"> </w:t>
      </w:r>
      <w:r w:rsidR="002A261F">
        <w:t>r</w:t>
      </w:r>
      <w:r w:rsidRPr="00EA22B1">
        <w:t xml:space="preserve">egulations </w:t>
      </w:r>
      <w:r>
        <w:t xml:space="preserve">more </w:t>
      </w:r>
      <w:r w:rsidRPr="00EA22B1">
        <w:t xml:space="preserve">workable, enforceable and effective for the protection of </w:t>
      </w:r>
      <w:r>
        <w:t xml:space="preserve">freshwater, all in order to support the NPS-FM 2020 and to meet the government’s </w:t>
      </w:r>
      <w:r w:rsidRPr="006F1E24">
        <w:t>Action for healthy waterways</w:t>
      </w:r>
      <w:r w:rsidRPr="00C74573">
        <w:t xml:space="preserve"> </w:t>
      </w:r>
      <w:r>
        <w:t>goals</w:t>
      </w:r>
      <w:r w:rsidR="006B10F5">
        <w:t>.</w:t>
      </w:r>
      <w:r w:rsidRPr="00F415B1">
        <w:rPr>
          <w:vertAlign w:val="superscript"/>
        </w:rPr>
        <w:footnoteReference w:id="7"/>
      </w:r>
      <w:r w:rsidRPr="00C74573">
        <w:t xml:space="preserve"> </w:t>
      </w:r>
      <w:r>
        <w:t>These goals aim for a holistic approach in achieving sustainable freshwater management, including across RMA jurisdictions</w:t>
      </w:r>
      <w:r w:rsidR="006B10F5">
        <w:t>.</w:t>
      </w:r>
      <w:r w:rsidRPr="00F415B1">
        <w:rPr>
          <w:vertAlign w:val="superscript"/>
        </w:rPr>
        <w:footnoteReference w:id="8"/>
      </w:r>
      <w:r w:rsidRPr="00C77047">
        <w:t xml:space="preserve"> </w:t>
      </w:r>
      <w:r>
        <w:t>Both instruments are intended to work closely together to achieve the single objective of the NPS-FM 2020 which is:</w:t>
      </w:r>
    </w:p>
    <w:tbl>
      <w:tblPr>
        <w:tblStyle w:val="TableGrid"/>
        <w:tblW w:w="8505" w:type="dxa"/>
        <w:tblInd w:w="108"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535C86" w14:paraId="7BDB70D0" w14:textId="77777777" w:rsidTr="00A16FFE">
        <w:tc>
          <w:tcPr>
            <w:tcW w:w="0" w:type="auto"/>
            <w:shd w:val="clear" w:color="auto" w:fill="D2DDE2"/>
          </w:tcPr>
          <w:p w14:paraId="27B8AFDB" w14:textId="77777777" w:rsidR="00152BA8" w:rsidRDefault="00152BA8" w:rsidP="00152BA8">
            <w:pPr>
              <w:pStyle w:val="Boxheading0"/>
            </w:pPr>
            <w:r w:rsidRPr="001E5A53">
              <w:t>2.1</w:t>
            </w:r>
            <w:r>
              <w:tab/>
              <w:t>Objective</w:t>
            </w:r>
          </w:p>
          <w:p w14:paraId="733F1F73" w14:textId="77777777" w:rsidR="00152BA8" w:rsidRPr="001E5A53" w:rsidRDefault="00152BA8" w:rsidP="00152BA8">
            <w:pPr>
              <w:pStyle w:val="Boxbullet"/>
              <w:numPr>
                <w:ilvl w:val="0"/>
                <w:numId w:val="0"/>
              </w:numPr>
              <w:spacing w:before="120"/>
              <w:ind w:left="641" w:hanging="357"/>
            </w:pPr>
            <w:r>
              <w:t>(1)</w:t>
            </w:r>
            <w:r>
              <w:tab/>
            </w:r>
            <w:r w:rsidRPr="001E5A53">
              <w:t xml:space="preserve">… to ensure that </w:t>
            </w:r>
            <w:r>
              <w:t xml:space="preserve">natural and physical </w:t>
            </w:r>
            <w:r w:rsidRPr="001E5A53">
              <w:t>resources are managed in a way that prioritises</w:t>
            </w:r>
            <w:r>
              <w:t>:</w:t>
            </w:r>
          </w:p>
          <w:p w14:paraId="57A67623" w14:textId="77777777" w:rsidR="00152BA8" w:rsidRPr="001E5A53" w:rsidRDefault="00152BA8" w:rsidP="00152BA8">
            <w:pPr>
              <w:pStyle w:val="Boxsub-bullet"/>
              <w:numPr>
                <w:ilvl w:val="0"/>
                <w:numId w:val="0"/>
              </w:numPr>
              <w:ind w:left="1077" w:hanging="397"/>
            </w:pPr>
            <w:r w:rsidRPr="001E5A53">
              <w:t>(a)</w:t>
            </w:r>
            <w:r w:rsidRPr="001E5A53">
              <w:tab/>
              <w:t>first, the health and well</w:t>
            </w:r>
            <w:r>
              <w:t>-</w:t>
            </w:r>
            <w:r w:rsidRPr="001E5A53">
              <w:t>being of water bodies and freshwater ecosystems; and</w:t>
            </w:r>
          </w:p>
          <w:p w14:paraId="280F0431" w14:textId="77777777" w:rsidR="00152BA8" w:rsidRPr="001E5A53" w:rsidRDefault="00152BA8" w:rsidP="00152BA8">
            <w:pPr>
              <w:pStyle w:val="Boxsub-bullet"/>
              <w:numPr>
                <w:ilvl w:val="0"/>
                <w:numId w:val="0"/>
              </w:numPr>
              <w:ind w:left="1077" w:hanging="397"/>
            </w:pPr>
            <w:r w:rsidRPr="001E5A53">
              <w:t>(b)</w:t>
            </w:r>
            <w:r w:rsidRPr="001E5A53">
              <w:tab/>
              <w:t>second, the health needs of people (such as drinking water); and</w:t>
            </w:r>
          </w:p>
          <w:p w14:paraId="245F6CBE" w14:textId="282F4895" w:rsidR="00535C86" w:rsidRPr="00237E41" w:rsidRDefault="00152BA8" w:rsidP="00152BA8">
            <w:pPr>
              <w:pStyle w:val="Boxsub-bullet"/>
              <w:numPr>
                <w:ilvl w:val="0"/>
                <w:numId w:val="0"/>
              </w:numPr>
              <w:ind w:left="1077" w:hanging="397"/>
            </w:pPr>
            <w:r w:rsidRPr="001E5A53">
              <w:t>(c)</w:t>
            </w:r>
            <w:r w:rsidRPr="001E5A53">
              <w:tab/>
              <w:t>third, the ability of people and communities to provide for their social, economic, and cultural well-being, now and in the future.</w:t>
            </w:r>
          </w:p>
        </w:tc>
      </w:tr>
    </w:tbl>
    <w:p w14:paraId="07282090" w14:textId="00AD505A" w:rsidR="002A741A" w:rsidRDefault="002A741A" w:rsidP="00B56DF1">
      <w:pPr>
        <w:pStyle w:val="BodyText"/>
        <w:spacing w:before="240"/>
      </w:pPr>
      <w:r>
        <w:t xml:space="preserve">The intent of the NPS-FM 2020 objective is </w:t>
      </w:r>
      <w:r w:rsidRPr="006F1E24">
        <w:t>not</w:t>
      </w:r>
      <w:r>
        <w:t xml:space="preserve"> that the first priority (clause 2.1(1)(a)) be read as a bottom line with the goal of </w:t>
      </w:r>
      <w:r w:rsidRPr="001C5F0E">
        <w:t>achiev</w:t>
      </w:r>
      <w:r>
        <w:t>ing</w:t>
      </w:r>
      <w:r w:rsidRPr="001C5F0E">
        <w:t xml:space="preserve"> </w:t>
      </w:r>
      <w:r>
        <w:t xml:space="preserve">a </w:t>
      </w:r>
      <w:r w:rsidRPr="001C5F0E">
        <w:t xml:space="preserve">pristine </w:t>
      </w:r>
      <w:r>
        <w:t>or “</w:t>
      </w:r>
      <w:r w:rsidRPr="001C5F0E">
        <w:t>pre-human</w:t>
      </w:r>
      <w:r>
        <w:t>”</w:t>
      </w:r>
      <w:r w:rsidRPr="001C5F0E">
        <w:t xml:space="preserve"> </w:t>
      </w:r>
      <w:r>
        <w:t xml:space="preserve">water quality </w:t>
      </w:r>
      <w:r w:rsidRPr="001C5F0E">
        <w:t>state</w:t>
      </w:r>
      <w:r>
        <w:t xml:space="preserve">.  Rather, it is </w:t>
      </w:r>
      <w:r w:rsidRPr="001C5F0E">
        <w:t xml:space="preserve">to shift the way we think about managing freshwater and guide implementation of the </w:t>
      </w:r>
      <w:r>
        <w:t>National Objectives Framework (</w:t>
      </w:r>
      <w:r w:rsidRPr="001C5F0E">
        <w:t>NOF</w:t>
      </w:r>
      <w:r>
        <w:t>) process prescribed in the NPS-FM 2020</w:t>
      </w:r>
      <w:r w:rsidRPr="001C5F0E">
        <w:t>.</w:t>
      </w:r>
      <w:r w:rsidRPr="008F631B">
        <w:rPr>
          <w:vertAlign w:val="superscript"/>
        </w:rPr>
        <w:footnoteReference w:id="9"/>
      </w:r>
    </w:p>
    <w:p w14:paraId="2975F73A" w14:textId="4815E9B5" w:rsidR="002A741A" w:rsidRDefault="002A741A" w:rsidP="00886AB2">
      <w:pPr>
        <w:pStyle w:val="BodyText"/>
      </w:pPr>
      <w:r>
        <w:t>The NPS-FM 2020 objective is clear in what it prioritises but is flexible in its approach, which is consistent with the RMA effects-based approach.</w:t>
      </w:r>
    </w:p>
    <w:p w14:paraId="2D9A276A" w14:textId="317E7B5E" w:rsidR="002A741A" w:rsidRDefault="002A741A" w:rsidP="004C3DF1">
      <w:pPr>
        <w:pStyle w:val="Heading3"/>
      </w:pPr>
      <w:r>
        <w:t xml:space="preserve">Effectiveness and </w:t>
      </w:r>
      <w:r w:rsidR="00B579CC">
        <w:t xml:space="preserve">efficiency </w:t>
      </w:r>
    </w:p>
    <w:p w14:paraId="0DE6E1F5" w14:textId="13B72517" w:rsidR="002A741A" w:rsidRDefault="00F54792" w:rsidP="00886AB2">
      <w:pPr>
        <w:pStyle w:val="BodyText"/>
      </w:pPr>
      <w:hyperlink w:anchor="Table2" w:history="1">
        <w:r w:rsidR="002F3E37" w:rsidRPr="00B579CC">
          <w:rPr>
            <w:rStyle w:val="Hyperlink"/>
          </w:rPr>
          <w:t xml:space="preserve">Table </w:t>
        </w:r>
        <w:r w:rsidR="00B579CC" w:rsidRPr="00B579CC">
          <w:rPr>
            <w:rStyle w:val="Hyperlink"/>
          </w:rPr>
          <w:t>2</w:t>
        </w:r>
      </w:hyperlink>
      <w:r w:rsidR="00B579CC">
        <w:t xml:space="preserve"> </w:t>
      </w:r>
      <w:r w:rsidR="0078334A">
        <w:t xml:space="preserve">and </w:t>
      </w:r>
      <w:hyperlink w:anchor="Table3" w:history="1">
        <w:r w:rsidR="005B338B" w:rsidRPr="00ED7501">
          <w:rPr>
            <w:rStyle w:val="Hyperlink"/>
          </w:rPr>
          <w:t>table 3</w:t>
        </w:r>
      </w:hyperlink>
      <w:r w:rsidR="0078334A">
        <w:t xml:space="preserve"> </w:t>
      </w:r>
      <w:r w:rsidR="002A741A" w:rsidRPr="00D93501">
        <w:t>a</w:t>
      </w:r>
      <w:r w:rsidR="006462F0">
        <w:t>ss</w:t>
      </w:r>
      <w:r w:rsidR="002A741A" w:rsidRPr="00D93501">
        <w:t xml:space="preserve">esses the effectiveness of the </w:t>
      </w:r>
      <w:r w:rsidR="00746B2A">
        <w:t xml:space="preserve">proposed amendments to the </w:t>
      </w:r>
      <w:r w:rsidR="002A741A">
        <w:t>IWG</w:t>
      </w:r>
      <w:r w:rsidR="002A741A" w:rsidRPr="00D93501">
        <w:t xml:space="preserve"> standards and</w:t>
      </w:r>
      <w:r w:rsidR="002A741A">
        <w:t xml:space="preserve"> </w:t>
      </w:r>
      <w:hyperlink w:anchor="Table4" w:history="1">
        <w:r w:rsidR="00B579CC" w:rsidRPr="00ED7501">
          <w:rPr>
            <w:rStyle w:val="Hyperlink"/>
          </w:rPr>
          <w:t xml:space="preserve">table </w:t>
        </w:r>
        <w:r w:rsidR="00DE1DC9" w:rsidRPr="00ED7501">
          <w:rPr>
            <w:rStyle w:val="Hyperlink"/>
          </w:rPr>
          <w:t>4</w:t>
        </w:r>
      </w:hyperlink>
      <w:r w:rsidR="00B579CC">
        <w:t xml:space="preserve"> </w:t>
      </w:r>
      <w:r w:rsidR="002A741A">
        <w:t>considers</w:t>
      </w:r>
      <w:r w:rsidR="002A741A" w:rsidRPr="00D93501">
        <w:t xml:space="preserve"> the efficiency of the</w:t>
      </w:r>
      <w:r w:rsidR="00746B2A">
        <w:t xml:space="preserve"> same</w:t>
      </w:r>
      <w:r w:rsidR="002A741A" w:rsidRPr="00D93501">
        <w:t>.</w:t>
      </w:r>
    </w:p>
    <w:p w14:paraId="3EF60F3B" w14:textId="05A81D03" w:rsidR="00635125" w:rsidRDefault="00635125" w:rsidP="00635125">
      <w:pPr>
        <w:pStyle w:val="Tableheading"/>
      </w:pPr>
      <w:bookmarkStart w:id="31" w:name="_Toc99614856"/>
      <w:bookmarkStart w:id="32" w:name="Table2"/>
      <w:r w:rsidRPr="006B77BB">
        <w:t xml:space="preserve">Table </w:t>
      </w:r>
      <w:r>
        <w:t>2</w:t>
      </w:r>
      <w:r w:rsidRPr="006B77BB">
        <w:t>:</w:t>
      </w:r>
      <w:r w:rsidRPr="006B77BB">
        <w:tab/>
      </w:r>
      <w:r>
        <w:t>Assessment of effectiveness of</w:t>
      </w:r>
      <w:r w:rsidR="00115BBC">
        <w:t xml:space="preserve"> proposed</w:t>
      </w:r>
      <w:r>
        <w:t xml:space="preserve"> amendments to the IWG standards – against the NPS-FM objective</w:t>
      </w:r>
      <w:bookmarkEnd w:id="31"/>
    </w:p>
    <w:tbl>
      <w:tblPr>
        <w:tblStyle w:val="TableGrid"/>
        <w:tblW w:w="5000" w:type="pct"/>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1516"/>
        <w:gridCol w:w="6989"/>
      </w:tblGrid>
      <w:tr w:rsidR="00EB4753" w:rsidRPr="006B77BB" w14:paraId="68AEE94D" w14:textId="77777777" w:rsidTr="00F1011F">
        <w:tc>
          <w:tcPr>
            <w:tcW w:w="891" w:type="pct"/>
            <w:tcBorders>
              <w:bottom w:val="single" w:sz="4" w:space="0" w:color="FFFFFF" w:themeColor="background1"/>
              <w:right w:val="single" w:sz="4" w:space="0" w:color="FFFFFF" w:themeColor="background1"/>
            </w:tcBorders>
            <w:shd w:val="clear" w:color="auto" w:fill="1B556B" w:themeFill="text2"/>
          </w:tcPr>
          <w:bookmarkEnd w:id="32"/>
          <w:p w14:paraId="0C94F160" w14:textId="77777777" w:rsidR="00EB4753" w:rsidRPr="00ED7501" w:rsidRDefault="00EB4753" w:rsidP="00963EEB">
            <w:pPr>
              <w:pStyle w:val="TableTextbold"/>
              <w:rPr>
                <w:color w:val="FFFFFF" w:themeColor="background1"/>
              </w:rPr>
            </w:pPr>
            <w:r w:rsidRPr="00ED7501">
              <w:rPr>
                <w:color w:val="FFFFFF" w:themeColor="background1"/>
              </w:rPr>
              <w:t xml:space="preserve">Elements of the NPS-FM objective </w:t>
            </w:r>
          </w:p>
        </w:tc>
        <w:tc>
          <w:tcPr>
            <w:tcW w:w="4109" w:type="pct"/>
            <w:tcBorders>
              <w:left w:val="single" w:sz="4" w:space="0" w:color="FFFFFF" w:themeColor="background1"/>
            </w:tcBorders>
            <w:shd w:val="clear" w:color="auto" w:fill="1B556B" w:themeFill="text2"/>
          </w:tcPr>
          <w:p w14:paraId="0094D4A8" w14:textId="25968095" w:rsidR="00EB4753" w:rsidRPr="00ED7501" w:rsidRDefault="00EB4753" w:rsidP="00963EEB">
            <w:pPr>
              <w:pStyle w:val="TableTextbold"/>
              <w:rPr>
                <w:color w:val="FFFFFF" w:themeColor="background1"/>
              </w:rPr>
            </w:pPr>
            <w:r w:rsidRPr="00ED7501">
              <w:rPr>
                <w:color w:val="FFFFFF" w:themeColor="background1"/>
              </w:rPr>
              <w:t>Contribution of IWG standards towards achieving the purpose</w:t>
            </w:r>
          </w:p>
        </w:tc>
      </w:tr>
      <w:tr w:rsidR="00EB4753" w:rsidRPr="006B77BB" w14:paraId="43A64EB8" w14:textId="77777777" w:rsidTr="00F1011F">
        <w:tc>
          <w:tcPr>
            <w:tcW w:w="891" w:type="pct"/>
            <w:tcBorders>
              <w:top w:val="single" w:sz="4" w:space="0" w:color="auto"/>
              <w:bottom w:val="single" w:sz="4" w:space="0" w:color="auto"/>
            </w:tcBorders>
            <w:shd w:val="clear" w:color="auto" w:fill="auto"/>
          </w:tcPr>
          <w:p w14:paraId="14A606AC" w14:textId="405AA590" w:rsidR="00B2178E" w:rsidRDefault="00B2178E" w:rsidP="00963EEB">
            <w:pPr>
              <w:pStyle w:val="TableTextbold"/>
            </w:pPr>
            <w:r w:rsidRPr="0028522B">
              <w:t>Resources are managed in a way that prioritises:</w:t>
            </w:r>
          </w:p>
          <w:p w14:paraId="04660F46" w14:textId="513C62C5" w:rsidR="00EB4753" w:rsidRPr="0028522B" w:rsidRDefault="00EB4753" w:rsidP="00963EEB">
            <w:pPr>
              <w:pStyle w:val="TableTextbold"/>
            </w:pPr>
            <w:r w:rsidRPr="0028522B">
              <w:t>(a) first, the health and wellbeing of water bodies and freshwater ecosystems</w:t>
            </w:r>
          </w:p>
        </w:tc>
        <w:tc>
          <w:tcPr>
            <w:tcW w:w="4109" w:type="pct"/>
            <w:tcBorders>
              <w:top w:val="single" w:sz="4" w:space="0" w:color="auto"/>
              <w:bottom w:val="single" w:sz="4" w:space="0" w:color="auto"/>
            </w:tcBorders>
            <w:shd w:val="clear" w:color="auto" w:fill="auto"/>
          </w:tcPr>
          <w:p w14:paraId="61F88167" w14:textId="77777777" w:rsidR="00ED0F82" w:rsidRDefault="00FA54B4" w:rsidP="00447B34">
            <w:pPr>
              <w:pStyle w:val="TableText"/>
            </w:pPr>
            <w:r>
              <w:t>The NES-F</w:t>
            </w:r>
            <w:r w:rsidR="00D45E27">
              <w:t xml:space="preserve"> is </w:t>
            </w:r>
            <w:r w:rsidR="007C2714">
              <w:t xml:space="preserve">directed at </w:t>
            </w:r>
            <w:r w:rsidR="004E77B3">
              <w:t>making early change to high-risk activities including IWG</w:t>
            </w:r>
            <w:r w:rsidR="00ED0F82">
              <w:t>, to stop further degradation to freshwater. T</w:t>
            </w:r>
            <w:r w:rsidR="007544B8">
              <w:t xml:space="preserve">he IWG regulations manage </w:t>
            </w:r>
            <w:r w:rsidR="00CB7CAB">
              <w:t>the adverse environmental effects of this activity. In particular, they focus on managing sediment runoff to waterways.</w:t>
            </w:r>
          </w:p>
          <w:p w14:paraId="1679B290" w14:textId="4E244F06" w:rsidR="00F31203" w:rsidRDefault="00225077" w:rsidP="00447B34">
            <w:pPr>
              <w:pStyle w:val="TableText"/>
            </w:pPr>
            <w:r>
              <w:t xml:space="preserve">Whether through the permitted activity pathways, or the consenting pathway, the </w:t>
            </w:r>
            <w:r w:rsidR="00FA54B4">
              <w:t xml:space="preserve">IWG regulations provide a framework to manage this activity, without councils having to </w:t>
            </w:r>
            <w:r w:rsidR="00FA54B4" w:rsidRPr="00AC0E66">
              <w:t>endure lengthy and costly plan changes</w:t>
            </w:r>
            <w:r w:rsidR="00FA54B4">
              <w:t>.</w:t>
            </w:r>
          </w:p>
          <w:p w14:paraId="255C661B" w14:textId="41DA76DC" w:rsidR="00EC6834" w:rsidRDefault="002428CD" w:rsidP="00447B34">
            <w:pPr>
              <w:pStyle w:val="TableText"/>
            </w:pPr>
            <w:r>
              <w:t>Once available, certified FW-FPs will provide a permitted activity pathway which enables bespoke mitigation to manage adverse environmental effects of IWG at a catchment and farm scale.</w:t>
            </w:r>
            <w:r w:rsidR="001953E6">
              <w:t xml:space="preserve"> This </w:t>
            </w:r>
            <w:r w:rsidR="00C07F8B">
              <w:t xml:space="preserve">flexibility </w:t>
            </w:r>
            <w:r w:rsidR="001953E6">
              <w:t>would resolve some of the implementation issues identified with the IWG regulations.</w:t>
            </w:r>
            <w:r>
              <w:t xml:space="preserve"> However, </w:t>
            </w:r>
            <w:r w:rsidR="00481555">
              <w:t>c</w:t>
            </w:r>
            <w:r w:rsidR="00447B34">
              <w:t xml:space="preserve">ertified FW-FPs </w:t>
            </w:r>
            <w:r w:rsidR="00481555">
              <w:t xml:space="preserve">are not yet available – they </w:t>
            </w:r>
            <w:r w:rsidR="00447B34">
              <w:t xml:space="preserve">will </w:t>
            </w:r>
            <w:r w:rsidR="004D35A7">
              <w:t xml:space="preserve">begin to be rolled out by </w:t>
            </w:r>
            <w:r w:rsidR="00447B34">
              <w:t>the end of 2022</w:t>
            </w:r>
            <w:r w:rsidR="004D35A7">
              <w:t xml:space="preserve">, but </w:t>
            </w:r>
            <w:r w:rsidR="008A2E74">
              <w:t>won’t be available nationwide for several years</w:t>
            </w:r>
            <w:r w:rsidR="00447B34">
              <w:t xml:space="preserve">. </w:t>
            </w:r>
          </w:p>
          <w:p w14:paraId="5F9E54CC" w14:textId="0A3601A8" w:rsidR="0034348D" w:rsidRDefault="003D595D" w:rsidP="003D595D">
            <w:pPr>
              <w:pStyle w:val="TableText"/>
            </w:pPr>
            <w:r w:rsidRPr="00AC0E66">
              <w:t xml:space="preserve">The </w:t>
            </w:r>
            <w:r w:rsidR="0034348D">
              <w:t xml:space="preserve">proposed </w:t>
            </w:r>
            <w:r w:rsidRPr="00AC0E66">
              <w:t xml:space="preserve">amendments to the default conditions </w:t>
            </w:r>
            <w:r>
              <w:t>address the implementation issues identified with the</w:t>
            </w:r>
            <w:r w:rsidRPr="00AC0E66">
              <w:t xml:space="preserve"> IWG regulations</w:t>
            </w:r>
            <w:r>
              <w:t xml:space="preserve">, primarily the </w:t>
            </w:r>
            <w:r w:rsidR="00092F82">
              <w:t xml:space="preserve">default </w:t>
            </w:r>
            <w:r>
              <w:t>conditions that are weather dependant and difficult to practically measure.</w:t>
            </w:r>
          </w:p>
          <w:p w14:paraId="7EA1E8F7" w14:textId="61412584" w:rsidR="003D595D" w:rsidRDefault="003D595D" w:rsidP="003D595D">
            <w:pPr>
              <w:pStyle w:val="TableText"/>
            </w:pPr>
            <w:r w:rsidRPr="00AC0E66">
              <w:t xml:space="preserve">The </w:t>
            </w:r>
            <w:r w:rsidR="0034348D">
              <w:t xml:space="preserve">proposed </w:t>
            </w:r>
            <w:r w:rsidRPr="00AC0E66">
              <w:t>amendments</w:t>
            </w:r>
            <w:r>
              <w:t xml:space="preserve"> will improve the ability of the regulations to minimise risks to freshwater such as, sediment loss, while</w:t>
            </w:r>
            <w:r w:rsidRPr="00AC0E66">
              <w:t xml:space="preserve"> provid</w:t>
            </w:r>
            <w:r>
              <w:t>ing</w:t>
            </w:r>
            <w:r w:rsidRPr="00AC0E66">
              <w:t xml:space="preserve"> more implementation certainty than the status quo and therefore greater effectiveness in terms of compliance, monitoring and enforcement (CME) </w:t>
            </w:r>
            <w:r>
              <w:t xml:space="preserve">of </w:t>
            </w:r>
            <w:r w:rsidRPr="00AC0E66">
              <w:t>activities.</w:t>
            </w:r>
          </w:p>
          <w:p w14:paraId="057DBC1D" w14:textId="11E19483" w:rsidR="00EB4753" w:rsidRPr="00AC0E66" w:rsidRDefault="00CD6471" w:rsidP="00AC0E66">
            <w:pPr>
              <w:pStyle w:val="TableText"/>
            </w:pPr>
            <w:r>
              <w:t xml:space="preserve">The </w:t>
            </w:r>
            <w:r w:rsidR="00CF321D">
              <w:t xml:space="preserve">new </w:t>
            </w:r>
            <w:r>
              <w:t>condition</w:t>
            </w:r>
            <w:r w:rsidR="00142DB4">
              <w:t xml:space="preserve"> to</w:t>
            </w:r>
            <w:r>
              <w:t xml:space="preserve"> manag</w:t>
            </w:r>
            <w:r w:rsidR="00142DB4">
              <w:t>e</w:t>
            </w:r>
            <w:r>
              <w:t xml:space="preserve"> critical source areas </w:t>
            </w:r>
            <w:r w:rsidR="00CF695F">
              <w:t>will increase environmental protection</w:t>
            </w:r>
            <w:r w:rsidR="00EB4753" w:rsidRPr="00AC0E66">
              <w:t>.</w:t>
            </w:r>
          </w:p>
        </w:tc>
      </w:tr>
      <w:tr w:rsidR="00EB4753" w:rsidRPr="006B77BB" w14:paraId="394763CF" w14:textId="77777777" w:rsidTr="00F1011F">
        <w:tc>
          <w:tcPr>
            <w:tcW w:w="891" w:type="pct"/>
            <w:tcBorders>
              <w:top w:val="single" w:sz="4" w:space="0" w:color="auto"/>
              <w:bottom w:val="single" w:sz="4" w:space="0" w:color="auto"/>
            </w:tcBorders>
            <w:shd w:val="clear" w:color="auto" w:fill="auto"/>
          </w:tcPr>
          <w:p w14:paraId="7B93CA27" w14:textId="6DA75335" w:rsidR="00EB4753" w:rsidRPr="0028522B" w:rsidRDefault="00EB4753" w:rsidP="00963EEB">
            <w:pPr>
              <w:pStyle w:val="TableTextbold"/>
            </w:pPr>
            <w:r w:rsidRPr="0028522B">
              <w:t>(b) second, the health needs of people</w:t>
            </w:r>
          </w:p>
        </w:tc>
        <w:tc>
          <w:tcPr>
            <w:tcW w:w="4109" w:type="pct"/>
            <w:tcBorders>
              <w:top w:val="single" w:sz="4" w:space="0" w:color="auto"/>
              <w:bottom w:val="single" w:sz="4" w:space="0" w:color="auto"/>
            </w:tcBorders>
            <w:shd w:val="clear" w:color="auto" w:fill="auto"/>
          </w:tcPr>
          <w:p w14:paraId="4AC66CC3" w14:textId="296C46EE" w:rsidR="00EB4753" w:rsidRPr="00AC0E66" w:rsidRDefault="00EB4753" w:rsidP="00AC0E66">
            <w:pPr>
              <w:pStyle w:val="TableText"/>
            </w:pPr>
            <w:r w:rsidRPr="00AC0E66">
              <w:t xml:space="preserve">The </w:t>
            </w:r>
            <w:r w:rsidR="00746B2A">
              <w:t xml:space="preserve">proposed </w:t>
            </w:r>
            <w:r w:rsidRPr="00AC0E66">
              <w:t>amendments to the NES-F relating to IWG are not considered relevant to this aspect of the NPS-FM objective.</w:t>
            </w:r>
          </w:p>
        </w:tc>
      </w:tr>
      <w:tr w:rsidR="00EB4753" w:rsidRPr="006B77BB" w14:paraId="46CBF76B" w14:textId="77777777" w:rsidTr="00F1011F">
        <w:tc>
          <w:tcPr>
            <w:tcW w:w="891" w:type="pct"/>
            <w:tcBorders>
              <w:top w:val="single" w:sz="4" w:space="0" w:color="auto"/>
            </w:tcBorders>
            <w:shd w:val="clear" w:color="auto" w:fill="auto"/>
          </w:tcPr>
          <w:p w14:paraId="7893A4FA" w14:textId="79AA2BAE" w:rsidR="00EB4753" w:rsidRPr="0028522B" w:rsidRDefault="00EB4753" w:rsidP="00963EEB">
            <w:pPr>
              <w:pStyle w:val="TableTextbold"/>
            </w:pPr>
            <w:r w:rsidRPr="0028522B">
              <w:t>(c) third, the ability of people and communities to provide for their social, economic, and cultural wellbeing, now and in the future</w:t>
            </w:r>
          </w:p>
        </w:tc>
        <w:tc>
          <w:tcPr>
            <w:tcW w:w="4109" w:type="pct"/>
            <w:tcBorders>
              <w:top w:val="single" w:sz="4" w:space="0" w:color="auto"/>
            </w:tcBorders>
            <w:shd w:val="clear" w:color="auto" w:fill="auto"/>
          </w:tcPr>
          <w:p w14:paraId="6D16703F" w14:textId="77777777" w:rsidR="00B679B1" w:rsidRDefault="00EB4753" w:rsidP="008C4A39">
            <w:pPr>
              <w:pStyle w:val="TableText"/>
            </w:pPr>
            <w:r w:rsidRPr="00AC0E66">
              <w:t>The effects and risk-based rules regime limits the ability to farm land intensively where it may adversely affect freshwater. This is likely to reduce farming practice options for some farmers which may have economic and social impacts associated with the use of alternative practices.</w:t>
            </w:r>
          </w:p>
          <w:p w14:paraId="175759F1" w14:textId="77F0D488" w:rsidR="008C4A39" w:rsidRPr="003D087D" w:rsidRDefault="008C4A39" w:rsidP="008C4A39">
            <w:pPr>
              <w:pStyle w:val="TableText"/>
            </w:pPr>
            <w:r w:rsidRPr="003D087D">
              <w:t xml:space="preserve">The </w:t>
            </w:r>
            <w:r w:rsidR="00746B2A" w:rsidRPr="003D087D">
              <w:t xml:space="preserve">proposed </w:t>
            </w:r>
            <w:r w:rsidRPr="003D087D">
              <w:t>amendments to the default conditions provide clarity on how the regulations are to be applied, and when resource consents will be required.</w:t>
            </w:r>
          </w:p>
          <w:p w14:paraId="0D221F10" w14:textId="77777777" w:rsidR="008C4A39" w:rsidRPr="003D087D" w:rsidRDefault="008C4A39" w:rsidP="008C4A39">
            <w:pPr>
              <w:pStyle w:val="TableText"/>
            </w:pPr>
            <w:r w:rsidRPr="003D087D">
              <w:t>The proposed amendments address the implementation issues in the short-term while FW-FPs are unavailable, while still managing the environmental effects of IWG activity.</w:t>
            </w:r>
          </w:p>
          <w:p w14:paraId="3799EF33" w14:textId="013E3324" w:rsidR="008C4A39" w:rsidRPr="00AC0E66" w:rsidRDefault="008C4A39" w:rsidP="00AC0E66">
            <w:pPr>
              <w:pStyle w:val="TableText"/>
            </w:pPr>
            <w:r w:rsidRPr="003D087D">
              <w:t>They provide a permitted activity pathway that is expected to be more workable (ie, in terms of farmers being more confident they will be able to comply), and thereby reduce the number of resource consent applications otherwise expected (up to 10,000 under the status quo, at a cost to both farmers and regional councils). These risks will also be mitigated in the future when FW-FPs are available.</w:t>
            </w:r>
          </w:p>
          <w:p w14:paraId="45F79996" w14:textId="4D018EAE" w:rsidR="00EB4753" w:rsidRPr="00AC0E66" w:rsidRDefault="00EB4753" w:rsidP="00AC0E66">
            <w:pPr>
              <w:pStyle w:val="TableText"/>
            </w:pPr>
            <w:r w:rsidRPr="00AC0E66">
              <w:t xml:space="preserve">The amendments to the default conditions will </w:t>
            </w:r>
            <w:r w:rsidR="00BE5611">
              <w:t xml:space="preserve">increase the certainty about whether </w:t>
            </w:r>
            <w:r w:rsidR="00D7777A">
              <w:t xml:space="preserve">compliance with the default conditions will be possible, and </w:t>
            </w:r>
            <w:r w:rsidRPr="00AC0E66">
              <w:t xml:space="preserve">reduce </w:t>
            </w:r>
            <w:r w:rsidR="00FA2FFF">
              <w:t xml:space="preserve">reliance on </w:t>
            </w:r>
            <w:r w:rsidRPr="00AC0E66">
              <w:t xml:space="preserve">the resource consent </w:t>
            </w:r>
            <w:r w:rsidR="00FA2FFF">
              <w:t>pathway</w:t>
            </w:r>
            <w:r w:rsidR="005D3A21">
              <w:t xml:space="preserve"> and associated costs,</w:t>
            </w:r>
            <w:r w:rsidR="00FA2FFF">
              <w:t xml:space="preserve"> </w:t>
            </w:r>
            <w:r w:rsidR="005D3A21">
              <w:t>compared to the status quo</w:t>
            </w:r>
            <w:r w:rsidRPr="00AC0E66">
              <w:t>.</w:t>
            </w:r>
            <w:r w:rsidR="00BE5611">
              <w:t xml:space="preserve"> </w:t>
            </w:r>
          </w:p>
        </w:tc>
      </w:tr>
    </w:tbl>
    <w:p w14:paraId="1B65DC05" w14:textId="4BDDCCEF" w:rsidR="00635125" w:rsidRDefault="00635125" w:rsidP="00F1011F">
      <w:pPr>
        <w:pStyle w:val="Tableheading"/>
        <w:spacing w:before="240"/>
      </w:pPr>
      <w:bookmarkStart w:id="33" w:name="_Toc99614857"/>
      <w:bookmarkStart w:id="34" w:name="Table3"/>
      <w:r w:rsidRPr="006B77BB">
        <w:t xml:space="preserve">Table </w:t>
      </w:r>
      <w:r w:rsidR="005B338B">
        <w:t>3</w:t>
      </w:r>
      <w:r w:rsidRPr="006B77BB">
        <w:t>:</w:t>
      </w:r>
      <w:r w:rsidRPr="006B77BB">
        <w:tab/>
      </w:r>
      <w:r>
        <w:t>Assessment of effectiveness of amendments to the IWG standards –</w:t>
      </w:r>
      <w:r w:rsidR="00670C3B">
        <w:t xml:space="preserve"> </w:t>
      </w:r>
      <w:r w:rsidR="00A669E2">
        <w:t>against the elements of the specific problem definition</w:t>
      </w:r>
      <w:bookmarkEnd w:id="33"/>
      <w:r>
        <w:t xml:space="preserve"> </w:t>
      </w:r>
    </w:p>
    <w:tbl>
      <w:tblPr>
        <w:tblStyle w:val="TableGrid"/>
        <w:tblW w:w="5000" w:type="pct"/>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1516"/>
        <w:gridCol w:w="6989"/>
      </w:tblGrid>
      <w:tr w:rsidR="00F17242" w:rsidRPr="006B77BB" w14:paraId="214105CB" w14:textId="77777777" w:rsidTr="00F1011F">
        <w:trPr>
          <w:tblHeader/>
        </w:trPr>
        <w:tc>
          <w:tcPr>
            <w:tcW w:w="891" w:type="pct"/>
            <w:tcBorders>
              <w:bottom w:val="single" w:sz="4" w:space="0" w:color="1B556B"/>
            </w:tcBorders>
            <w:shd w:val="clear" w:color="auto" w:fill="1B556B" w:themeFill="text2"/>
          </w:tcPr>
          <w:bookmarkEnd w:id="34"/>
          <w:p w14:paraId="68E7168D" w14:textId="77777777" w:rsidR="00F17242" w:rsidRPr="00EF67DF" w:rsidRDefault="00F17242" w:rsidP="00963EEB">
            <w:pPr>
              <w:pStyle w:val="TableTextbold"/>
              <w:rPr>
                <w:color w:val="FFFFFF" w:themeColor="background1"/>
              </w:rPr>
            </w:pPr>
            <w:r w:rsidRPr="00EF67DF">
              <w:rPr>
                <w:color w:val="FFFFFF" w:themeColor="background1"/>
              </w:rPr>
              <w:t>Elements of the specific problem definition</w:t>
            </w:r>
          </w:p>
        </w:tc>
        <w:tc>
          <w:tcPr>
            <w:tcW w:w="4109" w:type="pct"/>
            <w:tcBorders>
              <w:bottom w:val="single" w:sz="4" w:space="0" w:color="1B556B"/>
            </w:tcBorders>
            <w:shd w:val="clear" w:color="auto" w:fill="1B556B" w:themeFill="text2"/>
          </w:tcPr>
          <w:p w14:paraId="30755B6C" w14:textId="37C585EA" w:rsidR="00F17242" w:rsidRPr="00EF67DF" w:rsidRDefault="00F17242" w:rsidP="00963EEB">
            <w:pPr>
              <w:pStyle w:val="TableTextbold"/>
              <w:rPr>
                <w:color w:val="FFFFFF" w:themeColor="background1"/>
              </w:rPr>
            </w:pPr>
            <w:r w:rsidRPr="00EF67DF">
              <w:rPr>
                <w:color w:val="FFFFFF" w:themeColor="background1"/>
              </w:rPr>
              <w:t>Likely success of the IWG standards in solving the problem it was designed to address</w:t>
            </w:r>
          </w:p>
        </w:tc>
      </w:tr>
      <w:tr w:rsidR="00F17242" w:rsidRPr="006B77BB" w14:paraId="6FCB82C5" w14:textId="77777777" w:rsidTr="00F1011F">
        <w:tc>
          <w:tcPr>
            <w:tcW w:w="891" w:type="pct"/>
            <w:tcBorders>
              <w:top w:val="single" w:sz="4" w:space="0" w:color="1B556B"/>
              <w:bottom w:val="single" w:sz="4" w:space="0" w:color="1B556B"/>
            </w:tcBorders>
            <w:shd w:val="clear" w:color="auto" w:fill="auto"/>
          </w:tcPr>
          <w:p w14:paraId="7F619A20" w14:textId="3D6BE0CD" w:rsidR="00F17242" w:rsidRPr="00EF67DF" w:rsidRDefault="00F17242" w:rsidP="00963EEB">
            <w:pPr>
              <w:pStyle w:val="TableTextbold"/>
            </w:pPr>
            <w:r w:rsidRPr="00EF67DF">
              <w:t>Inclusion of new default condition – critical source areas</w:t>
            </w:r>
          </w:p>
        </w:tc>
        <w:tc>
          <w:tcPr>
            <w:tcW w:w="4109" w:type="pct"/>
            <w:tcBorders>
              <w:top w:val="single" w:sz="4" w:space="0" w:color="1B556B"/>
              <w:bottom w:val="single" w:sz="4" w:space="0" w:color="1B556B"/>
            </w:tcBorders>
            <w:shd w:val="clear" w:color="auto" w:fill="auto"/>
          </w:tcPr>
          <w:p w14:paraId="4A90C6D0" w14:textId="77777777" w:rsidR="00F17242" w:rsidRPr="00F17242" w:rsidRDefault="00F17242" w:rsidP="00F17242">
            <w:pPr>
              <w:pStyle w:val="TableText"/>
            </w:pPr>
            <w:r w:rsidRPr="00F17242">
              <w:t>The inclusion of the critical source area (CSA) condition when applied in conjunction with the conditions relating to pugging, resow and area provides a practical permitted activity pathway. The amendments will be more practical and easier for farmers to comply with than the status quo.</w:t>
            </w:r>
          </w:p>
          <w:p w14:paraId="2F27FCD8" w14:textId="314A064D" w:rsidR="00F17242" w:rsidRPr="00F17242" w:rsidRDefault="00F17242" w:rsidP="00F17242">
            <w:pPr>
              <w:pStyle w:val="TableText"/>
            </w:pPr>
            <w:r w:rsidRPr="00F17242">
              <w:t xml:space="preserve">The CSA condition has been adopted from the </w:t>
            </w:r>
            <w:r w:rsidR="0048135A">
              <w:t>p</w:t>
            </w:r>
            <w:r w:rsidRPr="00F17242">
              <w:t>roposed Southland Water and Land Plan.</w:t>
            </w:r>
          </w:p>
          <w:p w14:paraId="688C7759" w14:textId="2680F7BC" w:rsidR="00F17242" w:rsidRPr="00CE6507" w:rsidRDefault="00F17242" w:rsidP="00CE6507">
            <w:pPr>
              <w:pStyle w:val="TableText"/>
            </w:pPr>
            <w:r w:rsidRPr="00F17242">
              <w:t xml:space="preserve">Submissions identified the definition of CSAs should require there to be a direct connection to </w:t>
            </w:r>
            <w:r w:rsidR="00F63244">
              <w:t xml:space="preserve">a </w:t>
            </w:r>
            <w:r w:rsidRPr="00F17242">
              <w:t>water body. This is appropriate, as the purpose of managing CSAs is to reduce sediment and contaminant loss to freshwater; those benefits would not be achieved through protecting areas not connected to a waterway.</w:t>
            </w:r>
          </w:p>
        </w:tc>
      </w:tr>
      <w:tr w:rsidR="00F17242" w:rsidRPr="006B77BB" w14:paraId="6410AD89" w14:textId="77777777" w:rsidTr="00F1011F">
        <w:tc>
          <w:tcPr>
            <w:tcW w:w="891" w:type="pct"/>
            <w:tcBorders>
              <w:top w:val="single" w:sz="4" w:space="0" w:color="1B556B"/>
              <w:bottom w:val="single" w:sz="4" w:space="0" w:color="1B556B"/>
            </w:tcBorders>
            <w:shd w:val="clear" w:color="auto" w:fill="auto"/>
          </w:tcPr>
          <w:p w14:paraId="2559A4CD" w14:textId="62C60C24" w:rsidR="00F17242" w:rsidRPr="00EF67DF" w:rsidRDefault="00F17242" w:rsidP="00963EEB">
            <w:pPr>
              <w:pStyle w:val="TableTextbold"/>
            </w:pPr>
            <w:r w:rsidRPr="00EF67DF">
              <w:t>Amendments to default conditions</w:t>
            </w:r>
          </w:p>
        </w:tc>
        <w:tc>
          <w:tcPr>
            <w:tcW w:w="4109" w:type="pct"/>
            <w:tcBorders>
              <w:top w:val="single" w:sz="4" w:space="0" w:color="1B556B"/>
              <w:bottom w:val="single" w:sz="4" w:space="0" w:color="1B556B"/>
            </w:tcBorders>
            <w:shd w:val="clear" w:color="auto" w:fill="auto"/>
          </w:tcPr>
          <w:p w14:paraId="09A8BBB3" w14:textId="17D29E51" w:rsidR="002A55DB" w:rsidRPr="005E589F" w:rsidRDefault="002A55DB" w:rsidP="002A55DB">
            <w:pPr>
              <w:pStyle w:val="TableText"/>
              <w:rPr>
                <w:i/>
                <w:iCs/>
              </w:rPr>
            </w:pPr>
            <w:r>
              <w:rPr>
                <w:i/>
                <w:iCs/>
              </w:rPr>
              <w:t>Slope (reg</w:t>
            </w:r>
            <w:r w:rsidR="004E09DA">
              <w:rPr>
                <w:i/>
                <w:iCs/>
              </w:rPr>
              <w:t xml:space="preserve"> </w:t>
            </w:r>
            <w:r>
              <w:rPr>
                <w:i/>
                <w:iCs/>
              </w:rPr>
              <w:t>26(4)(b))</w:t>
            </w:r>
          </w:p>
          <w:p w14:paraId="29358A7C" w14:textId="0DC7BB41" w:rsidR="002A55DB" w:rsidRPr="00F17242" w:rsidRDefault="002A55DB" w:rsidP="002A55DB">
            <w:pPr>
              <w:pStyle w:val="TableText"/>
            </w:pPr>
            <w:r w:rsidRPr="00F17242">
              <w:t xml:space="preserve">Sediment loss increases significantly where IWG activities are undertaken on steeper slopes. </w:t>
            </w:r>
            <w:r w:rsidR="00634AE6">
              <w:t xml:space="preserve">Undertaking </w:t>
            </w:r>
            <w:r w:rsidRPr="00F17242">
              <w:t xml:space="preserve">IWG on land with greater slope thresholds than 10 degrees </w:t>
            </w:r>
            <w:r>
              <w:t>would</w:t>
            </w:r>
            <w:r w:rsidRPr="00F17242">
              <w:t xml:space="preserve"> result in greater potential for sediment loss.</w:t>
            </w:r>
          </w:p>
          <w:p w14:paraId="060E8354" w14:textId="6C6444C7" w:rsidR="002A55DB" w:rsidRPr="00F17242" w:rsidRDefault="002A55DB" w:rsidP="002A55DB">
            <w:pPr>
              <w:pStyle w:val="TableText"/>
            </w:pPr>
            <w:r w:rsidRPr="00F17242">
              <w:t xml:space="preserve">While the default conditions cannot permit an activity that results in a significant environmental effect, IWG activities </w:t>
            </w:r>
            <w:r w:rsidR="00A14E4B">
              <w:t xml:space="preserve">could </w:t>
            </w:r>
            <w:r w:rsidR="007C56E3">
              <w:t xml:space="preserve">still </w:t>
            </w:r>
            <w:r w:rsidR="00A14E4B">
              <w:t xml:space="preserve">be undertaken on </w:t>
            </w:r>
            <w:r w:rsidRPr="00F17242">
              <w:t xml:space="preserve">steeper land </w:t>
            </w:r>
            <w:r w:rsidR="00A14E4B">
              <w:t xml:space="preserve">through </w:t>
            </w:r>
            <w:r w:rsidRPr="00F17242">
              <w:t xml:space="preserve">the </w:t>
            </w:r>
            <w:r>
              <w:t>FW-FP pathway (once available)</w:t>
            </w:r>
            <w:r w:rsidR="00DD1B92">
              <w:t xml:space="preserve"> or </w:t>
            </w:r>
            <w:r w:rsidR="00DD1B92" w:rsidRPr="00F17242">
              <w:t>resource consent pathway</w:t>
            </w:r>
            <w:r w:rsidRPr="00F17242">
              <w:t>.</w:t>
            </w:r>
          </w:p>
          <w:p w14:paraId="75D0DD8B" w14:textId="6669BE94" w:rsidR="002A55DB" w:rsidRPr="00F17242" w:rsidRDefault="002A55DB" w:rsidP="002A55DB">
            <w:pPr>
              <w:pStyle w:val="TableText"/>
            </w:pPr>
            <w:r w:rsidRPr="00F17242">
              <w:t xml:space="preserve">Amending the slope default condition to measure slope as a </w:t>
            </w:r>
            <w:r w:rsidR="00DD1B92">
              <w:t>‘</w:t>
            </w:r>
            <w:r w:rsidRPr="00F17242">
              <w:t>maximum</w:t>
            </w:r>
            <w:r w:rsidR="00DD1B92">
              <w:t>’</w:t>
            </w:r>
            <w:r w:rsidRPr="00F17242">
              <w:t xml:space="preserve">, </w:t>
            </w:r>
            <w:r w:rsidR="00DD1B92">
              <w:t xml:space="preserve">and </w:t>
            </w:r>
            <w:r w:rsidRPr="00F17242">
              <w:t xml:space="preserve">specifying this </w:t>
            </w:r>
            <w:r w:rsidR="00DD1B92">
              <w:t xml:space="preserve">is </w:t>
            </w:r>
            <w:r w:rsidRPr="00F17242">
              <w:t>to be measured over any 20-metre distance, will ensure that the intent of the regulation is met and will resolve the practical difficulties of measuring slope at a paddock scale.</w:t>
            </w:r>
          </w:p>
          <w:p w14:paraId="76CAB029" w14:textId="521E9A30" w:rsidR="004E09DA" w:rsidRPr="005E589F" w:rsidRDefault="004E09DA" w:rsidP="004E09DA">
            <w:pPr>
              <w:pStyle w:val="TableText"/>
              <w:rPr>
                <w:i/>
                <w:iCs/>
              </w:rPr>
            </w:pPr>
            <w:r w:rsidRPr="005E589F">
              <w:rPr>
                <w:i/>
                <w:iCs/>
              </w:rPr>
              <w:t>Pugging (reg</w:t>
            </w:r>
            <w:r>
              <w:rPr>
                <w:i/>
                <w:iCs/>
              </w:rPr>
              <w:t xml:space="preserve"> </w:t>
            </w:r>
            <w:r w:rsidRPr="005E589F">
              <w:rPr>
                <w:i/>
                <w:iCs/>
              </w:rPr>
              <w:t>26(4)(c))</w:t>
            </w:r>
          </w:p>
          <w:p w14:paraId="58D4FED8" w14:textId="77777777" w:rsidR="004E09DA" w:rsidRPr="00930715" w:rsidRDefault="004E09DA" w:rsidP="004E09DA">
            <w:pPr>
              <w:pStyle w:val="TableText"/>
            </w:pPr>
            <w:r w:rsidRPr="00930715">
              <w:t xml:space="preserve">The intent of including a pugging condition was aimed at minimising soil disturbance and subsequent sediment loss due to the hooves of grazing livestock. </w:t>
            </w:r>
          </w:p>
          <w:p w14:paraId="7E41784F" w14:textId="3397F7D5" w:rsidR="004E09DA" w:rsidRPr="0019679A" w:rsidRDefault="004E09DA" w:rsidP="004E09DA">
            <w:pPr>
              <w:pStyle w:val="TableText"/>
            </w:pPr>
            <w:r w:rsidRPr="00930715">
              <w:t xml:space="preserve">The existing condition that prescribes a pugged soil depth and </w:t>
            </w:r>
            <w:r w:rsidR="001A7ABD">
              <w:t xml:space="preserve">total pugged </w:t>
            </w:r>
            <w:r w:rsidRPr="00930715">
              <w:t xml:space="preserve">area has meant that farmers will struggle to practically determine whether they comply with </w:t>
            </w:r>
            <w:r w:rsidR="00635E6E">
              <w:t xml:space="preserve">this </w:t>
            </w:r>
            <w:r w:rsidRPr="00930715">
              <w:t xml:space="preserve">default condition </w:t>
            </w:r>
            <w:r w:rsidR="00635E6E">
              <w:t xml:space="preserve">and therefore, the permitted activity </w:t>
            </w:r>
            <w:r w:rsidRPr="00930715">
              <w:t xml:space="preserve">pathway. </w:t>
            </w:r>
          </w:p>
          <w:p w14:paraId="30B178B8" w14:textId="1D200C0F" w:rsidR="004E09DA" w:rsidRPr="0019679A" w:rsidRDefault="004E09DA" w:rsidP="004E09DA">
            <w:pPr>
              <w:pStyle w:val="TableText"/>
              <w:rPr>
                <w:bCs/>
              </w:rPr>
            </w:pPr>
            <w:r w:rsidRPr="0019679A">
              <w:rPr>
                <w:bCs/>
              </w:rPr>
              <w:t xml:space="preserve">The proposed change to instead require farmers to consider a broader set of factors when </w:t>
            </w:r>
            <w:r w:rsidR="001A7ABD" w:rsidRPr="0019679A">
              <w:rPr>
                <w:bCs/>
              </w:rPr>
              <w:t xml:space="preserve">minimising </w:t>
            </w:r>
            <w:r w:rsidRPr="0019679A">
              <w:rPr>
                <w:bCs/>
              </w:rPr>
              <w:t>pugging acknowledges the difficulties with implementing the existing pugging condition, while enabling flexibility when determining the most appropriate mitigation options. The proposed change will meet the intent of managing pugging to minimise soil loss and provides an avenue for councils to take enforcement action if required.</w:t>
            </w:r>
          </w:p>
          <w:p w14:paraId="0FCBB356" w14:textId="15B0A526" w:rsidR="002A55DB" w:rsidRPr="005E589F" w:rsidRDefault="002A55DB" w:rsidP="002A55DB">
            <w:pPr>
              <w:pStyle w:val="TableText"/>
              <w:rPr>
                <w:i/>
                <w:iCs/>
              </w:rPr>
            </w:pPr>
            <w:r w:rsidRPr="005E589F">
              <w:rPr>
                <w:i/>
                <w:iCs/>
              </w:rPr>
              <w:t>Buffer zones and subsurface drains</w:t>
            </w:r>
            <w:r>
              <w:rPr>
                <w:i/>
                <w:iCs/>
              </w:rPr>
              <w:t xml:space="preserve"> (reg 26(4)(d))</w:t>
            </w:r>
          </w:p>
          <w:p w14:paraId="14ABA73D" w14:textId="1AF31FBB" w:rsidR="002A55DB" w:rsidRDefault="002A55DB" w:rsidP="002A55DB">
            <w:pPr>
              <w:pStyle w:val="TableTextbold"/>
              <w:rPr>
                <w:b w:val="0"/>
              </w:rPr>
            </w:pPr>
            <w:r w:rsidRPr="00F17242">
              <w:rPr>
                <w:b w:val="0"/>
              </w:rPr>
              <w:t>The</w:t>
            </w:r>
            <w:r w:rsidR="00634AE6">
              <w:rPr>
                <w:b w:val="0"/>
              </w:rPr>
              <w:t xml:space="preserve"> proposed</w:t>
            </w:r>
            <w:r w:rsidRPr="00F17242">
              <w:rPr>
                <w:b w:val="0"/>
              </w:rPr>
              <w:t xml:space="preserve"> amend</w:t>
            </w:r>
            <w:r w:rsidR="00153E59">
              <w:rPr>
                <w:b w:val="0"/>
              </w:rPr>
              <w:t>ment to</w:t>
            </w:r>
            <w:r w:rsidRPr="00F17242">
              <w:rPr>
                <w:b w:val="0"/>
              </w:rPr>
              <w:t xml:space="preserve"> ‘drain’ definition </w:t>
            </w:r>
            <w:r w:rsidR="003E58AE">
              <w:rPr>
                <w:b w:val="0"/>
              </w:rPr>
              <w:t xml:space="preserve">would </w:t>
            </w:r>
            <w:r w:rsidR="007B2C06">
              <w:rPr>
                <w:b w:val="0"/>
              </w:rPr>
              <w:t xml:space="preserve">exclude </w:t>
            </w:r>
            <w:r w:rsidRPr="00F17242">
              <w:rPr>
                <w:b w:val="0"/>
              </w:rPr>
              <w:t>subsurface drains.</w:t>
            </w:r>
            <w:r w:rsidRPr="00F17242" w:rsidDel="006F31F8">
              <w:rPr>
                <w:b w:val="0"/>
              </w:rPr>
              <w:t xml:space="preserve"> </w:t>
            </w:r>
            <w:r w:rsidRPr="00F17242">
              <w:rPr>
                <w:b w:val="0"/>
              </w:rPr>
              <w:t xml:space="preserve">Their inclusion was an unintended outcome through drafting. </w:t>
            </w:r>
            <w:r>
              <w:rPr>
                <w:b w:val="0"/>
              </w:rPr>
              <w:t>Some s</w:t>
            </w:r>
            <w:r w:rsidRPr="00F17242">
              <w:rPr>
                <w:b w:val="0"/>
              </w:rPr>
              <w:t>ubmissions recommended the subsurface drainage be captured as part of the CSA condition</w:t>
            </w:r>
            <w:r w:rsidR="006002FB">
              <w:rPr>
                <w:b w:val="0"/>
              </w:rPr>
              <w:t>, but t</w:t>
            </w:r>
            <w:r w:rsidRPr="00F17242">
              <w:rPr>
                <w:b w:val="0"/>
              </w:rPr>
              <w:t xml:space="preserve">his can be </w:t>
            </w:r>
            <w:r w:rsidR="006002FB">
              <w:rPr>
                <w:b w:val="0"/>
              </w:rPr>
              <w:t xml:space="preserve">better </w:t>
            </w:r>
            <w:r w:rsidRPr="00F17242">
              <w:rPr>
                <w:b w:val="0"/>
              </w:rPr>
              <w:t xml:space="preserve">addressed through FW-FPs </w:t>
            </w:r>
            <w:r w:rsidR="006002FB">
              <w:rPr>
                <w:b w:val="0"/>
              </w:rPr>
              <w:t>(</w:t>
            </w:r>
            <w:r w:rsidRPr="00F17242">
              <w:rPr>
                <w:b w:val="0"/>
              </w:rPr>
              <w:t>once available</w:t>
            </w:r>
            <w:r w:rsidR="006002FB">
              <w:rPr>
                <w:b w:val="0"/>
              </w:rPr>
              <w:t>)</w:t>
            </w:r>
            <w:r w:rsidR="00EA65BE">
              <w:rPr>
                <w:b w:val="0"/>
              </w:rPr>
              <w:t xml:space="preserve"> and local implementation of the NPS-FM 2020</w:t>
            </w:r>
            <w:r w:rsidRPr="00F17242">
              <w:rPr>
                <w:b w:val="0"/>
              </w:rPr>
              <w:t>.</w:t>
            </w:r>
          </w:p>
          <w:p w14:paraId="183B7D18" w14:textId="77777777" w:rsidR="002A55DB" w:rsidRPr="005E589F" w:rsidRDefault="002A55DB" w:rsidP="002A55DB">
            <w:pPr>
              <w:pStyle w:val="TableTextbold"/>
              <w:rPr>
                <w:b w:val="0"/>
                <w:i/>
                <w:iCs/>
              </w:rPr>
            </w:pPr>
            <w:r w:rsidRPr="005E589F">
              <w:rPr>
                <w:b w:val="0"/>
                <w:i/>
                <w:iCs/>
              </w:rPr>
              <w:t>Resow</w:t>
            </w:r>
            <w:r>
              <w:rPr>
                <w:b w:val="0"/>
                <w:i/>
                <w:iCs/>
              </w:rPr>
              <w:t xml:space="preserve"> (reg 26(4)(e))</w:t>
            </w:r>
          </w:p>
          <w:p w14:paraId="371CB9CD" w14:textId="4D40AD03" w:rsidR="009B122D" w:rsidRPr="00A165D8" w:rsidRDefault="002A55DB" w:rsidP="004E09DA">
            <w:pPr>
              <w:pStyle w:val="TableText"/>
            </w:pPr>
            <w:r w:rsidRPr="00F17242">
              <w:t xml:space="preserve">The resow condition is targeted at minimising the amount of time that ground is bare and at the greatest risk of sediment mobilisation. The </w:t>
            </w:r>
            <w:r w:rsidR="00470C7D">
              <w:t xml:space="preserve">proposed </w:t>
            </w:r>
            <w:r w:rsidRPr="00F17242">
              <w:t>amend</w:t>
            </w:r>
            <w:r w:rsidR="00470C7D">
              <w:t xml:space="preserve">ment </w:t>
            </w:r>
            <w:r w:rsidRPr="00F17242">
              <w:t xml:space="preserve"> </w:t>
            </w:r>
            <w:r w:rsidR="00470C7D">
              <w:t xml:space="preserve">to the </w:t>
            </w:r>
            <w:r w:rsidRPr="00F17242">
              <w:t>resow condition acknowledges regional variation and planting practices (</w:t>
            </w:r>
            <w:r w:rsidR="00470C7D">
              <w:t>eg</w:t>
            </w:r>
            <w:r w:rsidRPr="00F17242">
              <w:t>, companion planting) currently being utilised</w:t>
            </w:r>
            <w:r>
              <w:t xml:space="preserve"> while ensuring that bare ground following IWG is managed to minimise sediment loss</w:t>
            </w:r>
            <w:r w:rsidRPr="00F17242">
              <w:t>.</w:t>
            </w:r>
          </w:p>
        </w:tc>
      </w:tr>
      <w:tr w:rsidR="00F17242" w:rsidRPr="006B77BB" w14:paraId="7288FAE8" w14:textId="77777777" w:rsidTr="00F1011F">
        <w:tc>
          <w:tcPr>
            <w:tcW w:w="891" w:type="pct"/>
            <w:tcBorders>
              <w:top w:val="single" w:sz="4" w:space="0" w:color="1B556B"/>
              <w:bottom w:val="single" w:sz="4" w:space="0" w:color="1B556B"/>
            </w:tcBorders>
            <w:shd w:val="clear" w:color="auto" w:fill="auto"/>
          </w:tcPr>
          <w:p w14:paraId="07E4BC1C" w14:textId="615CEE26" w:rsidR="00F17242" w:rsidRPr="00EF67DF" w:rsidRDefault="00987D85" w:rsidP="00963EEB">
            <w:pPr>
              <w:pStyle w:val="TableTextbold"/>
            </w:pPr>
            <w:r>
              <w:t>I</w:t>
            </w:r>
            <w:r w:rsidR="00F17242" w:rsidRPr="00EF67DF">
              <w:t>ntensive winter grazing is managed</w:t>
            </w:r>
          </w:p>
        </w:tc>
        <w:tc>
          <w:tcPr>
            <w:tcW w:w="4109" w:type="pct"/>
            <w:tcBorders>
              <w:top w:val="single" w:sz="4" w:space="0" w:color="1B556B"/>
              <w:bottom w:val="single" w:sz="4" w:space="0" w:color="1B556B"/>
            </w:tcBorders>
            <w:shd w:val="clear" w:color="auto" w:fill="auto"/>
          </w:tcPr>
          <w:p w14:paraId="6C74F40F" w14:textId="30D6FD03" w:rsidR="00F17242" w:rsidRPr="00F17242" w:rsidRDefault="00F17242" w:rsidP="00F17242">
            <w:pPr>
              <w:pStyle w:val="TableText"/>
            </w:pPr>
            <w:r w:rsidRPr="00F17242">
              <w:t xml:space="preserve">The amendments will address implementation issues with the default conditions, while providing a </w:t>
            </w:r>
            <w:r w:rsidR="00FB467B">
              <w:t>permitted activity pathway that</w:t>
            </w:r>
            <w:r w:rsidRPr="00F17242">
              <w:t xml:space="preserve"> manage</w:t>
            </w:r>
            <w:r w:rsidR="00FB467B">
              <w:t>s</w:t>
            </w:r>
            <w:r w:rsidRPr="00F17242">
              <w:t xml:space="preserve"> the effects of the activity.</w:t>
            </w:r>
          </w:p>
          <w:p w14:paraId="5DC3DC3B" w14:textId="540F4130" w:rsidR="00F17242" w:rsidRDefault="00F17242" w:rsidP="00F17242">
            <w:pPr>
              <w:pStyle w:val="TableText"/>
            </w:pPr>
            <w:r w:rsidRPr="00F17242">
              <w:t xml:space="preserve">A consenting pathway will be available where a farm is unable to meet the default conditions </w:t>
            </w:r>
            <w:r w:rsidR="00D11DE4">
              <w:t xml:space="preserve">or obtain </w:t>
            </w:r>
            <w:r w:rsidRPr="00F17242">
              <w:t>a FW-FP to manage any significant adverse effects.</w:t>
            </w:r>
          </w:p>
          <w:p w14:paraId="4501D659" w14:textId="1AD236E6" w:rsidR="00F17242" w:rsidRPr="00F17242" w:rsidRDefault="00F17242" w:rsidP="00963EEB">
            <w:pPr>
              <w:pStyle w:val="TableTextbold"/>
              <w:rPr>
                <w:b w:val="0"/>
                <w:color w:val="FFFFFF" w:themeColor="background1"/>
              </w:rPr>
            </w:pPr>
            <w:r w:rsidRPr="00F17242">
              <w:rPr>
                <w:b w:val="0"/>
              </w:rPr>
              <w:t>Given the diversity of farming practices and natural conditions (which vary nationwide) there is limited ability to provide more specific permitted activity conditions. The amended condition</w:t>
            </w:r>
            <w:r w:rsidR="00ED50B9">
              <w:rPr>
                <w:b w:val="0"/>
              </w:rPr>
              <w:t>s</w:t>
            </w:r>
            <w:r w:rsidRPr="00F17242">
              <w:rPr>
                <w:b w:val="0"/>
              </w:rPr>
              <w:t xml:space="preserve"> address the practicality issues that have been identified in the current wording.</w:t>
            </w:r>
          </w:p>
        </w:tc>
      </w:tr>
      <w:tr w:rsidR="00F17242" w:rsidRPr="006B77BB" w14:paraId="0A69DD78" w14:textId="77777777" w:rsidTr="00F1011F">
        <w:tc>
          <w:tcPr>
            <w:tcW w:w="891" w:type="pct"/>
            <w:tcBorders>
              <w:top w:val="single" w:sz="4" w:space="0" w:color="1B556B"/>
              <w:bottom w:val="single" w:sz="4" w:space="0" w:color="FFFFFF" w:themeColor="background1"/>
            </w:tcBorders>
            <w:shd w:val="clear" w:color="auto" w:fill="auto"/>
          </w:tcPr>
          <w:p w14:paraId="5FCC39B1" w14:textId="38BCEC21" w:rsidR="00F17242" w:rsidRPr="00EF67DF" w:rsidRDefault="00F17242" w:rsidP="00963EEB">
            <w:pPr>
              <w:pStyle w:val="TableTextbold"/>
            </w:pPr>
            <w:r w:rsidRPr="00EF67DF">
              <w:t>Addresses resource consent burden</w:t>
            </w:r>
          </w:p>
        </w:tc>
        <w:tc>
          <w:tcPr>
            <w:tcW w:w="4109" w:type="pct"/>
            <w:tcBorders>
              <w:top w:val="single" w:sz="4" w:space="0" w:color="1B556B"/>
            </w:tcBorders>
            <w:shd w:val="clear" w:color="auto" w:fill="auto"/>
          </w:tcPr>
          <w:p w14:paraId="2CA47455" w14:textId="0D90CBA8" w:rsidR="005444F2" w:rsidRDefault="00C16740" w:rsidP="00542FC1">
            <w:pPr>
              <w:pStyle w:val="TableText"/>
            </w:pPr>
            <w:r w:rsidRPr="00F17242">
              <w:t>The amendments to the default conditions provide clarity on how the regulations are to be applied, and when resource consents will be required.</w:t>
            </w:r>
          </w:p>
          <w:p w14:paraId="7D88EFA0" w14:textId="5979B1BD" w:rsidR="00542FC1" w:rsidRDefault="00542FC1" w:rsidP="00542FC1">
            <w:pPr>
              <w:pStyle w:val="TableText"/>
            </w:pPr>
            <w:r>
              <w:t>The proposed amendments address the implementation issues in the short-term while FW-FPs are unavailable, while still managing the environmental effects of IWG activity.</w:t>
            </w:r>
          </w:p>
          <w:p w14:paraId="028D0D61" w14:textId="50DB7AD6" w:rsidR="00542FC1" w:rsidRDefault="005444F2" w:rsidP="00542FC1">
            <w:pPr>
              <w:pStyle w:val="TableText"/>
            </w:pPr>
            <w:r>
              <w:t>They p</w:t>
            </w:r>
            <w:r w:rsidR="00542FC1">
              <w:t>rovide a permitted activity pathway that is expected to be more workable (ie, in terms of farmers being more confident they will be able to comply), and thereby reduce the number of resource consent applications otherwise expected</w:t>
            </w:r>
            <w:r w:rsidR="00F26ED2">
              <w:t xml:space="preserve"> (up to 10,000 under the status quo, at a cost to both farmers and regional councils)</w:t>
            </w:r>
            <w:r w:rsidR="00542FC1">
              <w:t>. These risks will also be mitigated in the future when FW-FPs are available.</w:t>
            </w:r>
          </w:p>
          <w:p w14:paraId="4F22F04F" w14:textId="6FB6CB17" w:rsidR="00C16740" w:rsidRPr="00F17242" w:rsidRDefault="00C16740" w:rsidP="00C16740">
            <w:pPr>
              <w:pStyle w:val="TableTextbold"/>
              <w:rPr>
                <w:b w:val="0"/>
                <w:color w:val="FFFFFF" w:themeColor="background1"/>
              </w:rPr>
            </w:pPr>
            <w:r w:rsidRPr="00F17242">
              <w:rPr>
                <w:b w:val="0"/>
              </w:rPr>
              <w:t>The deferral of the IWG regulations taking effect will provide additional time for farmers to either determine compliance with default conditions, or to obtain a resource consent if necessary.</w:t>
            </w:r>
          </w:p>
        </w:tc>
      </w:tr>
    </w:tbl>
    <w:p w14:paraId="3A597770" w14:textId="643C3CF1" w:rsidR="00212F07" w:rsidRDefault="00212F07" w:rsidP="00212F07">
      <w:pPr>
        <w:pStyle w:val="Heading3"/>
      </w:pPr>
      <w:r>
        <w:t>Overall assessment</w:t>
      </w:r>
      <w:r w:rsidR="005B338B">
        <w:t xml:space="preserve"> of effectiveness</w:t>
      </w:r>
      <w:r>
        <w:t xml:space="preserve"> </w:t>
      </w:r>
    </w:p>
    <w:p w14:paraId="34CC598E" w14:textId="07466427" w:rsidR="00212F07" w:rsidRDefault="00212F07" w:rsidP="00212F07">
      <w:pPr>
        <w:pStyle w:val="BodyText"/>
      </w:pPr>
      <w:r>
        <w:t xml:space="preserve">The NES-F amendments address the implementation concerns raised by the </w:t>
      </w:r>
      <w:r w:rsidR="00790E7F">
        <w:t>primary</w:t>
      </w:r>
      <w:r>
        <w:t xml:space="preserve"> sector and regional councils.</w:t>
      </w:r>
    </w:p>
    <w:p w14:paraId="15FE5160" w14:textId="327CDB13" w:rsidR="00212F07" w:rsidRDefault="00212F07" w:rsidP="00212F07">
      <w:pPr>
        <w:pStyle w:val="BodyText"/>
      </w:pPr>
      <w:r>
        <w:t>When considering the proposed amendments as a whole, the changes meet the intent of the regulations to manage the adverse environmental impacts of IWG. The amendments address the workability of the IWG default conditions (ie, resow and pugging) and the technical changes will improve clarity for where and how the regulations apply. Overall, the amendments are considered to be effective.</w:t>
      </w:r>
    </w:p>
    <w:p w14:paraId="62FCB6DC" w14:textId="0337134E" w:rsidR="001A00D7" w:rsidRPr="006B77BB" w:rsidRDefault="001A00D7" w:rsidP="001A00D7">
      <w:pPr>
        <w:pStyle w:val="Tableheading"/>
      </w:pPr>
      <w:bookmarkStart w:id="35" w:name="_Toc99614858"/>
      <w:bookmarkStart w:id="36" w:name="Table4"/>
      <w:r w:rsidRPr="006B77BB">
        <w:t xml:space="preserve">Table </w:t>
      </w:r>
      <w:r w:rsidR="005B338B">
        <w:t>4</w:t>
      </w:r>
      <w:r w:rsidRPr="006B77BB">
        <w:t>:</w:t>
      </w:r>
      <w:r w:rsidRPr="006B77BB">
        <w:tab/>
      </w:r>
      <w:r>
        <w:t>Assessment of efficiency of amendments to the IWG standards</w:t>
      </w:r>
      <w:bookmarkEnd w:id="35"/>
    </w:p>
    <w:tbl>
      <w:tblPr>
        <w:tblStyle w:val="TableGrid"/>
        <w:tblW w:w="5000" w:type="pct"/>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1515"/>
        <w:gridCol w:w="3411"/>
        <w:gridCol w:w="3579"/>
      </w:tblGrid>
      <w:tr w:rsidR="001A00D7" w:rsidRPr="006B77BB" w14:paraId="3288206F" w14:textId="77777777" w:rsidTr="00F1011F">
        <w:tc>
          <w:tcPr>
            <w:tcW w:w="891" w:type="pct"/>
            <w:shd w:val="clear" w:color="auto" w:fill="1B556B"/>
          </w:tcPr>
          <w:bookmarkEnd w:id="36"/>
          <w:p w14:paraId="13FFEEF1" w14:textId="58C5D244" w:rsidR="001A00D7" w:rsidRPr="006B77BB" w:rsidRDefault="00DA2D31" w:rsidP="00A16FFE">
            <w:pPr>
              <w:pStyle w:val="TableTextbold"/>
              <w:rPr>
                <w:color w:val="FFFFFF" w:themeColor="background1"/>
              </w:rPr>
            </w:pPr>
            <w:r>
              <w:rPr>
                <w:color w:val="FFFFFF" w:themeColor="background1"/>
              </w:rPr>
              <w:t>Effects being considered</w:t>
            </w:r>
          </w:p>
        </w:tc>
        <w:tc>
          <w:tcPr>
            <w:tcW w:w="2005" w:type="pct"/>
            <w:shd w:val="clear" w:color="auto" w:fill="1B556B"/>
          </w:tcPr>
          <w:p w14:paraId="7241372E" w14:textId="2F89F047" w:rsidR="001A00D7" w:rsidRPr="006B77BB" w:rsidRDefault="001A00D7" w:rsidP="00A16FFE">
            <w:pPr>
              <w:pStyle w:val="TableTextbold"/>
              <w:rPr>
                <w:color w:val="FFFFFF" w:themeColor="background1"/>
              </w:rPr>
            </w:pPr>
            <w:r>
              <w:rPr>
                <w:color w:val="FFFFFF" w:themeColor="background1"/>
              </w:rPr>
              <w:t>Benefits</w:t>
            </w:r>
          </w:p>
        </w:tc>
        <w:tc>
          <w:tcPr>
            <w:tcW w:w="2104" w:type="pct"/>
            <w:shd w:val="clear" w:color="auto" w:fill="1B556B"/>
          </w:tcPr>
          <w:p w14:paraId="46B540EA" w14:textId="1301940C" w:rsidR="001A00D7" w:rsidRPr="006B77BB" w:rsidRDefault="001A00D7" w:rsidP="00A16FFE">
            <w:pPr>
              <w:pStyle w:val="TableTextbold"/>
              <w:rPr>
                <w:color w:val="FFFFFF" w:themeColor="background1"/>
              </w:rPr>
            </w:pPr>
            <w:r>
              <w:rPr>
                <w:color w:val="FFFFFF" w:themeColor="background1"/>
              </w:rPr>
              <w:t>Costs</w:t>
            </w:r>
          </w:p>
        </w:tc>
      </w:tr>
      <w:tr w:rsidR="001A00D7" w:rsidRPr="006B77BB" w14:paraId="6A7A6C8B" w14:textId="77777777" w:rsidTr="00F1011F">
        <w:tc>
          <w:tcPr>
            <w:tcW w:w="891" w:type="pct"/>
            <w:shd w:val="clear" w:color="auto" w:fill="auto"/>
          </w:tcPr>
          <w:p w14:paraId="2B510A7B" w14:textId="38AC1E1F" w:rsidR="001A00D7" w:rsidRPr="006B77BB" w:rsidRDefault="002025DF" w:rsidP="00A16FFE">
            <w:pPr>
              <w:pStyle w:val="TableText"/>
            </w:pPr>
            <w:r w:rsidRPr="002025DF">
              <w:t>Environmental</w:t>
            </w:r>
          </w:p>
        </w:tc>
        <w:tc>
          <w:tcPr>
            <w:tcW w:w="2005" w:type="pct"/>
            <w:shd w:val="clear" w:color="auto" w:fill="auto"/>
          </w:tcPr>
          <w:p w14:paraId="586E8633" w14:textId="77777777" w:rsidR="00FA5A53" w:rsidRDefault="00FA5A53" w:rsidP="00FA5A53">
            <w:pPr>
              <w:pStyle w:val="TableText"/>
            </w:pPr>
            <w:r>
              <w:t>Improved health of waterways and freshwater quality in line with objective of the NPS-FM 2020 over the long-term. The amendments will control farming practices through managing the IWG activities that contribute to increased sediment loss.</w:t>
            </w:r>
          </w:p>
          <w:p w14:paraId="231F3B81" w14:textId="77777777" w:rsidR="00FA5A53" w:rsidRDefault="00FA5A53" w:rsidP="00FA5A53">
            <w:pPr>
              <w:pStyle w:val="TableText"/>
            </w:pPr>
            <w:r>
              <w:t>The inclusion of a condition managing critical source areas (CSAs) will provide an additional layer of protection to the waterways from IWG activities.</w:t>
            </w:r>
          </w:p>
          <w:p w14:paraId="7051C3E5" w14:textId="6458A6CB" w:rsidR="001A00D7" w:rsidRPr="006B77BB" w:rsidRDefault="00FA5A53" w:rsidP="00FA5A53">
            <w:pPr>
              <w:pStyle w:val="TableText"/>
            </w:pPr>
            <w:r>
              <w:t>The amendments are targeted at improving several NES-F implementation concerns.</w:t>
            </w:r>
            <w:r w:rsidDel="00D353DA">
              <w:t xml:space="preserve"> </w:t>
            </w:r>
            <w:r>
              <w:t>The amendments to the permitted activity default conditions will provide more certainty on how they are to be implemented and enforced.</w:t>
            </w:r>
            <w:r w:rsidR="005B61AD">
              <w:t xml:space="preserve"> In the long-term, FW-FPs will enable more bespoke mitigation to manage effects at a farm and catchment scale.</w:t>
            </w:r>
          </w:p>
        </w:tc>
        <w:tc>
          <w:tcPr>
            <w:tcW w:w="2104" w:type="pct"/>
            <w:shd w:val="clear" w:color="auto" w:fill="auto"/>
          </w:tcPr>
          <w:p w14:paraId="3A9EE9BE" w14:textId="56892B0E" w:rsidR="00165BBE" w:rsidRDefault="00165BBE" w:rsidP="000C5ACE">
            <w:pPr>
              <w:pStyle w:val="TableText"/>
            </w:pPr>
            <w:r>
              <w:t>The proposed amendments includ</w:t>
            </w:r>
            <w:r w:rsidR="00CE3EBD">
              <w:t>e</w:t>
            </w:r>
            <w:r>
              <w:t xml:space="preserve"> deferring the regulations for a further 6 months (until 1 November 2022). This means the IWG regulations will not manage environmental effects until winter of 2023 (however, </w:t>
            </w:r>
            <w:r w:rsidR="00DC4F4B">
              <w:t xml:space="preserve">under the status quo, </w:t>
            </w:r>
            <w:r>
              <w:t xml:space="preserve">existing use rights would </w:t>
            </w:r>
            <w:r w:rsidR="00DC4F4B">
              <w:t xml:space="preserve">have largely prevented existing regulations from doing so </w:t>
            </w:r>
            <w:r>
              <w:t>during the winter of 2022 anyway).</w:t>
            </w:r>
          </w:p>
          <w:p w14:paraId="2A60C1A7" w14:textId="3E83AF2C" w:rsidR="000C5ACE" w:rsidRDefault="000C5ACE" w:rsidP="000C5ACE">
            <w:pPr>
              <w:pStyle w:val="TableText"/>
            </w:pPr>
            <w:r>
              <w:t xml:space="preserve">Additional </w:t>
            </w:r>
            <w:r w:rsidR="0019022E">
              <w:t xml:space="preserve">guidance </w:t>
            </w:r>
            <w:r>
              <w:t xml:space="preserve">for farmers </w:t>
            </w:r>
            <w:r w:rsidR="0019022E">
              <w:t>could assist in managing</w:t>
            </w:r>
            <w:r>
              <w:t xml:space="preserve"> adverse </w:t>
            </w:r>
            <w:r w:rsidR="00E5042D">
              <w:t>effects</w:t>
            </w:r>
            <w:r>
              <w:t xml:space="preserve"> during the deferral.</w:t>
            </w:r>
          </w:p>
          <w:p w14:paraId="3A3DA89D" w14:textId="67458C61" w:rsidR="001A00D7" w:rsidRPr="006B77BB" w:rsidRDefault="000B7442" w:rsidP="00C83470">
            <w:pPr>
              <w:pStyle w:val="TableText"/>
            </w:pPr>
            <w:r>
              <w:t xml:space="preserve">While compliance, monitoring and enforcement are expected to be </w:t>
            </w:r>
            <w:r w:rsidR="00B3500D">
              <w:t>more practical as a result of the proposed amendments, some risk</w:t>
            </w:r>
            <w:r w:rsidR="007F40E1">
              <w:t>s</w:t>
            </w:r>
            <w:r w:rsidR="00B3500D">
              <w:t xml:space="preserve"> remain. </w:t>
            </w:r>
            <w:r w:rsidR="00C83470">
              <w:t xml:space="preserve">Guidance </w:t>
            </w:r>
            <w:r w:rsidR="00B3500D">
              <w:t xml:space="preserve">would </w:t>
            </w:r>
            <w:r w:rsidR="00D247F9">
              <w:t xml:space="preserve">help to address those risks. </w:t>
            </w:r>
          </w:p>
        </w:tc>
      </w:tr>
      <w:tr w:rsidR="001A00D7" w:rsidRPr="006B77BB" w14:paraId="094E3EB9" w14:textId="77777777" w:rsidTr="00F1011F">
        <w:tc>
          <w:tcPr>
            <w:tcW w:w="891" w:type="pct"/>
            <w:shd w:val="clear" w:color="auto" w:fill="auto"/>
          </w:tcPr>
          <w:p w14:paraId="1C934150" w14:textId="376EFF71" w:rsidR="001A00D7" w:rsidRPr="007E795F" w:rsidRDefault="00532F83" w:rsidP="00A16FFE">
            <w:pPr>
              <w:pStyle w:val="TableText"/>
            </w:pPr>
            <w:r w:rsidRPr="00532F83">
              <w:t>Economic</w:t>
            </w:r>
          </w:p>
        </w:tc>
        <w:tc>
          <w:tcPr>
            <w:tcW w:w="2005" w:type="pct"/>
            <w:shd w:val="clear" w:color="auto" w:fill="auto"/>
          </w:tcPr>
          <w:p w14:paraId="4AB3F3B3" w14:textId="77777777" w:rsidR="002B6086" w:rsidRDefault="002B6086" w:rsidP="002B6086">
            <w:pPr>
              <w:pStyle w:val="TableText"/>
            </w:pPr>
            <w:r>
              <w:t>Increased certainty for farmers carrying out IWG activities. The amended regulations will encourage better farm management practices, which can provide an economic benefit to the farming sector.</w:t>
            </w:r>
          </w:p>
          <w:p w14:paraId="749909F8" w14:textId="77777777" w:rsidR="002B6086" w:rsidRDefault="002B6086" w:rsidP="002B6086">
            <w:pPr>
              <w:pStyle w:val="TableText"/>
            </w:pPr>
            <w:r>
              <w:t>Based on information received, officials estimate that consent numbers could decrease by up to 20%, as a result of the amendments to the IWG regulations.</w:t>
            </w:r>
          </w:p>
          <w:p w14:paraId="583D5DA6" w14:textId="2E20572C" w:rsidR="00FF45D8" w:rsidRPr="006B77BB" w:rsidRDefault="002B6086" w:rsidP="002B6086">
            <w:pPr>
              <w:pStyle w:val="TableText"/>
            </w:pPr>
            <w:r>
              <w:t>The deferral will also allow time for farmers to adjust their practices to comply with the permitted activity default conditions, to also reduce the number of consents and subsequent cost required in the short-term.</w:t>
            </w:r>
          </w:p>
        </w:tc>
        <w:tc>
          <w:tcPr>
            <w:tcW w:w="2104" w:type="pct"/>
            <w:shd w:val="clear" w:color="auto" w:fill="auto"/>
          </w:tcPr>
          <w:p w14:paraId="20277882" w14:textId="65E7865B" w:rsidR="0069159C" w:rsidRDefault="0069159C" w:rsidP="0069159C">
            <w:pPr>
              <w:pStyle w:val="TableText"/>
            </w:pPr>
            <w:r>
              <w:t>Compliance and monitoring costs to ensure the IWG default conditions are being complied with.</w:t>
            </w:r>
            <w:r w:rsidDel="00D353DA">
              <w:t xml:space="preserve"> </w:t>
            </w:r>
            <w:r w:rsidRPr="003D6783">
              <w:t xml:space="preserve">The cost of compliance, monitoring and enforcement generally falls on councils, they are able to recover costs through a range of charges (including for the monitoring </w:t>
            </w:r>
            <w:r w:rsidRPr="0019679A">
              <w:t>of permitted activities). Councils are not able to recover costs in this way in relation to stand-alone duties. This may mean additional costs are borne by regional councils.</w:t>
            </w:r>
          </w:p>
          <w:p w14:paraId="7F7D7ECA" w14:textId="0E371A44" w:rsidR="007F3218" w:rsidRDefault="009A246B" w:rsidP="007F3218">
            <w:pPr>
              <w:pStyle w:val="TableText"/>
            </w:pPr>
            <w:r w:rsidDel="00BF1FCC">
              <w:t xml:space="preserve"> </w:t>
            </w:r>
            <w:r w:rsidR="007F3218">
              <w:t>The</w:t>
            </w:r>
            <w:r w:rsidR="006D4255">
              <w:t xml:space="preserve"> </w:t>
            </w:r>
            <w:r w:rsidR="007F3218">
              <w:t>slope and CSA default conditions could result in a reduction of land available for IWG activities. The reduction in land for IWG could affect the stocking rates that are able to be managed on farms through winter, which in turn could affect productivity/profitability for some farms.</w:t>
            </w:r>
          </w:p>
          <w:p w14:paraId="453E7D00" w14:textId="1BA97AF8" w:rsidR="001A00D7" w:rsidRPr="006B77BB" w:rsidRDefault="00A97291" w:rsidP="00A97291">
            <w:pPr>
              <w:pStyle w:val="TableText"/>
            </w:pPr>
            <w:r>
              <w:t xml:space="preserve">Guidance will be required to support the implementation of </w:t>
            </w:r>
            <w:r w:rsidR="00005B91" w:rsidRPr="0019679A">
              <w:t xml:space="preserve">requirements for managing </w:t>
            </w:r>
            <w:r w:rsidRPr="0019679A">
              <w:t>pugging</w:t>
            </w:r>
            <w:r w:rsidR="00F93E12" w:rsidRPr="0019679A">
              <w:t>,</w:t>
            </w:r>
            <w:r w:rsidRPr="0019679A">
              <w:t xml:space="preserve"> resowing</w:t>
            </w:r>
            <w:r w:rsidR="00F93E12" w:rsidRPr="0019679A">
              <w:t xml:space="preserve"> and CSAs</w:t>
            </w:r>
            <w:r w:rsidRPr="0019679A">
              <w:t>.</w:t>
            </w:r>
          </w:p>
        </w:tc>
      </w:tr>
      <w:tr w:rsidR="001A00D7" w:rsidRPr="006B77BB" w14:paraId="2F6E634A" w14:textId="77777777" w:rsidTr="00F1011F">
        <w:tc>
          <w:tcPr>
            <w:tcW w:w="891" w:type="pct"/>
            <w:shd w:val="clear" w:color="auto" w:fill="auto"/>
          </w:tcPr>
          <w:p w14:paraId="61AE2D27" w14:textId="3227E44F" w:rsidR="001A00D7" w:rsidRPr="007E795F" w:rsidRDefault="00934E1B" w:rsidP="00A16FFE">
            <w:pPr>
              <w:pStyle w:val="TableText"/>
            </w:pPr>
            <w:r w:rsidRPr="00934E1B">
              <w:t>Social</w:t>
            </w:r>
          </w:p>
        </w:tc>
        <w:tc>
          <w:tcPr>
            <w:tcW w:w="2005" w:type="pct"/>
            <w:shd w:val="clear" w:color="auto" w:fill="auto"/>
          </w:tcPr>
          <w:p w14:paraId="72070DDA" w14:textId="33F54D53" w:rsidR="001A00D7" w:rsidRPr="006B77BB" w:rsidRDefault="00780320" w:rsidP="00780320">
            <w:pPr>
              <w:pStyle w:val="TableText"/>
            </w:pPr>
            <w:r w:rsidRPr="00AE30F1">
              <w:t>Increased certainty about how the NES-F is applied</w:t>
            </w:r>
            <w:r>
              <w:t>. Reduction in</w:t>
            </w:r>
            <w:r w:rsidRPr="00AE30F1">
              <w:t xml:space="preserve"> the potential consenting burden on farmers and regional councils.</w:t>
            </w:r>
          </w:p>
        </w:tc>
        <w:tc>
          <w:tcPr>
            <w:tcW w:w="2104" w:type="pct"/>
            <w:shd w:val="clear" w:color="auto" w:fill="auto"/>
          </w:tcPr>
          <w:p w14:paraId="13AB587D" w14:textId="7A3DA5CD" w:rsidR="001A00D7" w:rsidRPr="006B77BB" w:rsidRDefault="00CC4BD5" w:rsidP="00A16FFE">
            <w:pPr>
              <w:pStyle w:val="TableText"/>
            </w:pPr>
            <w:r w:rsidRPr="007210B1">
              <w:t>There is a decreased ability to cost recover for pugging and resow as stand-alone duties. However, in practice, that is not dissimilar if they were expressed as permitted activity conditions, as the ability to cost recover for any permitted activity condition is limited.</w:t>
            </w:r>
          </w:p>
        </w:tc>
      </w:tr>
      <w:tr w:rsidR="00A97291" w:rsidRPr="006B77BB" w14:paraId="1999B3E0" w14:textId="77777777" w:rsidTr="00F1011F">
        <w:tc>
          <w:tcPr>
            <w:tcW w:w="891" w:type="pct"/>
            <w:shd w:val="clear" w:color="auto" w:fill="auto"/>
          </w:tcPr>
          <w:p w14:paraId="46654CCD" w14:textId="4AB69313" w:rsidR="00A97291" w:rsidRPr="007E795F" w:rsidRDefault="00352556" w:rsidP="00A16FFE">
            <w:pPr>
              <w:pStyle w:val="TableText"/>
            </w:pPr>
            <w:r w:rsidRPr="00082248">
              <w:t>Cultural</w:t>
            </w:r>
          </w:p>
        </w:tc>
        <w:tc>
          <w:tcPr>
            <w:tcW w:w="2005" w:type="pct"/>
            <w:shd w:val="clear" w:color="auto" w:fill="auto"/>
          </w:tcPr>
          <w:p w14:paraId="34DF31C9" w14:textId="77777777" w:rsidR="00B44F98" w:rsidRDefault="00B44F98" w:rsidP="00B44F98">
            <w:pPr>
              <w:pStyle w:val="TableText"/>
            </w:pPr>
            <w:r w:rsidRPr="006A25FC">
              <w:t>The amendments to the regulations are expected to result in benefits to cultural values as the improved workability of the regulations, with the associated compliance, monitoring and enforcement benefits, will contribute to the maintenance and enhancement of the mauri of freshwater</w:t>
            </w:r>
            <w:r>
              <w:t>, and protection of mahinga kai adversely affected by increased sediment</w:t>
            </w:r>
            <w:r w:rsidRPr="006A25FC">
              <w:t>.</w:t>
            </w:r>
          </w:p>
          <w:p w14:paraId="7185B213" w14:textId="77777777" w:rsidR="00B44F98" w:rsidRDefault="00B44F98" w:rsidP="00B44F98">
            <w:pPr>
              <w:pStyle w:val="TableText"/>
            </w:pPr>
            <w:r>
              <w:t>If the resource consent pathway is required for IWG activities, any applications will need to consider impacts on cultural values as part of the assessment of effects. This could have resourcing impacts on iwi/Māori, however the amendments are expected to decrease the number of consent applications, as set out above.</w:t>
            </w:r>
          </w:p>
          <w:p w14:paraId="37402CD0" w14:textId="310D7CBD" w:rsidR="00A97291" w:rsidRPr="006B77BB" w:rsidRDefault="00B44F98" w:rsidP="00B44F98">
            <w:pPr>
              <w:pStyle w:val="TableText"/>
            </w:pPr>
            <w:r>
              <w:t>Once developed to implement the NPS-FM 2020, FW-FPs and regional freshwater planning instruments will give effect to Te Mana o te Wai. These documents, if required, can be updated to reflect changes to catchment management practices, values, limits and rules set by regional councils through the regional plan. Note under regulation 6(1) of the NES-F, limits set in district rules, regional rules or resource consents can be more stringent than the NES-F.</w:t>
            </w:r>
          </w:p>
        </w:tc>
        <w:tc>
          <w:tcPr>
            <w:tcW w:w="2104" w:type="pct"/>
            <w:shd w:val="clear" w:color="auto" w:fill="auto"/>
          </w:tcPr>
          <w:p w14:paraId="2F65EC5D" w14:textId="77777777" w:rsidR="002A70D1" w:rsidRDefault="002A70D1" w:rsidP="002A70D1">
            <w:pPr>
              <w:pStyle w:val="TableText"/>
            </w:pPr>
            <w:r>
              <w:t xml:space="preserve">A localised approach to environmental management, which recognises </w:t>
            </w:r>
            <w:r w:rsidRPr="002D17E1">
              <w:t>mātauranga and local knowledge</w:t>
            </w:r>
            <w:r>
              <w:t xml:space="preserve">, is important for recognising </w:t>
            </w:r>
            <w:r w:rsidRPr="002D17E1">
              <w:t xml:space="preserve">rangatiratanga and kaitiakitanga, </w:t>
            </w:r>
            <w:r>
              <w:t xml:space="preserve">and also for </w:t>
            </w:r>
            <w:r w:rsidRPr="002D17E1">
              <w:t>ensur</w:t>
            </w:r>
            <w:r>
              <w:t>ing</w:t>
            </w:r>
            <w:r w:rsidRPr="002D17E1">
              <w:t xml:space="preserve"> good environmental outcomes</w:t>
            </w:r>
            <w:r>
              <w:t>. The national approach necessary within an NES does not easily provide for such a localised approach. (That localised approach will be provided by FW-FPs, once available.)</w:t>
            </w:r>
          </w:p>
          <w:p w14:paraId="34040752" w14:textId="742979A2" w:rsidR="00A97291" w:rsidRPr="006B77BB" w:rsidRDefault="002A70D1" w:rsidP="002A70D1">
            <w:pPr>
              <w:pStyle w:val="TableText"/>
            </w:pPr>
            <w:r>
              <w:t xml:space="preserve">Iwi/Maori have also commented </w:t>
            </w:r>
            <w:r w:rsidRPr="002D17E1">
              <w:t xml:space="preserve">that there is no proposal for mana whenua input into </w:t>
            </w:r>
            <w:r>
              <w:t xml:space="preserve">guidance </w:t>
            </w:r>
            <w:r w:rsidRPr="002D17E1">
              <w:t>relating to pugging, and the identification of CSAs</w:t>
            </w:r>
            <w:r>
              <w:t>. (</w:t>
            </w:r>
            <w:r w:rsidRPr="004B575B">
              <w:t xml:space="preserve">We acknowledge </w:t>
            </w:r>
            <w:r>
              <w:t xml:space="preserve">this </w:t>
            </w:r>
            <w:r w:rsidRPr="004B575B">
              <w:t>concern</w:t>
            </w:r>
            <w:r>
              <w:t xml:space="preserve">, and </w:t>
            </w:r>
            <w:r w:rsidRPr="004B575B">
              <w:t>propose to seek input from mana whenua into the development of guidance material relating to CSAs</w:t>
            </w:r>
            <w:r>
              <w:t xml:space="preserve"> and pugging</w:t>
            </w:r>
            <w:r w:rsidRPr="004B575B">
              <w:t>. This would be a more efficient and meaningful way to engage on this issue than regarding the identification of each individual CSA.</w:t>
            </w:r>
            <w:r>
              <w:t>)</w:t>
            </w:r>
          </w:p>
        </w:tc>
      </w:tr>
      <w:tr w:rsidR="006E56A8" w:rsidRPr="006B77BB" w14:paraId="00E55585" w14:textId="77777777" w:rsidTr="00F1011F">
        <w:tc>
          <w:tcPr>
            <w:tcW w:w="891" w:type="pct"/>
            <w:shd w:val="clear" w:color="auto" w:fill="auto"/>
          </w:tcPr>
          <w:p w14:paraId="7CB34E70" w14:textId="0F995346" w:rsidR="006E56A8" w:rsidRPr="007E795F" w:rsidRDefault="006E56A8" w:rsidP="00A16FFE">
            <w:pPr>
              <w:pStyle w:val="TableText"/>
            </w:pPr>
            <w:r w:rsidRPr="00B51609">
              <w:t>Additional sector commentary</w:t>
            </w:r>
          </w:p>
        </w:tc>
        <w:tc>
          <w:tcPr>
            <w:tcW w:w="4109" w:type="pct"/>
            <w:gridSpan w:val="2"/>
            <w:shd w:val="clear" w:color="auto" w:fill="auto"/>
          </w:tcPr>
          <w:p w14:paraId="32EF60A6" w14:textId="77777777" w:rsidR="00C54FB1" w:rsidRDefault="00C54FB1" w:rsidP="00C54FB1">
            <w:pPr>
              <w:pStyle w:val="TableText"/>
            </w:pPr>
            <w:r>
              <w:t>The feedback received on the amendments to the NES-F IWG regulations was largely supportive where they improved the workability of the default conditions.</w:t>
            </w:r>
            <w:r w:rsidDel="003078CB">
              <w:t xml:space="preserve"> </w:t>
            </w:r>
            <w:r>
              <w:t>Submissions supported changes from mean slope to maximum as it would be more achievable to measure on farms, to comply with the default condition, monitor and enforce.</w:t>
            </w:r>
            <w:r w:rsidDel="003078CB">
              <w:t xml:space="preserve"> </w:t>
            </w:r>
            <w:r>
              <w:t>The Southland Intensive Winter Grazing NES Advisory Group (SAG) identified that risks to freshwater from IWG activities are not determined by slope alone, and that other factors will provide mitigation ie, soil type, proximity to waterbodies and management of CSAs.</w:t>
            </w:r>
          </w:p>
          <w:p w14:paraId="245B7E1F" w14:textId="77777777" w:rsidR="00C54FB1" w:rsidRDefault="00C54FB1" w:rsidP="00C54FB1">
            <w:pPr>
              <w:pStyle w:val="TableText"/>
            </w:pPr>
            <w:r>
              <w:t>The SAG recommended a new default IWG condition be included, based on the wording in the proposed Southland Water and Land Plan which required that CSAs be identified and protected from IWG activities. The SAG noted that the inclusion of a condition managing CSAs would provide improved freshwater outcomes, provide for more practical implementation and enforcement, and contribute to addressing the effects which the pugging, resowing and slope conditions manage.</w:t>
            </w:r>
          </w:p>
          <w:p w14:paraId="65023F7B" w14:textId="77777777" w:rsidR="00C54FB1" w:rsidRDefault="00C54FB1" w:rsidP="00C54FB1">
            <w:pPr>
              <w:pStyle w:val="TableText"/>
            </w:pPr>
            <w:r>
              <w:t>Submissions on slope threshold indicated a desire to increase the threshold to 15 or 20 degrees. However, the amendments retain the slope threshold at 10 degrees. Submitters indicated that the 10-degree threshold would mean some farms could not comply with this condition, and that a resource consent would be required. The recommendations include clarifying the maximum slope threshold relates only to areas where IWG is undertaken (ie, cultivated and grazed), and not the whole of a paddock which contains IWG.</w:t>
            </w:r>
          </w:p>
          <w:p w14:paraId="4F28A64A" w14:textId="4623E145" w:rsidR="006E56A8" w:rsidRDefault="006E56A8" w:rsidP="006E56A8">
            <w:pPr>
              <w:pStyle w:val="TableText"/>
            </w:pPr>
            <w:r>
              <w:t xml:space="preserve">Along with the slope threshold, concerns were also raised about the area limits. However, no proposed amendments to the area limits were included in the </w:t>
            </w:r>
            <w:r w:rsidR="007A2711">
              <w:t>discussion</w:t>
            </w:r>
            <w:r>
              <w:t xml:space="preserve"> document. The </w:t>
            </w:r>
            <w:hyperlink r:id="rId46" w:history="1">
              <w:r w:rsidRPr="007A2711">
                <w:rPr>
                  <w:rStyle w:val="Hyperlink"/>
                  <w:rFonts w:cstheme="minorBidi"/>
                  <w:szCs w:val="22"/>
                </w:rPr>
                <w:t>Report and Recommendations</w:t>
              </w:r>
            </w:hyperlink>
            <w:r>
              <w:t xml:space="preserve"> notes the feedback</w:t>
            </w:r>
            <w:r w:rsidR="00235B06">
              <w:t xml:space="preserve"> and sets out why</w:t>
            </w:r>
            <w:r>
              <w:t xml:space="preserve"> no amendments to the area limits have been </w:t>
            </w:r>
            <w:r w:rsidR="00235B06">
              <w:t>recommended</w:t>
            </w:r>
            <w:r>
              <w:t>.</w:t>
            </w:r>
          </w:p>
          <w:p w14:paraId="0B2D9423" w14:textId="180B5F97" w:rsidR="009D00E5" w:rsidRDefault="009D00E5" w:rsidP="009D00E5">
            <w:pPr>
              <w:pStyle w:val="TableText"/>
            </w:pPr>
            <w:r w:rsidRPr="00AF1B64">
              <w:t>Feedback on the pugging and resow conditions generally supported the amendments as a practical approach which allows for these conditions to be addressed on a case-by-case basis rather than being prescribed.</w:t>
            </w:r>
            <w:r w:rsidRPr="00AF1B64" w:rsidDel="003078CB">
              <w:t xml:space="preserve"> </w:t>
            </w:r>
            <w:r w:rsidRPr="00AF1B64">
              <w:t xml:space="preserve">However, it was also noted that there were still concerns about what would be included in the guidance documents and what </w:t>
            </w:r>
            <w:r w:rsidR="00AF1B64">
              <w:t>‘</w:t>
            </w:r>
            <w:r w:rsidRPr="00AF1B64">
              <w:t>practicable</w:t>
            </w:r>
            <w:r w:rsidR="00AF1B64">
              <w:t>’</w:t>
            </w:r>
            <w:r w:rsidRPr="0019679A">
              <w:t xml:space="preserve"> would mean for determining compliance with the permitted activity condition.</w:t>
            </w:r>
          </w:p>
          <w:p w14:paraId="5D50D417" w14:textId="3528B4E9" w:rsidR="006E56A8" w:rsidRPr="006B77BB" w:rsidRDefault="009D00E5" w:rsidP="009D00E5">
            <w:pPr>
              <w:pStyle w:val="TableText"/>
            </w:pPr>
            <w:r w:rsidRPr="00AF1B64">
              <w:t xml:space="preserve">The primary concern with the existing regulations was that it would only be possible to determine if a resource consent would be required after winter grazing was underway or, for resow, after winter grazing had finished. By this time, it would be too late to obtain a resource consent and enforcement would be the remaining option. </w:t>
            </w:r>
            <w:r w:rsidR="008658CF">
              <w:t xml:space="preserve">This has been addressed </w:t>
            </w:r>
            <w:r w:rsidR="00763CEA">
              <w:t xml:space="preserve">to some extent </w:t>
            </w:r>
            <w:r w:rsidR="008658CF">
              <w:t>through the change to express pugging and resow conditions as stand-alone duties, instead of permitted activity conditions.</w:t>
            </w:r>
          </w:p>
        </w:tc>
      </w:tr>
      <w:tr w:rsidR="003E702C" w:rsidRPr="006B77BB" w14:paraId="00DBA5EB" w14:textId="77777777" w:rsidTr="00F1011F">
        <w:tc>
          <w:tcPr>
            <w:tcW w:w="891" w:type="pct"/>
            <w:shd w:val="clear" w:color="auto" w:fill="auto"/>
          </w:tcPr>
          <w:p w14:paraId="587FD68C" w14:textId="4960D90B" w:rsidR="003E702C" w:rsidRPr="007E795F" w:rsidRDefault="003E702C" w:rsidP="00A16FFE">
            <w:pPr>
              <w:pStyle w:val="TableText"/>
            </w:pPr>
            <w:r w:rsidRPr="003E702C">
              <w:t>Opportunities for economic growth and employment to be provided or reduced</w:t>
            </w:r>
          </w:p>
        </w:tc>
        <w:tc>
          <w:tcPr>
            <w:tcW w:w="4109" w:type="pct"/>
            <w:gridSpan w:val="2"/>
            <w:shd w:val="clear" w:color="auto" w:fill="auto"/>
          </w:tcPr>
          <w:p w14:paraId="2A78E521" w14:textId="77777777" w:rsidR="00E0136F" w:rsidRDefault="00E0136F" w:rsidP="00E0136F">
            <w:pPr>
              <w:pStyle w:val="TableText"/>
            </w:pPr>
            <w:r>
              <w:t xml:space="preserve">The amendments to the default conditions are not anticipated to create any additional growth or economic opportunities beyond those assessed in the </w:t>
            </w:r>
            <w:hyperlink r:id="rId47" w:history="1">
              <w:r w:rsidRPr="00A532D3">
                <w:rPr>
                  <w:rStyle w:val="Hyperlink"/>
                  <w:rFonts w:cstheme="minorBidi"/>
                  <w:szCs w:val="22"/>
                </w:rPr>
                <w:t>2020 section 32 report</w:t>
              </w:r>
            </w:hyperlink>
            <w:r w:rsidRPr="00A532D3">
              <w:t xml:space="preserve"> that accompanied the NPS-FM 2020 and NES-F</w:t>
            </w:r>
            <w:r>
              <w:t>.</w:t>
            </w:r>
          </w:p>
          <w:p w14:paraId="02EAB2D7" w14:textId="7AFADDE1" w:rsidR="003E702C" w:rsidRPr="006B77BB" w:rsidRDefault="00E0136F" w:rsidP="00E0136F">
            <w:pPr>
              <w:pStyle w:val="TableText"/>
            </w:pPr>
            <w:r>
              <w:t xml:space="preserve">Potential for increased demand for experts in farm management could lead to increased job growth in support industries, with </w:t>
            </w:r>
            <w:r w:rsidDel="004340A1">
              <w:t>flow</w:t>
            </w:r>
            <w:r>
              <w:t>-on positive effects for communities.</w:t>
            </w:r>
          </w:p>
        </w:tc>
      </w:tr>
      <w:tr w:rsidR="003E702C" w:rsidRPr="006B77BB" w14:paraId="10464840" w14:textId="77777777" w:rsidTr="00F1011F">
        <w:tc>
          <w:tcPr>
            <w:tcW w:w="891" w:type="pct"/>
            <w:shd w:val="clear" w:color="auto" w:fill="auto"/>
          </w:tcPr>
          <w:p w14:paraId="50506791" w14:textId="2DFD4A63" w:rsidR="003E702C" w:rsidRPr="007E795F" w:rsidRDefault="00B971B8" w:rsidP="00A16FFE">
            <w:pPr>
              <w:pStyle w:val="TableText"/>
            </w:pPr>
            <w:r w:rsidRPr="00B971B8">
              <w:t>Risks of not acting and uncertainty</w:t>
            </w:r>
          </w:p>
        </w:tc>
        <w:tc>
          <w:tcPr>
            <w:tcW w:w="4109" w:type="pct"/>
            <w:gridSpan w:val="2"/>
            <w:shd w:val="clear" w:color="auto" w:fill="auto"/>
          </w:tcPr>
          <w:p w14:paraId="70176E58" w14:textId="77777777" w:rsidR="00513FF6" w:rsidRDefault="00513FF6" w:rsidP="00513FF6">
            <w:pPr>
              <w:pStyle w:val="TableText"/>
            </w:pPr>
            <w:r>
              <w:t>There is a moderate degree of uncertainty. The anticipated benefits to the freshwater bodies from making the amendments to the IWG default conditions are unknown and will vary between regions and land uses.</w:t>
            </w:r>
          </w:p>
          <w:p w14:paraId="4DF12B1E" w14:textId="77777777" w:rsidR="00513FF6" w:rsidRDefault="00513FF6" w:rsidP="00513FF6">
            <w:pPr>
              <w:pStyle w:val="TableText"/>
            </w:pPr>
            <w:r>
              <w:t>The risks of not acting (not making the amendments to the IWG standards) exceed the risk of acting (making the amendments to the IWG standards).</w:t>
            </w:r>
          </w:p>
          <w:p w14:paraId="5C8C5FDB" w14:textId="380FEF32" w:rsidR="003E702C" w:rsidRPr="006B77BB" w:rsidRDefault="00513FF6" w:rsidP="00513FF6">
            <w:pPr>
              <w:pStyle w:val="TableText"/>
            </w:pPr>
            <w:r>
              <w:t>The effectiveness of the IWG regulations relies on clear and effective implementation guidance to assist councils and farmers.</w:t>
            </w:r>
          </w:p>
        </w:tc>
      </w:tr>
    </w:tbl>
    <w:p w14:paraId="4E3C50D9" w14:textId="77777777" w:rsidR="00DB3F99" w:rsidRDefault="00DB3F99">
      <w:pPr>
        <w:spacing w:before="0" w:after="200" w:line="276" w:lineRule="auto"/>
        <w:jc w:val="left"/>
      </w:pPr>
    </w:p>
    <w:p w14:paraId="672C7F97" w14:textId="77777777" w:rsidR="00C23454" w:rsidRDefault="00C23454" w:rsidP="00C23454">
      <w:pPr>
        <w:pStyle w:val="Heading3"/>
      </w:pPr>
      <w:r>
        <w:t xml:space="preserve">Alternative options and reasons for deciding on the amendments </w:t>
      </w:r>
    </w:p>
    <w:p w14:paraId="3127AFD4" w14:textId="0B8FF617" w:rsidR="00C23454" w:rsidRPr="009008D5" w:rsidRDefault="00C23454" w:rsidP="00C23454">
      <w:pPr>
        <w:pStyle w:val="BodyText"/>
      </w:pPr>
      <w:r w:rsidRPr="009008D5">
        <w:t xml:space="preserve">In </w:t>
      </w:r>
      <w:r>
        <w:t>evaluating</w:t>
      </w:r>
      <w:r w:rsidRPr="009008D5">
        <w:t xml:space="preserve"> amendments to the NES-F, </w:t>
      </w:r>
      <w:r w:rsidR="00FC2BB6">
        <w:t xml:space="preserve">officials considered the status quo, and two main </w:t>
      </w:r>
      <w:r w:rsidRPr="009008D5">
        <w:t>options</w:t>
      </w:r>
      <w:r w:rsidR="00FC2BB6">
        <w:t>,</w:t>
      </w:r>
      <w:r>
        <w:t xml:space="preserve"> </w:t>
      </w:r>
      <w:r w:rsidR="00FC2BB6">
        <w:t>along with a transitional approach</w:t>
      </w:r>
      <w:r w:rsidRPr="009008D5">
        <w:t xml:space="preserve">. </w:t>
      </w:r>
      <w:r>
        <w:t>The</w:t>
      </w:r>
      <w:r w:rsidR="00D500CC">
        <w:t>se can be summarised as</w:t>
      </w:r>
      <w:r w:rsidRPr="009008D5">
        <w:t>:</w:t>
      </w:r>
    </w:p>
    <w:p w14:paraId="79354508" w14:textId="77777777" w:rsidR="00D500CC" w:rsidRPr="009008D5" w:rsidRDefault="00D500CC" w:rsidP="00D500CC">
      <w:pPr>
        <w:pStyle w:val="Bullet"/>
      </w:pPr>
      <w:r>
        <w:t>status quo:</w:t>
      </w:r>
      <w:r w:rsidRPr="009008D5">
        <w:t xml:space="preserve"> without amendments to the </w:t>
      </w:r>
      <w:r>
        <w:t>regulations.</w:t>
      </w:r>
    </w:p>
    <w:p w14:paraId="5A91280A" w14:textId="77777777" w:rsidR="00C23454" w:rsidRPr="009008D5" w:rsidRDefault="00C23454" w:rsidP="00C23454">
      <w:pPr>
        <w:pStyle w:val="Bullet"/>
      </w:pPr>
      <w:r w:rsidRPr="009008D5">
        <w:t xml:space="preserve">Option </w:t>
      </w:r>
      <w:r>
        <w:t>1</w:t>
      </w:r>
      <w:r w:rsidRPr="009008D5">
        <w:t xml:space="preserve">: Amend the default conditions for IWG and further defer commencement </w:t>
      </w:r>
      <w:r>
        <w:t>of the IWG regulations</w:t>
      </w:r>
      <w:r w:rsidRPr="009008D5">
        <w:t xml:space="preserve"> </w:t>
      </w:r>
      <w:r>
        <w:t>until 1 November 2022</w:t>
      </w:r>
    </w:p>
    <w:p w14:paraId="0DB9E12D" w14:textId="77777777" w:rsidR="00C23454" w:rsidRPr="009008D5" w:rsidRDefault="00C23454" w:rsidP="00C23454">
      <w:pPr>
        <w:pStyle w:val="Bullet"/>
      </w:pPr>
      <w:r w:rsidRPr="009008D5">
        <w:t xml:space="preserve">Option </w:t>
      </w:r>
      <w:r>
        <w:t>2</w:t>
      </w:r>
      <w:r w:rsidRPr="009008D5">
        <w:t xml:space="preserve">: Remove the permitted activity pathway </w:t>
      </w:r>
      <w:r>
        <w:t xml:space="preserve">based on default conditions (Pathway 1)) </w:t>
      </w:r>
      <w:r w:rsidRPr="009008D5">
        <w:t>and instead manage IWG through certified</w:t>
      </w:r>
      <w:r>
        <w:t xml:space="preserve"> FW-FPs </w:t>
      </w:r>
      <w:r w:rsidRPr="009008D5">
        <w:t>only</w:t>
      </w:r>
      <w:r>
        <w:t xml:space="preserve"> – once FW-FPs are available, with a deferral of the IWG regulations until then</w:t>
      </w:r>
    </w:p>
    <w:p w14:paraId="2F003126" w14:textId="629BB8E1" w:rsidR="00C23454" w:rsidRDefault="00D500CC" w:rsidP="00C23454">
      <w:pPr>
        <w:pStyle w:val="Bullet"/>
      </w:pPr>
      <w:r>
        <w:t>T</w:t>
      </w:r>
      <w:r w:rsidR="00C23454">
        <w:t>ransitional approach</w:t>
      </w:r>
      <w:r w:rsidR="0019679A">
        <w:t>:</w:t>
      </w:r>
      <w:r>
        <w:t xml:space="preserve"> A</w:t>
      </w:r>
      <w:r w:rsidR="00C23454" w:rsidRPr="009008D5">
        <w:t>mend the default conditions for IWG</w:t>
      </w:r>
      <w:r w:rsidR="00C23454">
        <w:t xml:space="preserve">. The default conditions pathway would then be removed once FW-FPs are available  </w:t>
      </w:r>
    </w:p>
    <w:p w14:paraId="487EEA27" w14:textId="42035F3C" w:rsidR="00C23454" w:rsidRDefault="00C23454" w:rsidP="00C23454">
      <w:pPr>
        <w:pStyle w:val="BodyText"/>
      </w:pPr>
      <w:r>
        <w:t>Option 1 is the preferred option because it</w:t>
      </w:r>
      <w:r w:rsidRPr="009008D5">
        <w:t xml:space="preserve"> </w:t>
      </w:r>
      <w:r>
        <w:t xml:space="preserve">can be implemented immediately to manage the effects of IWG activity and addresses the impracticalities associated with the default conditions. The amendments, along with guidance, </w:t>
      </w:r>
      <w:r w:rsidR="0004768E">
        <w:t xml:space="preserve">will </w:t>
      </w:r>
      <w:r w:rsidR="00FE0881">
        <w:t xml:space="preserve">address </w:t>
      </w:r>
      <w:r w:rsidR="00AE2B59">
        <w:t xml:space="preserve">implementation </w:t>
      </w:r>
      <w:r w:rsidR="00FE0881">
        <w:t>concerns from stakeholders</w:t>
      </w:r>
      <w:r w:rsidR="0004768E">
        <w:t>. They will</w:t>
      </w:r>
      <w:r w:rsidR="00AE2B59">
        <w:t xml:space="preserve"> make it more practical to comply with the IWG regulations, while still ensuring the environmental effects of the activity are managed.</w:t>
      </w:r>
      <w:r w:rsidR="00FE0881">
        <w:t xml:space="preserve"> </w:t>
      </w:r>
      <w:r>
        <w:t xml:space="preserve"> Once available, the FW-FP pathway will enable a tailor-made approach to IWG activities on a farm-by-farm basis, while the resource consent process will control activities that are unable to comply with the default conditions or obtain a FW-FP.</w:t>
      </w:r>
    </w:p>
    <w:p w14:paraId="47E9B402" w14:textId="77777777" w:rsidR="00C23454" w:rsidRDefault="00C23454" w:rsidP="00C23454">
      <w:pPr>
        <w:pStyle w:val="BodyText"/>
      </w:pPr>
      <w:r>
        <w:t>The deferral of the regulations until 1 November 2022 acknowledges that decisions made for the 2022 winter season will have already been made and therefore allows farmers time to adjust their farming practices in order to comply with the regulations before the 2023 winter season. In addition, the deferral will enable the additional guidance materials (pugging and resow) to be developed.</w:t>
      </w:r>
    </w:p>
    <w:p w14:paraId="6BAB8265" w14:textId="77777777" w:rsidR="00C23454" w:rsidRDefault="00C23454" w:rsidP="00C23454">
      <w:pPr>
        <w:pStyle w:val="BodyText"/>
      </w:pPr>
      <w:r>
        <w:t>Unlike Option 2 and the transitional approach, Option 1 is not dependent on certified FW-FPs or regional freshwater planning instruments being in place. The rollout of the certified FW-FPs is expected to commence by the end of 2022, but it is still expected to take several years to be fully implemented.</w:t>
      </w:r>
    </w:p>
    <w:p w14:paraId="2569B606" w14:textId="4464EDDF" w:rsidR="00DB3F99" w:rsidRDefault="00C23454">
      <w:pPr>
        <w:spacing w:before="0" w:after="200" w:line="276" w:lineRule="auto"/>
        <w:jc w:val="left"/>
        <w:sectPr w:rsidR="00DB3F99" w:rsidSect="00E54DED">
          <w:footerReference w:type="even" r:id="rId48"/>
          <w:footerReference w:type="default" r:id="rId49"/>
          <w:pgSz w:w="11907" w:h="16840" w:code="9"/>
          <w:pgMar w:top="1134" w:right="1701" w:bottom="1134" w:left="1701" w:header="567" w:footer="567" w:gutter="0"/>
          <w:cols w:space="720"/>
          <w:docGrid w:linePitch="299"/>
        </w:sectPr>
      </w:pPr>
      <w:r>
        <w:t xml:space="preserve">The amendments to the IWG regulations will enable the purpose of the NES-F to be achieved. For more </w:t>
      </w:r>
      <w:r w:rsidRPr="00E34AF8">
        <w:t xml:space="preserve">details of the options and options analysis refer to the final </w:t>
      </w:r>
      <w:hyperlink r:id="rId50" w:history="1">
        <w:r w:rsidRPr="00E34AF8">
          <w:rPr>
            <w:rStyle w:val="Hyperlink"/>
          </w:rPr>
          <w:t>RIS</w:t>
        </w:r>
      </w:hyperlink>
      <w:r w:rsidRPr="00E34AF8">
        <w:t>.</w:t>
      </w:r>
    </w:p>
    <w:p w14:paraId="223F5335" w14:textId="2814B5C4" w:rsidR="000D462E" w:rsidRPr="000D462E" w:rsidRDefault="000D462E" w:rsidP="003036CB">
      <w:pPr>
        <w:pStyle w:val="Heading1"/>
        <w:rPr>
          <w:bCs w:val="0"/>
        </w:rPr>
      </w:pPr>
      <w:bookmarkStart w:id="37" w:name="_Toc45091928"/>
      <w:bookmarkStart w:id="38" w:name="_Toc45189876"/>
      <w:bookmarkStart w:id="39" w:name="_Toc97117742"/>
      <w:bookmarkStart w:id="40" w:name="_Toc99614854"/>
      <w:r w:rsidRPr="00CC0188">
        <w:t>Conclusion</w:t>
      </w:r>
      <w:bookmarkEnd w:id="37"/>
      <w:bookmarkEnd w:id="38"/>
      <w:bookmarkEnd w:id="39"/>
      <w:bookmarkEnd w:id="40"/>
    </w:p>
    <w:p w14:paraId="48DE10D0" w14:textId="62C9C02D" w:rsidR="00DD393C" w:rsidRDefault="00DD393C" w:rsidP="00DD393C">
      <w:pPr>
        <w:pStyle w:val="BodyText"/>
      </w:pPr>
      <w:r w:rsidRPr="005909BA">
        <w:t xml:space="preserve">The conclusion of this evaluation is that </w:t>
      </w:r>
      <w:r>
        <w:t>amending</w:t>
      </w:r>
      <w:r w:rsidR="008B46B0">
        <w:t xml:space="preserve"> the</w:t>
      </w:r>
      <w:r>
        <w:t xml:space="preserve"> </w:t>
      </w:r>
      <w:r w:rsidRPr="005909BA">
        <w:t>NES-F</w:t>
      </w:r>
      <w:r>
        <w:t xml:space="preserve"> regulations </w:t>
      </w:r>
      <w:r w:rsidRPr="005909BA">
        <w:t>is the most appropriate way to achieve the purpose of the RMA with respect to freshwater.</w:t>
      </w:r>
    </w:p>
    <w:p w14:paraId="650F3033" w14:textId="1E70E986" w:rsidR="00441E3C" w:rsidRDefault="000D462E" w:rsidP="00B63AF4">
      <w:pPr>
        <w:pStyle w:val="BodyText"/>
      </w:pPr>
      <w:r w:rsidRPr="005909BA">
        <w:t xml:space="preserve">The amendments to the </w:t>
      </w:r>
      <w:r>
        <w:t>IWG permitted activity</w:t>
      </w:r>
      <w:r w:rsidRPr="005909BA">
        <w:t xml:space="preserve"> </w:t>
      </w:r>
      <w:r w:rsidR="000E4C37">
        <w:t xml:space="preserve">default </w:t>
      </w:r>
      <w:r w:rsidRPr="005909BA">
        <w:t xml:space="preserve">conditions address the practical challenges associated with meeting and implementing </w:t>
      </w:r>
      <w:r>
        <w:t>regulation 26</w:t>
      </w:r>
      <w:r w:rsidRPr="005909BA">
        <w:t>.</w:t>
      </w:r>
      <w:r w:rsidR="00B63AF4">
        <w:t xml:space="preserve"> </w:t>
      </w:r>
      <w:r w:rsidR="00441E3C">
        <w:t>I</w:t>
      </w:r>
      <w:r w:rsidR="0019679A">
        <w:t>n</w:t>
      </w:r>
      <w:r w:rsidR="00441E3C">
        <w:t xml:space="preserve"> particular:</w:t>
      </w:r>
    </w:p>
    <w:p w14:paraId="37557375" w14:textId="2C2D9BDB" w:rsidR="00B63AF4" w:rsidRDefault="00B63AF4" w:rsidP="00441E3C">
      <w:pPr>
        <w:pStyle w:val="Bullet"/>
      </w:pPr>
      <w:r>
        <w:t xml:space="preserve">Amending the requirement to </w:t>
      </w:r>
      <w:r w:rsidR="00EC18BD">
        <w:t xml:space="preserve">measure </w:t>
      </w:r>
      <w:r>
        <w:t>slope land under an annual forage crop used for IWG</w:t>
      </w:r>
      <w:r w:rsidR="008A66AD">
        <w:t>, rather than measuring across a paddock scale,</w:t>
      </w:r>
      <w:r>
        <w:t xml:space="preserve"> improves the ability of farmers and regional councils to determine compliance. </w:t>
      </w:r>
      <w:r w:rsidR="008A66AD">
        <w:t>Retaining the threshold at 10 degrees ensures the environmental protection against sediment loss, as the risk of sediment loss increases as slope increases.</w:t>
      </w:r>
    </w:p>
    <w:p w14:paraId="691A8E04" w14:textId="6CC0E0EB" w:rsidR="00037421" w:rsidRDefault="00B63AF4" w:rsidP="00037421">
      <w:pPr>
        <w:pStyle w:val="Bullet"/>
      </w:pPr>
      <w:r>
        <w:t xml:space="preserve">The removal of the default condition that required a farmer to determine whether they complied with the fixed pugging depth, and to instead ‘take all reasonably practicable steps’ to manage adverse effects as a standalone duty, improves the ability for a farmer to determine appropriate mitigations </w:t>
      </w:r>
      <w:r w:rsidR="00037421">
        <w:t xml:space="preserve">for </w:t>
      </w:r>
      <w:r>
        <w:t>their farm system.</w:t>
      </w:r>
    </w:p>
    <w:p w14:paraId="3EE23656" w14:textId="77777777" w:rsidR="0019679A" w:rsidRDefault="00037421" w:rsidP="007B3545">
      <w:pPr>
        <w:pStyle w:val="Bullet"/>
      </w:pPr>
      <w:r>
        <w:t>R</w:t>
      </w:r>
      <w:r w:rsidR="00B63AF4">
        <w:t>emoving the default condition to resow by a fixed date</w:t>
      </w:r>
      <w:r>
        <w:t>,</w:t>
      </w:r>
      <w:r w:rsidR="00B63AF4">
        <w:t xml:space="preserve"> and instead </w:t>
      </w:r>
      <w:r w:rsidR="00155B4F">
        <w:t>requiring that</w:t>
      </w:r>
      <w:r w:rsidR="00B63AF4">
        <w:t xml:space="preserve"> ground cover </w:t>
      </w:r>
      <w:r w:rsidR="00155B4F">
        <w:t xml:space="preserve">is established </w:t>
      </w:r>
      <w:r w:rsidR="00B63AF4">
        <w:t xml:space="preserve">‘as soon as practicable’ as a standalone duty, acknowledges the impact that variable climate across New Zealand has when </w:t>
      </w:r>
      <w:r w:rsidR="00155B4F">
        <w:t>determi</w:t>
      </w:r>
      <w:r w:rsidR="00515A7F">
        <w:t>ni</w:t>
      </w:r>
      <w:r w:rsidR="00155B4F">
        <w:t xml:space="preserve">ng compliance with </w:t>
      </w:r>
      <w:r w:rsidR="00B63AF4">
        <w:t>such a condition.</w:t>
      </w:r>
    </w:p>
    <w:p w14:paraId="3FE1118D" w14:textId="77777777" w:rsidR="0019679A" w:rsidRDefault="00B63AF4" w:rsidP="008545B6">
      <w:pPr>
        <w:pStyle w:val="Bullet"/>
      </w:pPr>
      <w:r>
        <w:t xml:space="preserve">For both the pugging and </w:t>
      </w:r>
      <w:r w:rsidR="00515A7F">
        <w:t>resow requirements</w:t>
      </w:r>
      <w:r>
        <w:t xml:space="preserve">, </w:t>
      </w:r>
      <w:r w:rsidR="00515A7F">
        <w:t xml:space="preserve">expressing these as </w:t>
      </w:r>
      <w:r>
        <w:t>stand</w:t>
      </w:r>
      <w:r w:rsidR="00515A7F">
        <w:t>-</w:t>
      </w:r>
      <w:r>
        <w:t>alone dut</w:t>
      </w:r>
      <w:r w:rsidR="00515A7F">
        <w:t>ies</w:t>
      </w:r>
      <w:r>
        <w:t xml:space="preserve"> prevents the need to determine whether a resource consent is required based on potentially ambiguous terms such as ‘all reasonably practicable steps’ when managing the adverse effects of pugging. In addition, enforcement action can be undertaken if non-compliance occurs with either duty. This ensures that amendments to the regulations are enforceable while meeting the objective of improving freshwater outcomes.</w:t>
      </w:r>
    </w:p>
    <w:p w14:paraId="2E0F7999" w14:textId="77777777" w:rsidR="0019679A" w:rsidRDefault="00B63AF4" w:rsidP="00886AB2">
      <w:pPr>
        <w:pStyle w:val="Bullet"/>
      </w:pPr>
      <w:r>
        <w:t>The exclusion of subsurface drains from the buffer condition addresses feedback that this default condition would be difficult to practically comply with and corrects a drafting error within the existing regulations.</w:t>
      </w:r>
    </w:p>
    <w:p w14:paraId="22B06E08" w14:textId="77777777" w:rsidR="0019679A" w:rsidRDefault="00B63AF4" w:rsidP="00886AB2">
      <w:pPr>
        <w:pStyle w:val="Bullet"/>
      </w:pPr>
      <w:r>
        <w:t xml:space="preserve">The addition of the default condition to require </w:t>
      </w:r>
      <w:r w:rsidR="0051798C">
        <w:t>management of</w:t>
      </w:r>
      <w:r>
        <w:t xml:space="preserve"> CSAs will ensure that high-risk landscape feature</w:t>
      </w:r>
      <w:r w:rsidR="007452E7">
        <w:t>s</w:t>
      </w:r>
      <w:r>
        <w:t xml:space="preserve"> </w:t>
      </w:r>
      <w:r w:rsidR="00B50509">
        <w:t>are</w:t>
      </w:r>
      <w:r>
        <w:t xml:space="preserve"> managed to reduce sediment loss to connected water bodies. The protection of CSAs to reduce sediment loss is widely acknowledged as a highly effective management practice throughout the primary sector.</w:t>
      </w:r>
    </w:p>
    <w:p w14:paraId="1F564F6C" w14:textId="6579FCC0" w:rsidR="000D462E" w:rsidRDefault="000D462E" w:rsidP="00886AB2">
      <w:pPr>
        <w:pStyle w:val="Bullet"/>
      </w:pPr>
      <w:r w:rsidRPr="005909BA">
        <w:t xml:space="preserve">The </w:t>
      </w:r>
      <w:r w:rsidR="00305EE4">
        <w:t xml:space="preserve">deferral will </w:t>
      </w:r>
      <w:r w:rsidRPr="005909BA">
        <w:t>allow</w:t>
      </w:r>
      <w:r>
        <w:t xml:space="preserve"> time</w:t>
      </w:r>
      <w:r w:rsidRPr="005909BA">
        <w:t xml:space="preserve"> for </w:t>
      </w:r>
      <w:r>
        <w:t xml:space="preserve">farmers to adjust their IWG practices to ensure they can comply with the </w:t>
      </w:r>
      <w:r w:rsidR="00EE01DD">
        <w:t xml:space="preserve">amended </w:t>
      </w:r>
      <w:r>
        <w:t xml:space="preserve">NES-F </w:t>
      </w:r>
      <w:r w:rsidR="00EE01DD">
        <w:t>in</w:t>
      </w:r>
      <w:r>
        <w:t xml:space="preserve"> winter 2023.</w:t>
      </w:r>
    </w:p>
    <w:p w14:paraId="40A22FE4" w14:textId="324E79E8" w:rsidR="00DB3F99" w:rsidRDefault="000D462E" w:rsidP="00631609">
      <w:pPr>
        <w:pStyle w:val="BodyText"/>
      </w:pPr>
      <w:r>
        <w:t>The proposed</w:t>
      </w:r>
      <w:r w:rsidRPr="005909BA">
        <w:t xml:space="preserve"> </w:t>
      </w:r>
      <w:r>
        <w:t xml:space="preserve">IWG amendments to the </w:t>
      </w:r>
      <w:r w:rsidRPr="005909BA">
        <w:t xml:space="preserve">NES-F </w:t>
      </w:r>
      <w:r>
        <w:t>regulations</w:t>
      </w:r>
      <w:r w:rsidRPr="005909BA">
        <w:t xml:space="preserve"> are </w:t>
      </w:r>
      <w:r>
        <w:t xml:space="preserve">considered to be effective and efficient and, overall, </w:t>
      </w:r>
      <w:r w:rsidRPr="005909BA">
        <w:t>the most appropriate way of implementing the objective of the NPS-FM 2020</w:t>
      </w:r>
      <w:r>
        <w:t>.</w:t>
      </w:r>
      <w:bookmarkEnd w:id="2"/>
    </w:p>
    <w:sectPr w:rsidR="00DB3F99" w:rsidSect="008A7498">
      <w:pgSz w:w="11907" w:h="16840" w:code="9"/>
      <w:pgMar w:top="1134" w:right="1701"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B8B6" w14:textId="77777777" w:rsidR="003C32BB" w:rsidRDefault="003C32BB" w:rsidP="0080531E">
      <w:pPr>
        <w:spacing w:before="0" w:after="0" w:line="240" w:lineRule="auto"/>
      </w:pPr>
      <w:r>
        <w:separator/>
      </w:r>
    </w:p>
    <w:p w14:paraId="602B0EE2" w14:textId="77777777" w:rsidR="003C32BB" w:rsidRDefault="003C32BB"/>
  </w:endnote>
  <w:endnote w:type="continuationSeparator" w:id="0">
    <w:p w14:paraId="2996AFC8" w14:textId="77777777" w:rsidR="003C32BB" w:rsidRDefault="003C32BB" w:rsidP="0080531E">
      <w:pPr>
        <w:spacing w:before="0" w:after="0" w:line="240" w:lineRule="auto"/>
      </w:pPr>
      <w:r>
        <w:continuationSeparator/>
      </w:r>
    </w:p>
    <w:p w14:paraId="14E25982" w14:textId="77777777" w:rsidR="003C32BB" w:rsidRDefault="003C32BB"/>
  </w:endnote>
  <w:endnote w:type="continuationNotice" w:id="1">
    <w:p w14:paraId="2943D216" w14:textId="77777777" w:rsidR="003C32BB" w:rsidRDefault="003C32B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charset w:val="00"/>
    <w:family w:val="auto"/>
    <w:pitch w:val="variable"/>
    <w:sig w:usb0="A10000FF" w:usb1="4000005B" w:usb2="00000000" w:usb3="00000000" w:csb0="0000019B"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B4E7" w14:textId="77777777" w:rsidR="00F54792" w:rsidRDefault="00F54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EED2" w14:textId="417D19D7" w:rsidR="00E5210B" w:rsidRDefault="00E5210B" w:rsidP="009F1D7F">
    <w:pPr>
      <w:spacing w:before="0" w:after="0" w:line="240" w:lineRule="auto"/>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E90C" w14:textId="77777777" w:rsidR="00F54792" w:rsidRDefault="00F547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5CBB" w14:textId="2C09BABC" w:rsidR="00E5210B" w:rsidRDefault="00E5210B" w:rsidP="00E65427">
    <w:pPr>
      <w:spacing w:before="240"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69E9" w14:textId="0C4D83D5" w:rsidR="00E5210B" w:rsidRDefault="00E5210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5222" w14:textId="30F5C2E7" w:rsidR="00E453AB" w:rsidRDefault="00E5210B" w:rsidP="00CD25E1">
    <w:pPr>
      <w:pStyle w:val="Footereven"/>
    </w:pPr>
    <w:r w:rsidRPr="004F458A">
      <w:rPr>
        <w:b/>
      </w:rPr>
      <w:fldChar w:fldCharType="begin"/>
    </w:r>
    <w:r w:rsidRPr="004F458A">
      <w:instrText xml:space="preserve"> PAGE </w:instrText>
    </w:r>
    <w:r w:rsidRPr="004F458A">
      <w:rPr>
        <w:b/>
      </w:rPr>
      <w:fldChar w:fldCharType="separate"/>
    </w:r>
    <w:r w:rsidR="005D3242">
      <w:rPr>
        <w:noProof/>
      </w:rPr>
      <w:t>8</w:t>
    </w:r>
    <w:r w:rsidRPr="004F458A">
      <w:rPr>
        <w:b/>
      </w:rPr>
      <w:fldChar w:fldCharType="end"/>
    </w:r>
    <w:r>
      <w:tab/>
    </w:r>
    <w:r w:rsidR="00320027" w:rsidRPr="00320027">
      <w:t>Amendments to intensive winter grazing regulations</w:t>
    </w:r>
    <w:r w:rsidR="001D479F">
      <w:t xml:space="preserve">: </w:t>
    </w:r>
    <w:r w:rsidR="00320027">
      <w:t xml:space="preserve">Section 32 </w:t>
    </w:r>
    <w:r w:rsidR="001D479F">
      <w:t>r</w:t>
    </w:r>
    <w:r w:rsidR="00320027">
      <w:t>eport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1718" w14:textId="79EFA632" w:rsidR="00E453AB" w:rsidRDefault="00E5210B" w:rsidP="00E73597">
    <w:pPr>
      <w:pStyle w:val="Footerodd"/>
      <w:tabs>
        <w:tab w:val="clear" w:pos="7938"/>
        <w:tab w:val="clear" w:pos="8505"/>
        <w:tab w:val="right" w:pos="14034"/>
      </w:tabs>
    </w:pPr>
    <w:r>
      <w:tab/>
    </w:r>
    <w:r w:rsidR="001D479F" w:rsidRPr="00320027">
      <w:t>Amendments to intensive winter grazing regulations</w:t>
    </w:r>
    <w:r w:rsidR="001D479F">
      <w:t>: Section 32 report</w:t>
    </w:r>
    <w:r w:rsidR="001D479F" w:rsidDel="001D479F">
      <w:t xml:space="preserve"> </w:t>
    </w:r>
    <w:r>
      <w:tab/>
    </w:r>
    <w:r w:rsidR="008540A6">
      <w:fldChar w:fldCharType="begin"/>
    </w:r>
    <w:r w:rsidR="008540A6">
      <w:instrText xml:space="preserve"> PAGE   \* MERGEFORMAT </w:instrText>
    </w:r>
    <w:r w:rsidR="008540A6">
      <w:fldChar w:fldCharType="separate"/>
    </w:r>
    <w:r w:rsidR="005D3242">
      <w:rPr>
        <w:noProof/>
      </w:rPr>
      <w:t>7</w:t>
    </w:r>
    <w:r w:rsidR="008540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BAF9" w14:textId="77777777" w:rsidR="003C32BB" w:rsidRDefault="003C32BB" w:rsidP="00CB5C5F">
      <w:pPr>
        <w:spacing w:before="0" w:after="80" w:line="240" w:lineRule="auto"/>
      </w:pPr>
      <w:r>
        <w:separator/>
      </w:r>
    </w:p>
  </w:footnote>
  <w:footnote w:type="continuationSeparator" w:id="0">
    <w:p w14:paraId="51D74347" w14:textId="77777777" w:rsidR="003C32BB" w:rsidRDefault="003C32BB" w:rsidP="0080531E">
      <w:pPr>
        <w:spacing w:before="0" w:after="0" w:line="240" w:lineRule="auto"/>
      </w:pPr>
      <w:r>
        <w:continuationSeparator/>
      </w:r>
    </w:p>
    <w:p w14:paraId="4A3CEBEF" w14:textId="77777777" w:rsidR="003C32BB" w:rsidRDefault="003C32BB"/>
  </w:footnote>
  <w:footnote w:type="continuationNotice" w:id="1">
    <w:p w14:paraId="4EFBBE11" w14:textId="77777777" w:rsidR="003C32BB" w:rsidRDefault="003C32BB">
      <w:pPr>
        <w:spacing w:before="0" w:after="0" w:line="240" w:lineRule="auto"/>
      </w:pPr>
    </w:p>
  </w:footnote>
  <w:footnote w:id="2">
    <w:p w14:paraId="597BCE83" w14:textId="6DA7E3AF" w:rsidR="00D63593" w:rsidRPr="00CE22D4" w:rsidRDefault="00D63593" w:rsidP="00D63593">
      <w:pPr>
        <w:pStyle w:val="FootnoteText"/>
        <w:rPr>
          <w:sz w:val="18"/>
        </w:rPr>
      </w:pPr>
      <w:r w:rsidRPr="00CD545D">
        <w:rPr>
          <w:rStyle w:val="FootnoteReference"/>
        </w:rPr>
        <w:footnoteRef/>
      </w:r>
      <w:r w:rsidRPr="00CD545D">
        <w:rPr>
          <w:sz w:val="18"/>
        </w:rPr>
        <w:t xml:space="preserve"> </w:t>
      </w:r>
      <w:r w:rsidR="0098386F">
        <w:rPr>
          <w:sz w:val="18"/>
        </w:rPr>
        <w:tab/>
      </w:r>
      <w:r w:rsidRPr="00D71A8E">
        <w:t>Section 32(1)(a) of the RMA</w:t>
      </w:r>
      <w:r>
        <w:t xml:space="preserve"> - noting that in this case there is no evaluation of objectives included in this report as there are no changes proposed to any objectives.</w:t>
      </w:r>
    </w:p>
  </w:footnote>
  <w:footnote w:id="3">
    <w:p w14:paraId="145866B9" w14:textId="04EAD69E" w:rsidR="0063677E" w:rsidRPr="00CD545D" w:rsidRDefault="0063677E" w:rsidP="0063677E">
      <w:pPr>
        <w:pStyle w:val="FootnoteText"/>
        <w:rPr>
          <w:sz w:val="18"/>
        </w:rPr>
      </w:pPr>
      <w:r w:rsidRPr="00CE22D4">
        <w:rPr>
          <w:rStyle w:val="FootnoteReference"/>
        </w:rPr>
        <w:footnoteRef/>
      </w:r>
      <w:r>
        <w:rPr>
          <w:sz w:val="18"/>
        </w:rPr>
        <w:t xml:space="preserve"> </w:t>
      </w:r>
      <w:r>
        <w:rPr>
          <w:sz w:val="18"/>
        </w:rPr>
        <w:tab/>
      </w:r>
      <w:r w:rsidRPr="00D71A8E">
        <w:t>Section 32(1)(b) of the RMA</w:t>
      </w:r>
      <w:r w:rsidR="00791DCD">
        <w:t>.</w:t>
      </w:r>
    </w:p>
  </w:footnote>
  <w:footnote w:id="4">
    <w:p w14:paraId="52928EE6" w14:textId="4299FA21" w:rsidR="00EF5BFC" w:rsidRPr="00F75155" w:rsidRDefault="00EF5BFC" w:rsidP="00EF5BFC">
      <w:pPr>
        <w:pStyle w:val="FootnoteText"/>
      </w:pPr>
      <w:r w:rsidRPr="0098386F">
        <w:rPr>
          <w:rStyle w:val="FootnoteReference"/>
        </w:rPr>
        <w:footnoteRef/>
      </w:r>
      <w:r w:rsidRPr="0098386F">
        <w:rPr>
          <w:rStyle w:val="FootnoteReference"/>
        </w:rPr>
        <w:t xml:space="preserve"> </w:t>
      </w:r>
      <w:r w:rsidR="0063677E">
        <w:rPr>
          <w:rStyle w:val="FootnoteReference"/>
        </w:rPr>
        <w:tab/>
      </w:r>
      <w:r>
        <w:t>R</w:t>
      </w:r>
      <w:r w:rsidRPr="00F75155">
        <w:t>efer to</w:t>
      </w:r>
      <w:r w:rsidR="007D1AD3">
        <w:t xml:space="preserve"> sections 1.3 and 3.2 of the </w:t>
      </w:r>
      <w:hyperlink r:id="rId1" w:history="1">
        <w:r w:rsidR="007D1AD3" w:rsidRPr="006271E3">
          <w:rPr>
            <w:rStyle w:val="Hyperlink"/>
          </w:rPr>
          <w:t>NPS-FM</w:t>
        </w:r>
        <w:r w:rsidR="006271E3" w:rsidRPr="006271E3">
          <w:rPr>
            <w:rStyle w:val="Hyperlink"/>
          </w:rPr>
          <w:t xml:space="preserve"> 2020.</w:t>
        </w:r>
      </w:hyperlink>
    </w:p>
  </w:footnote>
  <w:footnote w:id="5">
    <w:p w14:paraId="2512547C" w14:textId="1D32ACB0" w:rsidR="002A741A" w:rsidRDefault="002A741A" w:rsidP="002A741A">
      <w:pPr>
        <w:pStyle w:val="FootnoteText"/>
      </w:pPr>
      <w:r>
        <w:rPr>
          <w:rStyle w:val="FootnoteReference"/>
        </w:rPr>
        <w:footnoteRef/>
      </w:r>
      <w:r>
        <w:t xml:space="preserve"> </w:t>
      </w:r>
      <w:r w:rsidR="00D145C0">
        <w:tab/>
      </w:r>
      <w:r>
        <w:t>The</w:t>
      </w:r>
      <w:r w:rsidR="000C74F5">
        <w:t xml:space="preserve"> </w:t>
      </w:r>
      <w:hyperlink r:id="rId2" w:history="1">
        <w:r w:rsidR="00255C8A" w:rsidRPr="00255C8A">
          <w:rPr>
            <w:rStyle w:val="Hyperlink"/>
          </w:rPr>
          <w:t>regulatory impact analysis</w:t>
        </w:r>
      </w:hyperlink>
      <w:r w:rsidR="0010259A" w:rsidRPr="00337D1A">
        <w:t xml:space="preserve"> (2020)</w:t>
      </w:r>
      <w:r>
        <w:t xml:space="preserve"> </w:t>
      </w:r>
      <w:r w:rsidR="00455028">
        <w:t>(</w:t>
      </w:r>
      <w:r w:rsidR="00455028" w:rsidRPr="00455028">
        <w:t>that accompanied the NPS-FM 2020 and NES-F</w:t>
      </w:r>
      <w:r w:rsidR="00455028">
        <w:t>)</w:t>
      </w:r>
      <w:r w:rsidR="00455028" w:rsidRPr="00455028">
        <w:t xml:space="preserve"> </w:t>
      </w:r>
      <w:r>
        <w:t xml:space="preserve">provides further commentary on IWG in these regions.  </w:t>
      </w:r>
    </w:p>
  </w:footnote>
  <w:footnote w:id="6">
    <w:p w14:paraId="3BB5130A" w14:textId="77777777" w:rsidR="0082314F" w:rsidRDefault="0082314F" w:rsidP="0082314F">
      <w:pPr>
        <w:pStyle w:val="FootnoteText"/>
      </w:pPr>
      <w:r>
        <w:rPr>
          <w:rStyle w:val="FootnoteReference"/>
        </w:rPr>
        <w:footnoteRef/>
      </w:r>
      <w:r>
        <w:t xml:space="preserve"> </w:t>
      </w:r>
      <w:r w:rsidRPr="00F30AB2">
        <w:t>The RIS sets out the criteria used to assess the proposed amendments. Those criteria are a refinement of the more generic criteria used in the regulatory impact assessment (RIA) for the Essential Freshwater programme (dated 22 April 2019). Those continue to be relevant and are assessed as part of the analysis of the options against the criteria listed in the RIS</w:t>
      </w:r>
      <w:r>
        <w:t>.</w:t>
      </w:r>
    </w:p>
  </w:footnote>
  <w:footnote w:id="7">
    <w:p w14:paraId="6CE8DC12" w14:textId="4F3C72C3" w:rsidR="002A741A" w:rsidRPr="00337D1A" w:rsidRDefault="002A741A" w:rsidP="00337D1A">
      <w:pPr>
        <w:pStyle w:val="FootnoteText"/>
      </w:pPr>
      <w:r w:rsidRPr="0098386F">
        <w:rPr>
          <w:rStyle w:val="FootnoteReference"/>
        </w:rPr>
        <w:footnoteRef/>
      </w:r>
      <w:r w:rsidRPr="00337D1A">
        <w:t xml:space="preserve"> </w:t>
      </w:r>
      <w:r w:rsidR="00337D1A">
        <w:tab/>
      </w:r>
      <w:r w:rsidRPr="00337D1A">
        <w:t>As set out in</w:t>
      </w:r>
      <w:r w:rsidR="001A280B">
        <w:t xml:space="preserve"> the Action for health</w:t>
      </w:r>
      <w:r w:rsidR="006D7641">
        <w:t>y</w:t>
      </w:r>
      <w:r w:rsidR="001A280B">
        <w:t xml:space="preserve"> waterways</w:t>
      </w:r>
      <w:r w:rsidRPr="00337D1A">
        <w:t xml:space="preserve"> </w:t>
      </w:r>
      <w:hyperlink r:id="rId3" w:history="1">
        <w:r w:rsidR="004B7331">
          <w:rPr>
            <w:rStyle w:val="Hyperlink"/>
          </w:rPr>
          <w:t>discussion document</w:t>
        </w:r>
      </w:hyperlink>
      <w:r w:rsidRPr="00337D1A">
        <w:t>.</w:t>
      </w:r>
    </w:p>
  </w:footnote>
  <w:footnote w:id="8">
    <w:p w14:paraId="3C4F7FB9" w14:textId="1EAD0025" w:rsidR="002A741A" w:rsidRPr="00BB186D" w:rsidRDefault="002A741A" w:rsidP="002A741A">
      <w:pPr>
        <w:pStyle w:val="FootnoteText"/>
        <w:rPr>
          <w:lang w:val="en-US"/>
        </w:rPr>
      </w:pPr>
      <w:r w:rsidRPr="0098386F">
        <w:rPr>
          <w:rStyle w:val="FootnoteReference"/>
        </w:rPr>
        <w:footnoteRef/>
      </w:r>
      <w:r w:rsidRPr="00BB186D">
        <w:t xml:space="preserve"> </w:t>
      </w:r>
      <w:r w:rsidR="00337D1A">
        <w:tab/>
      </w:r>
      <w:r w:rsidRPr="00D34F46">
        <w:t xml:space="preserve">Refer to </w:t>
      </w:r>
      <w:hyperlink r:id="rId4" w:history="1">
        <w:r w:rsidRPr="008E5B22">
          <w:rPr>
            <w:rStyle w:val="Hyperlink"/>
          </w:rPr>
          <w:t>A guide to section 32 of the Resource Management Act: Incorporating changes as a result of the Resource Legislation Amendment Act 2017</w:t>
        </w:r>
      </w:hyperlink>
      <w:r w:rsidRPr="00D34F46">
        <w:t xml:space="preserve"> (</w:t>
      </w:r>
      <w:r w:rsidR="008E5B22">
        <w:t xml:space="preserve">Ministry for the Environment, </w:t>
      </w:r>
      <w:r w:rsidRPr="00D34F46">
        <w:t>2017).</w:t>
      </w:r>
    </w:p>
  </w:footnote>
  <w:footnote w:id="9">
    <w:p w14:paraId="50E3A64F" w14:textId="19753AC7" w:rsidR="002A741A" w:rsidRPr="00020042" w:rsidRDefault="002A741A" w:rsidP="00337D1A">
      <w:pPr>
        <w:pStyle w:val="FootnoteText"/>
        <w:rPr>
          <w:sz w:val="16"/>
          <w:szCs w:val="16"/>
        </w:rPr>
      </w:pPr>
      <w:r w:rsidRPr="0098386F">
        <w:rPr>
          <w:rStyle w:val="FootnoteReference"/>
        </w:rPr>
        <w:footnoteRef/>
      </w:r>
      <w:r w:rsidRPr="0098386F">
        <w:rPr>
          <w:rStyle w:val="FootnoteReference"/>
        </w:rPr>
        <w:t xml:space="preserve"> </w:t>
      </w:r>
      <w:r w:rsidR="00337D1A">
        <w:tab/>
      </w:r>
      <w:hyperlink r:id="rId5" w:history="1">
        <w:r w:rsidR="00B443F5">
          <w:rPr>
            <w:rStyle w:val="Hyperlink"/>
          </w:rPr>
          <w:t>R</w:t>
        </w:r>
        <w:r w:rsidR="00901D11" w:rsidRPr="00FF46AD">
          <w:rPr>
            <w:rStyle w:val="Hyperlink"/>
          </w:rPr>
          <w:t>egulatory impact analysis</w:t>
        </w:r>
      </w:hyperlink>
      <w:r w:rsidR="00B443F5">
        <w:t xml:space="preserve"> (2020)</w:t>
      </w:r>
      <w:r w:rsidR="00783D75">
        <w:t xml:space="preserve"> (</w:t>
      </w:r>
      <w:r w:rsidR="00783D75" w:rsidRPr="00783D75">
        <w:t>that accompanied the NPS-FM 2020 and NES-F</w:t>
      </w:r>
      <w:r w:rsidR="00783D75">
        <w:t>)</w:t>
      </w:r>
      <w:r w:rsidRPr="00337D1A">
        <w:t>. p.177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DC64" w14:textId="77777777" w:rsidR="00F54792" w:rsidRDefault="00F54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A43E" w14:textId="7755163C" w:rsidR="00DE7BF8" w:rsidRPr="00DE7BF8" w:rsidRDefault="00DE7BF8" w:rsidP="009F1D7F">
    <w:pPr>
      <w:pStyle w:val="Header"/>
      <w:jc w:val="left"/>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E741" w14:textId="77777777" w:rsidR="00F54792" w:rsidRDefault="00F547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0FDC" w14:textId="3D9CA556" w:rsidR="00E5210B" w:rsidRDefault="00E5210B" w:rsidP="003615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70B1" w14:textId="3D7F9B46" w:rsidR="00E5210B" w:rsidRDefault="00E52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69C"/>
    <w:multiLevelType w:val="hybridMultilevel"/>
    <w:tmpl w:val="051A0D96"/>
    <w:lvl w:ilvl="0" w:tplc="B2C27286">
      <w:start w:val="2022"/>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6D4C952A"/>
    <w:lvl w:ilvl="0">
      <w:start w:val="1"/>
      <w:numFmt w:val="bullet"/>
      <w:pStyle w:val="Greenbullet-casestudytables"/>
      <w:lvlText w:val=""/>
      <w:lvlJc w:val="left"/>
      <w:pPr>
        <w:ind w:left="680" w:hanging="396"/>
      </w:pPr>
      <w:rPr>
        <w:rFonts w:ascii="Symbol" w:hAnsi="Symbol" w:hint="default"/>
        <w:color w:val="0F7B7D"/>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0DA2430E"/>
    <w:multiLevelType w:val="multilevel"/>
    <w:tmpl w:val="6C8A6688"/>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325564"/>
    <w:multiLevelType w:val="multilevel"/>
    <w:tmpl w:val="5156B12A"/>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373078"/>
    <w:multiLevelType w:val="hybridMultilevel"/>
    <w:tmpl w:val="284C6E84"/>
    <w:lvl w:ilvl="0" w:tplc="4704EEA0">
      <w:start w:val="2022"/>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B741D3"/>
    <w:multiLevelType w:val="hybridMultilevel"/>
    <w:tmpl w:val="D9DA3A5A"/>
    <w:lvl w:ilvl="0" w:tplc="83969D3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1A6BE2"/>
    <w:multiLevelType w:val="multilevel"/>
    <w:tmpl w:val="20FCAAE4"/>
    <w:lvl w:ilvl="0">
      <w:start w:val="1"/>
      <w:numFmt w:val="decimal"/>
      <w:pStyle w:val="Numberedparagraph"/>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2"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3" w15:restartNumberingAfterBreak="0">
    <w:nsid w:val="38474C60"/>
    <w:multiLevelType w:val="hybridMultilevel"/>
    <w:tmpl w:val="D9DA3A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8E610FF"/>
    <w:multiLevelType w:val="hybridMultilevel"/>
    <w:tmpl w:val="9C2E2106"/>
    <w:lvl w:ilvl="0" w:tplc="CCB84DF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BB4213B"/>
    <w:multiLevelType w:val="multilevel"/>
    <w:tmpl w:val="E03E2C42"/>
    <w:lvl w:ilvl="0">
      <w:start w:val="1"/>
      <w:numFmt w:val="decimal"/>
      <w:lvlText w:val="%1.0"/>
      <w:lvlJc w:val="left"/>
      <w:pPr>
        <w:ind w:left="0" w:firstLine="0"/>
      </w:pPr>
      <w:rPr>
        <w:rFonts w:hint="default"/>
        <w:color w:val="1B556B" w:themeColor="text2"/>
        <w:spacing w:val="-6"/>
      </w:rPr>
    </w:lvl>
    <w:lvl w:ilvl="1">
      <w:start w:val="1"/>
      <w:numFmt w:val="decimal"/>
      <w:lvlText w:val="%1.%2"/>
      <w:lvlJc w:val="left"/>
      <w:pPr>
        <w:tabs>
          <w:tab w:val="num" w:pos="822"/>
        </w:tabs>
        <w:ind w:left="567" w:hanging="567"/>
      </w:pPr>
      <w:rPr>
        <w:rFonts w:hint="default"/>
      </w:rPr>
    </w:lvl>
    <w:lvl w:ilvl="2">
      <w:start w:val="1"/>
      <w:numFmt w:val="decimal"/>
      <w:lvlText w:val="%1.%2.%3"/>
      <w:lvlJc w:val="left"/>
      <w:pPr>
        <w:ind w:left="567" w:hanging="567"/>
      </w:pPr>
      <w:rPr>
        <w:rFonts w:hint="default"/>
      </w:rPr>
    </w:lvl>
    <w:lvl w:ilvl="3">
      <w:start w:val="1"/>
      <w:numFmt w:val="decimal"/>
      <w:lvlRestart w:val="0"/>
      <w:lvlText w:val="%4."/>
      <w:lvlJc w:val="left"/>
      <w:pPr>
        <w:tabs>
          <w:tab w:val="num" w:pos="567"/>
        </w:tabs>
        <w:ind w:left="1134" w:hanging="567"/>
      </w:pPr>
      <w:rPr>
        <w:rFonts w:hint="default"/>
      </w:rPr>
    </w:lvl>
    <w:lvl w:ilvl="4">
      <w:start w:val="1"/>
      <w:numFmt w:val="lowerLetter"/>
      <w:lvlRestart w:val="0"/>
      <w:lvlText w:val="%5)"/>
      <w:lvlJc w:val="left"/>
      <w:pPr>
        <w:tabs>
          <w:tab w:val="num" w:pos="567"/>
        </w:tabs>
        <w:ind w:left="1134" w:hanging="567"/>
      </w:pPr>
      <w:rPr>
        <w:rFonts w:hint="default"/>
      </w:rPr>
    </w:lvl>
    <w:lvl w:ilvl="5">
      <w:start w:val="1"/>
      <w:numFmt w:val="bullet"/>
      <w:lvlText w:val=""/>
      <w:lvlJc w:val="left"/>
      <w:pPr>
        <w:ind w:left="567" w:hanging="567"/>
      </w:pPr>
      <w:rPr>
        <w:rFonts w:ascii="Symbol" w:hAnsi="Symbol" w:hint="default"/>
        <w:color w:val="auto"/>
      </w:rPr>
    </w:lvl>
    <w:lvl w:ilvl="6">
      <w:start w:val="1"/>
      <w:numFmt w:val="decimal"/>
      <w:lvlRestart w:val="0"/>
      <w:lvlText w:val="%7."/>
      <w:lvlJc w:val="left"/>
      <w:pPr>
        <w:ind w:left="567" w:hanging="567"/>
      </w:pPr>
      <w:rPr>
        <w:rFonts w:hint="default"/>
        <w:color w:val="auto"/>
      </w:rPr>
    </w:lvl>
    <w:lvl w:ilvl="7">
      <w:start w:val="1"/>
      <w:numFmt w:val="bullet"/>
      <w:lvlText w:val=""/>
      <w:lvlJc w:val="left"/>
      <w:pPr>
        <w:tabs>
          <w:tab w:val="num" w:pos="567"/>
        </w:tabs>
        <w:ind w:left="1134" w:hanging="567"/>
      </w:pPr>
      <w:rPr>
        <w:rFonts w:ascii="Symbol" w:hAnsi="Symbol" w:hint="default"/>
        <w:color w:val="auto"/>
      </w:rPr>
    </w:lvl>
    <w:lvl w:ilvl="8">
      <w:start w:val="1"/>
      <w:numFmt w:val="bullet"/>
      <w:lvlText w:val="-"/>
      <w:lvlJc w:val="left"/>
      <w:pPr>
        <w:ind w:left="284" w:firstLine="850"/>
      </w:pPr>
      <w:rPr>
        <w:rFonts w:ascii="Gotham Bold" w:hAnsi="Gotham Bold" w:hint="default"/>
        <w:color w:val="auto"/>
      </w:rPr>
    </w:lvl>
  </w:abstractNum>
  <w:abstractNum w:abstractNumId="16" w15:restartNumberingAfterBreak="0">
    <w:nsid w:val="3D465A16"/>
    <w:multiLevelType w:val="multilevel"/>
    <w:tmpl w:val="7CBA8A44"/>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71076"/>
    <w:multiLevelType w:val="hybridMultilevel"/>
    <w:tmpl w:val="AE14D494"/>
    <w:lvl w:ilvl="0" w:tplc="CC64920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2"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3" w15:restartNumberingAfterBreak="0">
    <w:nsid w:val="547B32C8"/>
    <w:multiLevelType w:val="hybridMultilevel"/>
    <w:tmpl w:val="EBD01F30"/>
    <w:lvl w:ilvl="0" w:tplc="F0266CA4">
      <w:start w:val="1"/>
      <w:numFmt w:val="decimal"/>
      <w:pStyle w:val="TableNumbering"/>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56804665"/>
    <w:multiLevelType w:val="hybridMultilevel"/>
    <w:tmpl w:val="303E197A"/>
    <w:lvl w:ilvl="0" w:tplc="A580B3B2">
      <w:start w:val="1"/>
      <w:numFmt w:val="decimal"/>
      <w:pStyle w:val="Appendix"/>
      <w:lvlText w:val="Appendix %1"/>
      <w:lvlJc w:val="left"/>
      <w:pPr>
        <w:ind w:left="0" w:firstLine="0"/>
      </w:pPr>
      <w:rPr>
        <w:rFonts w:hint="default"/>
        <w:color w:val="1B556B" w:themeColor="text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DC620BF"/>
    <w:multiLevelType w:val="multilevel"/>
    <w:tmpl w:val="E2D4A146"/>
    <w:lvl w:ilvl="0">
      <w:start w:val="1"/>
      <w:numFmt w:val="decimal"/>
      <w:lvlText w:val="%1.0"/>
      <w:lvlJc w:val="left"/>
      <w:pPr>
        <w:ind w:left="1080" w:hanging="1080"/>
      </w:pPr>
      <w:rPr>
        <w:rFonts w:hint="default"/>
      </w:rPr>
    </w:lvl>
    <w:lvl w:ilvl="1">
      <w:start w:val="1"/>
      <w:numFmt w:val="decimal"/>
      <w:lvlText w:val="%1.%2"/>
      <w:lvlJc w:val="left"/>
      <w:pPr>
        <w:ind w:left="1477" w:hanging="1080"/>
      </w:pPr>
      <w:rPr>
        <w:rFonts w:hint="default"/>
      </w:rPr>
    </w:lvl>
    <w:lvl w:ilvl="2">
      <w:start w:val="1"/>
      <w:numFmt w:val="decimal"/>
      <w:lvlText w:val="%1.%2.%3"/>
      <w:lvlJc w:val="left"/>
      <w:pPr>
        <w:ind w:left="2234" w:hanging="1440"/>
      </w:pPr>
      <w:rPr>
        <w:rFonts w:hint="default"/>
      </w:rPr>
    </w:lvl>
    <w:lvl w:ilvl="3">
      <w:start w:val="1"/>
      <w:numFmt w:val="decimal"/>
      <w:lvlText w:val="%1.%2.%3.%4"/>
      <w:lvlJc w:val="left"/>
      <w:pPr>
        <w:ind w:left="3351" w:hanging="2160"/>
      </w:pPr>
      <w:rPr>
        <w:rFonts w:hint="default"/>
      </w:rPr>
    </w:lvl>
    <w:lvl w:ilvl="4">
      <w:start w:val="1"/>
      <w:numFmt w:val="decimal"/>
      <w:lvlText w:val="%1.%2.%3.%4.%5"/>
      <w:lvlJc w:val="left"/>
      <w:pPr>
        <w:ind w:left="4108" w:hanging="2520"/>
      </w:pPr>
      <w:rPr>
        <w:rFonts w:hint="default"/>
      </w:rPr>
    </w:lvl>
    <w:lvl w:ilvl="5">
      <w:start w:val="1"/>
      <w:numFmt w:val="decimal"/>
      <w:lvlText w:val="%1.%2.%3.%4.%5.%6"/>
      <w:lvlJc w:val="left"/>
      <w:pPr>
        <w:ind w:left="4865" w:hanging="2880"/>
      </w:pPr>
      <w:rPr>
        <w:rFonts w:hint="default"/>
      </w:rPr>
    </w:lvl>
    <w:lvl w:ilvl="6">
      <w:start w:val="1"/>
      <w:numFmt w:val="decimal"/>
      <w:lvlText w:val="%1.%2.%3.%4.%5.%6.%7"/>
      <w:lvlJc w:val="left"/>
      <w:pPr>
        <w:ind w:left="5982" w:hanging="3600"/>
      </w:pPr>
      <w:rPr>
        <w:rFonts w:hint="default"/>
      </w:rPr>
    </w:lvl>
    <w:lvl w:ilvl="7">
      <w:start w:val="1"/>
      <w:numFmt w:val="decimal"/>
      <w:lvlText w:val="%1.%2.%3.%4.%5.%6.%7.%8"/>
      <w:lvlJc w:val="left"/>
      <w:pPr>
        <w:ind w:left="6739" w:hanging="3960"/>
      </w:pPr>
      <w:rPr>
        <w:rFonts w:hint="default"/>
      </w:rPr>
    </w:lvl>
    <w:lvl w:ilvl="8">
      <w:start w:val="1"/>
      <w:numFmt w:val="decimal"/>
      <w:lvlText w:val="%1.%2.%3.%4.%5.%6.%7.%8.%9"/>
      <w:lvlJc w:val="left"/>
      <w:pPr>
        <w:ind w:left="7496" w:hanging="4320"/>
      </w:pPr>
      <w:rPr>
        <w:rFonts w:hint="default"/>
      </w:rPr>
    </w:lvl>
  </w:abstractNum>
  <w:abstractNum w:abstractNumId="26" w15:restartNumberingAfterBreak="0">
    <w:nsid w:val="6DE37BFB"/>
    <w:multiLevelType w:val="hybridMultilevel"/>
    <w:tmpl w:val="31120A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B13B0"/>
    <w:multiLevelType w:val="hybridMultilevel"/>
    <w:tmpl w:val="46B4C580"/>
    <w:lvl w:ilvl="0" w:tplc="535C6468">
      <w:start w:val="1"/>
      <w:numFmt w:val="bullet"/>
      <w:pStyle w:val="Greensub-bullet-casestudytables"/>
      <w:lvlText w:val="‒"/>
      <w:lvlJc w:val="left"/>
      <w:pPr>
        <w:ind w:left="1004" w:hanging="360"/>
      </w:pPr>
      <w:rPr>
        <w:rFonts w:ascii="Calibri" w:hAnsi="Calibri" w:cs="Times New Roman" w:hint="default"/>
        <w:color w:val="0F7B7D"/>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9" w15:restartNumberingAfterBreak="0">
    <w:nsid w:val="7528466D"/>
    <w:multiLevelType w:val="hybridMultilevel"/>
    <w:tmpl w:val="F16072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224819"/>
    <w:multiLevelType w:val="hybridMultilevel"/>
    <w:tmpl w:val="A96072BC"/>
    <w:lvl w:ilvl="0" w:tplc="A89E3FD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A23567B"/>
    <w:multiLevelType w:val="hybridMultilevel"/>
    <w:tmpl w:val="7CD2F394"/>
    <w:lvl w:ilvl="0" w:tplc="0D2A4CB0">
      <w:start w:val="3"/>
      <w:numFmt w:val="decimal"/>
      <w:lvlText w:val="(%1)"/>
      <w:lvlJc w:val="left"/>
      <w:pPr>
        <w:ind w:left="802" w:hanging="405"/>
      </w:pPr>
      <w:rPr>
        <w:rFonts w:ascii="Georgia" w:eastAsiaTheme="majorEastAsia" w:hAnsi="Georgia" w:cstheme="majorBidi" w:hint="default"/>
        <w:b/>
        <w:i w:val="0"/>
        <w:color w:val="1B556B"/>
        <w:sz w:val="36"/>
      </w:rPr>
    </w:lvl>
    <w:lvl w:ilvl="1" w:tplc="14090019" w:tentative="1">
      <w:start w:val="1"/>
      <w:numFmt w:val="lowerLetter"/>
      <w:lvlText w:val="%2."/>
      <w:lvlJc w:val="left"/>
      <w:pPr>
        <w:ind w:left="1477" w:hanging="360"/>
      </w:pPr>
    </w:lvl>
    <w:lvl w:ilvl="2" w:tplc="1409001B" w:tentative="1">
      <w:start w:val="1"/>
      <w:numFmt w:val="lowerRoman"/>
      <w:lvlText w:val="%3."/>
      <w:lvlJc w:val="right"/>
      <w:pPr>
        <w:ind w:left="2197" w:hanging="180"/>
      </w:pPr>
    </w:lvl>
    <w:lvl w:ilvl="3" w:tplc="1409000F" w:tentative="1">
      <w:start w:val="1"/>
      <w:numFmt w:val="decimal"/>
      <w:lvlText w:val="%4."/>
      <w:lvlJc w:val="left"/>
      <w:pPr>
        <w:ind w:left="2917" w:hanging="360"/>
      </w:pPr>
    </w:lvl>
    <w:lvl w:ilvl="4" w:tplc="14090019" w:tentative="1">
      <w:start w:val="1"/>
      <w:numFmt w:val="lowerLetter"/>
      <w:lvlText w:val="%5."/>
      <w:lvlJc w:val="left"/>
      <w:pPr>
        <w:ind w:left="3637" w:hanging="360"/>
      </w:pPr>
    </w:lvl>
    <w:lvl w:ilvl="5" w:tplc="1409001B" w:tentative="1">
      <w:start w:val="1"/>
      <w:numFmt w:val="lowerRoman"/>
      <w:lvlText w:val="%6."/>
      <w:lvlJc w:val="right"/>
      <w:pPr>
        <w:ind w:left="4357" w:hanging="180"/>
      </w:pPr>
    </w:lvl>
    <w:lvl w:ilvl="6" w:tplc="1409000F" w:tentative="1">
      <w:start w:val="1"/>
      <w:numFmt w:val="decimal"/>
      <w:lvlText w:val="%7."/>
      <w:lvlJc w:val="left"/>
      <w:pPr>
        <w:ind w:left="5077" w:hanging="360"/>
      </w:pPr>
    </w:lvl>
    <w:lvl w:ilvl="7" w:tplc="14090019" w:tentative="1">
      <w:start w:val="1"/>
      <w:numFmt w:val="lowerLetter"/>
      <w:lvlText w:val="%8."/>
      <w:lvlJc w:val="left"/>
      <w:pPr>
        <w:ind w:left="5797" w:hanging="360"/>
      </w:pPr>
    </w:lvl>
    <w:lvl w:ilvl="8" w:tplc="1409001B" w:tentative="1">
      <w:start w:val="1"/>
      <w:numFmt w:val="lowerRoman"/>
      <w:lvlText w:val="%9."/>
      <w:lvlJc w:val="right"/>
      <w:pPr>
        <w:ind w:left="6517" w:hanging="180"/>
      </w:pPr>
    </w:lvl>
  </w:abstractNum>
  <w:num w:numId="1" w16cid:durableId="2095739543">
    <w:abstractNumId w:val="12"/>
  </w:num>
  <w:num w:numId="2" w16cid:durableId="819156587">
    <w:abstractNumId w:val="22"/>
  </w:num>
  <w:num w:numId="3" w16cid:durableId="1295407991">
    <w:abstractNumId w:val="17"/>
  </w:num>
  <w:num w:numId="4" w16cid:durableId="29889601">
    <w:abstractNumId w:val="11"/>
  </w:num>
  <w:num w:numId="5" w16cid:durableId="1889143099">
    <w:abstractNumId w:val="7"/>
  </w:num>
  <w:num w:numId="6" w16cid:durableId="640571880">
    <w:abstractNumId w:val="21"/>
  </w:num>
  <w:num w:numId="7" w16cid:durableId="1668942400">
    <w:abstractNumId w:val="19"/>
  </w:num>
  <w:num w:numId="8" w16cid:durableId="415827959">
    <w:abstractNumId w:val="30"/>
  </w:num>
  <w:num w:numId="9" w16cid:durableId="6431257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1143446">
    <w:abstractNumId w:val="10"/>
  </w:num>
  <w:num w:numId="11" w16cid:durableId="1939948848">
    <w:abstractNumId w:val="27"/>
  </w:num>
  <w:num w:numId="12" w16cid:durableId="1276671946">
    <w:abstractNumId w:val="2"/>
  </w:num>
  <w:num w:numId="13" w16cid:durableId="1660428797">
    <w:abstractNumId w:val="8"/>
  </w:num>
  <w:num w:numId="14" w16cid:durableId="1275017919">
    <w:abstractNumId w:val="16"/>
  </w:num>
  <w:num w:numId="15" w16cid:durableId="1324970249">
    <w:abstractNumId w:val="6"/>
  </w:num>
  <w:num w:numId="16" w16cid:durableId="1507599975">
    <w:abstractNumId w:val="28"/>
  </w:num>
  <w:num w:numId="17" w16cid:durableId="1164079712">
    <w:abstractNumId w:val="25"/>
  </w:num>
  <w:num w:numId="18" w16cid:durableId="1173763205">
    <w:abstractNumId w:val="24"/>
  </w:num>
  <w:num w:numId="19" w16cid:durableId="102455934">
    <w:abstractNumId w:val="26"/>
  </w:num>
  <w:num w:numId="20" w16cid:durableId="499855478">
    <w:abstractNumId w:val="15"/>
  </w:num>
  <w:num w:numId="21" w16cid:durableId="289824205">
    <w:abstractNumId w:val="23"/>
  </w:num>
  <w:num w:numId="22" w16cid:durableId="902299953">
    <w:abstractNumId w:val="9"/>
  </w:num>
  <w:num w:numId="23" w16cid:durableId="23408484">
    <w:abstractNumId w:val="16"/>
  </w:num>
  <w:num w:numId="24" w16cid:durableId="1220090728">
    <w:abstractNumId w:val="16"/>
  </w:num>
  <w:num w:numId="25" w16cid:durableId="1615670738">
    <w:abstractNumId w:val="16"/>
  </w:num>
  <w:num w:numId="26" w16cid:durableId="1530147312">
    <w:abstractNumId w:val="16"/>
  </w:num>
  <w:num w:numId="27" w16cid:durableId="577638865">
    <w:abstractNumId w:val="20"/>
  </w:num>
  <w:num w:numId="28" w16cid:durableId="783957806">
    <w:abstractNumId w:val="14"/>
  </w:num>
  <w:num w:numId="29" w16cid:durableId="237524457">
    <w:abstractNumId w:val="16"/>
  </w:num>
  <w:num w:numId="30" w16cid:durableId="1774982448">
    <w:abstractNumId w:val="16"/>
  </w:num>
  <w:num w:numId="31" w16cid:durableId="1919440396">
    <w:abstractNumId w:val="16"/>
  </w:num>
  <w:num w:numId="32" w16cid:durableId="935208703">
    <w:abstractNumId w:val="31"/>
  </w:num>
  <w:num w:numId="33" w16cid:durableId="1080250994">
    <w:abstractNumId w:val="4"/>
  </w:num>
  <w:num w:numId="34" w16cid:durableId="2009213241">
    <w:abstractNumId w:val="3"/>
  </w:num>
  <w:num w:numId="35" w16cid:durableId="2123988281">
    <w:abstractNumId w:val="32"/>
  </w:num>
  <w:num w:numId="36" w16cid:durableId="108402852">
    <w:abstractNumId w:val="1"/>
  </w:num>
  <w:num w:numId="37" w16cid:durableId="514076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37152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30189892">
    <w:abstractNumId w:val="18"/>
  </w:num>
  <w:num w:numId="40" w16cid:durableId="1248807808">
    <w:abstractNumId w:val="22"/>
  </w:num>
  <w:num w:numId="41" w16cid:durableId="1530794978">
    <w:abstractNumId w:val="22"/>
  </w:num>
  <w:num w:numId="42" w16cid:durableId="1449468460">
    <w:abstractNumId w:val="29"/>
  </w:num>
  <w:num w:numId="43" w16cid:durableId="1362780816">
    <w:abstractNumId w:val="5"/>
  </w:num>
  <w:num w:numId="44" w16cid:durableId="1471433407">
    <w:abstractNumId w:val="0"/>
  </w:num>
  <w:num w:numId="45" w16cid:durableId="1246501315">
    <w:abstractNumId w:val="13"/>
  </w:num>
  <w:num w:numId="46" w16cid:durableId="8646287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16"/>
    <w:rsid w:val="00000792"/>
    <w:rsid w:val="00000BCC"/>
    <w:rsid w:val="00000F04"/>
    <w:rsid w:val="00003147"/>
    <w:rsid w:val="00003C4F"/>
    <w:rsid w:val="00003D5F"/>
    <w:rsid w:val="00004E0A"/>
    <w:rsid w:val="00004FD3"/>
    <w:rsid w:val="0000561F"/>
    <w:rsid w:val="00005B91"/>
    <w:rsid w:val="00006DF5"/>
    <w:rsid w:val="00006F95"/>
    <w:rsid w:val="00007023"/>
    <w:rsid w:val="0000709F"/>
    <w:rsid w:val="000071D6"/>
    <w:rsid w:val="00007F2D"/>
    <w:rsid w:val="00007FAC"/>
    <w:rsid w:val="00010182"/>
    <w:rsid w:val="0001077C"/>
    <w:rsid w:val="00010A9C"/>
    <w:rsid w:val="00010ABA"/>
    <w:rsid w:val="00010E15"/>
    <w:rsid w:val="00010F57"/>
    <w:rsid w:val="0001100C"/>
    <w:rsid w:val="00011188"/>
    <w:rsid w:val="00012555"/>
    <w:rsid w:val="00012FC4"/>
    <w:rsid w:val="0001363B"/>
    <w:rsid w:val="00013922"/>
    <w:rsid w:val="00014236"/>
    <w:rsid w:val="000148F6"/>
    <w:rsid w:val="00014C16"/>
    <w:rsid w:val="00015217"/>
    <w:rsid w:val="000159D2"/>
    <w:rsid w:val="00015B45"/>
    <w:rsid w:val="00016264"/>
    <w:rsid w:val="000168C2"/>
    <w:rsid w:val="00016993"/>
    <w:rsid w:val="00016CAB"/>
    <w:rsid w:val="00016E5B"/>
    <w:rsid w:val="0001749B"/>
    <w:rsid w:val="00017D75"/>
    <w:rsid w:val="00017FE5"/>
    <w:rsid w:val="000206CE"/>
    <w:rsid w:val="00020F58"/>
    <w:rsid w:val="000212D4"/>
    <w:rsid w:val="00021410"/>
    <w:rsid w:val="000217E7"/>
    <w:rsid w:val="00021910"/>
    <w:rsid w:val="00022E8D"/>
    <w:rsid w:val="0002348A"/>
    <w:rsid w:val="000235B5"/>
    <w:rsid w:val="00023836"/>
    <w:rsid w:val="00023BDA"/>
    <w:rsid w:val="000242AC"/>
    <w:rsid w:val="00024708"/>
    <w:rsid w:val="00024EE7"/>
    <w:rsid w:val="00025F96"/>
    <w:rsid w:val="00025FAB"/>
    <w:rsid w:val="00026E89"/>
    <w:rsid w:val="000275A3"/>
    <w:rsid w:val="000275F9"/>
    <w:rsid w:val="00030558"/>
    <w:rsid w:val="00030699"/>
    <w:rsid w:val="00030725"/>
    <w:rsid w:val="00030DB8"/>
    <w:rsid w:val="00031A83"/>
    <w:rsid w:val="0003213A"/>
    <w:rsid w:val="00032197"/>
    <w:rsid w:val="00032A81"/>
    <w:rsid w:val="000340D8"/>
    <w:rsid w:val="000341C0"/>
    <w:rsid w:val="0003427D"/>
    <w:rsid w:val="000345D2"/>
    <w:rsid w:val="00034DFA"/>
    <w:rsid w:val="000357ED"/>
    <w:rsid w:val="00035E15"/>
    <w:rsid w:val="0003640E"/>
    <w:rsid w:val="0003688A"/>
    <w:rsid w:val="000368FC"/>
    <w:rsid w:val="00036A0D"/>
    <w:rsid w:val="00036DA3"/>
    <w:rsid w:val="00037421"/>
    <w:rsid w:val="000377BE"/>
    <w:rsid w:val="000379BF"/>
    <w:rsid w:val="00037BEC"/>
    <w:rsid w:val="000400D9"/>
    <w:rsid w:val="0004035C"/>
    <w:rsid w:val="00040860"/>
    <w:rsid w:val="00040CED"/>
    <w:rsid w:val="00040EA1"/>
    <w:rsid w:val="0004205F"/>
    <w:rsid w:val="000423C6"/>
    <w:rsid w:val="00042D8E"/>
    <w:rsid w:val="00042EDB"/>
    <w:rsid w:val="00043D47"/>
    <w:rsid w:val="00044449"/>
    <w:rsid w:val="00044A50"/>
    <w:rsid w:val="00044C65"/>
    <w:rsid w:val="000458C7"/>
    <w:rsid w:val="00045991"/>
    <w:rsid w:val="00045E5C"/>
    <w:rsid w:val="00046288"/>
    <w:rsid w:val="00046B8E"/>
    <w:rsid w:val="0004768E"/>
    <w:rsid w:val="00047941"/>
    <w:rsid w:val="00050A22"/>
    <w:rsid w:val="00050E27"/>
    <w:rsid w:val="0005144F"/>
    <w:rsid w:val="00051AF1"/>
    <w:rsid w:val="00051D42"/>
    <w:rsid w:val="00051E14"/>
    <w:rsid w:val="000522FC"/>
    <w:rsid w:val="000538A1"/>
    <w:rsid w:val="00053AA5"/>
    <w:rsid w:val="000544D0"/>
    <w:rsid w:val="000551C7"/>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4F57"/>
    <w:rsid w:val="000656BD"/>
    <w:rsid w:val="00065BA3"/>
    <w:rsid w:val="00065C2C"/>
    <w:rsid w:val="00065D3B"/>
    <w:rsid w:val="000667E9"/>
    <w:rsid w:val="0006701A"/>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3929"/>
    <w:rsid w:val="00074681"/>
    <w:rsid w:val="0007517E"/>
    <w:rsid w:val="000751D1"/>
    <w:rsid w:val="00075FE1"/>
    <w:rsid w:val="00076667"/>
    <w:rsid w:val="00077473"/>
    <w:rsid w:val="00077481"/>
    <w:rsid w:val="000776F9"/>
    <w:rsid w:val="00077EE0"/>
    <w:rsid w:val="000802F9"/>
    <w:rsid w:val="0008145A"/>
    <w:rsid w:val="0008162D"/>
    <w:rsid w:val="00082248"/>
    <w:rsid w:val="000825D1"/>
    <w:rsid w:val="000831C8"/>
    <w:rsid w:val="00083F5E"/>
    <w:rsid w:val="00084FDB"/>
    <w:rsid w:val="0008505C"/>
    <w:rsid w:val="00085C46"/>
    <w:rsid w:val="0008686A"/>
    <w:rsid w:val="00087175"/>
    <w:rsid w:val="00087D35"/>
    <w:rsid w:val="00091796"/>
    <w:rsid w:val="00091BA2"/>
    <w:rsid w:val="00091CB0"/>
    <w:rsid w:val="00092F82"/>
    <w:rsid w:val="000930A5"/>
    <w:rsid w:val="000938D5"/>
    <w:rsid w:val="00094344"/>
    <w:rsid w:val="00094C81"/>
    <w:rsid w:val="000953C6"/>
    <w:rsid w:val="000953F4"/>
    <w:rsid w:val="0009590C"/>
    <w:rsid w:val="000959E7"/>
    <w:rsid w:val="00095B84"/>
    <w:rsid w:val="00095C45"/>
    <w:rsid w:val="00095E7D"/>
    <w:rsid w:val="000964DE"/>
    <w:rsid w:val="000972AB"/>
    <w:rsid w:val="00097B40"/>
    <w:rsid w:val="00097D0E"/>
    <w:rsid w:val="000A109B"/>
    <w:rsid w:val="000A17EA"/>
    <w:rsid w:val="000A1C7A"/>
    <w:rsid w:val="000A1DE3"/>
    <w:rsid w:val="000A2345"/>
    <w:rsid w:val="000A2394"/>
    <w:rsid w:val="000A31C1"/>
    <w:rsid w:val="000A32C5"/>
    <w:rsid w:val="000A3411"/>
    <w:rsid w:val="000A346C"/>
    <w:rsid w:val="000A34CA"/>
    <w:rsid w:val="000A426F"/>
    <w:rsid w:val="000A4559"/>
    <w:rsid w:val="000A45FD"/>
    <w:rsid w:val="000A477B"/>
    <w:rsid w:val="000A558D"/>
    <w:rsid w:val="000A5611"/>
    <w:rsid w:val="000A563C"/>
    <w:rsid w:val="000A59C5"/>
    <w:rsid w:val="000A5DEA"/>
    <w:rsid w:val="000A5EBD"/>
    <w:rsid w:val="000A72C0"/>
    <w:rsid w:val="000A7658"/>
    <w:rsid w:val="000A7F0F"/>
    <w:rsid w:val="000A7F4C"/>
    <w:rsid w:val="000B02BC"/>
    <w:rsid w:val="000B0498"/>
    <w:rsid w:val="000B0F36"/>
    <w:rsid w:val="000B1782"/>
    <w:rsid w:val="000B1942"/>
    <w:rsid w:val="000B1BED"/>
    <w:rsid w:val="000B2240"/>
    <w:rsid w:val="000B2477"/>
    <w:rsid w:val="000B2600"/>
    <w:rsid w:val="000B2961"/>
    <w:rsid w:val="000B322D"/>
    <w:rsid w:val="000B36F9"/>
    <w:rsid w:val="000B4074"/>
    <w:rsid w:val="000B4732"/>
    <w:rsid w:val="000B4BCD"/>
    <w:rsid w:val="000B66DC"/>
    <w:rsid w:val="000B6D1F"/>
    <w:rsid w:val="000B71AA"/>
    <w:rsid w:val="000B7442"/>
    <w:rsid w:val="000B7578"/>
    <w:rsid w:val="000C00B7"/>
    <w:rsid w:val="000C062F"/>
    <w:rsid w:val="000C17E7"/>
    <w:rsid w:val="000C3270"/>
    <w:rsid w:val="000C32BD"/>
    <w:rsid w:val="000C337E"/>
    <w:rsid w:val="000C573B"/>
    <w:rsid w:val="000C577E"/>
    <w:rsid w:val="000C5ACE"/>
    <w:rsid w:val="000C74F5"/>
    <w:rsid w:val="000C7B30"/>
    <w:rsid w:val="000D04BA"/>
    <w:rsid w:val="000D0B6E"/>
    <w:rsid w:val="000D0CDC"/>
    <w:rsid w:val="000D0D65"/>
    <w:rsid w:val="000D12E0"/>
    <w:rsid w:val="000D173F"/>
    <w:rsid w:val="000D1868"/>
    <w:rsid w:val="000D1944"/>
    <w:rsid w:val="000D1DD9"/>
    <w:rsid w:val="000D2172"/>
    <w:rsid w:val="000D293C"/>
    <w:rsid w:val="000D2BC1"/>
    <w:rsid w:val="000D337B"/>
    <w:rsid w:val="000D385A"/>
    <w:rsid w:val="000D38C2"/>
    <w:rsid w:val="000D3CA7"/>
    <w:rsid w:val="000D40E9"/>
    <w:rsid w:val="000D462E"/>
    <w:rsid w:val="000D5B16"/>
    <w:rsid w:val="000D5FD6"/>
    <w:rsid w:val="000D6201"/>
    <w:rsid w:val="000D6488"/>
    <w:rsid w:val="000D7088"/>
    <w:rsid w:val="000D770B"/>
    <w:rsid w:val="000D788E"/>
    <w:rsid w:val="000E12B0"/>
    <w:rsid w:val="000E1BC8"/>
    <w:rsid w:val="000E1D32"/>
    <w:rsid w:val="000E26D8"/>
    <w:rsid w:val="000E2B94"/>
    <w:rsid w:val="000E3156"/>
    <w:rsid w:val="000E35B6"/>
    <w:rsid w:val="000E3BB8"/>
    <w:rsid w:val="000E3D9B"/>
    <w:rsid w:val="000E3DFD"/>
    <w:rsid w:val="000E4261"/>
    <w:rsid w:val="000E4697"/>
    <w:rsid w:val="000E4C37"/>
    <w:rsid w:val="000E58C5"/>
    <w:rsid w:val="000E6203"/>
    <w:rsid w:val="000E64CB"/>
    <w:rsid w:val="000E6B97"/>
    <w:rsid w:val="000E71BB"/>
    <w:rsid w:val="000E722C"/>
    <w:rsid w:val="000E755B"/>
    <w:rsid w:val="000E786F"/>
    <w:rsid w:val="000E7DA7"/>
    <w:rsid w:val="000E7FA0"/>
    <w:rsid w:val="000F00BA"/>
    <w:rsid w:val="000F02F8"/>
    <w:rsid w:val="000F0409"/>
    <w:rsid w:val="000F049F"/>
    <w:rsid w:val="000F0642"/>
    <w:rsid w:val="000F07FA"/>
    <w:rsid w:val="000F0B5E"/>
    <w:rsid w:val="000F0E27"/>
    <w:rsid w:val="000F1D43"/>
    <w:rsid w:val="000F1FFF"/>
    <w:rsid w:val="000F20AA"/>
    <w:rsid w:val="000F2651"/>
    <w:rsid w:val="000F348D"/>
    <w:rsid w:val="000F369A"/>
    <w:rsid w:val="000F3ECB"/>
    <w:rsid w:val="000F4463"/>
    <w:rsid w:val="000F4B16"/>
    <w:rsid w:val="000F5285"/>
    <w:rsid w:val="000F52E0"/>
    <w:rsid w:val="000F53A9"/>
    <w:rsid w:val="000F6146"/>
    <w:rsid w:val="000F6464"/>
    <w:rsid w:val="000F6628"/>
    <w:rsid w:val="000F6C25"/>
    <w:rsid w:val="000F76EB"/>
    <w:rsid w:val="000F78AE"/>
    <w:rsid w:val="000F78EB"/>
    <w:rsid w:val="000F7E25"/>
    <w:rsid w:val="001007EE"/>
    <w:rsid w:val="00100B52"/>
    <w:rsid w:val="00100F76"/>
    <w:rsid w:val="0010148E"/>
    <w:rsid w:val="00101557"/>
    <w:rsid w:val="001022A7"/>
    <w:rsid w:val="00102478"/>
    <w:rsid w:val="0010253C"/>
    <w:rsid w:val="0010259A"/>
    <w:rsid w:val="00102690"/>
    <w:rsid w:val="001029F7"/>
    <w:rsid w:val="00102BD1"/>
    <w:rsid w:val="00103163"/>
    <w:rsid w:val="0010486A"/>
    <w:rsid w:val="0010561C"/>
    <w:rsid w:val="00105C0F"/>
    <w:rsid w:val="00105E39"/>
    <w:rsid w:val="00106100"/>
    <w:rsid w:val="00106561"/>
    <w:rsid w:val="001068A2"/>
    <w:rsid w:val="00106D63"/>
    <w:rsid w:val="001075F3"/>
    <w:rsid w:val="00107A01"/>
    <w:rsid w:val="00107C23"/>
    <w:rsid w:val="00110307"/>
    <w:rsid w:val="00110C7F"/>
    <w:rsid w:val="00110EE2"/>
    <w:rsid w:val="00110F12"/>
    <w:rsid w:val="00111A88"/>
    <w:rsid w:val="0011221A"/>
    <w:rsid w:val="00113283"/>
    <w:rsid w:val="00113592"/>
    <w:rsid w:val="001137AE"/>
    <w:rsid w:val="00113B20"/>
    <w:rsid w:val="001143EA"/>
    <w:rsid w:val="001147B3"/>
    <w:rsid w:val="001148F7"/>
    <w:rsid w:val="001149B2"/>
    <w:rsid w:val="00114B28"/>
    <w:rsid w:val="00114C2D"/>
    <w:rsid w:val="00115125"/>
    <w:rsid w:val="001152F2"/>
    <w:rsid w:val="001157D7"/>
    <w:rsid w:val="00115BBC"/>
    <w:rsid w:val="00116382"/>
    <w:rsid w:val="00116484"/>
    <w:rsid w:val="00116ACF"/>
    <w:rsid w:val="00116D5C"/>
    <w:rsid w:val="001172B2"/>
    <w:rsid w:val="00117F9B"/>
    <w:rsid w:val="00120013"/>
    <w:rsid w:val="00120276"/>
    <w:rsid w:val="00121211"/>
    <w:rsid w:val="00121410"/>
    <w:rsid w:val="00121628"/>
    <w:rsid w:val="0012167D"/>
    <w:rsid w:val="00122189"/>
    <w:rsid w:val="00122280"/>
    <w:rsid w:val="00122D42"/>
    <w:rsid w:val="0012326A"/>
    <w:rsid w:val="00123345"/>
    <w:rsid w:val="00123C46"/>
    <w:rsid w:val="00123EC2"/>
    <w:rsid w:val="001241DD"/>
    <w:rsid w:val="0012470B"/>
    <w:rsid w:val="00125C75"/>
    <w:rsid w:val="00125C7E"/>
    <w:rsid w:val="00126A9E"/>
    <w:rsid w:val="00126B95"/>
    <w:rsid w:val="00127945"/>
    <w:rsid w:val="00127D94"/>
    <w:rsid w:val="00127E90"/>
    <w:rsid w:val="001302C1"/>
    <w:rsid w:val="001306D3"/>
    <w:rsid w:val="001310BF"/>
    <w:rsid w:val="00133755"/>
    <w:rsid w:val="00133E73"/>
    <w:rsid w:val="00133FDB"/>
    <w:rsid w:val="00134AD8"/>
    <w:rsid w:val="00134F4A"/>
    <w:rsid w:val="00135E4E"/>
    <w:rsid w:val="00136246"/>
    <w:rsid w:val="001364D4"/>
    <w:rsid w:val="001366AE"/>
    <w:rsid w:val="001371C8"/>
    <w:rsid w:val="001372ED"/>
    <w:rsid w:val="00137C72"/>
    <w:rsid w:val="00140FEF"/>
    <w:rsid w:val="001422D4"/>
    <w:rsid w:val="00142B4A"/>
    <w:rsid w:val="00142B50"/>
    <w:rsid w:val="00142DB4"/>
    <w:rsid w:val="00143873"/>
    <w:rsid w:val="001439E9"/>
    <w:rsid w:val="00143C55"/>
    <w:rsid w:val="00144538"/>
    <w:rsid w:val="00144C6F"/>
    <w:rsid w:val="00145089"/>
    <w:rsid w:val="001451E7"/>
    <w:rsid w:val="001462E3"/>
    <w:rsid w:val="00146759"/>
    <w:rsid w:val="00146823"/>
    <w:rsid w:val="0014720C"/>
    <w:rsid w:val="001472C2"/>
    <w:rsid w:val="00147458"/>
    <w:rsid w:val="00147E21"/>
    <w:rsid w:val="00150BA8"/>
    <w:rsid w:val="00150D19"/>
    <w:rsid w:val="0015181B"/>
    <w:rsid w:val="00151A9F"/>
    <w:rsid w:val="00152B87"/>
    <w:rsid w:val="00152BA8"/>
    <w:rsid w:val="00152F68"/>
    <w:rsid w:val="00153A96"/>
    <w:rsid w:val="00153D1C"/>
    <w:rsid w:val="00153E59"/>
    <w:rsid w:val="001543E2"/>
    <w:rsid w:val="00155B43"/>
    <w:rsid w:val="00155B4F"/>
    <w:rsid w:val="001561F4"/>
    <w:rsid w:val="001565A2"/>
    <w:rsid w:val="0015672B"/>
    <w:rsid w:val="001567C3"/>
    <w:rsid w:val="00156A12"/>
    <w:rsid w:val="00157B3F"/>
    <w:rsid w:val="00157F8A"/>
    <w:rsid w:val="00160C3D"/>
    <w:rsid w:val="0016157F"/>
    <w:rsid w:val="00161B24"/>
    <w:rsid w:val="00161C41"/>
    <w:rsid w:val="00161DD5"/>
    <w:rsid w:val="00161FB7"/>
    <w:rsid w:val="001633A4"/>
    <w:rsid w:val="001634D6"/>
    <w:rsid w:val="00163FF0"/>
    <w:rsid w:val="001648DD"/>
    <w:rsid w:val="00165705"/>
    <w:rsid w:val="00165BBE"/>
    <w:rsid w:val="00166389"/>
    <w:rsid w:val="0016642E"/>
    <w:rsid w:val="00166D03"/>
    <w:rsid w:val="00166E03"/>
    <w:rsid w:val="00166E0D"/>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C79"/>
    <w:rsid w:val="00176E98"/>
    <w:rsid w:val="00177996"/>
    <w:rsid w:val="00180B3F"/>
    <w:rsid w:val="00180C83"/>
    <w:rsid w:val="00180CE5"/>
    <w:rsid w:val="0018175B"/>
    <w:rsid w:val="00181AB3"/>
    <w:rsid w:val="001820A3"/>
    <w:rsid w:val="00182AA1"/>
    <w:rsid w:val="00182B75"/>
    <w:rsid w:val="0018332A"/>
    <w:rsid w:val="00183D80"/>
    <w:rsid w:val="0018408B"/>
    <w:rsid w:val="001842C8"/>
    <w:rsid w:val="00185044"/>
    <w:rsid w:val="001850DB"/>
    <w:rsid w:val="0018599C"/>
    <w:rsid w:val="001869EE"/>
    <w:rsid w:val="00186C63"/>
    <w:rsid w:val="00186D00"/>
    <w:rsid w:val="0018743A"/>
    <w:rsid w:val="001877A0"/>
    <w:rsid w:val="0019022E"/>
    <w:rsid w:val="00190A57"/>
    <w:rsid w:val="00190B3F"/>
    <w:rsid w:val="0019122C"/>
    <w:rsid w:val="00191908"/>
    <w:rsid w:val="00191AB5"/>
    <w:rsid w:val="001924F3"/>
    <w:rsid w:val="00192DF3"/>
    <w:rsid w:val="0019301F"/>
    <w:rsid w:val="00193286"/>
    <w:rsid w:val="001937B8"/>
    <w:rsid w:val="00194954"/>
    <w:rsid w:val="00194BB7"/>
    <w:rsid w:val="00194CC5"/>
    <w:rsid w:val="001951B2"/>
    <w:rsid w:val="001953E6"/>
    <w:rsid w:val="00195439"/>
    <w:rsid w:val="0019565D"/>
    <w:rsid w:val="0019679A"/>
    <w:rsid w:val="0019746E"/>
    <w:rsid w:val="00197564"/>
    <w:rsid w:val="00197931"/>
    <w:rsid w:val="00197EC2"/>
    <w:rsid w:val="00197ECE"/>
    <w:rsid w:val="00197F8D"/>
    <w:rsid w:val="001A00D7"/>
    <w:rsid w:val="001A1CED"/>
    <w:rsid w:val="001A279B"/>
    <w:rsid w:val="001A280B"/>
    <w:rsid w:val="001A2DC3"/>
    <w:rsid w:val="001A2E87"/>
    <w:rsid w:val="001A3869"/>
    <w:rsid w:val="001A38C2"/>
    <w:rsid w:val="001A41C9"/>
    <w:rsid w:val="001A4278"/>
    <w:rsid w:val="001A5C09"/>
    <w:rsid w:val="001A65C8"/>
    <w:rsid w:val="001A661B"/>
    <w:rsid w:val="001A6D91"/>
    <w:rsid w:val="001A732E"/>
    <w:rsid w:val="001A7ABD"/>
    <w:rsid w:val="001A7F30"/>
    <w:rsid w:val="001B06E2"/>
    <w:rsid w:val="001B103A"/>
    <w:rsid w:val="001B103D"/>
    <w:rsid w:val="001B1513"/>
    <w:rsid w:val="001B1767"/>
    <w:rsid w:val="001B2453"/>
    <w:rsid w:val="001B2E1B"/>
    <w:rsid w:val="001B3D48"/>
    <w:rsid w:val="001B472B"/>
    <w:rsid w:val="001B5AF9"/>
    <w:rsid w:val="001B6600"/>
    <w:rsid w:val="001B6B9B"/>
    <w:rsid w:val="001B6C27"/>
    <w:rsid w:val="001B7144"/>
    <w:rsid w:val="001B7E91"/>
    <w:rsid w:val="001C147E"/>
    <w:rsid w:val="001C151B"/>
    <w:rsid w:val="001C16EB"/>
    <w:rsid w:val="001C19E5"/>
    <w:rsid w:val="001C1C8C"/>
    <w:rsid w:val="001C3800"/>
    <w:rsid w:val="001C3C7B"/>
    <w:rsid w:val="001C6122"/>
    <w:rsid w:val="001C6587"/>
    <w:rsid w:val="001C69BE"/>
    <w:rsid w:val="001C6DB5"/>
    <w:rsid w:val="001C71AC"/>
    <w:rsid w:val="001C7316"/>
    <w:rsid w:val="001C7DDF"/>
    <w:rsid w:val="001C7E5C"/>
    <w:rsid w:val="001D00CC"/>
    <w:rsid w:val="001D02B8"/>
    <w:rsid w:val="001D0494"/>
    <w:rsid w:val="001D07B7"/>
    <w:rsid w:val="001D1719"/>
    <w:rsid w:val="001D171B"/>
    <w:rsid w:val="001D1732"/>
    <w:rsid w:val="001D1E2E"/>
    <w:rsid w:val="001D2203"/>
    <w:rsid w:val="001D255C"/>
    <w:rsid w:val="001D2DEF"/>
    <w:rsid w:val="001D30BB"/>
    <w:rsid w:val="001D479F"/>
    <w:rsid w:val="001D488C"/>
    <w:rsid w:val="001D4CDF"/>
    <w:rsid w:val="001D4D2C"/>
    <w:rsid w:val="001D4F88"/>
    <w:rsid w:val="001D578D"/>
    <w:rsid w:val="001D5818"/>
    <w:rsid w:val="001D60F8"/>
    <w:rsid w:val="001D653A"/>
    <w:rsid w:val="001D65FD"/>
    <w:rsid w:val="001D7DEE"/>
    <w:rsid w:val="001E02CB"/>
    <w:rsid w:val="001E073F"/>
    <w:rsid w:val="001E14FD"/>
    <w:rsid w:val="001E165E"/>
    <w:rsid w:val="001E180F"/>
    <w:rsid w:val="001E1C64"/>
    <w:rsid w:val="001E1CEC"/>
    <w:rsid w:val="001E2ECB"/>
    <w:rsid w:val="001E3C9E"/>
    <w:rsid w:val="001E4B64"/>
    <w:rsid w:val="001E552A"/>
    <w:rsid w:val="001E57B9"/>
    <w:rsid w:val="001E5A53"/>
    <w:rsid w:val="001E6E8D"/>
    <w:rsid w:val="001E7EE4"/>
    <w:rsid w:val="001E7F76"/>
    <w:rsid w:val="001F0FAF"/>
    <w:rsid w:val="001F139F"/>
    <w:rsid w:val="001F1B3C"/>
    <w:rsid w:val="001F2774"/>
    <w:rsid w:val="001F2805"/>
    <w:rsid w:val="001F2E79"/>
    <w:rsid w:val="001F2F07"/>
    <w:rsid w:val="001F3123"/>
    <w:rsid w:val="001F376D"/>
    <w:rsid w:val="001F418C"/>
    <w:rsid w:val="001F4205"/>
    <w:rsid w:val="001F4A4A"/>
    <w:rsid w:val="001F4B2D"/>
    <w:rsid w:val="001F4F40"/>
    <w:rsid w:val="001F50E0"/>
    <w:rsid w:val="001F594C"/>
    <w:rsid w:val="001F69FC"/>
    <w:rsid w:val="001F6D62"/>
    <w:rsid w:val="001F72B3"/>
    <w:rsid w:val="001F7652"/>
    <w:rsid w:val="001F7675"/>
    <w:rsid w:val="001F7A75"/>
    <w:rsid w:val="002003D1"/>
    <w:rsid w:val="00200FAE"/>
    <w:rsid w:val="0020102D"/>
    <w:rsid w:val="002010E2"/>
    <w:rsid w:val="00201B73"/>
    <w:rsid w:val="00201F6A"/>
    <w:rsid w:val="00202013"/>
    <w:rsid w:val="00202517"/>
    <w:rsid w:val="002025DF"/>
    <w:rsid w:val="00202ADB"/>
    <w:rsid w:val="00202BB7"/>
    <w:rsid w:val="00203A9E"/>
    <w:rsid w:val="00204172"/>
    <w:rsid w:val="0020435B"/>
    <w:rsid w:val="00204533"/>
    <w:rsid w:val="00204F2D"/>
    <w:rsid w:val="00205566"/>
    <w:rsid w:val="00205E8F"/>
    <w:rsid w:val="002063AA"/>
    <w:rsid w:val="0020787F"/>
    <w:rsid w:val="00210549"/>
    <w:rsid w:val="0021069E"/>
    <w:rsid w:val="00210771"/>
    <w:rsid w:val="00210804"/>
    <w:rsid w:val="0021088F"/>
    <w:rsid w:val="0021109E"/>
    <w:rsid w:val="002113FE"/>
    <w:rsid w:val="00211737"/>
    <w:rsid w:val="0021181B"/>
    <w:rsid w:val="0021230F"/>
    <w:rsid w:val="002125B0"/>
    <w:rsid w:val="002125F6"/>
    <w:rsid w:val="00212A82"/>
    <w:rsid w:val="00212F07"/>
    <w:rsid w:val="0021357A"/>
    <w:rsid w:val="00213D6A"/>
    <w:rsid w:val="00214056"/>
    <w:rsid w:val="00214EA2"/>
    <w:rsid w:val="002160FA"/>
    <w:rsid w:val="002166DD"/>
    <w:rsid w:val="002168A2"/>
    <w:rsid w:val="00216D25"/>
    <w:rsid w:val="002174A1"/>
    <w:rsid w:val="00217867"/>
    <w:rsid w:val="002205E4"/>
    <w:rsid w:val="00220D67"/>
    <w:rsid w:val="002215F8"/>
    <w:rsid w:val="002216B1"/>
    <w:rsid w:val="00221F80"/>
    <w:rsid w:val="0022273A"/>
    <w:rsid w:val="00222C74"/>
    <w:rsid w:val="00222D28"/>
    <w:rsid w:val="00222FEC"/>
    <w:rsid w:val="00223CF4"/>
    <w:rsid w:val="00223D2A"/>
    <w:rsid w:val="00224220"/>
    <w:rsid w:val="00224398"/>
    <w:rsid w:val="00224A81"/>
    <w:rsid w:val="00224E91"/>
    <w:rsid w:val="00224FB1"/>
    <w:rsid w:val="00225077"/>
    <w:rsid w:val="002257D0"/>
    <w:rsid w:val="00225B4C"/>
    <w:rsid w:val="00225E1E"/>
    <w:rsid w:val="00226129"/>
    <w:rsid w:val="0022614D"/>
    <w:rsid w:val="0022633B"/>
    <w:rsid w:val="00226683"/>
    <w:rsid w:val="00226AA2"/>
    <w:rsid w:val="00227218"/>
    <w:rsid w:val="0022770A"/>
    <w:rsid w:val="00227937"/>
    <w:rsid w:val="00227BEE"/>
    <w:rsid w:val="00227F85"/>
    <w:rsid w:val="00227FB4"/>
    <w:rsid w:val="0023057E"/>
    <w:rsid w:val="00230C4B"/>
    <w:rsid w:val="002312BC"/>
    <w:rsid w:val="00231824"/>
    <w:rsid w:val="002337E5"/>
    <w:rsid w:val="002337EB"/>
    <w:rsid w:val="002338CB"/>
    <w:rsid w:val="00233C06"/>
    <w:rsid w:val="00233F24"/>
    <w:rsid w:val="00234BBB"/>
    <w:rsid w:val="002356F4"/>
    <w:rsid w:val="00235B06"/>
    <w:rsid w:val="00235F02"/>
    <w:rsid w:val="00236D28"/>
    <w:rsid w:val="002375FD"/>
    <w:rsid w:val="0023772B"/>
    <w:rsid w:val="00237E41"/>
    <w:rsid w:val="00237FE4"/>
    <w:rsid w:val="00240656"/>
    <w:rsid w:val="00241610"/>
    <w:rsid w:val="00241AED"/>
    <w:rsid w:val="002426F4"/>
    <w:rsid w:val="002428CD"/>
    <w:rsid w:val="00243182"/>
    <w:rsid w:val="00243928"/>
    <w:rsid w:val="00243946"/>
    <w:rsid w:val="00243BC5"/>
    <w:rsid w:val="00243C7D"/>
    <w:rsid w:val="00243E9A"/>
    <w:rsid w:val="00244371"/>
    <w:rsid w:val="00244994"/>
    <w:rsid w:val="00244A5F"/>
    <w:rsid w:val="00244AF8"/>
    <w:rsid w:val="00244BC5"/>
    <w:rsid w:val="00244E68"/>
    <w:rsid w:val="002456C5"/>
    <w:rsid w:val="00245ABE"/>
    <w:rsid w:val="00245C0B"/>
    <w:rsid w:val="00246772"/>
    <w:rsid w:val="00246EAE"/>
    <w:rsid w:val="00247116"/>
    <w:rsid w:val="002471E5"/>
    <w:rsid w:val="002517A8"/>
    <w:rsid w:val="00251EEE"/>
    <w:rsid w:val="00253177"/>
    <w:rsid w:val="002538B8"/>
    <w:rsid w:val="0025396F"/>
    <w:rsid w:val="00253D46"/>
    <w:rsid w:val="00253D77"/>
    <w:rsid w:val="0025414D"/>
    <w:rsid w:val="00254319"/>
    <w:rsid w:val="0025539F"/>
    <w:rsid w:val="00255C8A"/>
    <w:rsid w:val="00256388"/>
    <w:rsid w:val="00256E44"/>
    <w:rsid w:val="002572EB"/>
    <w:rsid w:val="002577C8"/>
    <w:rsid w:val="00260919"/>
    <w:rsid w:val="002612FD"/>
    <w:rsid w:val="002613DC"/>
    <w:rsid w:val="00261755"/>
    <w:rsid w:val="00261AAA"/>
    <w:rsid w:val="00262097"/>
    <w:rsid w:val="002629CD"/>
    <w:rsid w:val="00262D20"/>
    <w:rsid w:val="002634AB"/>
    <w:rsid w:val="00263820"/>
    <w:rsid w:val="002638E0"/>
    <w:rsid w:val="00263C19"/>
    <w:rsid w:val="00263E9F"/>
    <w:rsid w:val="00264F03"/>
    <w:rsid w:val="00264F8F"/>
    <w:rsid w:val="00265071"/>
    <w:rsid w:val="002655AE"/>
    <w:rsid w:val="0026591F"/>
    <w:rsid w:val="00265A65"/>
    <w:rsid w:val="00265B73"/>
    <w:rsid w:val="002660F0"/>
    <w:rsid w:val="0026694D"/>
    <w:rsid w:val="00266AE9"/>
    <w:rsid w:val="00267417"/>
    <w:rsid w:val="002675B6"/>
    <w:rsid w:val="00267A99"/>
    <w:rsid w:val="00270271"/>
    <w:rsid w:val="00270BD8"/>
    <w:rsid w:val="00271A03"/>
    <w:rsid w:val="00272062"/>
    <w:rsid w:val="00272174"/>
    <w:rsid w:val="002721A6"/>
    <w:rsid w:val="002722E0"/>
    <w:rsid w:val="002730EC"/>
    <w:rsid w:val="00273100"/>
    <w:rsid w:val="002735CC"/>
    <w:rsid w:val="00273F20"/>
    <w:rsid w:val="00274588"/>
    <w:rsid w:val="00274A67"/>
    <w:rsid w:val="00274AA2"/>
    <w:rsid w:val="002756EF"/>
    <w:rsid w:val="00275708"/>
    <w:rsid w:val="002768CF"/>
    <w:rsid w:val="00276D04"/>
    <w:rsid w:val="00276F82"/>
    <w:rsid w:val="002805DF"/>
    <w:rsid w:val="0028092D"/>
    <w:rsid w:val="002815D9"/>
    <w:rsid w:val="00282317"/>
    <w:rsid w:val="00282D25"/>
    <w:rsid w:val="00282DF9"/>
    <w:rsid w:val="00282E75"/>
    <w:rsid w:val="00283204"/>
    <w:rsid w:val="00283A44"/>
    <w:rsid w:val="00283D06"/>
    <w:rsid w:val="0028522B"/>
    <w:rsid w:val="0028529F"/>
    <w:rsid w:val="00285687"/>
    <w:rsid w:val="002857EF"/>
    <w:rsid w:val="00285C3D"/>
    <w:rsid w:val="00286CD9"/>
    <w:rsid w:val="00287649"/>
    <w:rsid w:val="00287DAB"/>
    <w:rsid w:val="00287FB6"/>
    <w:rsid w:val="002900C5"/>
    <w:rsid w:val="002901E0"/>
    <w:rsid w:val="0029075B"/>
    <w:rsid w:val="00290BB1"/>
    <w:rsid w:val="00291944"/>
    <w:rsid w:val="00291BC1"/>
    <w:rsid w:val="00292D8E"/>
    <w:rsid w:val="002933CA"/>
    <w:rsid w:val="00293A8F"/>
    <w:rsid w:val="00295006"/>
    <w:rsid w:val="00295155"/>
    <w:rsid w:val="00295676"/>
    <w:rsid w:val="00295ADB"/>
    <w:rsid w:val="00295AED"/>
    <w:rsid w:val="00295B44"/>
    <w:rsid w:val="00295D31"/>
    <w:rsid w:val="00295D51"/>
    <w:rsid w:val="00296203"/>
    <w:rsid w:val="00296428"/>
    <w:rsid w:val="0029643D"/>
    <w:rsid w:val="00296FB0"/>
    <w:rsid w:val="0029706A"/>
    <w:rsid w:val="002972EE"/>
    <w:rsid w:val="00297F01"/>
    <w:rsid w:val="002A052D"/>
    <w:rsid w:val="002A0DF8"/>
    <w:rsid w:val="002A1920"/>
    <w:rsid w:val="002A1928"/>
    <w:rsid w:val="002A1F1F"/>
    <w:rsid w:val="002A21B5"/>
    <w:rsid w:val="002A23FB"/>
    <w:rsid w:val="002A261F"/>
    <w:rsid w:val="002A2631"/>
    <w:rsid w:val="002A2A0C"/>
    <w:rsid w:val="002A2BB6"/>
    <w:rsid w:val="002A30E0"/>
    <w:rsid w:val="002A310C"/>
    <w:rsid w:val="002A3521"/>
    <w:rsid w:val="002A35C5"/>
    <w:rsid w:val="002A37E1"/>
    <w:rsid w:val="002A3B61"/>
    <w:rsid w:val="002A402A"/>
    <w:rsid w:val="002A45AA"/>
    <w:rsid w:val="002A4988"/>
    <w:rsid w:val="002A4B0B"/>
    <w:rsid w:val="002A4B6F"/>
    <w:rsid w:val="002A4FFF"/>
    <w:rsid w:val="002A533C"/>
    <w:rsid w:val="002A55DB"/>
    <w:rsid w:val="002A56E1"/>
    <w:rsid w:val="002A5858"/>
    <w:rsid w:val="002A59BD"/>
    <w:rsid w:val="002A6A4C"/>
    <w:rsid w:val="002A70D1"/>
    <w:rsid w:val="002A741A"/>
    <w:rsid w:val="002A75CA"/>
    <w:rsid w:val="002A7889"/>
    <w:rsid w:val="002A799A"/>
    <w:rsid w:val="002B0927"/>
    <w:rsid w:val="002B097D"/>
    <w:rsid w:val="002B11B2"/>
    <w:rsid w:val="002B17C5"/>
    <w:rsid w:val="002B18AA"/>
    <w:rsid w:val="002B18F7"/>
    <w:rsid w:val="002B1A97"/>
    <w:rsid w:val="002B1D36"/>
    <w:rsid w:val="002B23E1"/>
    <w:rsid w:val="002B27F3"/>
    <w:rsid w:val="002B3ED7"/>
    <w:rsid w:val="002B4778"/>
    <w:rsid w:val="002B4B6F"/>
    <w:rsid w:val="002B5B7B"/>
    <w:rsid w:val="002B6086"/>
    <w:rsid w:val="002B68FF"/>
    <w:rsid w:val="002B75B2"/>
    <w:rsid w:val="002B79B7"/>
    <w:rsid w:val="002C05CC"/>
    <w:rsid w:val="002C141D"/>
    <w:rsid w:val="002C19C0"/>
    <w:rsid w:val="002C2485"/>
    <w:rsid w:val="002C25E0"/>
    <w:rsid w:val="002C29B2"/>
    <w:rsid w:val="002C2A2D"/>
    <w:rsid w:val="002C33B9"/>
    <w:rsid w:val="002C36C0"/>
    <w:rsid w:val="002C3928"/>
    <w:rsid w:val="002C3B33"/>
    <w:rsid w:val="002C435E"/>
    <w:rsid w:val="002C43BB"/>
    <w:rsid w:val="002C449E"/>
    <w:rsid w:val="002C44AB"/>
    <w:rsid w:val="002C5A98"/>
    <w:rsid w:val="002C5DDD"/>
    <w:rsid w:val="002C5E39"/>
    <w:rsid w:val="002C5FA2"/>
    <w:rsid w:val="002C62C5"/>
    <w:rsid w:val="002C68AD"/>
    <w:rsid w:val="002C766D"/>
    <w:rsid w:val="002C7A02"/>
    <w:rsid w:val="002C7BD4"/>
    <w:rsid w:val="002C7F68"/>
    <w:rsid w:val="002D0107"/>
    <w:rsid w:val="002D062E"/>
    <w:rsid w:val="002D0D43"/>
    <w:rsid w:val="002D15C2"/>
    <w:rsid w:val="002D17E1"/>
    <w:rsid w:val="002D1D78"/>
    <w:rsid w:val="002D2102"/>
    <w:rsid w:val="002D253A"/>
    <w:rsid w:val="002D2B10"/>
    <w:rsid w:val="002D386A"/>
    <w:rsid w:val="002D4100"/>
    <w:rsid w:val="002D477F"/>
    <w:rsid w:val="002D4DF8"/>
    <w:rsid w:val="002D4F48"/>
    <w:rsid w:val="002D519B"/>
    <w:rsid w:val="002D548F"/>
    <w:rsid w:val="002D54AC"/>
    <w:rsid w:val="002D621E"/>
    <w:rsid w:val="002D6360"/>
    <w:rsid w:val="002D66DA"/>
    <w:rsid w:val="002D7027"/>
    <w:rsid w:val="002D70DC"/>
    <w:rsid w:val="002D758B"/>
    <w:rsid w:val="002D79BC"/>
    <w:rsid w:val="002D7E58"/>
    <w:rsid w:val="002E0D31"/>
    <w:rsid w:val="002E0EFA"/>
    <w:rsid w:val="002E1073"/>
    <w:rsid w:val="002E12EC"/>
    <w:rsid w:val="002E146D"/>
    <w:rsid w:val="002E1803"/>
    <w:rsid w:val="002E272B"/>
    <w:rsid w:val="002E29F8"/>
    <w:rsid w:val="002E2C52"/>
    <w:rsid w:val="002E3184"/>
    <w:rsid w:val="002E342B"/>
    <w:rsid w:val="002E3B81"/>
    <w:rsid w:val="002E3D08"/>
    <w:rsid w:val="002E3E1D"/>
    <w:rsid w:val="002E3EEA"/>
    <w:rsid w:val="002E43DE"/>
    <w:rsid w:val="002E4D08"/>
    <w:rsid w:val="002E4DA5"/>
    <w:rsid w:val="002E52B8"/>
    <w:rsid w:val="002E5DBF"/>
    <w:rsid w:val="002E5E01"/>
    <w:rsid w:val="002E60F5"/>
    <w:rsid w:val="002E6536"/>
    <w:rsid w:val="002E69F5"/>
    <w:rsid w:val="002E6CAA"/>
    <w:rsid w:val="002E73EC"/>
    <w:rsid w:val="002F023D"/>
    <w:rsid w:val="002F0B36"/>
    <w:rsid w:val="002F0DA3"/>
    <w:rsid w:val="002F10EC"/>
    <w:rsid w:val="002F1136"/>
    <w:rsid w:val="002F1231"/>
    <w:rsid w:val="002F135C"/>
    <w:rsid w:val="002F1521"/>
    <w:rsid w:val="002F15EE"/>
    <w:rsid w:val="002F2376"/>
    <w:rsid w:val="002F3632"/>
    <w:rsid w:val="002F366F"/>
    <w:rsid w:val="002F3AFB"/>
    <w:rsid w:val="002F3C41"/>
    <w:rsid w:val="002F3E37"/>
    <w:rsid w:val="002F440A"/>
    <w:rsid w:val="002F4C8E"/>
    <w:rsid w:val="002F5076"/>
    <w:rsid w:val="002F50BC"/>
    <w:rsid w:val="002F5839"/>
    <w:rsid w:val="002F5DC6"/>
    <w:rsid w:val="002F64D9"/>
    <w:rsid w:val="002F651D"/>
    <w:rsid w:val="002F6648"/>
    <w:rsid w:val="002F6E44"/>
    <w:rsid w:val="002F74FD"/>
    <w:rsid w:val="002F787B"/>
    <w:rsid w:val="002F7974"/>
    <w:rsid w:val="002F7D01"/>
    <w:rsid w:val="0030005C"/>
    <w:rsid w:val="00300369"/>
    <w:rsid w:val="003015FA"/>
    <w:rsid w:val="00301D0A"/>
    <w:rsid w:val="003027B8"/>
    <w:rsid w:val="0030293F"/>
    <w:rsid w:val="00302947"/>
    <w:rsid w:val="00302C50"/>
    <w:rsid w:val="003031C2"/>
    <w:rsid w:val="003036CB"/>
    <w:rsid w:val="00303861"/>
    <w:rsid w:val="00303F1D"/>
    <w:rsid w:val="0030478E"/>
    <w:rsid w:val="00304FFF"/>
    <w:rsid w:val="00305557"/>
    <w:rsid w:val="0030561F"/>
    <w:rsid w:val="00305CA3"/>
    <w:rsid w:val="00305EE4"/>
    <w:rsid w:val="003067EC"/>
    <w:rsid w:val="00306E5C"/>
    <w:rsid w:val="0030748C"/>
    <w:rsid w:val="003078CB"/>
    <w:rsid w:val="00307C19"/>
    <w:rsid w:val="00310732"/>
    <w:rsid w:val="0031088C"/>
    <w:rsid w:val="00310BC9"/>
    <w:rsid w:val="00311762"/>
    <w:rsid w:val="00311E98"/>
    <w:rsid w:val="00312215"/>
    <w:rsid w:val="0031243A"/>
    <w:rsid w:val="0031249C"/>
    <w:rsid w:val="003125C3"/>
    <w:rsid w:val="00312896"/>
    <w:rsid w:val="00313243"/>
    <w:rsid w:val="00313CF6"/>
    <w:rsid w:val="00313EAC"/>
    <w:rsid w:val="003142F4"/>
    <w:rsid w:val="0031454E"/>
    <w:rsid w:val="00315341"/>
    <w:rsid w:val="0031611F"/>
    <w:rsid w:val="0031616C"/>
    <w:rsid w:val="00317A33"/>
    <w:rsid w:val="00320027"/>
    <w:rsid w:val="00320339"/>
    <w:rsid w:val="00320F2A"/>
    <w:rsid w:val="00321214"/>
    <w:rsid w:val="003213D5"/>
    <w:rsid w:val="003213EF"/>
    <w:rsid w:val="00322E31"/>
    <w:rsid w:val="00323737"/>
    <w:rsid w:val="00323AD6"/>
    <w:rsid w:val="00323F27"/>
    <w:rsid w:val="003242EF"/>
    <w:rsid w:val="003244ED"/>
    <w:rsid w:val="00325339"/>
    <w:rsid w:val="003255AA"/>
    <w:rsid w:val="00325F37"/>
    <w:rsid w:val="003306DA"/>
    <w:rsid w:val="00330A8B"/>
    <w:rsid w:val="00331234"/>
    <w:rsid w:val="003314B6"/>
    <w:rsid w:val="00331A20"/>
    <w:rsid w:val="00331E65"/>
    <w:rsid w:val="0033210E"/>
    <w:rsid w:val="00333107"/>
    <w:rsid w:val="0033343B"/>
    <w:rsid w:val="0033393C"/>
    <w:rsid w:val="003357EE"/>
    <w:rsid w:val="00337368"/>
    <w:rsid w:val="00337B4D"/>
    <w:rsid w:val="00337D1A"/>
    <w:rsid w:val="00340330"/>
    <w:rsid w:val="003407A9"/>
    <w:rsid w:val="00340BA3"/>
    <w:rsid w:val="00340BAF"/>
    <w:rsid w:val="00340C2B"/>
    <w:rsid w:val="00340F9A"/>
    <w:rsid w:val="00341018"/>
    <w:rsid w:val="003416C5"/>
    <w:rsid w:val="00341723"/>
    <w:rsid w:val="003420D9"/>
    <w:rsid w:val="003423E0"/>
    <w:rsid w:val="0034301A"/>
    <w:rsid w:val="0034348D"/>
    <w:rsid w:val="00343D76"/>
    <w:rsid w:val="00344DFD"/>
    <w:rsid w:val="003451D3"/>
    <w:rsid w:val="00345241"/>
    <w:rsid w:val="003460CE"/>
    <w:rsid w:val="00346262"/>
    <w:rsid w:val="0034654F"/>
    <w:rsid w:val="00346631"/>
    <w:rsid w:val="00346AAD"/>
    <w:rsid w:val="00346D96"/>
    <w:rsid w:val="0034736A"/>
    <w:rsid w:val="0034747C"/>
    <w:rsid w:val="00347482"/>
    <w:rsid w:val="00347B6C"/>
    <w:rsid w:val="003508BB"/>
    <w:rsid w:val="00350E99"/>
    <w:rsid w:val="0035151C"/>
    <w:rsid w:val="00351FCB"/>
    <w:rsid w:val="00352254"/>
    <w:rsid w:val="003522A3"/>
    <w:rsid w:val="00352556"/>
    <w:rsid w:val="00353929"/>
    <w:rsid w:val="00353F9E"/>
    <w:rsid w:val="003540D1"/>
    <w:rsid w:val="003545BF"/>
    <w:rsid w:val="0035586A"/>
    <w:rsid w:val="00355C54"/>
    <w:rsid w:val="0035611A"/>
    <w:rsid w:val="00356C3D"/>
    <w:rsid w:val="00360B75"/>
    <w:rsid w:val="0036151C"/>
    <w:rsid w:val="00361A9B"/>
    <w:rsid w:val="00362506"/>
    <w:rsid w:val="0036271F"/>
    <w:rsid w:val="00362CCF"/>
    <w:rsid w:val="003631DB"/>
    <w:rsid w:val="00363604"/>
    <w:rsid w:val="0036448B"/>
    <w:rsid w:val="00364524"/>
    <w:rsid w:val="00364BBC"/>
    <w:rsid w:val="0036513A"/>
    <w:rsid w:val="003651DA"/>
    <w:rsid w:val="00365237"/>
    <w:rsid w:val="0036559C"/>
    <w:rsid w:val="00365816"/>
    <w:rsid w:val="0036587E"/>
    <w:rsid w:val="003660CD"/>
    <w:rsid w:val="00366AC2"/>
    <w:rsid w:val="00366B08"/>
    <w:rsid w:val="00367496"/>
    <w:rsid w:val="003678BE"/>
    <w:rsid w:val="003700F8"/>
    <w:rsid w:val="00370949"/>
    <w:rsid w:val="00371B9D"/>
    <w:rsid w:val="00371E2D"/>
    <w:rsid w:val="0037243B"/>
    <w:rsid w:val="0037251C"/>
    <w:rsid w:val="0037272C"/>
    <w:rsid w:val="00372B9A"/>
    <w:rsid w:val="003731BF"/>
    <w:rsid w:val="00375287"/>
    <w:rsid w:val="00375791"/>
    <w:rsid w:val="00375826"/>
    <w:rsid w:val="00375994"/>
    <w:rsid w:val="00375C59"/>
    <w:rsid w:val="00375E05"/>
    <w:rsid w:val="003764E0"/>
    <w:rsid w:val="00376BB7"/>
    <w:rsid w:val="00376E52"/>
    <w:rsid w:val="00376EEE"/>
    <w:rsid w:val="00377BA1"/>
    <w:rsid w:val="00377FF0"/>
    <w:rsid w:val="0038032D"/>
    <w:rsid w:val="00380616"/>
    <w:rsid w:val="00381022"/>
    <w:rsid w:val="003814B8"/>
    <w:rsid w:val="00382909"/>
    <w:rsid w:val="00382EE1"/>
    <w:rsid w:val="00383441"/>
    <w:rsid w:val="00384258"/>
    <w:rsid w:val="00384A82"/>
    <w:rsid w:val="00384C83"/>
    <w:rsid w:val="00385131"/>
    <w:rsid w:val="00385774"/>
    <w:rsid w:val="0038620B"/>
    <w:rsid w:val="00386701"/>
    <w:rsid w:val="00387647"/>
    <w:rsid w:val="0038791A"/>
    <w:rsid w:val="00390056"/>
    <w:rsid w:val="0039055C"/>
    <w:rsid w:val="00390718"/>
    <w:rsid w:val="00390767"/>
    <w:rsid w:val="00390883"/>
    <w:rsid w:val="003911D5"/>
    <w:rsid w:val="00391470"/>
    <w:rsid w:val="003920C4"/>
    <w:rsid w:val="00392184"/>
    <w:rsid w:val="00392652"/>
    <w:rsid w:val="00392B41"/>
    <w:rsid w:val="003939C8"/>
    <w:rsid w:val="00394372"/>
    <w:rsid w:val="0039456F"/>
    <w:rsid w:val="003945C8"/>
    <w:rsid w:val="0039480D"/>
    <w:rsid w:val="00395446"/>
    <w:rsid w:val="00396725"/>
    <w:rsid w:val="00397A28"/>
    <w:rsid w:val="00397E94"/>
    <w:rsid w:val="00397F05"/>
    <w:rsid w:val="003A0187"/>
    <w:rsid w:val="003A0442"/>
    <w:rsid w:val="003A0899"/>
    <w:rsid w:val="003A11F3"/>
    <w:rsid w:val="003A1512"/>
    <w:rsid w:val="003A1EB7"/>
    <w:rsid w:val="003A23F3"/>
    <w:rsid w:val="003A24EB"/>
    <w:rsid w:val="003A2D82"/>
    <w:rsid w:val="003A337C"/>
    <w:rsid w:val="003A36DA"/>
    <w:rsid w:val="003A38F1"/>
    <w:rsid w:val="003A3D1B"/>
    <w:rsid w:val="003A3F39"/>
    <w:rsid w:val="003A4296"/>
    <w:rsid w:val="003A4549"/>
    <w:rsid w:val="003A49B3"/>
    <w:rsid w:val="003A55B4"/>
    <w:rsid w:val="003A61B6"/>
    <w:rsid w:val="003A623F"/>
    <w:rsid w:val="003A71AD"/>
    <w:rsid w:val="003A765D"/>
    <w:rsid w:val="003A7D1D"/>
    <w:rsid w:val="003B1688"/>
    <w:rsid w:val="003B1896"/>
    <w:rsid w:val="003B1FA4"/>
    <w:rsid w:val="003B1FE6"/>
    <w:rsid w:val="003B2939"/>
    <w:rsid w:val="003B2EBA"/>
    <w:rsid w:val="003B3106"/>
    <w:rsid w:val="003B3974"/>
    <w:rsid w:val="003B39E0"/>
    <w:rsid w:val="003B3DAB"/>
    <w:rsid w:val="003B404D"/>
    <w:rsid w:val="003B4B34"/>
    <w:rsid w:val="003B4CDA"/>
    <w:rsid w:val="003B4F2D"/>
    <w:rsid w:val="003B5002"/>
    <w:rsid w:val="003B5B7C"/>
    <w:rsid w:val="003B5BD9"/>
    <w:rsid w:val="003B64A3"/>
    <w:rsid w:val="003B6DB8"/>
    <w:rsid w:val="003B72B9"/>
    <w:rsid w:val="003C0887"/>
    <w:rsid w:val="003C08AF"/>
    <w:rsid w:val="003C1E17"/>
    <w:rsid w:val="003C2EDD"/>
    <w:rsid w:val="003C3220"/>
    <w:rsid w:val="003C32BB"/>
    <w:rsid w:val="003C3A47"/>
    <w:rsid w:val="003C3A79"/>
    <w:rsid w:val="003C48F2"/>
    <w:rsid w:val="003C5177"/>
    <w:rsid w:val="003C52B0"/>
    <w:rsid w:val="003C5531"/>
    <w:rsid w:val="003C5911"/>
    <w:rsid w:val="003C5CDB"/>
    <w:rsid w:val="003C6465"/>
    <w:rsid w:val="003C65E4"/>
    <w:rsid w:val="003C7712"/>
    <w:rsid w:val="003C7862"/>
    <w:rsid w:val="003C7ECD"/>
    <w:rsid w:val="003D007D"/>
    <w:rsid w:val="003D01A1"/>
    <w:rsid w:val="003D04D6"/>
    <w:rsid w:val="003D04F6"/>
    <w:rsid w:val="003D05B8"/>
    <w:rsid w:val="003D087D"/>
    <w:rsid w:val="003D18CC"/>
    <w:rsid w:val="003D3583"/>
    <w:rsid w:val="003D391E"/>
    <w:rsid w:val="003D3B6F"/>
    <w:rsid w:val="003D40E8"/>
    <w:rsid w:val="003D455E"/>
    <w:rsid w:val="003D4F1A"/>
    <w:rsid w:val="003D5785"/>
    <w:rsid w:val="003D595D"/>
    <w:rsid w:val="003D5A2D"/>
    <w:rsid w:val="003D5A9D"/>
    <w:rsid w:val="003D5D7B"/>
    <w:rsid w:val="003D5ED7"/>
    <w:rsid w:val="003D62C0"/>
    <w:rsid w:val="003D65F6"/>
    <w:rsid w:val="003D6783"/>
    <w:rsid w:val="003D6911"/>
    <w:rsid w:val="003D6A89"/>
    <w:rsid w:val="003D7C14"/>
    <w:rsid w:val="003D7E4B"/>
    <w:rsid w:val="003E0035"/>
    <w:rsid w:val="003E0AEC"/>
    <w:rsid w:val="003E0C14"/>
    <w:rsid w:val="003E0D6F"/>
    <w:rsid w:val="003E10D8"/>
    <w:rsid w:val="003E1591"/>
    <w:rsid w:val="003E1ACF"/>
    <w:rsid w:val="003E216C"/>
    <w:rsid w:val="003E236E"/>
    <w:rsid w:val="003E259D"/>
    <w:rsid w:val="003E26BA"/>
    <w:rsid w:val="003E2906"/>
    <w:rsid w:val="003E2969"/>
    <w:rsid w:val="003E2C1A"/>
    <w:rsid w:val="003E330F"/>
    <w:rsid w:val="003E3478"/>
    <w:rsid w:val="003E3F90"/>
    <w:rsid w:val="003E4E74"/>
    <w:rsid w:val="003E5233"/>
    <w:rsid w:val="003E58AE"/>
    <w:rsid w:val="003E5F7D"/>
    <w:rsid w:val="003E6520"/>
    <w:rsid w:val="003E67E7"/>
    <w:rsid w:val="003E6B25"/>
    <w:rsid w:val="003E6B3C"/>
    <w:rsid w:val="003E6B95"/>
    <w:rsid w:val="003E702C"/>
    <w:rsid w:val="003E70FF"/>
    <w:rsid w:val="003E7F1B"/>
    <w:rsid w:val="003F0B41"/>
    <w:rsid w:val="003F1E39"/>
    <w:rsid w:val="003F229D"/>
    <w:rsid w:val="003F25F0"/>
    <w:rsid w:val="003F2C83"/>
    <w:rsid w:val="003F2D5B"/>
    <w:rsid w:val="003F39DA"/>
    <w:rsid w:val="003F496C"/>
    <w:rsid w:val="003F5AD2"/>
    <w:rsid w:val="003F5CA4"/>
    <w:rsid w:val="003F5D85"/>
    <w:rsid w:val="003F66AB"/>
    <w:rsid w:val="003F6D50"/>
    <w:rsid w:val="003F7006"/>
    <w:rsid w:val="003F7507"/>
    <w:rsid w:val="003F7C72"/>
    <w:rsid w:val="003F7D10"/>
    <w:rsid w:val="00400B49"/>
    <w:rsid w:val="00401000"/>
    <w:rsid w:val="00401158"/>
    <w:rsid w:val="004016C6"/>
    <w:rsid w:val="0040179A"/>
    <w:rsid w:val="00401856"/>
    <w:rsid w:val="0040279B"/>
    <w:rsid w:val="004028A2"/>
    <w:rsid w:val="00402FEB"/>
    <w:rsid w:val="0040306B"/>
    <w:rsid w:val="00403344"/>
    <w:rsid w:val="00403C82"/>
    <w:rsid w:val="00403EC1"/>
    <w:rsid w:val="00404C44"/>
    <w:rsid w:val="00404EE8"/>
    <w:rsid w:val="0040510D"/>
    <w:rsid w:val="0040512D"/>
    <w:rsid w:val="004052B9"/>
    <w:rsid w:val="0040602F"/>
    <w:rsid w:val="00406190"/>
    <w:rsid w:val="00406AFB"/>
    <w:rsid w:val="00407382"/>
    <w:rsid w:val="0040791B"/>
    <w:rsid w:val="00410C4C"/>
    <w:rsid w:val="00411958"/>
    <w:rsid w:val="00411B2A"/>
    <w:rsid w:val="00412973"/>
    <w:rsid w:val="00412D42"/>
    <w:rsid w:val="00412DA4"/>
    <w:rsid w:val="00412EB6"/>
    <w:rsid w:val="00412F2A"/>
    <w:rsid w:val="0041351F"/>
    <w:rsid w:val="004137C8"/>
    <w:rsid w:val="00413BF9"/>
    <w:rsid w:val="00413C25"/>
    <w:rsid w:val="00415531"/>
    <w:rsid w:val="00416330"/>
    <w:rsid w:val="004176C7"/>
    <w:rsid w:val="00417877"/>
    <w:rsid w:val="00417D9F"/>
    <w:rsid w:val="00420229"/>
    <w:rsid w:val="00420DBA"/>
    <w:rsid w:val="00421019"/>
    <w:rsid w:val="00421311"/>
    <w:rsid w:val="00422E13"/>
    <w:rsid w:val="0042350F"/>
    <w:rsid w:val="00423599"/>
    <w:rsid w:val="0042384C"/>
    <w:rsid w:val="00423893"/>
    <w:rsid w:val="00423BC9"/>
    <w:rsid w:val="00424E52"/>
    <w:rsid w:val="004255B4"/>
    <w:rsid w:val="00426766"/>
    <w:rsid w:val="004267D0"/>
    <w:rsid w:val="00426DD2"/>
    <w:rsid w:val="004279CA"/>
    <w:rsid w:val="00427A82"/>
    <w:rsid w:val="00427EA2"/>
    <w:rsid w:val="00430115"/>
    <w:rsid w:val="00430A4B"/>
    <w:rsid w:val="00431C46"/>
    <w:rsid w:val="004327E6"/>
    <w:rsid w:val="004329DC"/>
    <w:rsid w:val="00432AC6"/>
    <w:rsid w:val="004334B6"/>
    <w:rsid w:val="004335C0"/>
    <w:rsid w:val="004340A1"/>
    <w:rsid w:val="0043423F"/>
    <w:rsid w:val="00434C5E"/>
    <w:rsid w:val="00435250"/>
    <w:rsid w:val="00435765"/>
    <w:rsid w:val="004360B6"/>
    <w:rsid w:val="004362E2"/>
    <w:rsid w:val="004362E5"/>
    <w:rsid w:val="00436356"/>
    <w:rsid w:val="00436661"/>
    <w:rsid w:val="00440722"/>
    <w:rsid w:val="00440BE4"/>
    <w:rsid w:val="0044159F"/>
    <w:rsid w:val="00441E3C"/>
    <w:rsid w:val="0044235D"/>
    <w:rsid w:val="004425D9"/>
    <w:rsid w:val="00442C02"/>
    <w:rsid w:val="00443244"/>
    <w:rsid w:val="00444AF6"/>
    <w:rsid w:val="0044519D"/>
    <w:rsid w:val="00445544"/>
    <w:rsid w:val="004458EC"/>
    <w:rsid w:val="00445C0B"/>
    <w:rsid w:val="00446195"/>
    <w:rsid w:val="00447B34"/>
    <w:rsid w:val="00447CD0"/>
    <w:rsid w:val="00447FC2"/>
    <w:rsid w:val="00450235"/>
    <w:rsid w:val="004502F4"/>
    <w:rsid w:val="004506F4"/>
    <w:rsid w:val="004509D1"/>
    <w:rsid w:val="00450A42"/>
    <w:rsid w:val="00450C67"/>
    <w:rsid w:val="004513A5"/>
    <w:rsid w:val="00451D50"/>
    <w:rsid w:val="0045273D"/>
    <w:rsid w:val="004527B0"/>
    <w:rsid w:val="00452EC4"/>
    <w:rsid w:val="00453340"/>
    <w:rsid w:val="00453775"/>
    <w:rsid w:val="00453890"/>
    <w:rsid w:val="00454099"/>
    <w:rsid w:val="00454380"/>
    <w:rsid w:val="0045470C"/>
    <w:rsid w:val="00455028"/>
    <w:rsid w:val="004552C8"/>
    <w:rsid w:val="0045536C"/>
    <w:rsid w:val="00455A07"/>
    <w:rsid w:val="00455AEB"/>
    <w:rsid w:val="0045603C"/>
    <w:rsid w:val="00456053"/>
    <w:rsid w:val="00456068"/>
    <w:rsid w:val="00456896"/>
    <w:rsid w:val="00456ADA"/>
    <w:rsid w:val="00456B0D"/>
    <w:rsid w:val="00457135"/>
    <w:rsid w:val="0045770D"/>
    <w:rsid w:val="0045790F"/>
    <w:rsid w:val="00457D63"/>
    <w:rsid w:val="00457E21"/>
    <w:rsid w:val="0046007E"/>
    <w:rsid w:val="0046024B"/>
    <w:rsid w:val="00460E36"/>
    <w:rsid w:val="00461155"/>
    <w:rsid w:val="00461EDB"/>
    <w:rsid w:val="0046218C"/>
    <w:rsid w:val="004623D4"/>
    <w:rsid w:val="00462C4D"/>
    <w:rsid w:val="00463944"/>
    <w:rsid w:val="00463E4F"/>
    <w:rsid w:val="0046512A"/>
    <w:rsid w:val="00465234"/>
    <w:rsid w:val="0046593F"/>
    <w:rsid w:val="00465A4A"/>
    <w:rsid w:val="00465B24"/>
    <w:rsid w:val="00466858"/>
    <w:rsid w:val="00466D0F"/>
    <w:rsid w:val="00467544"/>
    <w:rsid w:val="004676BA"/>
    <w:rsid w:val="0046784C"/>
    <w:rsid w:val="00467ECB"/>
    <w:rsid w:val="0047085D"/>
    <w:rsid w:val="00470C7D"/>
    <w:rsid w:val="004710C3"/>
    <w:rsid w:val="00471459"/>
    <w:rsid w:val="00472274"/>
    <w:rsid w:val="004722D4"/>
    <w:rsid w:val="004728F7"/>
    <w:rsid w:val="00472AD0"/>
    <w:rsid w:val="00472D9C"/>
    <w:rsid w:val="00473B60"/>
    <w:rsid w:val="00474AD8"/>
    <w:rsid w:val="00474FE9"/>
    <w:rsid w:val="00475AFF"/>
    <w:rsid w:val="00475D30"/>
    <w:rsid w:val="00476233"/>
    <w:rsid w:val="004765F4"/>
    <w:rsid w:val="004767E3"/>
    <w:rsid w:val="00476B4D"/>
    <w:rsid w:val="00476CBC"/>
    <w:rsid w:val="00476E6C"/>
    <w:rsid w:val="00477282"/>
    <w:rsid w:val="00477947"/>
    <w:rsid w:val="00480FA1"/>
    <w:rsid w:val="0048135A"/>
    <w:rsid w:val="00481555"/>
    <w:rsid w:val="00481FD7"/>
    <w:rsid w:val="00482A6D"/>
    <w:rsid w:val="00482DE5"/>
    <w:rsid w:val="00483266"/>
    <w:rsid w:val="0048352E"/>
    <w:rsid w:val="004836A9"/>
    <w:rsid w:val="00483B23"/>
    <w:rsid w:val="004840D7"/>
    <w:rsid w:val="004846F4"/>
    <w:rsid w:val="004854E8"/>
    <w:rsid w:val="00485C26"/>
    <w:rsid w:val="00485EC0"/>
    <w:rsid w:val="004875E1"/>
    <w:rsid w:val="00487B37"/>
    <w:rsid w:val="00487EBE"/>
    <w:rsid w:val="00490636"/>
    <w:rsid w:val="00490FF0"/>
    <w:rsid w:val="004910FE"/>
    <w:rsid w:val="00491198"/>
    <w:rsid w:val="004917E0"/>
    <w:rsid w:val="00491BF6"/>
    <w:rsid w:val="00491FED"/>
    <w:rsid w:val="00492F82"/>
    <w:rsid w:val="004943A5"/>
    <w:rsid w:val="004943C2"/>
    <w:rsid w:val="00494918"/>
    <w:rsid w:val="00494C65"/>
    <w:rsid w:val="00494F0C"/>
    <w:rsid w:val="00495557"/>
    <w:rsid w:val="0049618D"/>
    <w:rsid w:val="004965EF"/>
    <w:rsid w:val="0049719D"/>
    <w:rsid w:val="00497FCD"/>
    <w:rsid w:val="004A095C"/>
    <w:rsid w:val="004A0D1E"/>
    <w:rsid w:val="004A0E66"/>
    <w:rsid w:val="004A0EEC"/>
    <w:rsid w:val="004A130F"/>
    <w:rsid w:val="004A17EF"/>
    <w:rsid w:val="004A1BDA"/>
    <w:rsid w:val="004A22DA"/>
    <w:rsid w:val="004A2700"/>
    <w:rsid w:val="004A2A8F"/>
    <w:rsid w:val="004A36C8"/>
    <w:rsid w:val="004A3721"/>
    <w:rsid w:val="004A3742"/>
    <w:rsid w:val="004A37B8"/>
    <w:rsid w:val="004A3CC2"/>
    <w:rsid w:val="004A3ED3"/>
    <w:rsid w:val="004A47BC"/>
    <w:rsid w:val="004A4AC6"/>
    <w:rsid w:val="004A5003"/>
    <w:rsid w:val="004A563B"/>
    <w:rsid w:val="004A7FAE"/>
    <w:rsid w:val="004B1199"/>
    <w:rsid w:val="004B16C4"/>
    <w:rsid w:val="004B1867"/>
    <w:rsid w:val="004B2A64"/>
    <w:rsid w:val="004B3F31"/>
    <w:rsid w:val="004B3FF5"/>
    <w:rsid w:val="004B41DA"/>
    <w:rsid w:val="004B470D"/>
    <w:rsid w:val="004B4764"/>
    <w:rsid w:val="004B4846"/>
    <w:rsid w:val="004B5394"/>
    <w:rsid w:val="004B575B"/>
    <w:rsid w:val="004B5BDD"/>
    <w:rsid w:val="004B6E9E"/>
    <w:rsid w:val="004B6F83"/>
    <w:rsid w:val="004B7331"/>
    <w:rsid w:val="004B7C29"/>
    <w:rsid w:val="004C0058"/>
    <w:rsid w:val="004C06E5"/>
    <w:rsid w:val="004C1B7D"/>
    <w:rsid w:val="004C1E3C"/>
    <w:rsid w:val="004C25F0"/>
    <w:rsid w:val="004C26DD"/>
    <w:rsid w:val="004C2B5D"/>
    <w:rsid w:val="004C2D68"/>
    <w:rsid w:val="004C2F56"/>
    <w:rsid w:val="004C339D"/>
    <w:rsid w:val="004C33E8"/>
    <w:rsid w:val="004C3DF1"/>
    <w:rsid w:val="004C4307"/>
    <w:rsid w:val="004C4309"/>
    <w:rsid w:val="004C434F"/>
    <w:rsid w:val="004C49E3"/>
    <w:rsid w:val="004C4E8A"/>
    <w:rsid w:val="004C514A"/>
    <w:rsid w:val="004C539B"/>
    <w:rsid w:val="004C645A"/>
    <w:rsid w:val="004C6572"/>
    <w:rsid w:val="004C67CC"/>
    <w:rsid w:val="004C6AA0"/>
    <w:rsid w:val="004C6D4F"/>
    <w:rsid w:val="004C7541"/>
    <w:rsid w:val="004C7E6F"/>
    <w:rsid w:val="004D0300"/>
    <w:rsid w:val="004D0875"/>
    <w:rsid w:val="004D178F"/>
    <w:rsid w:val="004D1E71"/>
    <w:rsid w:val="004D2974"/>
    <w:rsid w:val="004D2CDF"/>
    <w:rsid w:val="004D33CE"/>
    <w:rsid w:val="004D35A7"/>
    <w:rsid w:val="004D3BA0"/>
    <w:rsid w:val="004D41EE"/>
    <w:rsid w:val="004D4AAE"/>
    <w:rsid w:val="004D510A"/>
    <w:rsid w:val="004D7C86"/>
    <w:rsid w:val="004E0197"/>
    <w:rsid w:val="004E09DA"/>
    <w:rsid w:val="004E0CE5"/>
    <w:rsid w:val="004E105F"/>
    <w:rsid w:val="004E1122"/>
    <w:rsid w:val="004E1409"/>
    <w:rsid w:val="004E1A87"/>
    <w:rsid w:val="004E1BB0"/>
    <w:rsid w:val="004E3030"/>
    <w:rsid w:val="004E3311"/>
    <w:rsid w:val="004E38EC"/>
    <w:rsid w:val="004E3933"/>
    <w:rsid w:val="004E43E0"/>
    <w:rsid w:val="004E4549"/>
    <w:rsid w:val="004E4C83"/>
    <w:rsid w:val="004E4D53"/>
    <w:rsid w:val="004E4D84"/>
    <w:rsid w:val="004E4EBC"/>
    <w:rsid w:val="004E5104"/>
    <w:rsid w:val="004E5B06"/>
    <w:rsid w:val="004E5FA8"/>
    <w:rsid w:val="004E684C"/>
    <w:rsid w:val="004E6FF1"/>
    <w:rsid w:val="004E76DB"/>
    <w:rsid w:val="004E76F4"/>
    <w:rsid w:val="004E77B3"/>
    <w:rsid w:val="004E7FB9"/>
    <w:rsid w:val="004F0A4A"/>
    <w:rsid w:val="004F17A4"/>
    <w:rsid w:val="004F1EEF"/>
    <w:rsid w:val="004F1F90"/>
    <w:rsid w:val="004F2050"/>
    <w:rsid w:val="004F2380"/>
    <w:rsid w:val="004F2401"/>
    <w:rsid w:val="004F2A44"/>
    <w:rsid w:val="004F2DAD"/>
    <w:rsid w:val="004F34F7"/>
    <w:rsid w:val="004F49F4"/>
    <w:rsid w:val="004F55D6"/>
    <w:rsid w:val="004F565A"/>
    <w:rsid w:val="004F571B"/>
    <w:rsid w:val="004F64EB"/>
    <w:rsid w:val="004F7A74"/>
    <w:rsid w:val="00500250"/>
    <w:rsid w:val="00500264"/>
    <w:rsid w:val="00500824"/>
    <w:rsid w:val="00500DAB"/>
    <w:rsid w:val="00501144"/>
    <w:rsid w:val="005013EF"/>
    <w:rsid w:val="005019E0"/>
    <w:rsid w:val="00501FB7"/>
    <w:rsid w:val="0050211F"/>
    <w:rsid w:val="005022E7"/>
    <w:rsid w:val="00502A93"/>
    <w:rsid w:val="005038FF"/>
    <w:rsid w:val="005057DB"/>
    <w:rsid w:val="00505B00"/>
    <w:rsid w:val="00506083"/>
    <w:rsid w:val="005068D6"/>
    <w:rsid w:val="00506B86"/>
    <w:rsid w:val="00506EEC"/>
    <w:rsid w:val="00506FD4"/>
    <w:rsid w:val="00506FDF"/>
    <w:rsid w:val="005107E3"/>
    <w:rsid w:val="005107FF"/>
    <w:rsid w:val="00510CBC"/>
    <w:rsid w:val="00510D91"/>
    <w:rsid w:val="0051102D"/>
    <w:rsid w:val="005112A5"/>
    <w:rsid w:val="00511F48"/>
    <w:rsid w:val="00512448"/>
    <w:rsid w:val="0051253A"/>
    <w:rsid w:val="0051266C"/>
    <w:rsid w:val="005126A8"/>
    <w:rsid w:val="00512F11"/>
    <w:rsid w:val="00513B72"/>
    <w:rsid w:val="00513FF6"/>
    <w:rsid w:val="00515277"/>
    <w:rsid w:val="00515794"/>
    <w:rsid w:val="005158C2"/>
    <w:rsid w:val="00515A7F"/>
    <w:rsid w:val="005169DE"/>
    <w:rsid w:val="0051754D"/>
    <w:rsid w:val="0051785D"/>
    <w:rsid w:val="00517913"/>
    <w:rsid w:val="0051798C"/>
    <w:rsid w:val="0052005F"/>
    <w:rsid w:val="00520200"/>
    <w:rsid w:val="00520E2D"/>
    <w:rsid w:val="00520F04"/>
    <w:rsid w:val="00521717"/>
    <w:rsid w:val="00521E23"/>
    <w:rsid w:val="005224B2"/>
    <w:rsid w:val="00522FAB"/>
    <w:rsid w:val="005231AF"/>
    <w:rsid w:val="005232C7"/>
    <w:rsid w:val="00523B23"/>
    <w:rsid w:val="00523C15"/>
    <w:rsid w:val="00523DFA"/>
    <w:rsid w:val="0052468F"/>
    <w:rsid w:val="005254BC"/>
    <w:rsid w:val="005256FC"/>
    <w:rsid w:val="00526C27"/>
    <w:rsid w:val="00526DFF"/>
    <w:rsid w:val="00527473"/>
    <w:rsid w:val="00527EF9"/>
    <w:rsid w:val="005305FF"/>
    <w:rsid w:val="00530C9B"/>
    <w:rsid w:val="00531AD4"/>
    <w:rsid w:val="0053201E"/>
    <w:rsid w:val="00532334"/>
    <w:rsid w:val="005324AF"/>
    <w:rsid w:val="00532F83"/>
    <w:rsid w:val="00533902"/>
    <w:rsid w:val="0053402C"/>
    <w:rsid w:val="00534090"/>
    <w:rsid w:val="00534434"/>
    <w:rsid w:val="00534ABA"/>
    <w:rsid w:val="00535373"/>
    <w:rsid w:val="00535C86"/>
    <w:rsid w:val="00535FFF"/>
    <w:rsid w:val="005360E5"/>
    <w:rsid w:val="0053616F"/>
    <w:rsid w:val="005368AD"/>
    <w:rsid w:val="00536B12"/>
    <w:rsid w:val="005370BC"/>
    <w:rsid w:val="00537586"/>
    <w:rsid w:val="005377C1"/>
    <w:rsid w:val="00537B35"/>
    <w:rsid w:val="00537DE7"/>
    <w:rsid w:val="00537EC4"/>
    <w:rsid w:val="00537FE4"/>
    <w:rsid w:val="00537FF9"/>
    <w:rsid w:val="0054027D"/>
    <w:rsid w:val="00540B4F"/>
    <w:rsid w:val="00541222"/>
    <w:rsid w:val="00541A8D"/>
    <w:rsid w:val="00542841"/>
    <w:rsid w:val="00542FC1"/>
    <w:rsid w:val="0054304D"/>
    <w:rsid w:val="005444F2"/>
    <w:rsid w:val="00544DA0"/>
    <w:rsid w:val="005454BD"/>
    <w:rsid w:val="005457E4"/>
    <w:rsid w:val="00545BFF"/>
    <w:rsid w:val="005461EB"/>
    <w:rsid w:val="00546997"/>
    <w:rsid w:val="00546C49"/>
    <w:rsid w:val="00547DD2"/>
    <w:rsid w:val="0055010B"/>
    <w:rsid w:val="00550D59"/>
    <w:rsid w:val="0055110D"/>
    <w:rsid w:val="00551F81"/>
    <w:rsid w:val="0055210F"/>
    <w:rsid w:val="00552C3B"/>
    <w:rsid w:val="00552CD7"/>
    <w:rsid w:val="005533BE"/>
    <w:rsid w:val="00554B30"/>
    <w:rsid w:val="00554FFB"/>
    <w:rsid w:val="005568DE"/>
    <w:rsid w:val="00556F99"/>
    <w:rsid w:val="00557561"/>
    <w:rsid w:val="00557C50"/>
    <w:rsid w:val="005606B6"/>
    <w:rsid w:val="005608D6"/>
    <w:rsid w:val="00560E2F"/>
    <w:rsid w:val="00560F19"/>
    <w:rsid w:val="00561E6B"/>
    <w:rsid w:val="005621D2"/>
    <w:rsid w:val="005621E0"/>
    <w:rsid w:val="00562D90"/>
    <w:rsid w:val="00563317"/>
    <w:rsid w:val="00563A23"/>
    <w:rsid w:val="00563A5A"/>
    <w:rsid w:val="00563C61"/>
    <w:rsid w:val="00563ECB"/>
    <w:rsid w:val="00563F47"/>
    <w:rsid w:val="005640BB"/>
    <w:rsid w:val="00564C23"/>
    <w:rsid w:val="00565148"/>
    <w:rsid w:val="00565406"/>
    <w:rsid w:val="00565570"/>
    <w:rsid w:val="005657DD"/>
    <w:rsid w:val="00565B29"/>
    <w:rsid w:val="0056611B"/>
    <w:rsid w:val="005662A6"/>
    <w:rsid w:val="005664CC"/>
    <w:rsid w:val="0056664B"/>
    <w:rsid w:val="00566CB0"/>
    <w:rsid w:val="00567588"/>
    <w:rsid w:val="005678BA"/>
    <w:rsid w:val="00567992"/>
    <w:rsid w:val="00567C3C"/>
    <w:rsid w:val="005702F8"/>
    <w:rsid w:val="005710F6"/>
    <w:rsid w:val="00571231"/>
    <w:rsid w:val="00571767"/>
    <w:rsid w:val="00571E44"/>
    <w:rsid w:val="0057212D"/>
    <w:rsid w:val="005722B8"/>
    <w:rsid w:val="0057325B"/>
    <w:rsid w:val="00573E61"/>
    <w:rsid w:val="0057411B"/>
    <w:rsid w:val="00574525"/>
    <w:rsid w:val="00574778"/>
    <w:rsid w:val="0057498F"/>
    <w:rsid w:val="00574DE9"/>
    <w:rsid w:val="00575DF4"/>
    <w:rsid w:val="0057765D"/>
    <w:rsid w:val="005777FC"/>
    <w:rsid w:val="005808EB"/>
    <w:rsid w:val="00580AB3"/>
    <w:rsid w:val="00580D37"/>
    <w:rsid w:val="00581FA0"/>
    <w:rsid w:val="00582B90"/>
    <w:rsid w:val="005831A7"/>
    <w:rsid w:val="00583321"/>
    <w:rsid w:val="0058341E"/>
    <w:rsid w:val="00583A9B"/>
    <w:rsid w:val="00584319"/>
    <w:rsid w:val="00584F3A"/>
    <w:rsid w:val="005853AB"/>
    <w:rsid w:val="00585748"/>
    <w:rsid w:val="005859C5"/>
    <w:rsid w:val="00585C79"/>
    <w:rsid w:val="00585FD0"/>
    <w:rsid w:val="00586144"/>
    <w:rsid w:val="00587785"/>
    <w:rsid w:val="0058788D"/>
    <w:rsid w:val="00587E29"/>
    <w:rsid w:val="00587FE6"/>
    <w:rsid w:val="00591698"/>
    <w:rsid w:val="00592E08"/>
    <w:rsid w:val="005931ED"/>
    <w:rsid w:val="00593A35"/>
    <w:rsid w:val="00593B87"/>
    <w:rsid w:val="00593C1C"/>
    <w:rsid w:val="00593D5A"/>
    <w:rsid w:val="00593E94"/>
    <w:rsid w:val="00594143"/>
    <w:rsid w:val="00594543"/>
    <w:rsid w:val="00594612"/>
    <w:rsid w:val="00595873"/>
    <w:rsid w:val="00595B82"/>
    <w:rsid w:val="00595CDD"/>
    <w:rsid w:val="00595D1A"/>
    <w:rsid w:val="005964BB"/>
    <w:rsid w:val="005968C0"/>
    <w:rsid w:val="00596A70"/>
    <w:rsid w:val="00596BD3"/>
    <w:rsid w:val="00596BE7"/>
    <w:rsid w:val="00596C3E"/>
    <w:rsid w:val="00597531"/>
    <w:rsid w:val="005977DD"/>
    <w:rsid w:val="00597C4C"/>
    <w:rsid w:val="00597CFC"/>
    <w:rsid w:val="00597DCF"/>
    <w:rsid w:val="005A04BD"/>
    <w:rsid w:val="005A0A3F"/>
    <w:rsid w:val="005A0D62"/>
    <w:rsid w:val="005A114F"/>
    <w:rsid w:val="005A1F49"/>
    <w:rsid w:val="005A2115"/>
    <w:rsid w:val="005A2364"/>
    <w:rsid w:val="005A2480"/>
    <w:rsid w:val="005A2B2C"/>
    <w:rsid w:val="005A2D6B"/>
    <w:rsid w:val="005A3252"/>
    <w:rsid w:val="005A33F7"/>
    <w:rsid w:val="005A35CF"/>
    <w:rsid w:val="005A40CF"/>
    <w:rsid w:val="005A41E6"/>
    <w:rsid w:val="005A4A9C"/>
    <w:rsid w:val="005A4BAE"/>
    <w:rsid w:val="005A4F39"/>
    <w:rsid w:val="005A5086"/>
    <w:rsid w:val="005A574D"/>
    <w:rsid w:val="005A5B5C"/>
    <w:rsid w:val="005A6E93"/>
    <w:rsid w:val="005A707A"/>
    <w:rsid w:val="005A7340"/>
    <w:rsid w:val="005A7F93"/>
    <w:rsid w:val="005B07EA"/>
    <w:rsid w:val="005B08ED"/>
    <w:rsid w:val="005B0B20"/>
    <w:rsid w:val="005B0BD6"/>
    <w:rsid w:val="005B0EFB"/>
    <w:rsid w:val="005B1060"/>
    <w:rsid w:val="005B12B9"/>
    <w:rsid w:val="005B17C1"/>
    <w:rsid w:val="005B279D"/>
    <w:rsid w:val="005B338B"/>
    <w:rsid w:val="005B3737"/>
    <w:rsid w:val="005B3A42"/>
    <w:rsid w:val="005B59B0"/>
    <w:rsid w:val="005B59D4"/>
    <w:rsid w:val="005B5D40"/>
    <w:rsid w:val="005B5EFC"/>
    <w:rsid w:val="005B61AD"/>
    <w:rsid w:val="005B6412"/>
    <w:rsid w:val="005B64E7"/>
    <w:rsid w:val="005B6698"/>
    <w:rsid w:val="005B68A7"/>
    <w:rsid w:val="005B6AC3"/>
    <w:rsid w:val="005C055E"/>
    <w:rsid w:val="005C0FA1"/>
    <w:rsid w:val="005C1615"/>
    <w:rsid w:val="005C184D"/>
    <w:rsid w:val="005C1D98"/>
    <w:rsid w:val="005C1DA5"/>
    <w:rsid w:val="005C2559"/>
    <w:rsid w:val="005C2873"/>
    <w:rsid w:val="005C2A33"/>
    <w:rsid w:val="005C34FC"/>
    <w:rsid w:val="005C3B5C"/>
    <w:rsid w:val="005C3C7F"/>
    <w:rsid w:val="005C3EFC"/>
    <w:rsid w:val="005C449A"/>
    <w:rsid w:val="005C5143"/>
    <w:rsid w:val="005C5639"/>
    <w:rsid w:val="005C573C"/>
    <w:rsid w:val="005C5742"/>
    <w:rsid w:val="005C6146"/>
    <w:rsid w:val="005C6BA8"/>
    <w:rsid w:val="005C6CAA"/>
    <w:rsid w:val="005C708B"/>
    <w:rsid w:val="005C760E"/>
    <w:rsid w:val="005C7E9E"/>
    <w:rsid w:val="005D18C9"/>
    <w:rsid w:val="005D1B72"/>
    <w:rsid w:val="005D2471"/>
    <w:rsid w:val="005D25A3"/>
    <w:rsid w:val="005D2779"/>
    <w:rsid w:val="005D2BF5"/>
    <w:rsid w:val="005D3242"/>
    <w:rsid w:val="005D3551"/>
    <w:rsid w:val="005D3A21"/>
    <w:rsid w:val="005D4F81"/>
    <w:rsid w:val="005D610C"/>
    <w:rsid w:val="005D61D7"/>
    <w:rsid w:val="005D74E7"/>
    <w:rsid w:val="005D758B"/>
    <w:rsid w:val="005D776D"/>
    <w:rsid w:val="005D7F7B"/>
    <w:rsid w:val="005E1A4B"/>
    <w:rsid w:val="005E1DF0"/>
    <w:rsid w:val="005E337E"/>
    <w:rsid w:val="005E3BCD"/>
    <w:rsid w:val="005E4A87"/>
    <w:rsid w:val="005E4B36"/>
    <w:rsid w:val="005E4DA5"/>
    <w:rsid w:val="005E503E"/>
    <w:rsid w:val="005E59C7"/>
    <w:rsid w:val="005E5E7B"/>
    <w:rsid w:val="005E6095"/>
    <w:rsid w:val="005E6A3F"/>
    <w:rsid w:val="005E6DB8"/>
    <w:rsid w:val="005E6F12"/>
    <w:rsid w:val="005E7228"/>
    <w:rsid w:val="005E7284"/>
    <w:rsid w:val="005E7BAC"/>
    <w:rsid w:val="005F02D1"/>
    <w:rsid w:val="005F0E5C"/>
    <w:rsid w:val="005F134E"/>
    <w:rsid w:val="005F1365"/>
    <w:rsid w:val="005F2C1F"/>
    <w:rsid w:val="005F2E44"/>
    <w:rsid w:val="005F3690"/>
    <w:rsid w:val="005F3986"/>
    <w:rsid w:val="005F4C57"/>
    <w:rsid w:val="005F6774"/>
    <w:rsid w:val="005F79AA"/>
    <w:rsid w:val="006002FB"/>
    <w:rsid w:val="0060044B"/>
    <w:rsid w:val="006013D7"/>
    <w:rsid w:val="006014DB"/>
    <w:rsid w:val="00601587"/>
    <w:rsid w:val="00602079"/>
    <w:rsid w:val="006022F3"/>
    <w:rsid w:val="00602579"/>
    <w:rsid w:val="00602BA4"/>
    <w:rsid w:val="00602DA2"/>
    <w:rsid w:val="00602FF4"/>
    <w:rsid w:val="00603228"/>
    <w:rsid w:val="006034BB"/>
    <w:rsid w:val="00604220"/>
    <w:rsid w:val="00604ACD"/>
    <w:rsid w:val="00604C15"/>
    <w:rsid w:val="00604DC2"/>
    <w:rsid w:val="00604DE0"/>
    <w:rsid w:val="00605634"/>
    <w:rsid w:val="006059A2"/>
    <w:rsid w:val="006060C4"/>
    <w:rsid w:val="00606D8D"/>
    <w:rsid w:val="00607C35"/>
    <w:rsid w:val="00611777"/>
    <w:rsid w:val="0061189F"/>
    <w:rsid w:val="0061219B"/>
    <w:rsid w:val="00612D05"/>
    <w:rsid w:val="00613CEC"/>
    <w:rsid w:val="00613FB6"/>
    <w:rsid w:val="006140C6"/>
    <w:rsid w:val="00614134"/>
    <w:rsid w:val="00614241"/>
    <w:rsid w:val="0061428D"/>
    <w:rsid w:val="00615411"/>
    <w:rsid w:val="0061599E"/>
    <w:rsid w:val="00615AC7"/>
    <w:rsid w:val="006162E6"/>
    <w:rsid w:val="006171A5"/>
    <w:rsid w:val="006179E9"/>
    <w:rsid w:val="00620309"/>
    <w:rsid w:val="0062148F"/>
    <w:rsid w:val="0062159D"/>
    <w:rsid w:val="00621680"/>
    <w:rsid w:val="00621EC5"/>
    <w:rsid w:val="006223E0"/>
    <w:rsid w:val="006224D0"/>
    <w:rsid w:val="00622BCE"/>
    <w:rsid w:val="00622E29"/>
    <w:rsid w:val="006233E5"/>
    <w:rsid w:val="00623643"/>
    <w:rsid w:val="00623CE6"/>
    <w:rsid w:val="00624018"/>
    <w:rsid w:val="006240C4"/>
    <w:rsid w:val="0062479B"/>
    <w:rsid w:val="00624B3C"/>
    <w:rsid w:val="00625304"/>
    <w:rsid w:val="0062581B"/>
    <w:rsid w:val="006261F4"/>
    <w:rsid w:val="006271E3"/>
    <w:rsid w:val="00630983"/>
    <w:rsid w:val="00631609"/>
    <w:rsid w:val="0063164E"/>
    <w:rsid w:val="0063191D"/>
    <w:rsid w:val="00633488"/>
    <w:rsid w:val="00633581"/>
    <w:rsid w:val="006339AF"/>
    <w:rsid w:val="00633C47"/>
    <w:rsid w:val="006348F7"/>
    <w:rsid w:val="00634AE6"/>
    <w:rsid w:val="00635125"/>
    <w:rsid w:val="0063512D"/>
    <w:rsid w:val="006358FB"/>
    <w:rsid w:val="00635AE2"/>
    <w:rsid w:val="00635E1E"/>
    <w:rsid w:val="00635E6E"/>
    <w:rsid w:val="00635E97"/>
    <w:rsid w:val="0063677C"/>
    <w:rsid w:val="0063677E"/>
    <w:rsid w:val="00636972"/>
    <w:rsid w:val="00636B69"/>
    <w:rsid w:val="00636BC2"/>
    <w:rsid w:val="006375A3"/>
    <w:rsid w:val="006404B1"/>
    <w:rsid w:val="006404D1"/>
    <w:rsid w:val="006407A7"/>
    <w:rsid w:val="00640F43"/>
    <w:rsid w:val="006412CA"/>
    <w:rsid w:val="006420DA"/>
    <w:rsid w:val="00642A0A"/>
    <w:rsid w:val="00643AC1"/>
    <w:rsid w:val="00643D62"/>
    <w:rsid w:val="00643EA8"/>
    <w:rsid w:val="006441D0"/>
    <w:rsid w:val="00644A5E"/>
    <w:rsid w:val="00644A6C"/>
    <w:rsid w:val="00644D69"/>
    <w:rsid w:val="006457A8"/>
    <w:rsid w:val="00645EA0"/>
    <w:rsid w:val="00645F76"/>
    <w:rsid w:val="006462F0"/>
    <w:rsid w:val="00646E0B"/>
    <w:rsid w:val="00646EB0"/>
    <w:rsid w:val="0064713D"/>
    <w:rsid w:val="0064714D"/>
    <w:rsid w:val="0064727D"/>
    <w:rsid w:val="00647B32"/>
    <w:rsid w:val="00647C27"/>
    <w:rsid w:val="0065138F"/>
    <w:rsid w:val="006519E6"/>
    <w:rsid w:val="00651CDE"/>
    <w:rsid w:val="00652326"/>
    <w:rsid w:val="006524F6"/>
    <w:rsid w:val="00652907"/>
    <w:rsid w:val="00652E06"/>
    <w:rsid w:val="00653C0F"/>
    <w:rsid w:val="00653FC4"/>
    <w:rsid w:val="00654F91"/>
    <w:rsid w:val="00655361"/>
    <w:rsid w:val="00656253"/>
    <w:rsid w:val="00656799"/>
    <w:rsid w:val="00656B77"/>
    <w:rsid w:val="00656E72"/>
    <w:rsid w:val="006578A1"/>
    <w:rsid w:val="00660105"/>
    <w:rsid w:val="006604BC"/>
    <w:rsid w:val="0066137B"/>
    <w:rsid w:val="0066174E"/>
    <w:rsid w:val="00661BBB"/>
    <w:rsid w:val="00661E57"/>
    <w:rsid w:val="0066217C"/>
    <w:rsid w:val="006629E4"/>
    <w:rsid w:val="0066352E"/>
    <w:rsid w:val="00663783"/>
    <w:rsid w:val="00663E47"/>
    <w:rsid w:val="006644A7"/>
    <w:rsid w:val="00664BDE"/>
    <w:rsid w:val="00664F90"/>
    <w:rsid w:val="0066565B"/>
    <w:rsid w:val="00665C20"/>
    <w:rsid w:val="00665C44"/>
    <w:rsid w:val="00666284"/>
    <w:rsid w:val="0066647B"/>
    <w:rsid w:val="006667F3"/>
    <w:rsid w:val="00667AEA"/>
    <w:rsid w:val="006703B3"/>
    <w:rsid w:val="006704FA"/>
    <w:rsid w:val="00670687"/>
    <w:rsid w:val="00670C3B"/>
    <w:rsid w:val="00670DC5"/>
    <w:rsid w:val="00671103"/>
    <w:rsid w:val="00671652"/>
    <w:rsid w:val="00671AD6"/>
    <w:rsid w:val="00671FAA"/>
    <w:rsid w:val="00673DE9"/>
    <w:rsid w:val="00675DA5"/>
    <w:rsid w:val="006765C8"/>
    <w:rsid w:val="00680482"/>
    <w:rsid w:val="006808DC"/>
    <w:rsid w:val="0068104F"/>
    <w:rsid w:val="006816B6"/>
    <w:rsid w:val="006820EB"/>
    <w:rsid w:val="00682128"/>
    <w:rsid w:val="0068220C"/>
    <w:rsid w:val="00682AB1"/>
    <w:rsid w:val="00682B9A"/>
    <w:rsid w:val="00682E9F"/>
    <w:rsid w:val="00683252"/>
    <w:rsid w:val="0068343A"/>
    <w:rsid w:val="006834D4"/>
    <w:rsid w:val="0068413D"/>
    <w:rsid w:val="006844BA"/>
    <w:rsid w:val="006845A2"/>
    <w:rsid w:val="00684BF8"/>
    <w:rsid w:val="00684D9B"/>
    <w:rsid w:val="006858AA"/>
    <w:rsid w:val="00685BCF"/>
    <w:rsid w:val="006871D0"/>
    <w:rsid w:val="0068751F"/>
    <w:rsid w:val="006900D1"/>
    <w:rsid w:val="00690297"/>
    <w:rsid w:val="00690B36"/>
    <w:rsid w:val="0069115A"/>
    <w:rsid w:val="006912F1"/>
    <w:rsid w:val="00691387"/>
    <w:rsid w:val="0069159C"/>
    <w:rsid w:val="006927F2"/>
    <w:rsid w:val="006931E1"/>
    <w:rsid w:val="00694310"/>
    <w:rsid w:val="00694700"/>
    <w:rsid w:val="00694803"/>
    <w:rsid w:val="00694CE8"/>
    <w:rsid w:val="00695556"/>
    <w:rsid w:val="0069569E"/>
    <w:rsid w:val="006956C6"/>
    <w:rsid w:val="00696EE3"/>
    <w:rsid w:val="00696F3B"/>
    <w:rsid w:val="0069715D"/>
    <w:rsid w:val="00697392"/>
    <w:rsid w:val="006973E5"/>
    <w:rsid w:val="00697664"/>
    <w:rsid w:val="00697681"/>
    <w:rsid w:val="0069770C"/>
    <w:rsid w:val="00697A6C"/>
    <w:rsid w:val="006A08F2"/>
    <w:rsid w:val="006A151A"/>
    <w:rsid w:val="006A1E62"/>
    <w:rsid w:val="006A25FC"/>
    <w:rsid w:val="006A2A12"/>
    <w:rsid w:val="006A2E9C"/>
    <w:rsid w:val="006A35E0"/>
    <w:rsid w:val="006A377F"/>
    <w:rsid w:val="006A384A"/>
    <w:rsid w:val="006A3875"/>
    <w:rsid w:val="006A3D40"/>
    <w:rsid w:val="006A4004"/>
    <w:rsid w:val="006A50DB"/>
    <w:rsid w:val="006A561D"/>
    <w:rsid w:val="006A5A0C"/>
    <w:rsid w:val="006A5BA0"/>
    <w:rsid w:val="006A5BB1"/>
    <w:rsid w:val="006A5C18"/>
    <w:rsid w:val="006A5F88"/>
    <w:rsid w:val="006A61FC"/>
    <w:rsid w:val="006A7D95"/>
    <w:rsid w:val="006B0699"/>
    <w:rsid w:val="006B10F5"/>
    <w:rsid w:val="006B120D"/>
    <w:rsid w:val="006B13C1"/>
    <w:rsid w:val="006B2AF7"/>
    <w:rsid w:val="006B2CC7"/>
    <w:rsid w:val="006B2E56"/>
    <w:rsid w:val="006B36D2"/>
    <w:rsid w:val="006B3AF9"/>
    <w:rsid w:val="006B44C5"/>
    <w:rsid w:val="006B4AE4"/>
    <w:rsid w:val="006B555F"/>
    <w:rsid w:val="006B6242"/>
    <w:rsid w:val="006B6C7C"/>
    <w:rsid w:val="006B6EA4"/>
    <w:rsid w:val="006B77BB"/>
    <w:rsid w:val="006B7C4D"/>
    <w:rsid w:val="006B7C6E"/>
    <w:rsid w:val="006B7F8F"/>
    <w:rsid w:val="006B7FC5"/>
    <w:rsid w:val="006C055E"/>
    <w:rsid w:val="006C0D13"/>
    <w:rsid w:val="006C0E09"/>
    <w:rsid w:val="006C187F"/>
    <w:rsid w:val="006C19BC"/>
    <w:rsid w:val="006C19D5"/>
    <w:rsid w:val="006C1B44"/>
    <w:rsid w:val="006C1F77"/>
    <w:rsid w:val="006C2211"/>
    <w:rsid w:val="006C2E23"/>
    <w:rsid w:val="006C3031"/>
    <w:rsid w:val="006C3607"/>
    <w:rsid w:val="006C3823"/>
    <w:rsid w:val="006C3990"/>
    <w:rsid w:val="006C3ED2"/>
    <w:rsid w:val="006C4233"/>
    <w:rsid w:val="006C42E7"/>
    <w:rsid w:val="006C4422"/>
    <w:rsid w:val="006C5CCA"/>
    <w:rsid w:val="006C625F"/>
    <w:rsid w:val="006C675A"/>
    <w:rsid w:val="006C78A6"/>
    <w:rsid w:val="006C7AB4"/>
    <w:rsid w:val="006D006B"/>
    <w:rsid w:val="006D105C"/>
    <w:rsid w:val="006D186F"/>
    <w:rsid w:val="006D30E7"/>
    <w:rsid w:val="006D38C2"/>
    <w:rsid w:val="006D4255"/>
    <w:rsid w:val="006D45F5"/>
    <w:rsid w:val="006D48E7"/>
    <w:rsid w:val="006D4947"/>
    <w:rsid w:val="006D5E65"/>
    <w:rsid w:val="006D5F16"/>
    <w:rsid w:val="006D63AD"/>
    <w:rsid w:val="006D6764"/>
    <w:rsid w:val="006D67D9"/>
    <w:rsid w:val="006D6C93"/>
    <w:rsid w:val="006D6DD4"/>
    <w:rsid w:val="006D7573"/>
    <w:rsid w:val="006D7641"/>
    <w:rsid w:val="006E0340"/>
    <w:rsid w:val="006E06F9"/>
    <w:rsid w:val="006E07A9"/>
    <w:rsid w:val="006E0D91"/>
    <w:rsid w:val="006E1706"/>
    <w:rsid w:val="006E2758"/>
    <w:rsid w:val="006E2B6D"/>
    <w:rsid w:val="006E2BF1"/>
    <w:rsid w:val="006E3CB2"/>
    <w:rsid w:val="006E3DA8"/>
    <w:rsid w:val="006E4BD3"/>
    <w:rsid w:val="006E56A8"/>
    <w:rsid w:val="006E5DAA"/>
    <w:rsid w:val="006E7006"/>
    <w:rsid w:val="006E79D4"/>
    <w:rsid w:val="006F00E7"/>
    <w:rsid w:val="006F0605"/>
    <w:rsid w:val="006F0F6E"/>
    <w:rsid w:val="006F1445"/>
    <w:rsid w:val="006F1B22"/>
    <w:rsid w:val="006F1BA4"/>
    <w:rsid w:val="006F1E24"/>
    <w:rsid w:val="006F2259"/>
    <w:rsid w:val="006F23E1"/>
    <w:rsid w:val="006F25CA"/>
    <w:rsid w:val="006F2F8F"/>
    <w:rsid w:val="006F2FDA"/>
    <w:rsid w:val="006F2FE5"/>
    <w:rsid w:val="006F31F8"/>
    <w:rsid w:val="006F3460"/>
    <w:rsid w:val="006F34FE"/>
    <w:rsid w:val="006F3615"/>
    <w:rsid w:val="006F38CA"/>
    <w:rsid w:val="006F3FA3"/>
    <w:rsid w:val="006F48BA"/>
    <w:rsid w:val="006F4AC3"/>
    <w:rsid w:val="006F4AF9"/>
    <w:rsid w:val="006F54EB"/>
    <w:rsid w:val="006F5CC1"/>
    <w:rsid w:val="006F67A5"/>
    <w:rsid w:val="006F762D"/>
    <w:rsid w:val="006F7AA8"/>
    <w:rsid w:val="00700492"/>
    <w:rsid w:val="007009AC"/>
    <w:rsid w:val="0070167E"/>
    <w:rsid w:val="00701E1B"/>
    <w:rsid w:val="00702ED0"/>
    <w:rsid w:val="00702EF6"/>
    <w:rsid w:val="00703C09"/>
    <w:rsid w:val="0070434A"/>
    <w:rsid w:val="007048C4"/>
    <w:rsid w:val="00704B2B"/>
    <w:rsid w:val="00704CC4"/>
    <w:rsid w:val="00705345"/>
    <w:rsid w:val="0070638D"/>
    <w:rsid w:val="00706DBF"/>
    <w:rsid w:val="00707A59"/>
    <w:rsid w:val="0071046B"/>
    <w:rsid w:val="00710AC6"/>
    <w:rsid w:val="00710AE6"/>
    <w:rsid w:val="00710C1D"/>
    <w:rsid w:val="007110A3"/>
    <w:rsid w:val="00711108"/>
    <w:rsid w:val="00711213"/>
    <w:rsid w:val="007112A1"/>
    <w:rsid w:val="00711996"/>
    <w:rsid w:val="00711B3B"/>
    <w:rsid w:val="00711BA3"/>
    <w:rsid w:val="00711C9D"/>
    <w:rsid w:val="00712B71"/>
    <w:rsid w:val="00712E55"/>
    <w:rsid w:val="00713023"/>
    <w:rsid w:val="007131CB"/>
    <w:rsid w:val="0071322C"/>
    <w:rsid w:val="00713779"/>
    <w:rsid w:val="0071388C"/>
    <w:rsid w:val="00713989"/>
    <w:rsid w:val="00713C62"/>
    <w:rsid w:val="00713DCF"/>
    <w:rsid w:val="00714004"/>
    <w:rsid w:val="0071458E"/>
    <w:rsid w:val="007145C9"/>
    <w:rsid w:val="00714631"/>
    <w:rsid w:val="00714B6E"/>
    <w:rsid w:val="0071512F"/>
    <w:rsid w:val="007158E3"/>
    <w:rsid w:val="007169AC"/>
    <w:rsid w:val="007169DD"/>
    <w:rsid w:val="00717679"/>
    <w:rsid w:val="00717B67"/>
    <w:rsid w:val="007206A2"/>
    <w:rsid w:val="00720B38"/>
    <w:rsid w:val="00720CA7"/>
    <w:rsid w:val="007210B1"/>
    <w:rsid w:val="0072147B"/>
    <w:rsid w:val="0072181E"/>
    <w:rsid w:val="00721D4A"/>
    <w:rsid w:val="00722267"/>
    <w:rsid w:val="0072285E"/>
    <w:rsid w:val="00722C62"/>
    <w:rsid w:val="00722EE6"/>
    <w:rsid w:val="0072321F"/>
    <w:rsid w:val="00723295"/>
    <w:rsid w:val="007238E2"/>
    <w:rsid w:val="007239B4"/>
    <w:rsid w:val="00724446"/>
    <w:rsid w:val="00724584"/>
    <w:rsid w:val="00724AA1"/>
    <w:rsid w:val="00724D39"/>
    <w:rsid w:val="00725A19"/>
    <w:rsid w:val="00726356"/>
    <w:rsid w:val="007268C7"/>
    <w:rsid w:val="00726AAB"/>
    <w:rsid w:val="00727077"/>
    <w:rsid w:val="0072782B"/>
    <w:rsid w:val="00730CC2"/>
    <w:rsid w:val="00730EA6"/>
    <w:rsid w:val="007314A3"/>
    <w:rsid w:val="00731C15"/>
    <w:rsid w:val="00732045"/>
    <w:rsid w:val="007320D0"/>
    <w:rsid w:val="007322A0"/>
    <w:rsid w:val="00732C1A"/>
    <w:rsid w:val="00733CDC"/>
    <w:rsid w:val="00733D77"/>
    <w:rsid w:val="00733E66"/>
    <w:rsid w:val="00734B9A"/>
    <w:rsid w:val="00735519"/>
    <w:rsid w:val="00735695"/>
    <w:rsid w:val="007360CB"/>
    <w:rsid w:val="007369C9"/>
    <w:rsid w:val="00737566"/>
    <w:rsid w:val="00737839"/>
    <w:rsid w:val="00741BA2"/>
    <w:rsid w:val="00741CF4"/>
    <w:rsid w:val="00741DCC"/>
    <w:rsid w:val="00741DE2"/>
    <w:rsid w:val="007421A1"/>
    <w:rsid w:val="007427FE"/>
    <w:rsid w:val="00742C51"/>
    <w:rsid w:val="00743445"/>
    <w:rsid w:val="00744879"/>
    <w:rsid w:val="00744A6B"/>
    <w:rsid w:val="00744D06"/>
    <w:rsid w:val="007452E7"/>
    <w:rsid w:val="00745E01"/>
    <w:rsid w:val="0074666B"/>
    <w:rsid w:val="007468D6"/>
    <w:rsid w:val="00746B2A"/>
    <w:rsid w:val="00746BFF"/>
    <w:rsid w:val="00746D9F"/>
    <w:rsid w:val="007473E1"/>
    <w:rsid w:val="00747897"/>
    <w:rsid w:val="00747E47"/>
    <w:rsid w:val="00750192"/>
    <w:rsid w:val="007504E1"/>
    <w:rsid w:val="00750544"/>
    <w:rsid w:val="00750804"/>
    <w:rsid w:val="007509AB"/>
    <w:rsid w:val="00751689"/>
    <w:rsid w:val="007524AA"/>
    <w:rsid w:val="00753744"/>
    <w:rsid w:val="00753A93"/>
    <w:rsid w:val="007544B8"/>
    <w:rsid w:val="007548BC"/>
    <w:rsid w:val="00754AC3"/>
    <w:rsid w:val="00755663"/>
    <w:rsid w:val="00755C19"/>
    <w:rsid w:val="00756386"/>
    <w:rsid w:val="00756603"/>
    <w:rsid w:val="00756873"/>
    <w:rsid w:val="007575C0"/>
    <w:rsid w:val="00757D2F"/>
    <w:rsid w:val="0076000E"/>
    <w:rsid w:val="00760C00"/>
    <w:rsid w:val="007610E9"/>
    <w:rsid w:val="00761728"/>
    <w:rsid w:val="00761C6C"/>
    <w:rsid w:val="00762B72"/>
    <w:rsid w:val="00763CCB"/>
    <w:rsid w:val="00763CEA"/>
    <w:rsid w:val="007642B4"/>
    <w:rsid w:val="00764C45"/>
    <w:rsid w:val="00764C7F"/>
    <w:rsid w:val="00766277"/>
    <w:rsid w:val="0076641B"/>
    <w:rsid w:val="0076656A"/>
    <w:rsid w:val="00766701"/>
    <w:rsid w:val="00766911"/>
    <w:rsid w:val="00767793"/>
    <w:rsid w:val="007679D8"/>
    <w:rsid w:val="00770803"/>
    <w:rsid w:val="00770DCC"/>
    <w:rsid w:val="00771096"/>
    <w:rsid w:val="00771319"/>
    <w:rsid w:val="007713E8"/>
    <w:rsid w:val="00771794"/>
    <w:rsid w:val="00771981"/>
    <w:rsid w:val="00771CCF"/>
    <w:rsid w:val="00771F7D"/>
    <w:rsid w:val="00772C3E"/>
    <w:rsid w:val="007736E8"/>
    <w:rsid w:val="00774400"/>
    <w:rsid w:val="00774ACE"/>
    <w:rsid w:val="00775823"/>
    <w:rsid w:val="00775F57"/>
    <w:rsid w:val="00776584"/>
    <w:rsid w:val="007769EF"/>
    <w:rsid w:val="00776D4F"/>
    <w:rsid w:val="00776DDC"/>
    <w:rsid w:val="007770F9"/>
    <w:rsid w:val="00777179"/>
    <w:rsid w:val="00777945"/>
    <w:rsid w:val="00777D40"/>
    <w:rsid w:val="00780320"/>
    <w:rsid w:val="00780B8D"/>
    <w:rsid w:val="00780B8E"/>
    <w:rsid w:val="00781649"/>
    <w:rsid w:val="00781A65"/>
    <w:rsid w:val="007823D6"/>
    <w:rsid w:val="0078254E"/>
    <w:rsid w:val="00782628"/>
    <w:rsid w:val="007826AB"/>
    <w:rsid w:val="0078334A"/>
    <w:rsid w:val="00783C1A"/>
    <w:rsid w:val="00783D75"/>
    <w:rsid w:val="007840E2"/>
    <w:rsid w:val="0078569F"/>
    <w:rsid w:val="00785803"/>
    <w:rsid w:val="00785EB4"/>
    <w:rsid w:val="0078609A"/>
    <w:rsid w:val="00786F85"/>
    <w:rsid w:val="0078731A"/>
    <w:rsid w:val="00787487"/>
    <w:rsid w:val="007906F1"/>
    <w:rsid w:val="00790E7F"/>
    <w:rsid w:val="00790EBF"/>
    <w:rsid w:val="00790EDA"/>
    <w:rsid w:val="00791349"/>
    <w:rsid w:val="00791D85"/>
    <w:rsid w:val="00791DAF"/>
    <w:rsid w:val="00791DCD"/>
    <w:rsid w:val="007924CA"/>
    <w:rsid w:val="0079367E"/>
    <w:rsid w:val="007937F4"/>
    <w:rsid w:val="00793DF0"/>
    <w:rsid w:val="00794414"/>
    <w:rsid w:val="00794CBF"/>
    <w:rsid w:val="00795365"/>
    <w:rsid w:val="0079567E"/>
    <w:rsid w:val="00795E67"/>
    <w:rsid w:val="007961D5"/>
    <w:rsid w:val="00796231"/>
    <w:rsid w:val="00796A6F"/>
    <w:rsid w:val="00796C5D"/>
    <w:rsid w:val="00797B06"/>
    <w:rsid w:val="00797B9C"/>
    <w:rsid w:val="007A0483"/>
    <w:rsid w:val="007A095C"/>
    <w:rsid w:val="007A1057"/>
    <w:rsid w:val="007A1065"/>
    <w:rsid w:val="007A1D86"/>
    <w:rsid w:val="007A2294"/>
    <w:rsid w:val="007A2711"/>
    <w:rsid w:val="007A2A97"/>
    <w:rsid w:val="007A2CDC"/>
    <w:rsid w:val="007A371B"/>
    <w:rsid w:val="007A3832"/>
    <w:rsid w:val="007A3A0F"/>
    <w:rsid w:val="007A3E60"/>
    <w:rsid w:val="007A407D"/>
    <w:rsid w:val="007A42C3"/>
    <w:rsid w:val="007A455C"/>
    <w:rsid w:val="007A464F"/>
    <w:rsid w:val="007A499E"/>
    <w:rsid w:val="007A6196"/>
    <w:rsid w:val="007A63D5"/>
    <w:rsid w:val="007A689A"/>
    <w:rsid w:val="007A68EA"/>
    <w:rsid w:val="007A6B7D"/>
    <w:rsid w:val="007A7629"/>
    <w:rsid w:val="007B1027"/>
    <w:rsid w:val="007B1691"/>
    <w:rsid w:val="007B174F"/>
    <w:rsid w:val="007B1863"/>
    <w:rsid w:val="007B22E0"/>
    <w:rsid w:val="007B2875"/>
    <w:rsid w:val="007B28CA"/>
    <w:rsid w:val="007B2AB4"/>
    <w:rsid w:val="007B2ABF"/>
    <w:rsid w:val="007B2C06"/>
    <w:rsid w:val="007B3545"/>
    <w:rsid w:val="007B358D"/>
    <w:rsid w:val="007B3EA1"/>
    <w:rsid w:val="007B5401"/>
    <w:rsid w:val="007B5FB4"/>
    <w:rsid w:val="007B6B2B"/>
    <w:rsid w:val="007B78F4"/>
    <w:rsid w:val="007B7949"/>
    <w:rsid w:val="007B7D30"/>
    <w:rsid w:val="007C0FA9"/>
    <w:rsid w:val="007C136B"/>
    <w:rsid w:val="007C19BD"/>
    <w:rsid w:val="007C1E89"/>
    <w:rsid w:val="007C2413"/>
    <w:rsid w:val="007C25AE"/>
    <w:rsid w:val="007C2714"/>
    <w:rsid w:val="007C3152"/>
    <w:rsid w:val="007C333B"/>
    <w:rsid w:val="007C3914"/>
    <w:rsid w:val="007C3CEA"/>
    <w:rsid w:val="007C3D92"/>
    <w:rsid w:val="007C3E98"/>
    <w:rsid w:val="007C5163"/>
    <w:rsid w:val="007C56E3"/>
    <w:rsid w:val="007C5A8F"/>
    <w:rsid w:val="007C5B38"/>
    <w:rsid w:val="007C69B7"/>
    <w:rsid w:val="007C70C3"/>
    <w:rsid w:val="007C76E8"/>
    <w:rsid w:val="007D01E6"/>
    <w:rsid w:val="007D035E"/>
    <w:rsid w:val="007D0396"/>
    <w:rsid w:val="007D0644"/>
    <w:rsid w:val="007D1801"/>
    <w:rsid w:val="007D1AD3"/>
    <w:rsid w:val="007D1FE0"/>
    <w:rsid w:val="007D20BB"/>
    <w:rsid w:val="007D261E"/>
    <w:rsid w:val="007D2F61"/>
    <w:rsid w:val="007D3004"/>
    <w:rsid w:val="007D3D0E"/>
    <w:rsid w:val="007D3D33"/>
    <w:rsid w:val="007D41C2"/>
    <w:rsid w:val="007D4F02"/>
    <w:rsid w:val="007D5E1D"/>
    <w:rsid w:val="007D674C"/>
    <w:rsid w:val="007D6B7B"/>
    <w:rsid w:val="007D6CF1"/>
    <w:rsid w:val="007D6D66"/>
    <w:rsid w:val="007D7131"/>
    <w:rsid w:val="007D7BEC"/>
    <w:rsid w:val="007D7CE3"/>
    <w:rsid w:val="007D7DFD"/>
    <w:rsid w:val="007D7F27"/>
    <w:rsid w:val="007E051A"/>
    <w:rsid w:val="007E0798"/>
    <w:rsid w:val="007E17FF"/>
    <w:rsid w:val="007E1B05"/>
    <w:rsid w:val="007E1B72"/>
    <w:rsid w:val="007E3EE3"/>
    <w:rsid w:val="007E4BD2"/>
    <w:rsid w:val="007E4FA1"/>
    <w:rsid w:val="007E5499"/>
    <w:rsid w:val="007E57DE"/>
    <w:rsid w:val="007E5902"/>
    <w:rsid w:val="007E6719"/>
    <w:rsid w:val="007E68ED"/>
    <w:rsid w:val="007E69ED"/>
    <w:rsid w:val="007E795F"/>
    <w:rsid w:val="007E7B2D"/>
    <w:rsid w:val="007F0221"/>
    <w:rsid w:val="007F034B"/>
    <w:rsid w:val="007F07B9"/>
    <w:rsid w:val="007F0928"/>
    <w:rsid w:val="007F15CE"/>
    <w:rsid w:val="007F1E88"/>
    <w:rsid w:val="007F2CD7"/>
    <w:rsid w:val="007F3218"/>
    <w:rsid w:val="007F3568"/>
    <w:rsid w:val="007F40E1"/>
    <w:rsid w:val="007F422D"/>
    <w:rsid w:val="007F4DBA"/>
    <w:rsid w:val="007F519C"/>
    <w:rsid w:val="007F534D"/>
    <w:rsid w:val="007F54A2"/>
    <w:rsid w:val="007F54FE"/>
    <w:rsid w:val="007F5535"/>
    <w:rsid w:val="007F5D32"/>
    <w:rsid w:val="007F601B"/>
    <w:rsid w:val="007F72DC"/>
    <w:rsid w:val="007F795F"/>
    <w:rsid w:val="007F7AE4"/>
    <w:rsid w:val="0080069C"/>
    <w:rsid w:val="008006FD"/>
    <w:rsid w:val="0080148D"/>
    <w:rsid w:val="00801495"/>
    <w:rsid w:val="0080156B"/>
    <w:rsid w:val="00801A3A"/>
    <w:rsid w:val="00804114"/>
    <w:rsid w:val="00804634"/>
    <w:rsid w:val="008047E8"/>
    <w:rsid w:val="0080531E"/>
    <w:rsid w:val="008053C3"/>
    <w:rsid w:val="00805933"/>
    <w:rsid w:val="00805C3D"/>
    <w:rsid w:val="00805F31"/>
    <w:rsid w:val="00806F1D"/>
    <w:rsid w:val="008077ED"/>
    <w:rsid w:val="00807B2C"/>
    <w:rsid w:val="00807B6F"/>
    <w:rsid w:val="00807E93"/>
    <w:rsid w:val="00810172"/>
    <w:rsid w:val="00810762"/>
    <w:rsid w:val="00810858"/>
    <w:rsid w:val="00810EFF"/>
    <w:rsid w:val="00811314"/>
    <w:rsid w:val="00811A39"/>
    <w:rsid w:val="00811D28"/>
    <w:rsid w:val="0081291B"/>
    <w:rsid w:val="00813500"/>
    <w:rsid w:val="00813622"/>
    <w:rsid w:val="008138FF"/>
    <w:rsid w:val="00813DCF"/>
    <w:rsid w:val="00813FAB"/>
    <w:rsid w:val="0081498C"/>
    <w:rsid w:val="00814AE1"/>
    <w:rsid w:val="00814E2E"/>
    <w:rsid w:val="00815D31"/>
    <w:rsid w:val="0081601F"/>
    <w:rsid w:val="00816064"/>
    <w:rsid w:val="00816D94"/>
    <w:rsid w:val="008174B2"/>
    <w:rsid w:val="00817CFF"/>
    <w:rsid w:val="0082000D"/>
    <w:rsid w:val="0082037E"/>
    <w:rsid w:val="00820C9C"/>
    <w:rsid w:val="00820F55"/>
    <w:rsid w:val="0082128A"/>
    <w:rsid w:val="00821572"/>
    <w:rsid w:val="00822310"/>
    <w:rsid w:val="0082314F"/>
    <w:rsid w:val="00823794"/>
    <w:rsid w:val="008237F4"/>
    <w:rsid w:val="00823F67"/>
    <w:rsid w:val="00824022"/>
    <w:rsid w:val="0082483A"/>
    <w:rsid w:val="00824A81"/>
    <w:rsid w:val="008257B8"/>
    <w:rsid w:val="008260ED"/>
    <w:rsid w:val="0082699D"/>
    <w:rsid w:val="00826E6B"/>
    <w:rsid w:val="008275FD"/>
    <w:rsid w:val="00830BA1"/>
    <w:rsid w:val="00830EB2"/>
    <w:rsid w:val="008310A4"/>
    <w:rsid w:val="00831652"/>
    <w:rsid w:val="0083202E"/>
    <w:rsid w:val="0083304F"/>
    <w:rsid w:val="008331F4"/>
    <w:rsid w:val="008334C9"/>
    <w:rsid w:val="00833D5F"/>
    <w:rsid w:val="00834122"/>
    <w:rsid w:val="008352C5"/>
    <w:rsid w:val="008352E3"/>
    <w:rsid w:val="008358A6"/>
    <w:rsid w:val="008359FB"/>
    <w:rsid w:val="00835BA5"/>
    <w:rsid w:val="00835C56"/>
    <w:rsid w:val="008360FC"/>
    <w:rsid w:val="008363C0"/>
    <w:rsid w:val="00836E81"/>
    <w:rsid w:val="008377C1"/>
    <w:rsid w:val="00837C90"/>
    <w:rsid w:val="00837EB1"/>
    <w:rsid w:val="0084042B"/>
    <w:rsid w:val="008409BB"/>
    <w:rsid w:val="00840EE3"/>
    <w:rsid w:val="0084184A"/>
    <w:rsid w:val="008423F2"/>
    <w:rsid w:val="00842A30"/>
    <w:rsid w:val="00842D02"/>
    <w:rsid w:val="00842F71"/>
    <w:rsid w:val="00843179"/>
    <w:rsid w:val="0084386A"/>
    <w:rsid w:val="00843C48"/>
    <w:rsid w:val="00843E0E"/>
    <w:rsid w:val="008442EA"/>
    <w:rsid w:val="00844589"/>
    <w:rsid w:val="00844794"/>
    <w:rsid w:val="00844FE7"/>
    <w:rsid w:val="00845969"/>
    <w:rsid w:val="00845AB8"/>
    <w:rsid w:val="00845F37"/>
    <w:rsid w:val="00845FF5"/>
    <w:rsid w:val="00846001"/>
    <w:rsid w:val="0084615D"/>
    <w:rsid w:val="0084642A"/>
    <w:rsid w:val="008465C4"/>
    <w:rsid w:val="00846710"/>
    <w:rsid w:val="008478ED"/>
    <w:rsid w:val="00851728"/>
    <w:rsid w:val="00851DFF"/>
    <w:rsid w:val="00853084"/>
    <w:rsid w:val="00853142"/>
    <w:rsid w:val="00853E7B"/>
    <w:rsid w:val="008540A6"/>
    <w:rsid w:val="00854420"/>
    <w:rsid w:val="00854481"/>
    <w:rsid w:val="008545B6"/>
    <w:rsid w:val="00854ED2"/>
    <w:rsid w:val="0085527C"/>
    <w:rsid w:val="008555EF"/>
    <w:rsid w:val="00857591"/>
    <w:rsid w:val="00857926"/>
    <w:rsid w:val="00857E88"/>
    <w:rsid w:val="00860100"/>
    <w:rsid w:val="008612DB"/>
    <w:rsid w:val="00861B57"/>
    <w:rsid w:val="008628C4"/>
    <w:rsid w:val="00862AC4"/>
    <w:rsid w:val="008633AC"/>
    <w:rsid w:val="008634E3"/>
    <w:rsid w:val="00864627"/>
    <w:rsid w:val="00864635"/>
    <w:rsid w:val="00864678"/>
    <w:rsid w:val="00864C1A"/>
    <w:rsid w:val="00865217"/>
    <w:rsid w:val="008658AA"/>
    <w:rsid w:val="008658CF"/>
    <w:rsid w:val="00865CBD"/>
    <w:rsid w:val="00866E37"/>
    <w:rsid w:val="00866F9E"/>
    <w:rsid w:val="008672E2"/>
    <w:rsid w:val="0086793D"/>
    <w:rsid w:val="00867B1C"/>
    <w:rsid w:val="008713D6"/>
    <w:rsid w:val="00871643"/>
    <w:rsid w:val="0087281D"/>
    <w:rsid w:val="00872A46"/>
    <w:rsid w:val="008732D8"/>
    <w:rsid w:val="00873377"/>
    <w:rsid w:val="00873577"/>
    <w:rsid w:val="0087409F"/>
    <w:rsid w:val="00874D58"/>
    <w:rsid w:val="008750D2"/>
    <w:rsid w:val="00875AB5"/>
    <w:rsid w:val="00875C91"/>
    <w:rsid w:val="00875F85"/>
    <w:rsid w:val="00876C6B"/>
    <w:rsid w:val="00876DC9"/>
    <w:rsid w:val="00877125"/>
    <w:rsid w:val="008777C2"/>
    <w:rsid w:val="00880331"/>
    <w:rsid w:val="00881511"/>
    <w:rsid w:val="00881ABD"/>
    <w:rsid w:val="00882448"/>
    <w:rsid w:val="00882F1D"/>
    <w:rsid w:val="00883A0E"/>
    <w:rsid w:val="00883A4D"/>
    <w:rsid w:val="00883B21"/>
    <w:rsid w:val="00883F8F"/>
    <w:rsid w:val="00884235"/>
    <w:rsid w:val="00885285"/>
    <w:rsid w:val="00885985"/>
    <w:rsid w:val="00886699"/>
    <w:rsid w:val="00886AB2"/>
    <w:rsid w:val="0088709A"/>
    <w:rsid w:val="00887A46"/>
    <w:rsid w:val="00890B52"/>
    <w:rsid w:val="0089199F"/>
    <w:rsid w:val="00891C32"/>
    <w:rsid w:val="00891D7F"/>
    <w:rsid w:val="00892265"/>
    <w:rsid w:val="0089233E"/>
    <w:rsid w:val="008924C9"/>
    <w:rsid w:val="0089330E"/>
    <w:rsid w:val="00893A8E"/>
    <w:rsid w:val="00893E27"/>
    <w:rsid w:val="008945F7"/>
    <w:rsid w:val="0089463D"/>
    <w:rsid w:val="008947EB"/>
    <w:rsid w:val="0089554F"/>
    <w:rsid w:val="008955E6"/>
    <w:rsid w:val="00895B5F"/>
    <w:rsid w:val="0089637C"/>
    <w:rsid w:val="00896712"/>
    <w:rsid w:val="00896819"/>
    <w:rsid w:val="00896870"/>
    <w:rsid w:val="008969BD"/>
    <w:rsid w:val="00897308"/>
    <w:rsid w:val="008973A1"/>
    <w:rsid w:val="00897903"/>
    <w:rsid w:val="008A086E"/>
    <w:rsid w:val="008A0E04"/>
    <w:rsid w:val="008A13BD"/>
    <w:rsid w:val="008A1596"/>
    <w:rsid w:val="008A1EDF"/>
    <w:rsid w:val="008A2695"/>
    <w:rsid w:val="008A2DC9"/>
    <w:rsid w:val="008A2E74"/>
    <w:rsid w:val="008A2FF1"/>
    <w:rsid w:val="008A32D4"/>
    <w:rsid w:val="008A367F"/>
    <w:rsid w:val="008A37AF"/>
    <w:rsid w:val="008A3D62"/>
    <w:rsid w:val="008A448D"/>
    <w:rsid w:val="008A4A55"/>
    <w:rsid w:val="008A506F"/>
    <w:rsid w:val="008A528A"/>
    <w:rsid w:val="008A5298"/>
    <w:rsid w:val="008A535A"/>
    <w:rsid w:val="008A66AD"/>
    <w:rsid w:val="008A720F"/>
    <w:rsid w:val="008A7498"/>
    <w:rsid w:val="008A7C72"/>
    <w:rsid w:val="008B00E4"/>
    <w:rsid w:val="008B04F2"/>
    <w:rsid w:val="008B06D9"/>
    <w:rsid w:val="008B0D0E"/>
    <w:rsid w:val="008B12BB"/>
    <w:rsid w:val="008B1411"/>
    <w:rsid w:val="008B17A2"/>
    <w:rsid w:val="008B25F2"/>
    <w:rsid w:val="008B2643"/>
    <w:rsid w:val="008B2FAE"/>
    <w:rsid w:val="008B3317"/>
    <w:rsid w:val="008B414B"/>
    <w:rsid w:val="008B46B0"/>
    <w:rsid w:val="008B4D2B"/>
    <w:rsid w:val="008B4E0E"/>
    <w:rsid w:val="008B4FB9"/>
    <w:rsid w:val="008B5715"/>
    <w:rsid w:val="008B5A2D"/>
    <w:rsid w:val="008B5BC2"/>
    <w:rsid w:val="008B5E54"/>
    <w:rsid w:val="008B60BB"/>
    <w:rsid w:val="008B6732"/>
    <w:rsid w:val="008B68EC"/>
    <w:rsid w:val="008B711E"/>
    <w:rsid w:val="008C042F"/>
    <w:rsid w:val="008C057B"/>
    <w:rsid w:val="008C0CAC"/>
    <w:rsid w:val="008C13B4"/>
    <w:rsid w:val="008C1557"/>
    <w:rsid w:val="008C1B8C"/>
    <w:rsid w:val="008C2306"/>
    <w:rsid w:val="008C2679"/>
    <w:rsid w:val="008C26D1"/>
    <w:rsid w:val="008C2B7F"/>
    <w:rsid w:val="008C351A"/>
    <w:rsid w:val="008C36AC"/>
    <w:rsid w:val="008C4953"/>
    <w:rsid w:val="008C4A39"/>
    <w:rsid w:val="008C4E44"/>
    <w:rsid w:val="008C5616"/>
    <w:rsid w:val="008C6255"/>
    <w:rsid w:val="008C684B"/>
    <w:rsid w:val="008C6A74"/>
    <w:rsid w:val="008C6ABD"/>
    <w:rsid w:val="008C6F18"/>
    <w:rsid w:val="008C7685"/>
    <w:rsid w:val="008C7F16"/>
    <w:rsid w:val="008D007A"/>
    <w:rsid w:val="008D01BF"/>
    <w:rsid w:val="008D07DE"/>
    <w:rsid w:val="008D0831"/>
    <w:rsid w:val="008D0E40"/>
    <w:rsid w:val="008D1E7F"/>
    <w:rsid w:val="008D2367"/>
    <w:rsid w:val="008D427A"/>
    <w:rsid w:val="008D4DD5"/>
    <w:rsid w:val="008D5657"/>
    <w:rsid w:val="008D6752"/>
    <w:rsid w:val="008D691F"/>
    <w:rsid w:val="008D69E7"/>
    <w:rsid w:val="008D6FC1"/>
    <w:rsid w:val="008E0140"/>
    <w:rsid w:val="008E0688"/>
    <w:rsid w:val="008E0BEF"/>
    <w:rsid w:val="008E103C"/>
    <w:rsid w:val="008E1071"/>
    <w:rsid w:val="008E266D"/>
    <w:rsid w:val="008E2F0C"/>
    <w:rsid w:val="008E319E"/>
    <w:rsid w:val="008E3E23"/>
    <w:rsid w:val="008E547B"/>
    <w:rsid w:val="008E5B22"/>
    <w:rsid w:val="008E5DF8"/>
    <w:rsid w:val="008E624F"/>
    <w:rsid w:val="008F0216"/>
    <w:rsid w:val="008F0250"/>
    <w:rsid w:val="008F11F4"/>
    <w:rsid w:val="008F1952"/>
    <w:rsid w:val="008F202A"/>
    <w:rsid w:val="008F254D"/>
    <w:rsid w:val="008F310B"/>
    <w:rsid w:val="008F322B"/>
    <w:rsid w:val="008F34CB"/>
    <w:rsid w:val="008F3519"/>
    <w:rsid w:val="008F3AD3"/>
    <w:rsid w:val="008F3CA7"/>
    <w:rsid w:val="008F3CF3"/>
    <w:rsid w:val="008F443F"/>
    <w:rsid w:val="008F5A2E"/>
    <w:rsid w:val="008F5DE5"/>
    <w:rsid w:val="008F5E42"/>
    <w:rsid w:val="008F631B"/>
    <w:rsid w:val="008F63B1"/>
    <w:rsid w:val="008F6973"/>
    <w:rsid w:val="008F6E6A"/>
    <w:rsid w:val="008F7AA7"/>
    <w:rsid w:val="008F7F94"/>
    <w:rsid w:val="00900947"/>
    <w:rsid w:val="00900D2A"/>
    <w:rsid w:val="00900EB8"/>
    <w:rsid w:val="00900FBA"/>
    <w:rsid w:val="009011A5"/>
    <w:rsid w:val="009018A6"/>
    <w:rsid w:val="00901D11"/>
    <w:rsid w:val="00902344"/>
    <w:rsid w:val="00902502"/>
    <w:rsid w:val="00902886"/>
    <w:rsid w:val="00902E5B"/>
    <w:rsid w:val="00903455"/>
    <w:rsid w:val="00903602"/>
    <w:rsid w:val="009037A5"/>
    <w:rsid w:val="00903FD9"/>
    <w:rsid w:val="00904CC3"/>
    <w:rsid w:val="00904CF5"/>
    <w:rsid w:val="00904E74"/>
    <w:rsid w:val="00905259"/>
    <w:rsid w:val="0090556C"/>
    <w:rsid w:val="00905633"/>
    <w:rsid w:val="00905784"/>
    <w:rsid w:val="00905EAE"/>
    <w:rsid w:val="009060C4"/>
    <w:rsid w:val="00906C91"/>
    <w:rsid w:val="00906C95"/>
    <w:rsid w:val="00906C98"/>
    <w:rsid w:val="00907222"/>
    <w:rsid w:val="00907656"/>
    <w:rsid w:val="00907E47"/>
    <w:rsid w:val="009115EF"/>
    <w:rsid w:val="009116DD"/>
    <w:rsid w:val="00912D1C"/>
    <w:rsid w:val="00913019"/>
    <w:rsid w:val="00913F1E"/>
    <w:rsid w:val="00913FB2"/>
    <w:rsid w:val="009140C4"/>
    <w:rsid w:val="009140CD"/>
    <w:rsid w:val="009144A9"/>
    <w:rsid w:val="0091468B"/>
    <w:rsid w:val="0091493C"/>
    <w:rsid w:val="0091526F"/>
    <w:rsid w:val="009153D2"/>
    <w:rsid w:val="00916286"/>
    <w:rsid w:val="009163DC"/>
    <w:rsid w:val="00916517"/>
    <w:rsid w:val="00916595"/>
    <w:rsid w:val="00916C47"/>
    <w:rsid w:val="00916F22"/>
    <w:rsid w:val="009171AD"/>
    <w:rsid w:val="00917569"/>
    <w:rsid w:val="00920174"/>
    <w:rsid w:val="00920B33"/>
    <w:rsid w:val="00921190"/>
    <w:rsid w:val="009219D2"/>
    <w:rsid w:val="00921A4E"/>
    <w:rsid w:val="00921E37"/>
    <w:rsid w:val="00922511"/>
    <w:rsid w:val="00922ADE"/>
    <w:rsid w:val="00922F07"/>
    <w:rsid w:val="00923463"/>
    <w:rsid w:val="00923B9E"/>
    <w:rsid w:val="00923D4A"/>
    <w:rsid w:val="00923E8D"/>
    <w:rsid w:val="00925238"/>
    <w:rsid w:val="00925ACF"/>
    <w:rsid w:val="0092615D"/>
    <w:rsid w:val="00926546"/>
    <w:rsid w:val="009265A1"/>
    <w:rsid w:val="00927700"/>
    <w:rsid w:val="00927D60"/>
    <w:rsid w:val="0093036E"/>
    <w:rsid w:val="00930715"/>
    <w:rsid w:val="00931224"/>
    <w:rsid w:val="0093264C"/>
    <w:rsid w:val="0093335E"/>
    <w:rsid w:val="009333D3"/>
    <w:rsid w:val="009339B6"/>
    <w:rsid w:val="00933B4C"/>
    <w:rsid w:val="00933DC4"/>
    <w:rsid w:val="0093431B"/>
    <w:rsid w:val="009346D6"/>
    <w:rsid w:val="00934743"/>
    <w:rsid w:val="0093487E"/>
    <w:rsid w:val="0093493C"/>
    <w:rsid w:val="00934E1B"/>
    <w:rsid w:val="00934FFE"/>
    <w:rsid w:val="00936405"/>
    <w:rsid w:val="00936A58"/>
    <w:rsid w:val="00936B64"/>
    <w:rsid w:val="00937471"/>
    <w:rsid w:val="009379C4"/>
    <w:rsid w:val="0094041A"/>
    <w:rsid w:val="00940D32"/>
    <w:rsid w:val="0094190D"/>
    <w:rsid w:val="00942155"/>
    <w:rsid w:val="00942354"/>
    <w:rsid w:val="00942681"/>
    <w:rsid w:val="00943A7E"/>
    <w:rsid w:val="00943E42"/>
    <w:rsid w:val="00943E5D"/>
    <w:rsid w:val="009440C1"/>
    <w:rsid w:val="00944728"/>
    <w:rsid w:val="0094477B"/>
    <w:rsid w:val="009453E8"/>
    <w:rsid w:val="00945664"/>
    <w:rsid w:val="00945AD1"/>
    <w:rsid w:val="009462BC"/>
    <w:rsid w:val="009464A9"/>
    <w:rsid w:val="00946DF7"/>
    <w:rsid w:val="00946ECB"/>
    <w:rsid w:val="00947268"/>
    <w:rsid w:val="0094750E"/>
    <w:rsid w:val="00947C94"/>
    <w:rsid w:val="00947E52"/>
    <w:rsid w:val="00950551"/>
    <w:rsid w:val="009507C8"/>
    <w:rsid w:val="00950D64"/>
    <w:rsid w:val="0095115E"/>
    <w:rsid w:val="0095118A"/>
    <w:rsid w:val="00952468"/>
    <w:rsid w:val="0095319B"/>
    <w:rsid w:val="00954767"/>
    <w:rsid w:val="0095487A"/>
    <w:rsid w:val="009548FB"/>
    <w:rsid w:val="0095538B"/>
    <w:rsid w:val="00955737"/>
    <w:rsid w:val="00955FD2"/>
    <w:rsid w:val="009571D1"/>
    <w:rsid w:val="00957AF7"/>
    <w:rsid w:val="00960ACA"/>
    <w:rsid w:val="00960C4F"/>
    <w:rsid w:val="0096217C"/>
    <w:rsid w:val="00962441"/>
    <w:rsid w:val="00963277"/>
    <w:rsid w:val="009632DF"/>
    <w:rsid w:val="00963EEB"/>
    <w:rsid w:val="00964B53"/>
    <w:rsid w:val="00964C3F"/>
    <w:rsid w:val="00964C6C"/>
    <w:rsid w:val="00964E22"/>
    <w:rsid w:val="00965176"/>
    <w:rsid w:val="00965240"/>
    <w:rsid w:val="00965847"/>
    <w:rsid w:val="00965A3E"/>
    <w:rsid w:val="00965C48"/>
    <w:rsid w:val="00966358"/>
    <w:rsid w:val="00966D9D"/>
    <w:rsid w:val="00966E4A"/>
    <w:rsid w:val="00967041"/>
    <w:rsid w:val="0097015A"/>
    <w:rsid w:val="009705F8"/>
    <w:rsid w:val="00970918"/>
    <w:rsid w:val="0097099E"/>
    <w:rsid w:val="00971761"/>
    <w:rsid w:val="0097216F"/>
    <w:rsid w:val="00972C3B"/>
    <w:rsid w:val="00973057"/>
    <w:rsid w:val="00973771"/>
    <w:rsid w:val="00973EA4"/>
    <w:rsid w:val="00974D50"/>
    <w:rsid w:val="009751AF"/>
    <w:rsid w:val="00975326"/>
    <w:rsid w:val="00975DEA"/>
    <w:rsid w:val="00975F23"/>
    <w:rsid w:val="00977C60"/>
    <w:rsid w:val="00977CDF"/>
    <w:rsid w:val="0098043F"/>
    <w:rsid w:val="00980840"/>
    <w:rsid w:val="00981038"/>
    <w:rsid w:val="0098106E"/>
    <w:rsid w:val="00981511"/>
    <w:rsid w:val="00981D1C"/>
    <w:rsid w:val="00981E1C"/>
    <w:rsid w:val="00982118"/>
    <w:rsid w:val="0098285E"/>
    <w:rsid w:val="00982C62"/>
    <w:rsid w:val="00982C91"/>
    <w:rsid w:val="00982F76"/>
    <w:rsid w:val="00982FA3"/>
    <w:rsid w:val="009834A3"/>
    <w:rsid w:val="009834D7"/>
    <w:rsid w:val="0098386F"/>
    <w:rsid w:val="009840FD"/>
    <w:rsid w:val="00984701"/>
    <w:rsid w:val="00984847"/>
    <w:rsid w:val="00984BEC"/>
    <w:rsid w:val="009859D2"/>
    <w:rsid w:val="00985EB8"/>
    <w:rsid w:val="00985FB3"/>
    <w:rsid w:val="00986134"/>
    <w:rsid w:val="00986566"/>
    <w:rsid w:val="00986756"/>
    <w:rsid w:val="00986CC1"/>
    <w:rsid w:val="00986F4E"/>
    <w:rsid w:val="00987191"/>
    <w:rsid w:val="00987A5A"/>
    <w:rsid w:val="00987CB4"/>
    <w:rsid w:val="00987D85"/>
    <w:rsid w:val="0099097E"/>
    <w:rsid w:val="009921FC"/>
    <w:rsid w:val="009923DE"/>
    <w:rsid w:val="0099272B"/>
    <w:rsid w:val="00992A0E"/>
    <w:rsid w:val="0099399E"/>
    <w:rsid w:val="0099413C"/>
    <w:rsid w:val="00994230"/>
    <w:rsid w:val="0099479E"/>
    <w:rsid w:val="00994FF7"/>
    <w:rsid w:val="009951D8"/>
    <w:rsid w:val="00995355"/>
    <w:rsid w:val="0099586F"/>
    <w:rsid w:val="009966B7"/>
    <w:rsid w:val="00996CB5"/>
    <w:rsid w:val="00997067"/>
    <w:rsid w:val="0099719E"/>
    <w:rsid w:val="009973C4"/>
    <w:rsid w:val="009A0169"/>
    <w:rsid w:val="009A1B56"/>
    <w:rsid w:val="009A246B"/>
    <w:rsid w:val="009A2A8A"/>
    <w:rsid w:val="009A3C93"/>
    <w:rsid w:val="009A3FD0"/>
    <w:rsid w:val="009A4CA1"/>
    <w:rsid w:val="009A51C7"/>
    <w:rsid w:val="009A59EC"/>
    <w:rsid w:val="009A5C56"/>
    <w:rsid w:val="009A5CA8"/>
    <w:rsid w:val="009A649E"/>
    <w:rsid w:val="009A6ED0"/>
    <w:rsid w:val="009A706A"/>
    <w:rsid w:val="009A71AB"/>
    <w:rsid w:val="009A7210"/>
    <w:rsid w:val="009A7745"/>
    <w:rsid w:val="009A7C3D"/>
    <w:rsid w:val="009B0156"/>
    <w:rsid w:val="009B0295"/>
    <w:rsid w:val="009B05BA"/>
    <w:rsid w:val="009B122D"/>
    <w:rsid w:val="009B1B0E"/>
    <w:rsid w:val="009B22FB"/>
    <w:rsid w:val="009B2596"/>
    <w:rsid w:val="009B42B6"/>
    <w:rsid w:val="009B42CC"/>
    <w:rsid w:val="009B43D6"/>
    <w:rsid w:val="009B46AF"/>
    <w:rsid w:val="009B5081"/>
    <w:rsid w:val="009B6985"/>
    <w:rsid w:val="009B69B3"/>
    <w:rsid w:val="009B69CC"/>
    <w:rsid w:val="009B7011"/>
    <w:rsid w:val="009B71E4"/>
    <w:rsid w:val="009C04EE"/>
    <w:rsid w:val="009C0CD4"/>
    <w:rsid w:val="009C15E7"/>
    <w:rsid w:val="009C17C8"/>
    <w:rsid w:val="009C1EF6"/>
    <w:rsid w:val="009C20D5"/>
    <w:rsid w:val="009C294E"/>
    <w:rsid w:val="009C385B"/>
    <w:rsid w:val="009C3E3C"/>
    <w:rsid w:val="009C4353"/>
    <w:rsid w:val="009C49C2"/>
    <w:rsid w:val="009C4E2D"/>
    <w:rsid w:val="009C62C0"/>
    <w:rsid w:val="009C6A88"/>
    <w:rsid w:val="009C6BF6"/>
    <w:rsid w:val="009C765D"/>
    <w:rsid w:val="009C7ADA"/>
    <w:rsid w:val="009C7B89"/>
    <w:rsid w:val="009D000A"/>
    <w:rsid w:val="009D00E5"/>
    <w:rsid w:val="009D0928"/>
    <w:rsid w:val="009D1A86"/>
    <w:rsid w:val="009D1E12"/>
    <w:rsid w:val="009D2DA9"/>
    <w:rsid w:val="009D2E93"/>
    <w:rsid w:val="009D2EA9"/>
    <w:rsid w:val="009D3038"/>
    <w:rsid w:val="009D34C0"/>
    <w:rsid w:val="009D35FB"/>
    <w:rsid w:val="009D3A08"/>
    <w:rsid w:val="009D43F4"/>
    <w:rsid w:val="009D4BBE"/>
    <w:rsid w:val="009D4E16"/>
    <w:rsid w:val="009D5803"/>
    <w:rsid w:val="009D5893"/>
    <w:rsid w:val="009D6620"/>
    <w:rsid w:val="009D6C54"/>
    <w:rsid w:val="009D72B0"/>
    <w:rsid w:val="009D77CE"/>
    <w:rsid w:val="009D7DE3"/>
    <w:rsid w:val="009E004A"/>
    <w:rsid w:val="009E066B"/>
    <w:rsid w:val="009E1515"/>
    <w:rsid w:val="009E1CFF"/>
    <w:rsid w:val="009E1FEE"/>
    <w:rsid w:val="009E23EA"/>
    <w:rsid w:val="009E24EA"/>
    <w:rsid w:val="009E2D24"/>
    <w:rsid w:val="009E2EA0"/>
    <w:rsid w:val="009E305F"/>
    <w:rsid w:val="009E36FF"/>
    <w:rsid w:val="009E37D3"/>
    <w:rsid w:val="009E466B"/>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1594"/>
    <w:rsid w:val="009F1D7F"/>
    <w:rsid w:val="009F1E6D"/>
    <w:rsid w:val="009F245B"/>
    <w:rsid w:val="009F25E6"/>
    <w:rsid w:val="009F2BE8"/>
    <w:rsid w:val="009F2F09"/>
    <w:rsid w:val="009F39A7"/>
    <w:rsid w:val="009F40B7"/>
    <w:rsid w:val="009F4188"/>
    <w:rsid w:val="009F4302"/>
    <w:rsid w:val="009F4393"/>
    <w:rsid w:val="009F43C4"/>
    <w:rsid w:val="009F4BE9"/>
    <w:rsid w:val="009F5CE4"/>
    <w:rsid w:val="009F62D3"/>
    <w:rsid w:val="009F6F64"/>
    <w:rsid w:val="009F7DAD"/>
    <w:rsid w:val="00A00112"/>
    <w:rsid w:val="00A008B5"/>
    <w:rsid w:val="00A017B4"/>
    <w:rsid w:val="00A01C53"/>
    <w:rsid w:val="00A01D38"/>
    <w:rsid w:val="00A02176"/>
    <w:rsid w:val="00A02414"/>
    <w:rsid w:val="00A025B9"/>
    <w:rsid w:val="00A025C9"/>
    <w:rsid w:val="00A0355C"/>
    <w:rsid w:val="00A03A13"/>
    <w:rsid w:val="00A03A6C"/>
    <w:rsid w:val="00A040CD"/>
    <w:rsid w:val="00A04429"/>
    <w:rsid w:val="00A06446"/>
    <w:rsid w:val="00A06697"/>
    <w:rsid w:val="00A06C40"/>
    <w:rsid w:val="00A10586"/>
    <w:rsid w:val="00A10A48"/>
    <w:rsid w:val="00A110DA"/>
    <w:rsid w:val="00A1132B"/>
    <w:rsid w:val="00A11338"/>
    <w:rsid w:val="00A11930"/>
    <w:rsid w:val="00A11B54"/>
    <w:rsid w:val="00A11C23"/>
    <w:rsid w:val="00A11CDC"/>
    <w:rsid w:val="00A1238C"/>
    <w:rsid w:val="00A1263D"/>
    <w:rsid w:val="00A12AF2"/>
    <w:rsid w:val="00A12D8A"/>
    <w:rsid w:val="00A12E6C"/>
    <w:rsid w:val="00A136D0"/>
    <w:rsid w:val="00A13D1A"/>
    <w:rsid w:val="00A14907"/>
    <w:rsid w:val="00A14DC2"/>
    <w:rsid w:val="00A14DD6"/>
    <w:rsid w:val="00A14E4B"/>
    <w:rsid w:val="00A14EF8"/>
    <w:rsid w:val="00A15D5E"/>
    <w:rsid w:val="00A161F8"/>
    <w:rsid w:val="00A165D8"/>
    <w:rsid w:val="00A167E6"/>
    <w:rsid w:val="00A169FA"/>
    <w:rsid w:val="00A16FFE"/>
    <w:rsid w:val="00A1766A"/>
    <w:rsid w:val="00A20034"/>
    <w:rsid w:val="00A200F4"/>
    <w:rsid w:val="00A206C9"/>
    <w:rsid w:val="00A20C27"/>
    <w:rsid w:val="00A20E7D"/>
    <w:rsid w:val="00A216BC"/>
    <w:rsid w:val="00A23931"/>
    <w:rsid w:val="00A23FD6"/>
    <w:rsid w:val="00A25317"/>
    <w:rsid w:val="00A25706"/>
    <w:rsid w:val="00A25D84"/>
    <w:rsid w:val="00A26029"/>
    <w:rsid w:val="00A2607C"/>
    <w:rsid w:val="00A260B8"/>
    <w:rsid w:val="00A262E4"/>
    <w:rsid w:val="00A268EA"/>
    <w:rsid w:val="00A27CF1"/>
    <w:rsid w:val="00A30B0C"/>
    <w:rsid w:val="00A31CE0"/>
    <w:rsid w:val="00A31FA9"/>
    <w:rsid w:val="00A333BF"/>
    <w:rsid w:val="00A33825"/>
    <w:rsid w:val="00A3398F"/>
    <w:rsid w:val="00A35583"/>
    <w:rsid w:val="00A35923"/>
    <w:rsid w:val="00A363EF"/>
    <w:rsid w:val="00A36DFE"/>
    <w:rsid w:val="00A370FD"/>
    <w:rsid w:val="00A3798C"/>
    <w:rsid w:val="00A37DD9"/>
    <w:rsid w:val="00A40ED7"/>
    <w:rsid w:val="00A40F83"/>
    <w:rsid w:val="00A412BA"/>
    <w:rsid w:val="00A413DA"/>
    <w:rsid w:val="00A41416"/>
    <w:rsid w:val="00A4200D"/>
    <w:rsid w:val="00A424BF"/>
    <w:rsid w:val="00A4258E"/>
    <w:rsid w:val="00A432D1"/>
    <w:rsid w:val="00A43716"/>
    <w:rsid w:val="00A442C5"/>
    <w:rsid w:val="00A44712"/>
    <w:rsid w:val="00A44AF5"/>
    <w:rsid w:val="00A44B8B"/>
    <w:rsid w:val="00A44BB5"/>
    <w:rsid w:val="00A45EC4"/>
    <w:rsid w:val="00A47212"/>
    <w:rsid w:val="00A474EA"/>
    <w:rsid w:val="00A501B2"/>
    <w:rsid w:val="00A5034A"/>
    <w:rsid w:val="00A507B6"/>
    <w:rsid w:val="00A50FFA"/>
    <w:rsid w:val="00A518CB"/>
    <w:rsid w:val="00A51A27"/>
    <w:rsid w:val="00A52A50"/>
    <w:rsid w:val="00A532D3"/>
    <w:rsid w:val="00A539D1"/>
    <w:rsid w:val="00A54DAE"/>
    <w:rsid w:val="00A56D3B"/>
    <w:rsid w:val="00A57450"/>
    <w:rsid w:val="00A57479"/>
    <w:rsid w:val="00A57C08"/>
    <w:rsid w:val="00A600D9"/>
    <w:rsid w:val="00A604CD"/>
    <w:rsid w:val="00A605E1"/>
    <w:rsid w:val="00A60CE0"/>
    <w:rsid w:val="00A637A0"/>
    <w:rsid w:val="00A63ECD"/>
    <w:rsid w:val="00A64093"/>
    <w:rsid w:val="00A640EB"/>
    <w:rsid w:val="00A64815"/>
    <w:rsid w:val="00A65043"/>
    <w:rsid w:val="00A669E2"/>
    <w:rsid w:val="00A66AA9"/>
    <w:rsid w:val="00A66BBD"/>
    <w:rsid w:val="00A66DF9"/>
    <w:rsid w:val="00A67A13"/>
    <w:rsid w:val="00A704E4"/>
    <w:rsid w:val="00A7136A"/>
    <w:rsid w:val="00A71AC1"/>
    <w:rsid w:val="00A71C44"/>
    <w:rsid w:val="00A71FCA"/>
    <w:rsid w:val="00A72296"/>
    <w:rsid w:val="00A7388E"/>
    <w:rsid w:val="00A741D9"/>
    <w:rsid w:val="00A74544"/>
    <w:rsid w:val="00A74548"/>
    <w:rsid w:val="00A74978"/>
    <w:rsid w:val="00A74DF2"/>
    <w:rsid w:val="00A74E4D"/>
    <w:rsid w:val="00A750FC"/>
    <w:rsid w:val="00A7592E"/>
    <w:rsid w:val="00A76226"/>
    <w:rsid w:val="00A76C1F"/>
    <w:rsid w:val="00A77150"/>
    <w:rsid w:val="00A803FC"/>
    <w:rsid w:val="00A8071A"/>
    <w:rsid w:val="00A80BCB"/>
    <w:rsid w:val="00A80DD9"/>
    <w:rsid w:val="00A80FCA"/>
    <w:rsid w:val="00A81CBC"/>
    <w:rsid w:val="00A82506"/>
    <w:rsid w:val="00A83308"/>
    <w:rsid w:val="00A837CE"/>
    <w:rsid w:val="00A83BEE"/>
    <w:rsid w:val="00A83DB5"/>
    <w:rsid w:val="00A83FBA"/>
    <w:rsid w:val="00A84543"/>
    <w:rsid w:val="00A84636"/>
    <w:rsid w:val="00A84FE1"/>
    <w:rsid w:val="00A85080"/>
    <w:rsid w:val="00A85337"/>
    <w:rsid w:val="00A8626D"/>
    <w:rsid w:val="00A86406"/>
    <w:rsid w:val="00A86853"/>
    <w:rsid w:val="00A86B75"/>
    <w:rsid w:val="00A86E75"/>
    <w:rsid w:val="00A86F33"/>
    <w:rsid w:val="00A9065F"/>
    <w:rsid w:val="00A9086C"/>
    <w:rsid w:val="00A90B0E"/>
    <w:rsid w:val="00A91AA1"/>
    <w:rsid w:val="00A91C8C"/>
    <w:rsid w:val="00A91F0D"/>
    <w:rsid w:val="00A9235A"/>
    <w:rsid w:val="00A92FF7"/>
    <w:rsid w:val="00A93069"/>
    <w:rsid w:val="00A93870"/>
    <w:rsid w:val="00A94328"/>
    <w:rsid w:val="00A94411"/>
    <w:rsid w:val="00A9468F"/>
    <w:rsid w:val="00A9498D"/>
    <w:rsid w:val="00A95335"/>
    <w:rsid w:val="00A9566B"/>
    <w:rsid w:val="00A9657F"/>
    <w:rsid w:val="00A9681F"/>
    <w:rsid w:val="00A97291"/>
    <w:rsid w:val="00A9797D"/>
    <w:rsid w:val="00A97F8D"/>
    <w:rsid w:val="00AA015F"/>
    <w:rsid w:val="00AA0450"/>
    <w:rsid w:val="00AA0C3A"/>
    <w:rsid w:val="00AA0EDE"/>
    <w:rsid w:val="00AA1723"/>
    <w:rsid w:val="00AA190D"/>
    <w:rsid w:val="00AA1E65"/>
    <w:rsid w:val="00AA1FDD"/>
    <w:rsid w:val="00AA22C3"/>
    <w:rsid w:val="00AA230D"/>
    <w:rsid w:val="00AA2E0C"/>
    <w:rsid w:val="00AA4941"/>
    <w:rsid w:val="00AA49E9"/>
    <w:rsid w:val="00AA5323"/>
    <w:rsid w:val="00AA5475"/>
    <w:rsid w:val="00AA5876"/>
    <w:rsid w:val="00AA6A8A"/>
    <w:rsid w:val="00AA6A9C"/>
    <w:rsid w:val="00AA6DD8"/>
    <w:rsid w:val="00AA6FA3"/>
    <w:rsid w:val="00AA70BB"/>
    <w:rsid w:val="00AA70C0"/>
    <w:rsid w:val="00AA757C"/>
    <w:rsid w:val="00AA7F10"/>
    <w:rsid w:val="00AB0391"/>
    <w:rsid w:val="00AB2151"/>
    <w:rsid w:val="00AB2C59"/>
    <w:rsid w:val="00AB2C8A"/>
    <w:rsid w:val="00AB42B6"/>
    <w:rsid w:val="00AB4BB2"/>
    <w:rsid w:val="00AB4D67"/>
    <w:rsid w:val="00AB545D"/>
    <w:rsid w:val="00AB54D7"/>
    <w:rsid w:val="00AB55EA"/>
    <w:rsid w:val="00AB57D3"/>
    <w:rsid w:val="00AB6886"/>
    <w:rsid w:val="00AB6AE4"/>
    <w:rsid w:val="00AB6E00"/>
    <w:rsid w:val="00AB6F37"/>
    <w:rsid w:val="00AB769E"/>
    <w:rsid w:val="00AB7D55"/>
    <w:rsid w:val="00AC0681"/>
    <w:rsid w:val="00AC0833"/>
    <w:rsid w:val="00AC0E66"/>
    <w:rsid w:val="00AC0EF5"/>
    <w:rsid w:val="00AC154B"/>
    <w:rsid w:val="00AC1B72"/>
    <w:rsid w:val="00AC26FE"/>
    <w:rsid w:val="00AC350D"/>
    <w:rsid w:val="00AC3568"/>
    <w:rsid w:val="00AC3AFA"/>
    <w:rsid w:val="00AC3CF2"/>
    <w:rsid w:val="00AC47EC"/>
    <w:rsid w:val="00AC4E5D"/>
    <w:rsid w:val="00AC69BD"/>
    <w:rsid w:val="00AC6C53"/>
    <w:rsid w:val="00AC6E85"/>
    <w:rsid w:val="00AC7284"/>
    <w:rsid w:val="00AC7B5F"/>
    <w:rsid w:val="00AC7CE6"/>
    <w:rsid w:val="00AC7EAA"/>
    <w:rsid w:val="00AD0828"/>
    <w:rsid w:val="00AD0B13"/>
    <w:rsid w:val="00AD0E69"/>
    <w:rsid w:val="00AD103D"/>
    <w:rsid w:val="00AD159C"/>
    <w:rsid w:val="00AD17FA"/>
    <w:rsid w:val="00AD19EC"/>
    <w:rsid w:val="00AD2717"/>
    <w:rsid w:val="00AD278A"/>
    <w:rsid w:val="00AD2B6B"/>
    <w:rsid w:val="00AD3DC4"/>
    <w:rsid w:val="00AD4FF4"/>
    <w:rsid w:val="00AD531D"/>
    <w:rsid w:val="00AD600C"/>
    <w:rsid w:val="00AD63D6"/>
    <w:rsid w:val="00AD6CD5"/>
    <w:rsid w:val="00AD733B"/>
    <w:rsid w:val="00AD761A"/>
    <w:rsid w:val="00AD7CA7"/>
    <w:rsid w:val="00AE0040"/>
    <w:rsid w:val="00AE0094"/>
    <w:rsid w:val="00AE062E"/>
    <w:rsid w:val="00AE184D"/>
    <w:rsid w:val="00AE1C03"/>
    <w:rsid w:val="00AE23E3"/>
    <w:rsid w:val="00AE2445"/>
    <w:rsid w:val="00AE2B59"/>
    <w:rsid w:val="00AE2F65"/>
    <w:rsid w:val="00AE30F1"/>
    <w:rsid w:val="00AE317E"/>
    <w:rsid w:val="00AE35A5"/>
    <w:rsid w:val="00AE4E2A"/>
    <w:rsid w:val="00AE5CF9"/>
    <w:rsid w:val="00AE5DB6"/>
    <w:rsid w:val="00AE62D8"/>
    <w:rsid w:val="00AE6C3C"/>
    <w:rsid w:val="00AE702E"/>
    <w:rsid w:val="00AE73E0"/>
    <w:rsid w:val="00AF03C0"/>
    <w:rsid w:val="00AF166F"/>
    <w:rsid w:val="00AF1B64"/>
    <w:rsid w:val="00AF1C03"/>
    <w:rsid w:val="00AF1E10"/>
    <w:rsid w:val="00AF39AF"/>
    <w:rsid w:val="00AF3E3B"/>
    <w:rsid w:val="00AF3E5A"/>
    <w:rsid w:val="00AF450F"/>
    <w:rsid w:val="00AF46FE"/>
    <w:rsid w:val="00AF486F"/>
    <w:rsid w:val="00AF548B"/>
    <w:rsid w:val="00AF5500"/>
    <w:rsid w:val="00AF55E0"/>
    <w:rsid w:val="00AF5666"/>
    <w:rsid w:val="00AF5870"/>
    <w:rsid w:val="00AF6472"/>
    <w:rsid w:val="00AF6619"/>
    <w:rsid w:val="00AF6CFD"/>
    <w:rsid w:val="00AF7DC1"/>
    <w:rsid w:val="00B000AE"/>
    <w:rsid w:val="00B0040B"/>
    <w:rsid w:val="00B00830"/>
    <w:rsid w:val="00B00AB5"/>
    <w:rsid w:val="00B00CC0"/>
    <w:rsid w:val="00B00F5C"/>
    <w:rsid w:val="00B019C1"/>
    <w:rsid w:val="00B0236E"/>
    <w:rsid w:val="00B024F8"/>
    <w:rsid w:val="00B02506"/>
    <w:rsid w:val="00B02ACE"/>
    <w:rsid w:val="00B03913"/>
    <w:rsid w:val="00B0417C"/>
    <w:rsid w:val="00B04CEA"/>
    <w:rsid w:val="00B051EB"/>
    <w:rsid w:val="00B05607"/>
    <w:rsid w:val="00B05A08"/>
    <w:rsid w:val="00B05A83"/>
    <w:rsid w:val="00B05F14"/>
    <w:rsid w:val="00B0641D"/>
    <w:rsid w:val="00B065C1"/>
    <w:rsid w:val="00B06737"/>
    <w:rsid w:val="00B0784C"/>
    <w:rsid w:val="00B07CE9"/>
    <w:rsid w:val="00B101D5"/>
    <w:rsid w:val="00B10633"/>
    <w:rsid w:val="00B10B08"/>
    <w:rsid w:val="00B10EFB"/>
    <w:rsid w:val="00B11A78"/>
    <w:rsid w:val="00B11CFB"/>
    <w:rsid w:val="00B12111"/>
    <w:rsid w:val="00B1225E"/>
    <w:rsid w:val="00B12CED"/>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139"/>
    <w:rsid w:val="00B21736"/>
    <w:rsid w:val="00B2178E"/>
    <w:rsid w:val="00B218B1"/>
    <w:rsid w:val="00B21A33"/>
    <w:rsid w:val="00B224AA"/>
    <w:rsid w:val="00B22865"/>
    <w:rsid w:val="00B22998"/>
    <w:rsid w:val="00B229FE"/>
    <w:rsid w:val="00B2302B"/>
    <w:rsid w:val="00B24363"/>
    <w:rsid w:val="00B2456E"/>
    <w:rsid w:val="00B24979"/>
    <w:rsid w:val="00B250A5"/>
    <w:rsid w:val="00B2512A"/>
    <w:rsid w:val="00B25651"/>
    <w:rsid w:val="00B26937"/>
    <w:rsid w:val="00B276E6"/>
    <w:rsid w:val="00B300D1"/>
    <w:rsid w:val="00B30243"/>
    <w:rsid w:val="00B30421"/>
    <w:rsid w:val="00B30DC8"/>
    <w:rsid w:val="00B315BB"/>
    <w:rsid w:val="00B31977"/>
    <w:rsid w:val="00B31C5E"/>
    <w:rsid w:val="00B3235A"/>
    <w:rsid w:val="00B333FE"/>
    <w:rsid w:val="00B3382B"/>
    <w:rsid w:val="00B33A42"/>
    <w:rsid w:val="00B3500D"/>
    <w:rsid w:val="00B35094"/>
    <w:rsid w:val="00B350F0"/>
    <w:rsid w:val="00B357AC"/>
    <w:rsid w:val="00B35992"/>
    <w:rsid w:val="00B35E4B"/>
    <w:rsid w:val="00B35FCC"/>
    <w:rsid w:val="00B36518"/>
    <w:rsid w:val="00B3759F"/>
    <w:rsid w:val="00B378CC"/>
    <w:rsid w:val="00B41615"/>
    <w:rsid w:val="00B41FD8"/>
    <w:rsid w:val="00B420DF"/>
    <w:rsid w:val="00B421A3"/>
    <w:rsid w:val="00B428E2"/>
    <w:rsid w:val="00B42A2C"/>
    <w:rsid w:val="00B42A5C"/>
    <w:rsid w:val="00B42A98"/>
    <w:rsid w:val="00B42C64"/>
    <w:rsid w:val="00B42D00"/>
    <w:rsid w:val="00B43C0E"/>
    <w:rsid w:val="00B443F5"/>
    <w:rsid w:val="00B448EF"/>
    <w:rsid w:val="00B44C5A"/>
    <w:rsid w:val="00B44F4F"/>
    <w:rsid w:val="00B44F98"/>
    <w:rsid w:val="00B46A34"/>
    <w:rsid w:val="00B46C32"/>
    <w:rsid w:val="00B47493"/>
    <w:rsid w:val="00B474C8"/>
    <w:rsid w:val="00B474DF"/>
    <w:rsid w:val="00B47544"/>
    <w:rsid w:val="00B47860"/>
    <w:rsid w:val="00B47915"/>
    <w:rsid w:val="00B479AD"/>
    <w:rsid w:val="00B50509"/>
    <w:rsid w:val="00B50E18"/>
    <w:rsid w:val="00B513A9"/>
    <w:rsid w:val="00B51568"/>
    <w:rsid w:val="00B51609"/>
    <w:rsid w:val="00B51610"/>
    <w:rsid w:val="00B5167B"/>
    <w:rsid w:val="00B518CA"/>
    <w:rsid w:val="00B520E3"/>
    <w:rsid w:val="00B52336"/>
    <w:rsid w:val="00B53450"/>
    <w:rsid w:val="00B5388C"/>
    <w:rsid w:val="00B547A0"/>
    <w:rsid w:val="00B55B10"/>
    <w:rsid w:val="00B55CED"/>
    <w:rsid w:val="00B55D57"/>
    <w:rsid w:val="00B55E9D"/>
    <w:rsid w:val="00B55F80"/>
    <w:rsid w:val="00B56480"/>
    <w:rsid w:val="00B565D6"/>
    <w:rsid w:val="00B56DF1"/>
    <w:rsid w:val="00B576A4"/>
    <w:rsid w:val="00B57998"/>
    <w:rsid w:val="00B579CC"/>
    <w:rsid w:val="00B57CD0"/>
    <w:rsid w:val="00B57DA9"/>
    <w:rsid w:val="00B57E2C"/>
    <w:rsid w:val="00B60177"/>
    <w:rsid w:val="00B60639"/>
    <w:rsid w:val="00B60E48"/>
    <w:rsid w:val="00B629C9"/>
    <w:rsid w:val="00B6308E"/>
    <w:rsid w:val="00B630CA"/>
    <w:rsid w:val="00B63AF4"/>
    <w:rsid w:val="00B63D58"/>
    <w:rsid w:val="00B6472B"/>
    <w:rsid w:val="00B64E8A"/>
    <w:rsid w:val="00B65588"/>
    <w:rsid w:val="00B658D1"/>
    <w:rsid w:val="00B66064"/>
    <w:rsid w:val="00B66995"/>
    <w:rsid w:val="00B670A3"/>
    <w:rsid w:val="00B671A1"/>
    <w:rsid w:val="00B675A6"/>
    <w:rsid w:val="00B6794D"/>
    <w:rsid w:val="00B679B1"/>
    <w:rsid w:val="00B67B55"/>
    <w:rsid w:val="00B67BCE"/>
    <w:rsid w:val="00B67C6C"/>
    <w:rsid w:val="00B70477"/>
    <w:rsid w:val="00B70C61"/>
    <w:rsid w:val="00B70E5A"/>
    <w:rsid w:val="00B71752"/>
    <w:rsid w:val="00B7220D"/>
    <w:rsid w:val="00B749B6"/>
    <w:rsid w:val="00B7509A"/>
    <w:rsid w:val="00B75B67"/>
    <w:rsid w:val="00B7613E"/>
    <w:rsid w:val="00B766C1"/>
    <w:rsid w:val="00B76966"/>
    <w:rsid w:val="00B76B96"/>
    <w:rsid w:val="00B76EFB"/>
    <w:rsid w:val="00B77129"/>
    <w:rsid w:val="00B77C37"/>
    <w:rsid w:val="00B807BF"/>
    <w:rsid w:val="00B809B1"/>
    <w:rsid w:val="00B81249"/>
    <w:rsid w:val="00B82543"/>
    <w:rsid w:val="00B82998"/>
    <w:rsid w:val="00B82AEF"/>
    <w:rsid w:val="00B834B0"/>
    <w:rsid w:val="00B836E4"/>
    <w:rsid w:val="00B837F6"/>
    <w:rsid w:val="00B83DAE"/>
    <w:rsid w:val="00B83F84"/>
    <w:rsid w:val="00B84FB4"/>
    <w:rsid w:val="00B86D78"/>
    <w:rsid w:val="00B86F2A"/>
    <w:rsid w:val="00B8756E"/>
    <w:rsid w:val="00B87DF9"/>
    <w:rsid w:val="00B90E08"/>
    <w:rsid w:val="00B91396"/>
    <w:rsid w:val="00B91951"/>
    <w:rsid w:val="00B91A58"/>
    <w:rsid w:val="00B91EAD"/>
    <w:rsid w:val="00B920B9"/>
    <w:rsid w:val="00B930D2"/>
    <w:rsid w:val="00B937CD"/>
    <w:rsid w:val="00B938BC"/>
    <w:rsid w:val="00B93997"/>
    <w:rsid w:val="00B93C98"/>
    <w:rsid w:val="00B93FA1"/>
    <w:rsid w:val="00B9413A"/>
    <w:rsid w:val="00B94640"/>
    <w:rsid w:val="00B94B29"/>
    <w:rsid w:val="00B96AFD"/>
    <w:rsid w:val="00B96D56"/>
    <w:rsid w:val="00B971B8"/>
    <w:rsid w:val="00B976BB"/>
    <w:rsid w:val="00BA01A7"/>
    <w:rsid w:val="00BA0224"/>
    <w:rsid w:val="00BA05C8"/>
    <w:rsid w:val="00BA09AA"/>
    <w:rsid w:val="00BA0AD5"/>
    <w:rsid w:val="00BA0CA0"/>
    <w:rsid w:val="00BA0E3C"/>
    <w:rsid w:val="00BA1F74"/>
    <w:rsid w:val="00BA1FE7"/>
    <w:rsid w:val="00BA2B1D"/>
    <w:rsid w:val="00BA3D14"/>
    <w:rsid w:val="00BA3DE0"/>
    <w:rsid w:val="00BA435A"/>
    <w:rsid w:val="00BA54BA"/>
    <w:rsid w:val="00BA5603"/>
    <w:rsid w:val="00BA56D9"/>
    <w:rsid w:val="00BA6194"/>
    <w:rsid w:val="00BA62C6"/>
    <w:rsid w:val="00BA7170"/>
    <w:rsid w:val="00BA7EEE"/>
    <w:rsid w:val="00BB01E9"/>
    <w:rsid w:val="00BB2008"/>
    <w:rsid w:val="00BB29DF"/>
    <w:rsid w:val="00BB2CFC"/>
    <w:rsid w:val="00BB34DC"/>
    <w:rsid w:val="00BB35D0"/>
    <w:rsid w:val="00BB3733"/>
    <w:rsid w:val="00BB3AC4"/>
    <w:rsid w:val="00BB462D"/>
    <w:rsid w:val="00BB4999"/>
    <w:rsid w:val="00BB4BCD"/>
    <w:rsid w:val="00BB52EB"/>
    <w:rsid w:val="00BB56C7"/>
    <w:rsid w:val="00BB5878"/>
    <w:rsid w:val="00BB5B62"/>
    <w:rsid w:val="00BB6502"/>
    <w:rsid w:val="00BB6BCD"/>
    <w:rsid w:val="00BB70F9"/>
    <w:rsid w:val="00BB7C9B"/>
    <w:rsid w:val="00BC1527"/>
    <w:rsid w:val="00BC1B43"/>
    <w:rsid w:val="00BC2306"/>
    <w:rsid w:val="00BC2F31"/>
    <w:rsid w:val="00BC4036"/>
    <w:rsid w:val="00BC4653"/>
    <w:rsid w:val="00BC4F0A"/>
    <w:rsid w:val="00BC5097"/>
    <w:rsid w:val="00BC509F"/>
    <w:rsid w:val="00BC51D2"/>
    <w:rsid w:val="00BC557F"/>
    <w:rsid w:val="00BC64BE"/>
    <w:rsid w:val="00BC7155"/>
    <w:rsid w:val="00BC7550"/>
    <w:rsid w:val="00BC771B"/>
    <w:rsid w:val="00BC7C94"/>
    <w:rsid w:val="00BD0B72"/>
    <w:rsid w:val="00BD2668"/>
    <w:rsid w:val="00BD3924"/>
    <w:rsid w:val="00BD450F"/>
    <w:rsid w:val="00BD4512"/>
    <w:rsid w:val="00BD52AA"/>
    <w:rsid w:val="00BD65B2"/>
    <w:rsid w:val="00BE0BFB"/>
    <w:rsid w:val="00BE1061"/>
    <w:rsid w:val="00BE1321"/>
    <w:rsid w:val="00BE2149"/>
    <w:rsid w:val="00BE2893"/>
    <w:rsid w:val="00BE2EB4"/>
    <w:rsid w:val="00BE2F5A"/>
    <w:rsid w:val="00BE37D3"/>
    <w:rsid w:val="00BE522A"/>
    <w:rsid w:val="00BE5611"/>
    <w:rsid w:val="00BE57B5"/>
    <w:rsid w:val="00BE7976"/>
    <w:rsid w:val="00BE7A7C"/>
    <w:rsid w:val="00BF0652"/>
    <w:rsid w:val="00BF0A11"/>
    <w:rsid w:val="00BF0A44"/>
    <w:rsid w:val="00BF0CEC"/>
    <w:rsid w:val="00BF0D9B"/>
    <w:rsid w:val="00BF1A44"/>
    <w:rsid w:val="00BF1EDF"/>
    <w:rsid w:val="00BF487A"/>
    <w:rsid w:val="00BF4D3D"/>
    <w:rsid w:val="00BF5B8C"/>
    <w:rsid w:val="00BF66B7"/>
    <w:rsid w:val="00BF6A68"/>
    <w:rsid w:val="00BF7152"/>
    <w:rsid w:val="00BF73F0"/>
    <w:rsid w:val="00BF75B1"/>
    <w:rsid w:val="00BF75C9"/>
    <w:rsid w:val="00BF7BD3"/>
    <w:rsid w:val="00C00352"/>
    <w:rsid w:val="00C007CE"/>
    <w:rsid w:val="00C00A22"/>
    <w:rsid w:val="00C00F18"/>
    <w:rsid w:val="00C01605"/>
    <w:rsid w:val="00C01D39"/>
    <w:rsid w:val="00C0200C"/>
    <w:rsid w:val="00C020A8"/>
    <w:rsid w:val="00C034A4"/>
    <w:rsid w:val="00C0375D"/>
    <w:rsid w:val="00C03DD0"/>
    <w:rsid w:val="00C04445"/>
    <w:rsid w:val="00C04705"/>
    <w:rsid w:val="00C04A7F"/>
    <w:rsid w:val="00C04E2B"/>
    <w:rsid w:val="00C051AA"/>
    <w:rsid w:val="00C060A0"/>
    <w:rsid w:val="00C07187"/>
    <w:rsid w:val="00C075C9"/>
    <w:rsid w:val="00C07F8B"/>
    <w:rsid w:val="00C07FAD"/>
    <w:rsid w:val="00C106C4"/>
    <w:rsid w:val="00C111EA"/>
    <w:rsid w:val="00C119AD"/>
    <w:rsid w:val="00C1228D"/>
    <w:rsid w:val="00C12483"/>
    <w:rsid w:val="00C13FED"/>
    <w:rsid w:val="00C14E7D"/>
    <w:rsid w:val="00C15722"/>
    <w:rsid w:val="00C1631E"/>
    <w:rsid w:val="00C16740"/>
    <w:rsid w:val="00C16897"/>
    <w:rsid w:val="00C200C9"/>
    <w:rsid w:val="00C218FD"/>
    <w:rsid w:val="00C21D8E"/>
    <w:rsid w:val="00C22525"/>
    <w:rsid w:val="00C23454"/>
    <w:rsid w:val="00C23DBB"/>
    <w:rsid w:val="00C23FE1"/>
    <w:rsid w:val="00C2410D"/>
    <w:rsid w:val="00C24BAF"/>
    <w:rsid w:val="00C252F2"/>
    <w:rsid w:val="00C25AF9"/>
    <w:rsid w:val="00C25C12"/>
    <w:rsid w:val="00C25F8B"/>
    <w:rsid w:val="00C260FD"/>
    <w:rsid w:val="00C265C0"/>
    <w:rsid w:val="00C26B9E"/>
    <w:rsid w:val="00C272EF"/>
    <w:rsid w:val="00C2732B"/>
    <w:rsid w:val="00C2753F"/>
    <w:rsid w:val="00C276A8"/>
    <w:rsid w:val="00C27975"/>
    <w:rsid w:val="00C27E63"/>
    <w:rsid w:val="00C27F48"/>
    <w:rsid w:val="00C300BC"/>
    <w:rsid w:val="00C304B3"/>
    <w:rsid w:val="00C3160B"/>
    <w:rsid w:val="00C318F7"/>
    <w:rsid w:val="00C319D2"/>
    <w:rsid w:val="00C31F85"/>
    <w:rsid w:val="00C32534"/>
    <w:rsid w:val="00C326EE"/>
    <w:rsid w:val="00C32951"/>
    <w:rsid w:val="00C32C02"/>
    <w:rsid w:val="00C32E32"/>
    <w:rsid w:val="00C33235"/>
    <w:rsid w:val="00C33677"/>
    <w:rsid w:val="00C34137"/>
    <w:rsid w:val="00C3476B"/>
    <w:rsid w:val="00C35240"/>
    <w:rsid w:val="00C35F9E"/>
    <w:rsid w:val="00C36050"/>
    <w:rsid w:val="00C368B3"/>
    <w:rsid w:val="00C36F07"/>
    <w:rsid w:val="00C37214"/>
    <w:rsid w:val="00C372E8"/>
    <w:rsid w:val="00C373D2"/>
    <w:rsid w:val="00C4050B"/>
    <w:rsid w:val="00C409DC"/>
    <w:rsid w:val="00C40B1B"/>
    <w:rsid w:val="00C40E88"/>
    <w:rsid w:val="00C416A3"/>
    <w:rsid w:val="00C41785"/>
    <w:rsid w:val="00C41FC1"/>
    <w:rsid w:val="00C434C2"/>
    <w:rsid w:val="00C43940"/>
    <w:rsid w:val="00C44342"/>
    <w:rsid w:val="00C44694"/>
    <w:rsid w:val="00C44744"/>
    <w:rsid w:val="00C45465"/>
    <w:rsid w:val="00C457C1"/>
    <w:rsid w:val="00C45D10"/>
    <w:rsid w:val="00C46625"/>
    <w:rsid w:val="00C46870"/>
    <w:rsid w:val="00C47545"/>
    <w:rsid w:val="00C47593"/>
    <w:rsid w:val="00C47748"/>
    <w:rsid w:val="00C5044B"/>
    <w:rsid w:val="00C506BD"/>
    <w:rsid w:val="00C50A99"/>
    <w:rsid w:val="00C50E55"/>
    <w:rsid w:val="00C51426"/>
    <w:rsid w:val="00C51622"/>
    <w:rsid w:val="00C51BD8"/>
    <w:rsid w:val="00C51FB3"/>
    <w:rsid w:val="00C5223C"/>
    <w:rsid w:val="00C52A35"/>
    <w:rsid w:val="00C53213"/>
    <w:rsid w:val="00C53917"/>
    <w:rsid w:val="00C53AC2"/>
    <w:rsid w:val="00C541DE"/>
    <w:rsid w:val="00C54208"/>
    <w:rsid w:val="00C54C11"/>
    <w:rsid w:val="00C54C67"/>
    <w:rsid w:val="00C54E65"/>
    <w:rsid w:val="00C54FB1"/>
    <w:rsid w:val="00C56324"/>
    <w:rsid w:val="00C5653B"/>
    <w:rsid w:val="00C565A3"/>
    <w:rsid w:val="00C577F7"/>
    <w:rsid w:val="00C60667"/>
    <w:rsid w:val="00C6077F"/>
    <w:rsid w:val="00C61AB9"/>
    <w:rsid w:val="00C61F84"/>
    <w:rsid w:val="00C622AE"/>
    <w:rsid w:val="00C62A72"/>
    <w:rsid w:val="00C62F8D"/>
    <w:rsid w:val="00C62FF7"/>
    <w:rsid w:val="00C63135"/>
    <w:rsid w:val="00C637DC"/>
    <w:rsid w:val="00C63EE8"/>
    <w:rsid w:val="00C6432E"/>
    <w:rsid w:val="00C64BBD"/>
    <w:rsid w:val="00C64C3A"/>
    <w:rsid w:val="00C65718"/>
    <w:rsid w:val="00C65C81"/>
    <w:rsid w:val="00C666DE"/>
    <w:rsid w:val="00C66772"/>
    <w:rsid w:val="00C66D2B"/>
    <w:rsid w:val="00C67580"/>
    <w:rsid w:val="00C6781C"/>
    <w:rsid w:val="00C67EA1"/>
    <w:rsid w:val="00C70AEE"/>
    <w:rsid w:val="00C70F89"/>
    <w:rsid w:val="00C71D15"/>
    <w:rsid w:val="00C7234D"/>
    <w:rsid w:val="00C7244E"/>
    <w:rsid w:val="00C726C9"/>
    <w:rsid w:val="00C72801"/>
    <w:rsid w:val="00C728B2"/>
    <w:rsid w:val="00C72C0A"/>
    <w:rsid w:val="00C73E67"/>
    <w:rsid w:val="00C73FAD"/>
    <w:rsid w:val="00C74AE1"/>
    <w:rsid w:val="00C75240"/>
    <w:rsid w:val="00C7528C"/>
    <w:rsid w:val="00C757B8"/>
    <w:rsid w:val="00C76906"/>
    <w:rsid w:val="00C76B7C"/>
    <w:rsid w:val="00C76CC7"/>
    <w:rsid w:val="00C76F81"/>
    <w:rsid w:val="00C776A4"/>
    <w:rsid w:val="00C800DD"/>
    <w:rsid w:val="00C80920"/>
    <w:rsid w:val="00C80B03"/>
    <w:rsid w:val="00C81516"/>
    <w:rsid w:val="00C81F40"/>
    <w:rsid w:val="00C8243F"/>
    <w:rsid w:val="00C8289B"/>
    <w:rsid w:val="00C829DD"/>
    <w:rsid w:val="00C82D54"/>
    <w:rsid w:val="00C82F3B"/>
    <w:rsid w:val="00C83470"/>
    <w:rsid w:val="00C837C4"/>
    <w:rsid w:val="00C83829"/>
    <w:rsid w:val="00C83EDD"/>
    <w:rsid w:val="00C84BF1"/>
    <w:rsid w:val="00C84CA2"/>
    <w:rsid w:val="00C85A36"/>
    <w:rsid w:val="00C85CD1"/>
    <w:rsid w:val="00C85E73"/>
    <w:rsid w:val="00C85F55"/>
    <w:rsid w:val="00C86C56"/>
    <w:rsid w:val="00C8773E"/>
    <w:rsid w:val="00C87C01"/>
    <w:rsid w:val="00C87EDA"/>
    <w:rsid w:val="00C90601"/>
    <w:rsid w:val="00C90D16"/>
    <w:rsid w:val="00C90EE5"/>
    <w:rsid w:val="00C9116A"/>
    <w:rsid w:val="00C91B83"/>
    <w:rsid w:val="00C9265D"/>
    <w:rsid w:val="00C92824"/>
    <w:rsid w:val="00C937BA"/>
    <w:rsid w:val="00C9396E"/>
    <w:rsid w:val="00C949FC"/>
    <w:rsid w:val="00C960CF"/>
    <w:rsid w:val="00C96672"/>
    <w:rsid w:val="00C96678"/>
    <w:rsid w:val="00C96772"/>
    <w:rsid w:val="00C96CFA"/>
    <w:rsid w:val="00C96E5A"/>
    <w:rsid w:val="00C96EB5"/>
    <w:rsid w:val="00C97709"/>
    <w:rsid w:val="00C97913"/>
    <w:rsid w:val="00CA0257"/>
    <w:rsid w:val="00CA0917"/>
    <w:rsid w:val="00CA102B"/>
    <w:rsid w:val="00CA283D"/>
    <w:rsid w:val="00CA29D1"/>
    <w:rsid w:val="00CA2B24"/>
    <w:rsid w:val="00CA2DD6"/>
    <w:rsid w:val="00CA3247"/>
    <w:rsid w:val="00CA3752"/>
    <w:rsid w:val="00CA3999"/>
    <w:rsid w:val="00CA39C0"/>
    <w:rsid w:val="00CA5571"/>
    <w:rsid w:val="00CA5AD3"/>
    <w:rsid w:val="00CA62DD"/>
    <w:rsid w:val="00CA69BA"/>
    <w:rsid w:val="00CA7176"/>
    <w:rsid w:val="00CA7DE6"/>
    <w:rsid w:val="00CB0066"/>
    <w:rsid w:val="00CB0339"/>
    <w:rsid w:val="00CB0597"/>
    <w:rsid w:val="00CB110E"/>
    <w:rsid w:val="00CB11F8"/>
    <w:rsid w:val="00CB190D"/>
    <w:rsid w:val="00CB225B"/>
    <w:rsid w:val="00CB2EF5"/>
    <w:rsid w:val="00CB33E4"/>
    <w:rsid w:val="00CB4230"/>
    <w:rsid w:val="00CB431B"/>
    <w:rsid w:val="00CB4A77"/>
    <w:rsid w:val="00CB4EA5"/>
    <w:rsid w:val="00CB4F78"/>
    <w:rsid w:val="00CB557F"/>
    <w:rsid w:val="00CB592B"/>
    <w:rsid w:val="00CB5C5F"/>
    <w:rsid w:val="00CB600E"/>
    <w:rsid w:val="00CB6094"/>
    <w:rsid w:val="00CB65B8"/>
    <w:rsid w:val="00CB6CDF"/>
    <w:rsid w:val="00CB7264"/>
    <w:rsid w:val="00CB730F"/>
    <w:rsid w:val="00CB761C"/>
    <w:rsid w:val="00CB76B5"/>
    <w:rsid w:val="00CB7AD6"/>
    <w:rsid w:val="00CB7C75"/>
    <w:rsid w:val="00CB7CAB"/>
    <w:rsid w:val="00CC0495"/>
    <w:rsid w:val="00CC110F"/>
    <w:rsid w:val="00CC11B8"/>
    <w:rsid w:val="00CC1AF9"/>
    <w:rsid w:val="00CC1E69"/>
    <w:rsid w:val="00CC20E0"/>
    <w:rsid w:val="00CC2818"/>
    <w:rsid w:val="00CC2F7A"/>
    <w:rsid w:val="00CC346D"/>
    <w:rsid w:val="00CC3A70"/>
    <w:rsid w:val="00CC4033"/>
    <w:rsid w:val="00CC408E"/>
    <w:rsid w:val="00CC40B8"/>
    <w:rsid w:val="00CC4BD5"/>
    <w:rsid w:val="00CC5444"/>
    <w:rsid w:val="00CC5631"/>
    <w:rsid w:val="00CC58A5"/>
    <w:rsid w:val="00CC62A6"/>
    <w:rsid w:val="00CC676C"/>
    <w:rsid w:val="00CC6FB7"/>
    <w:rsid w:val="00CC7830"/>
    <w:rsid w:val="00CC7A11"/>
    <w:rsid w:val="00CC7E8D"/>
    <w:rsid w:val="00CD04A8"/>
    <w:rsid w:val="00CD051B"/>
    <w:rsid w:val="00CD1D3E"/>
    <w:rsid w:val="00CD1DB1"/>
    <w:rsid w:val="00CD22B5"/>
    <w:rsid w:val="00CD22F4"/>
    <w:rsid w:val="00CD25E1"/>
    <w:rsid w:val="00CD2E73"/>
    <w:rsid w:val="00CD367C"/>
    <w:rsid w:val="00CD454A"/>
    <w:rsid w:val="00CD4F54"/>
    <w:rsid w:val="00CD4FFE"/>
    <w:rsid w:val="00CD57FA"/>
    <w:rsid w:val="00CD5A6E"/>
    <w:rsid w:val="00CD6471"/>
    <w:rsid w:val="00CD711F"/>
    <w:rsid w:val="00CD71B5"/>
    <w:rsid w:val="00CD74A7"/>
    <w:rsid w:val="00CD79B2"/>
    <w:rsid w:val="00CD7A6A"/>
    <w:rsid w:val="00CE157C"/>
    <w:rsid w:val="00CE1726"/>
    <w:rsid w:val="00CE1AF6"/>
    <w:rsid w:val="00CE2298"/>
    <w:rsid w:val="00CE281E"/>
    <w:rsid w:val="00CE3064"/>
    <w:rsid w:val="00CE39E4"/>
    <w:rsid w:val="00CE3EBD"/>
    <w:rsid w:val="00CE4282"/>
    <w:rsid w:val="00CE54E1"/>
    <w:rsid w:val="00CE55B6"/>
    <w:rsid w:val="00CE5856"/>
    <w:rsid w:val="00CE5BDE"/>
    <w:rsid w:val="00CE6507"/>
    <w:rsid w:val="00CE6A6D"/>
    <w:rsid w:val="00CE774C"/>
    <w:rsid w:val="00CF012E"/>
    <w:rsid w:val="00CF04D4"/>
    <w:rsid w:val="00CF0B4C"/>
    <w:rsid w:val="00CF0D45"/>
    <w:rsid w:val="00CF1680"/>
    <w:rsid w:val="00CF1BD7"/>
    <w:rsid w:val="00CF21A5"/>
    <w:rsid w:val="00CF226E"/>
    <w:rsid w:val="00CF24AB"/>
    <w:rsid w:val="00CF2518"/>
    <w:rsid w:val="00CF2DDE"/>
    <w:rsid w:val="00CF321D"/>
    <w:rsid w:val="00CF344A"/>
    <w:rsid w:val="00CF39A0"/>
    <w:rsid w:val="00CF3D1C"/>
    <w:rsid w:val="00CF4713"/>
    <w:rsid w:val="00CF4B12"/>
    <w:rsid w:val="00CF501B"/>
    <w:rsid w:val="00CF58FE"/>
    <w:rsid w:val="00CF5BDD"/>
    <w:rsid w:val="00CF5EBE"/>
    <w:rsid w:val="00CF6864"/>
    <w:rsid w:val="00CF695F"/>
    <w:rsid w:val="00CF7449"/>
    <w:rsid w:val="00CF783B"/>
    <w:rsid w:val="00CF7D97"/>
    <w:rsid w:val="00CF7EEC"/>
    <w:rsid w:val="00D001C2"/>
    <w:rsid w:val="00D00779"/>
    <w:rsid w:val="00D009D8"/>
    <w:rsid w:val="00D012E1"/>
    <w:rsid w:val="00D01318"/>
    <w:rsid w:val="00D01665"/>
    <w:rsid w:val="00D01D1E"/>
    <w:rsid w:val="00D02580"/>
    <w:rsid w:val="00D03BF7"/>
    <w:rsid w:val="00D03D3A"/>
    <w:rsid w:val="00D03F1E"/>
    <w:rsid w:val="00D0428E"/>
    <w:rsid w:val="00D04426"/>
    <w:rsid w:val="00D04552"/>
    <w:rsid w:val="00D0482F"/>
    <w:rsid w:val="00D04A33"/>
    <w:rsid w:val="00D053F7"/>
    <w:rsid w:val="00D05892"/>
    <w:rsid w:val="00D06824"/>
    <w:rsid w:val="00D06BD6"/>
    <w:rsid w:val="00D06C03"/>
    <w:rsid w:val="00D10090"/>
    <w:rsid w:val="00D1037A"/>
    <w:rsid w:val="00D10D09"/>
    <w:rsid w:val="00D1163E"/>
    <w:rsid w:val="00D11C1C"/>
    <w:rsid w:val="00D11DE4"/>
    <w:rsid w:val="00D11F0E"/>
    <w:rsid w:val="00D12362"/>
    <w:rsid w:val="00D12A4F"/>
    <w:rsid w:val="00D145C0"/>
    <w:rsid w:val="00D148C6"/>
    <w:rsid w:val="00D14C15"/>
    <w:rsid w:val="00D15494"/>
    <w:rsid w:val="00D15CB3"/>
    <w:rsid w:val="00D15E7F"/>
    <w:rsid w:val="00D15F51"/>
    <w:rsid w:val="00D16ED5"/>
    <w:rsid w:val="00D17161"/>
    <w:rsid w:val="00D202B1"/>
    <w:rsid w:val="00D20662"/>
    <w:rsid w:val="00D21291"/>
    <w:rsid w:val="00D21C8A"/>
    <w:rsid w:val="00D2297E"/>
    <w:rsid w:val="00D22DE5"/>
    <w:rsid w:val="00D233BD"/>
    <w:rsid w:val="00D233D7"/>
    <w:rsid w:val="00D23CBB"/>
    <w:rsid w:val="00D247F9"/>
    <w:rsid w:val="00D25806"/>
    <w:rsid w:val="00D25E9D"/>
    <w:rsid w:val="00D25F1C"/>
    <w:rsid w:val="00D26DB9"/>
    <w:rsid w:val="00D26DE6"/>
    <w:rsid w:val="00D26EE7"/>
    <w:rsid w:val="00D27B1E"/>
    <w:rsid w:val="00D30718"/>
    <w:rsid w:val="00D322FB"/>
    <w:rsid w:val="00D32475"/>
    <w:rsid w:val="00D32EF4"/>
    <w:rsid w:val="00D33F81"/>
    <w:rsid w:val="00D34850"/>
    <w:rsid w:val="00D34B5B"/>
    <w:rsid w:val="00D35060"/>
    <w:rsid w:val="00D353DA"/>
    <w:rsid w:val="00D35733"/>
    <w:rsid w:val="00D35D22"/>
    <w:rsid w:val="00D369D4"/>
    <w:rsid w:val="00D36AD7"/>
    <w:rsid w:val="00D371C3"/>
    <w:rsid w:val="00D373E9"/>
    <w:rsid w:val="00D37C61"/>
    <w:rsid w:val="00D403DA"/>
    <w:rsid w:val="00D403FF"/>
    <w:rsid w:val="00D404C4"/>
    <w:rsid w:val="00D4079F"/>
    <w:rsid w:val="00D40CE9"/>
    <w:rsid w:val="00D411DF"/>
    <w:rsid w:val="00D41514"/>
    <w:rsid w:val="00D42115"/>
    <w:rsid w:val="00D42EFD"/>
    <w:rsid w:val="00D42FCA"/>
    <w:rsid w:val="00D457D1"/>
    <w:rsid w:val="00D458AA"/>
    <w:rsid w:val="00D45E27"/>
    <w:rsid w:val="00D46338"/>
    <w:rsid w:val="00D46BA2"/>
    <w:rsid w:val="00D47234"/>
    <w:rsid w:val="00D47281"/>
    <w:rsid w:val="00D47581"/>
    <w:rsid w:val="00D4765C"/>
    <w:rsid w:val="00D47842"/>
    <w:rsid w:val="00D500CC"/>
    <w:rsid w:val="00D50295"/>
    <w:rsid w:val="00D5069A"/>
    <w:rsid w:val="00D50E43"/>
    <w:rsid w:val="00D51469"/>
    <w:rsid w:val="00D5210E"/>
    <w:rsid w:val="00D52B45"/>
    <w:rsid w:val="00D530EB"/>
    <w:rsid w:val="00D532B5"/>
    <w:rsid w:val="00D53393"/>
    <w:rsid w:val="00D535B6"/>
    <w:rsid w:val="00D540DA"/>
    <w:rsid w:val="00D546A2"/>
    <w:rsid w:val="00D55235"/>
    <w:rsid w:val="00D552F0"/>
    <w:rsid w:val="00D55D78"/>
    <w:rsid w:val="00D563DB"/>
    <w:rsid w:val="00D56916"/>
    <w:rsid w:val="00D56FA8"/>
    <w:rsid w:val="00D572B2"/>
    <w:rsid w:val="00D57F53"/>
    <w:rsid w:val="00D60071"/>
    <w:rsid w:val="00D60575"/>
    <w:rsid w:val="00D60CAB"/>
    <w:rsid w:val="00D610FD"/>
    <w:rsid w:val="00D612AF"/>
    <w:rsid w:val="00D619F3"/>
    <w:rsid w:val="00D62814"/>
    <w:rsid w:val="00D62A5B"/>
    <w:rsid w:val="00D62B43"/>
    <w:rsid w:val="00D62ECD"/>
    <w:rsid w:val="00D63593"/>
    <w:rsid w:val="00D63748"/>
    <w:rsid w:val="00D639F0"/>
    <w:rsid w:val="00D63C1B"/>
    <w:rsid w:val="00D63D76"/>
    <w:rsid w:val="00D64BFF"/>
    <w:rsid w:val="00D64DE1"/>
    <w:rsid w:val="00D64E3F"/>
    <w:rsid w:val="00D653D0"/>
    <w:rsid w:val="00D65C79"/>
    <w:rsid w:val="00D6692A"/>
    <w:rsid w:val="00D66E55"/>
    <w:rsid w:val="00D674E9"/>
    <w:rsid w:val="00D6799A"/>
    <w:rsid w:val="00D7009C"/>
    <w:rsid w:val="00D70F17"/>
    <w:rsid w:val="00D712DA"/>
    <w:rsid w:val="00D719EF"/>
    <w:rsid w:val="00D71DC3"/>
    <w:rsid w:val="00D72327"/>
    <w:rsid w:val="00D727E0"/>
    <w:rsid w:val="00D72B87"/>
    <w:rsid w:val="00D72C72"/>
    <w:rsid w:val="00D72ECA"/>
    <w:rsid w:val="00D73A7C"/>
    <w:rsid w:val="00D74160"/>
    <w:rsid w:val="00D74240"/>
    <w:rsid w:val="00D74AAA"/>
    <w:rsid w:val="00D75D22"/>
    <w:rsid w:val="00D75DA5"/>
    <w:rsid w:val="00D765E8"/>
    <w:rsid w:val="00D76C58"/>
    <w:rsid w:val="00D76CF2"/>
    <w:rsid w:val="00D76E7C"/>
    <w:rsid w:val="00D7777A"/>
    <w:rsid w:val="00D77D50"/>
    <w:rsid w:val="00D80B40"/>
    <w:rsid w:val="00D8155B"/>
    <w:rsid w:val="00D816D5"/>
    <w:rsid w:val="00D81E1B"/>
    <w:rsid w:val="00D81E79"/>
    <w:rsid w:val="00D825A5"/>
    <w:rsid w:val="00D825B7"/>
    <w:rsid w:val="00D8290E"/>
    <w:rsid w:val="00D82AD1"/>
    <w:rsid w:val="00D82E6E"/>
    <w:rsid w:val="00D83040"/>
    <w:rsid w:val="00D8309B"/>
    <w:rsid w:val="00D8323B"/>
    <w:rsid w:val="00D83489"/>
    <w:rsid w:val="00D83D13"/>
    <w:rsid w:val="00D841AC"/>
    <w:rsid w:val="00D8589D"/>
    <w:rsid w:val="00D85A81"/>
    <w:rsid w:val="00D85F4C"/>
    <w:rsid w:val="00D86150"/>
    <w:rsid w:val="00D86466"/>
    <w:rsid w:val="00D870E8"/>
    <w:rsid w:val="00D87423"/>
    <w:rsid w:val="00D87452"/>
    <w:rsid w:val="00D87485"/>
    <w:rsid w:val="00D907CB"/>
    <w:rsid w:val="00D90C65"/>
    <w:rsid w:val="00D91BBD"/>
    <w:rsid w:val="00D91BF2"/>
    <w:rsid w:val="00D9239D"/>
    <w:rsid w:val="00D93322"/>
    <w:rsid w:val="00D93C1C"/>
    <w:rsid w:val="00D94026"/>
    <w:rsid w:val="00D94120"/>
    <w:rsid w:val="00D951DD"/>
    <w:rsid w:val="00D952ED"/>
    <w:rsid w:val="00D957FA"/>
    <w:rsid w:val="00D958AB"/>
    <w:rsid w:val="00D95EA4"/>
    <w:rsid w:val="00D9664C"/>
    <w:rsid w:val="00D97404"/>
    <w:rsid w:val="00D975A3"/>
    <w:rsid w:val="00D979D0"/>
    <w:rsid w:val="00DA08CA"/>
    <w:rsid w:val="00DA0F37"/>
    <w:rsid w:val="00DA101A"/>
    <w:rsid w:val="00DA122C"/>
    <w:rsid w:val="00DA1475"/>
    <w:rsid w:val="00DA1A06"/>
    <w:rsid w:val="00DA2B17"/>
    <w:rsid w:val="00DA2D31"/>
    <w:rsid w:val="00DA2FD5"/>
    <w:rsid w:val="00DA4795"/>
    <w:rsid w:val="00DA4838"/>
    <w:rsid w:val="00DA4989"/>
    <w:rsid w:val="00DA5721"/>
    <w:rsid w:val="00DA6173"/>
    <w:rsid w:val="00DA7477"/>
    <w:rsid w:val="00DA7573"/>
    <w:rsid w:val="00DA7B66"/>
    <w:rsid w:val="00DA7BD4"/>
    <w:rsid w:val="00DB0191"/>
    <w:rsid w:val="00DB0359"/>
    <w:rsid w:val="00DB0C11"/>
    <w:rsid w:val="00DB0EF6"/>
    <w:rsid w:val="00DB0F8A"/>
    <w:rsid w:val="00DB1BBD"/>
    <w:rsid w:val="00DB26A8"/>
    <w:rsid w:val="00DB27CF"/>
    <w:rsid w:val="00DB324C"/>
    <w:rsid w:val="00DB3F99"/>
    <w:rsid w:val="00DB3FD3"/>
    <w:rsid w:val="00DB548B"/>
    <w:rsid w:val="00DB5F2A"/>
    <w:rsid w:val="00DB6A2B"/>
    <w:rsid w:val="00DB6F45"/>
    <w:rsid w:val="00DB72B7"/>
    <w:rsid w:val="00DB7546"/>
    <w:rsid w:val="00DB75B6"/>
    <w:rsid w:val="00DB782D"/>
    <w:rsid w:val="00DB7CC5"/>
    <w:rsid w:val="00DC0624"/>
    <w:rsid w:val="00DC0802"/>
    <w:rsid w:val="00DC0FC3"/>
    <w:rsid w:val="00DC1A58"/>
    <w:rsid w:val="00DC1AC0"/>
    <w:rsid w:val="00DC1CDD"/>
    <w:rsid w:val="00DC1D8E"/>
    <w:rsid w:val="00DC20C3"/>
    <w:rsid w:val="00DC227A"/>
    <w:rsid w:val="00DC2360"/>
    <w:rsid w:val="00DC26E4"/>
    <w:rsid w:val="00DC2BAE"/>
    <w:rsid w:val="00DC2CEE"/>
    <w:rsid w:val="00DC2F5B"/>
    <w:rsid w:val="00DC3257"/>
    <w:rsid w:val="00DC3279"/>
    <w:rsid w:val="00DC3BF1"/>
    <w:rsid w:val="00DC3CFC"/>
    <w:rsid w:val="00DC4113"/>
    <w:rsid w:val="00DC4D1D"/>
    <w:rsid w:val="00DC4D87"/>
    <w:rsid w:val="00DC4F4B"/>
    <w:rsid w:val="00DC54EB"/>
    <w:rsid w:val="00DC580A"/>
    <w:rsid w:val="00DC5B50"/>
    <w:rsid w:val="00DC623E"/>
    <w:rsid w:val="00DC66BC"/>
    <w:rsid w:val="00DC727F"/>
    <w:rsid w:val="00DC7C80"/>
    <w:rsid w:val="00DC7E78"/>
    <w:rsid w:val="00DD0493"/>
    <w:rsid w:val="00DD0924"/>
    <w:rsid w:val="00DD0CBF"/>
    <w:rsid w:val="00DD1071"/>
    <w:rsid w:val="00DD12FD"/>
    <w:rsid w:val="00DD1576"/>
    <w:rsid w:val="00DD1B92"/>
    <w:rsid w:val="00DD26F3"/>
    <w:rsid w:val="00DD2893"/>
    <w:rsid w:val="00DD393C"/>
    <w:rsid w:val="00DD4717"/>
    <w:rsid w:val="00DD4F74"/>
    <w:rsid w:val="00DD531F"/>
    <w:rsid w:val="00DD556C"/>
    <w:rsid w:val="00DD5737"/>
    <w:rsid w:val="00DD5E81"/>
    <w:rsid w:val="00DD6C46"/>
    <w:rsid w:val="00DD6C7A"/>
    <w:rsid w:val="00DD6F44"/>
    <w:rsid w:val="00DD7CCA"/>
    <w:rsid w:val="00DE0BDE"/>
    <w:rsid w:val="00DE10CF"/>
    <w:rsid w:val="00DE1270"/>
    <w:rsid w:val="00DE1DC9"/>
    <w:rsid w:val="00DE1E1E"/>
    <w:rsid w:val="00DE223E"/>
    <w:rsid w:val="00DE2878"/>
    <w:rsid w:val="00DE2D33"/>
    <w:rsid w:val="00DE34EB"/>
    <w:rsid w:val="00DE3592"/>
    <w:rsid w:val="00DE3E78"/>
    <w:rsid w:val="00DE41F8"/>
    <w:rsid w:val="00DE4B9D"/>
    <w:rsid w:val="00DE50EA"/>
    <w:rsid w:val="00DE545C"/>
    <w:rsid w:val="00DE5C9F"/>
    <w:rsid w:val="00DE66F0"/>
    <w:rsid w:val="00DE734E"/>
    <w:rsid w:val="00DE77A5"/>
    <w:rsid w:val="00DE7887"/>
    <w:rsid w:val="00DE7BF8"/>
    <w:rsid w:val="00DF0DC3"/>
    <w:rsid w:val="00DF14F9"/>
    <w:rsid w:val="00DF1607"/>
    <w:rsid w:val="00DF1C2D"/>
    <w:rsid w:val="00DF1FAE"/>
    <w:rsid w:val="00DF2AD9"/>
    <w:rsid w:val="00DF390A"/>
    <w:rsid w:val="00DF54D0"/>
    <w:rsid w:val="00DF55BB"/>
    <w:rsid w:val="00DF580C"/>
    <w:rsid w:val="00DF5C1A"/>
    <w:rsid w:val="00DF6BCB"/>
    <w:rsid w:val="00DF6D45"/>
    <w:rsid w:val="00DF7042"/>
    <w:rsid w:val="00DF78FD"/>
    <w:rsid w:val="00DF7EFE"/>
    <w:rsid w:val="00E00E15"/>
    <w:rsid w:val="00E00F63"/>
    <w:rsid w:val="00E01210"/>
    <w:rsid w:val="00E0136F"/>
    <w:rsid w:val="00E01D50"/>
    <w:rsid w:val="00E02664"/>
    <w:rsid w:val="00E02950"/>
    <w:rsid w:val="00E02C4D"/>
    <w:rsid w:val="00E031A5"/>
    <w:rsid w:val="00E0341B"/>
    <w:rsid w:val="00E0348F"/>
    <w:rsid w:val="00E035A6"/>
    <w:rsid w:val="00E03809"/>
    <w:rsid w:val="00E038F5"/>
    <w:rsid w:val="00E03D67"/>
    <w:rsid w:val="00E04510"/>
    <w:rsid w:val="00E04784"/>
    <w:rsid w:val="00E05569"/>
    <w:rsid w:val="00E05A6C"/>
    <w:rsid w:val="00E05F59"/>
    <w:rsid w:val="00E0655D"/>
    <w:rsid w:val="00E070EF"/>
    <w:rsid w:val="00E1024A"/>
    <w:rsid w:val="00E10B17"/>
    <w:rsid w:val="00E10B67"/>
    <w:rsid w:val="00E12742"/>
    <w:rsid w:val="00E12AB9"/>
    <w:rsid w:val="00E12B67"/>
    <w:rsid w:val="00E12F6B"/>
    <w:rsid w:val="00E141D3"/>
    <w:rsid w:val="00E14941"/>
    <w:rsid w:val="00E1526B"/>
    <w:rsid w:val="00E15279"/>
    <w:rsid w:val="00E1534B"/>
    <w:rsid w:val="00E15408"/>
    <w:rsid w:val="00E15743"/>
    <w:rsid w:val="00E15C52"/>
    <w:rsid w:val="00E15EDA"/>
    <w:rsid w:val="00E15F0B"/>
    <w:rsid w:val="00E160E8"/>
    <w:rsid w:val="00E16199"/>
    <w:rsid w:val="00E16311"/>
    <w:rsid w:val="00E1702C"/>
    <w:rsid w:val="00E179FB"/>
    <w:rsid w:val="00E20A28"/>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753"/>
    <w:rsid w:val="00E30828"/>
    <w:rsid w:val="00E30A2E"/>
    <w:rsid w:val="00E30B37"/>
    <w:rsid w:val="00E3109C"/>
    <w:rsid w:val="00E311D1"/>
    <w:rsid w:val="00E3190F"/>
    <w:rsid w:val="00E31C2D"/>
    <w:rsid w:val="00E31EAC"/>
    <w:rsid w:val="00E32432"/>
    <w:rsid w:val="00E3353D"/>
    <w:rsid w:val="00E33B1E"/>
    <w:rsid w:val="00E34277"/>
    <w:rsid w:val="00E34AF8"/>
    <w:rsid w:val="00E34DB9"/>
    <w:rsid w:val="00E35D79"/>
    <w:rsid w:val="00E3621B"/>
    <w:rsid w:val="00E369B1"/>
    <w:rsid w:val="00E36F43"/>
    <w:rsid w:val="00E37F0C"/>
    <w:rsid w:val="00E40ADF"/>
    <w:rsid w:val="00E418E3"/>
    <w:rsid w:val="00E423DE"/>
    <w:rsid w:val="00E42895"/>
    <w:rsid w:val="00E42F07"/>
    <w:rsid w:val="00E4370F"/>
    <w:rsid w:val="00E4441D"/>
    <w:rsid w:val="00E448D3"/>
    <w:rsid w:val="00E453AB"/>
    <w:rsid w:val="00E462E6"/>
    <w:rsid w:val="00E463A0"/>
    <w:rsid w:val="00E47839"/>
    <w:rsid w:val="00E50052"/>
    <w:rsid w:val="00E5042D"/>
    <w:rsid w:val="00E51CDE"/>
    <w:rsid w:val="00E5210B"/>
    <w:rsid w:val="00E53631"/>
    <w:rsid w:val="00E5388F"/>
    <w:rsid w:val="00E54239"/>
    <w:rsid w:val="00E54272"/>
    <w:rsid w:val="00E542BC"/>
    <w:rsid w:val="00E54521"/>
    <w:rsid w:val="00E54617"/>
    <w:rsid w:val="00E5484B"/>
    <w:rsid w:val="00E54DED"/>
    <w:rsid w:val="00E55A9A"/>
    <w:rsid w:val="00E55D0F"/>
    <w:rsid w:val="00E56023"/>
    <w:rsid w:val="00E56A92"/>
    <w:rsid w:val="00E56D6E"/>
    <w:rsid w:val="00E56FEF"/>
    <w:rsid w:val="00E577F9"/>
    <w:rsid w:val="00E57FB5"/>
    <w:rsid w:val="00E60F14"/>
    <w:rsid w:val="00E60FA9"/>
    <w:rsid w:val="00E61B23"/>
    <w:rsid w:val="00E625BE"/>
    <w:rsid w:val="00E6284B"/>
    <w:rsid w:val="00E62D07"/>
    <w:rsid w:val="00E62DF6"/>
    <w:rsid w:val="00E6379F"/>
    <w:rsid w:val="00E63A22"/>
    <w:rsid w:val="00E63B8F"/>
    <w:rsid w:val="00E63F81"/>
    <w:rsid w:val="00E6440D"/>
    <w:rsid w:val="00E646B5"/>
    <w:rsid w:val="00E64D28"/>
    <w:rsid w:val="00E6511A"/>
    <w:rsid w:val="00E65427"/>
    <w:rsid w:val="00E6543F"/>
    <w:rsid w:val="00E661C0"/>
    <w:rsid w:val="00E663F5"/>
    <w:rsid w:val="00E66E97"/>
    <w:rsid w:val="00E67143"/>
    <w:rsid w:val="00E677B6"/>
    <w:rsid w:val="00E67ED1"/>
    <w:rsid w:val="00E707BC"/>
    <w:rsid w:val="00E70BD6"/>
    <w:rsid w:val="00E71305"/>
    <w:rsid w:val="00E72383"/>
    <w:rsid w:val="00E724D2"/>
    <w:rsid w:val="00E725E2"/>
    <w:rsid w:val="00E72D9F"/>
    <w:rsid w:val="00E72F6A"/>
    <w:rsid w:val="00E73597"/>
    <w:rsid w:val="00E739F5"/>
    <w:rsid w:val="00E73C41"/>
    <w:rsid w:val="00E74933"/>
    <w:rsid w:val="00E74EDC"/>
    <w:rsid w:val="00E75737"/>
    <w:rsid w:val="00E75875"/>
    <w:rsid w:val="00E75886"/>
    <w:rsid w:val="00E759F3"/>
    <w:rsid w:val="00E75D6E"/>
    <w:rsid w:val="00E75E54"/>
    <w:rsid w:val="00E76007"/>
    <w:rsid w:val="00E76181"/>
    <w:rsid w:val="00E770F2"/>
    <w:rsid w:val="00E77EAC"/>
    <w:rsid w:val="00E81069"/>
    <w:rsid w:val="00E810E1"/>
    <w:rsid w:val="00E817AD"/>
    <w:rsid w:val="00E817EF"/>
    <w:rsid w:val="00E8184F"/>
    <w:rsid w:val="00E828D5"/>
    <w:rsid w:val="00E82B2F"/>
    <w:rsid w:val="00E82D81"/>
    <w:rsid w:val="00E83259"/>
    <w:rsid w:val="00E839BE"/>
    <w:rsid w:val="00E83CAC"/>
    <w:rsid w:val="00E84811"/>
    <w:rsid w:val="00E84C89"/>
    <w:rsid w:val="00E85D41"/>
    <w:rsid w:val="00E85E56"/>
    <w:rsid w:val="00E860DD"/>
    <w:rsid w:val="00E8713D"/>
    <w:rsid w:val="00E87807"/>
    <w:rsid w:val="00E90248"/>
    <w:rsid w:val="00E90329"/>
    <w:rsid w:val="00E9045A"/>
    <w:rsid w:val="00E90A78"/>
    <w:rsid w:val="00E910D5"/>
    <w:rsid w:val="00E922C4"/>
    <w:rsid w:val="00E943AE"/>
    <w:rsid w:val="00E947B0"/>
    <w:rsid w:val="00E95D82"/>
    <w:rsid w:val="00E95F21"/>
    <w:rsid w:val="00E96273"/>
    <w:rsid w:val="00E96E97"/>
    <w:rsid w:val="00E97D49"/>
    <w:rsid w:val="00EA0251"/>
    <w:rsid w:val="00EA1065"/>
    <w:rsid w:val="00EA1434"/>
    <w:rsid w:val="00EA14EB"/>
    <w:rsid w:val="00EA2947"/>
    <w:rsid w:val="00EA3C3E"/>
    <w:rsid w:val="00EA3E3C"/>
    <w:rsid w:val="00EA4694"/>
    <w:rsid w:val="00EA48D3"/>
    <w:rsid w:val="00EA4C8C"/>
    <w:rsid w:val="00EA546B"/>
    <w:rsid w:val="00EA57C5"/>
    <w:rsid w:val="00EA5D7E"/>
    <w:rsid w:val="00EA5F31"/>
    <w:rsid w:val="00EA5F92"/>
    <w:rsid w:val="00EA64B4"/>
    <w:rsid w:val="00EA65BE"/>
    <w:rsid w:val="00EA65F1"/>
    <w:rsid w:val="00EA6665"/>
    <w:rsid w:val="00EA67DF"/>
    <w:rsid w:val="00EA6935"/>
    <w:rsid w:val="00EA6967"/>
    <w:rsid w:val="00EA6F44"/>
    <w:rsid w:val="00EA7613"/>
    <w:rsid w:val="00EA793B"/>
    <w:rsid w:val="00EA7A7E"/>
    <w:rsid w:val="00EB039D"/>
    <w:rsid w:val="00EB05DA"/>
    <w:rsid w:val="00EB1729"/>
    <w:rsid w:val="00EB190F"/>
    <w:rsid w:val="00EB1A4E"/>
    <w:rsid w:val="00EB235B"/>
    <w:rsid w:val="00EB31A3"/>
    <w:rsid w:val="00EB325B"/>
    <w:rsid w:val="00EB3866"/>
    <w:rsid w:val="00EB3E22"/>
    <w:rsid w:val="00EB4753"/>
    <w:rsid w:val="00EB4F1E"/>
    <w:rsid w:val="00EB583B"/>
    <w:rsid w:val="00EB693B"/>
    <w:rsid w:val="00EB7BA9"/>
    <w:rsid w:val="00EB7D75"/>
    <w:rsid w:val="00EC0B20"/>
    <w:rsid w:val="00EC0EE7"/>
    <w:rsid w:val="00EC18BD"/>
    <w:rsid w:val="00EC1C3A"/>
    <w:rsid w:val="00EC1F51"/>
    <w:rsid w:val="00EC2B1D"/>
    <w:rsid w:val="00EC3F4B"/>
    <w:rsid w:val="00EC4233"/>
    <w:rsid w:val="00EC4544"/>
    <w:rsid w:val="00EC4A85"/>
    <w:rsid w:val="00EC57B2"/>
    <w:rsid w:val="00EC584C"/>
    <w:rsid w:val="00EC58F4"/>
    <w:rsid w:val="00EC650B"/>
    <w:rsid w:val="00EC6834"/>
    <w:rsid w:val="00EC6860"/>
    <w:rsid w:val="00EC7808"/>
    <w:rsid w:val="00EC7BFA"/>
    <w:rsid w:val="00ED042E"/>
    <w:rsid w:val="00ED06A9"/>
    <w:rsid w:val="00ED0F82"/>
    <w:rsid w:val="00ED1295"/>
    <w:rsid w:val="00ED23E6"/>
    <w:rsid w:val="00ED2725"/>
    <w:rsid w:val="00ED30A9"/>
    <w:rsid w:val="00ED34D1"/>
    <w:rsid w:val="00ED367F"/>
    <w:rsid w:val="00ED3B96"/>
    <w:rsid w:val="00ED4206"/>
    <w:rsid w:val="00ED50B9"/>
    <w:rsid w:val="00ED55D7"/>
    <w:rsid w:val="00ED58A2"/>
    <w:rsid w:val="00ED58C3"/>
    <w:rsid w:val="00ED5C71"/>
    <w:rsid w:val="00ED5EEE"/>
    <w:rsid w:val="00ED6289"/>
    <w:rsid w:val="00ED667C"/>
    <w:rsid w:val="00ED6F84"/>
    <w:rsid w:val="00ED74DB"/>
    <w:rsid w:val="00ED7501"/>
    <w:rsid w:val="00ED7966"/>
    <w:rsid w:val="00EE0098"/>
    <w:rsid w:val="00EE01CC"/>
    <w:rsid w:val="00EE01DD"/>
    <w:rsid w:val="00EE04EE"/>
    <w:rsid w:val="00EE12C6"/>
    <w:rsid w:val="00EE1760"/>
    <w:rsid w:val="00EE287D"/>
    <w:rsid w:val="00EE291C"/>
    <w:rsid w:val="00EE3B32"/>
    <w:rsid w:val="00EE3CFF"/>
    <w:rsid w:val="00EE3F39"/>
    <w:rsid w:val="00EE414C"/>
    <w:rsid w:val="00EE4249"/>
    <w:rsid w:val="00EE44FE"/>
    <w:rsid w:val="00EE5406"/>
    <w:rsid w:val="00EE5EF8"/>
    <w:rsid w:val="00EE6964"/>
    <w:rsid w:val="00EE6A1D"/>
    <w:rsid w:val="00EE6BF0"/>
    <w:rsid w:val="00EE6D18"/>
    <w:rsid w:val="00EE744D"/>
    <w:rsid w:val="00EE781F"/>
    <w:rsid w:val="00EE7E7A"/>
    <w:rsid w:val="00EF1230"/>
    <w:rsid w:val="00EF223B"/>
    <w:rsid w:val="00EF29DE"/>
    <w:rsid w:val="00EF3978"/>
    <w:rsid w:val="00EF3AAC"/>
    <w:rsid w:val="00EF4D42"/>
    <w:rsid w:val="00EF4E4A"/>
    <w:rsid w:val="00EF4FD1"/>
    <w:rsid w:val="00EF5318"/>
    <w:rsid w:val="00EF5BFC"/>
    <w:rsid w:val="00EF67DF"/>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7F0"/>
    <w:rsid w:val="00F038F6"/>
    <w:rsid w:val="00F03FF2"/>
    <w:rsid w:val="00F04C31"/>
    <w:rsid w:val="00F04F9E"/>
    <w:rsid w:val="00F06A47"/>
    <w:rsid w:val="00F06E0B"/>
    <w:rsid w:val="00F0717F"/>
    <w:rsid w:val="00F0747A"/>
    <w:rsid w:val="00F07849"/>
    <w:rsid w:val="00F07882"/>
    <w:rsid w:val="00F07883"/>
    <w:rsid w:val="00F1011F"/>
    <w:rsid w:val="00F10177"/>
    <w:rsid w:val="00F10D83"/>
    <w:rsid w:val="00F1196B"/>
    <w:rsid w:val="00F11A6A"/>
    <w:rsid w:val="00F126BD"/>
    <w:rsid w:val="00F13433"/>
    <w:rsid w:val="00F134FC"/>
    <w:rsid w:val="00F1350E"/>
    <w:rsid w:val="00F14419"/>
    <w:rsid w:val="00F1470E"/>
    <w:rsid w:val="00F147A5"/>
    <w:rsid w:val="00F14AA7"/>
    <w:rsid w:val="00F15884"/>
    <w:rsid w:val="00F15A0B"/>
    <w:rsid w:val="00F15B8E"/>
    <w:rsid w:val="00F16665"/>
    <w:rsid w:val="00F16E54"/>
    <w:rsid w:val="00F16FB0"/>
    <w:rsid w:val="00F17242"/>
    <w:rsid w:val="00F1733B"/>
    <w:rsid w:val="00F17474"/>
    <w:rsid w:val="00F201CC"/>
    <w:rsid w:val="00F20487"/>
    <w:rsid w:val="00F20F65"/>
    <w:rsid w:val="00F2106D"/>
    <w:rsid w:val="00F214DD"/>
    <w:rsid w:val="00F21A35"/>
    <w:rsid w:val="00F21ECE"/>
    <w:rsid w:val="00F22337"/>
    <w:rsid w:val="00F22D65"/>
    <w:rsid w:val="00F22EBE"/>
    <w:rsid w:val="00F23175"/>
    <w:rsid w:val="00F23FB0"/>
    <w:rsid w:val="00F2480A"/>
    <w:rsid w:val="00F24891"/>
    <w:rsid w:val="00F2493E"/>
    <w:rsid w:val="00F24B9F"/>
    <w:rsid w:val="00F24CA6"/>
    <w:rsid w:val="00F251B2"/>
    <w:rsid w:val="00F2525C"/>
    <w:rsid w:val="00F256AE"/>
    <w:rsid w:val="00F25773"/>
    <w:rsid w:val="00F257FA"/>
    <w:rsid w:val="00F26004"/>
    <w:rsid w:val="00F26EA5"/>
    <w:rsid w:val="00F26ED2"/>
    <w:rsid w:val="00F270E8"/>
    <w:rsid w:val="00F27EF5"/>
    <w:rsid w:val="00F27FDB"/>
    <w:rsid w:val="00F301EA"/>
    <w:rsid w:val="00F30251"/>
    <w:rsid w:val="00F305CC"/>
    <w:rsid w:val="00F30AB2"/>
    <w:rsid w:val="00F31203"/>
    <w:rsid w:val="00F31569"/>
    <w:rsid w:val="00F3179A"/>
    <w:rsid w:val="00F31D54"/>
    <w:rsid w:val="00F32357"/>
    <w:rsid w:val="00F3299E"/>
    <w:rsid w:val="00F32C70"/>
    <w:rsid w:val="00F34CB0"/>
    <w:rsid w:val="00F34E02"/>
    <w:rsid w:val="00F3549E"/>
    <w:rsid w:val="00F35D08"/>
    <w:rsid w:val="00F365A7"/>
    <w:rsid w:val="00F3681C"/>
    <w:rsid w:val="00F3769D"/>
    <w:rsid w:val="00F404F4"/>
    <w:rsid w:val="00F40C4C"/>
    <w:rsid w:val="00F4143E"/>
    <w:rsid w:val="00F415B1"/>
    <w:rsid w:val="00F41CC5"/>
    <w:rsid w:val="00F41D25"/>
    <w:rsid w:val="00F423C2"/>
    <w:rsid w:val="00F433F8"/>
    <w:rsid w:val="00F433FE"/>
    <w:rsid w:val="00F435CE"/>
    <w:rsid w:val="00F43627"/>
    <w:rsid w:val="00F43781"/>
    <w:rsid w:val="00F44478"/>
    <w:rsid w:val="00F4463C"/>
    <w:rsid w:val="00F45C1E"/>
    <w:rsid w:val="00F473A5"/>
    <w:rsid w:val="00F473E8"/>
    <w:rsid w:val="00F473F3"/>
    <w:rsid w:val="00F474B8"/>
    <w:rsid w:val="00F478CA"/>
    <w:rsid w:val="00F47CE2"/>
    <w:rsid w:val="00F501F3"/>
    <w:rsid w:val="00F50A98"/>
    <w:rsid w:val="00F50E5F"/>
    <w:rsid w:val="00F51460"/>
    <w:rsid w:val="00F51667"/>
    <w:rsid w:val="00F521DC"/>
    <w:rsid w:val="00F53199"/>
    <w:rsid w:val="00F541A1"/>
    <w:rsid w:val="00F54792"/>
    <w:rsid w:val="00F54B09"/>
    <w:rsid w:val="00F54BEA"/>
    <w:rsid w:val="00F54E8A"/>
    <w:rsid w:val="00F559A8"/>
    <w:rsid w:val="00F55C21"/>
    <w:rsid w:val="00F55E5F"/>
    <w:rsid w:val="00F55F6D"/>
    <w:rsid w:val="00F56860"/>
    <w:rsid w:val="00F570C8"/>
    <w:rsid w:val="00F5736B"/>
    <w:rsid w:val="00F57880"/>
    <w:rsid w:val="00F57A78"/>
    <w:rsid w:val="00F608AB"/>
    <w:rsid w:val="00F60BE7"/>
    <w:rsid w:val="00F6159C"/>
    <w:rsid w:val="00F61714"/>
    <w:rsid w:val="00F6238F"/>
    <w:rsid w:val="00F63244"/>
    <w:rsid w:val="00F63D60"/>
    <w:rsid w:val="00F63E59"/>
    <w:rsid w:val="00F649B2"/>
    <w:rsid w:val="00F64BE0"/>
    <w:rsid w:val="00F652E0"/>
    <w:rsid w:val="00F65B68"/>
    <w:rsid w:val="00F67846"/>
    <w:rsid w:val="00F67B42"/>
    <w:rsid w:val="00F67BAC"/>
    <w:rsid w:val="00F70001"/>
    <w:rsid w:val="00F70B72"/>
    <w:rsid w:val="00F70DEF"/>
    <w:rsid w:val="00F70EA3"/>
    <w:rsid w:val="00F71398"/>
    <w:rsid w:val="00F722F9"/>
    <w:rsid w:val="00F7294C"/>
    <w:rsid w:val="00F72C5F"/>
    <w:rsid w:val="00F73549"/>
    <w:rsid w:val="00F75782"/>
    <w:rsid w:val="00F804E2"/>
    <w:rsid w:val="00F80C1D"/>
    <w:rsid w:val="00F81130"/>
    <w:rsid w:val="00F818F7"/>
    <w:rsid w:val="00F8207F"/>
    <w:rsid w:val="00F8325D"/>
    <w:rsid w:val="00F832A9"/>
    <w:rsid w:val="00F832B0"/>
    <w:rsid w:val="00F83307"/>
    <w:rsid w:val="00F833A5"/>
    <w:rsid w:val="00F844D3"/>
    <w:rsid w:val="00F84629"/>
    <w:rsid w:val="00F84B71"/>
    <w:rsid w:val="00F84F0E"/>
    <w:rsid w:val="00F8519E"/>
    <w:rsid w:val="00F85FF5"/>
    <w:rsid w:val="00F861DF"/>
    <w:rsid w:val="00F867D0"/>
    <w:rsid w:val="00F86BB4"/>
    <w:rsid w:val="00F86EB3"/>
    <w:rsid w:val="00F870F5"/>
    <w:rsid w:val="00F902D2"/>
    <w:rsid w:val="00F90B12"/>
    <w:rsid w:val="00F90CBD"/>
    <w:rsid w:val="00F9109E"/>
    <w:rsid w:val="00F9177E"/>
    <w:rsid w:val="00F91E4F"/>
    <w:rsid w:val="00F91E57"/>
    <w:rsid w:val="00F91FDF"/>
    <w:rsid w:val="00F92AA1"/>
    <w:rsid w:val="00F92FDC"/>
    <w:rsid w:val="00F931D2"/>
    <w:rsid w:val="00F93431"/>
    <w:rsid w:val="00F93A4A"/>
    <w:rsid w:val="00F93D27"/>
    <w:rsid w:val="00F93E12"/>
    <w:rsid w:val="00F94E99"/>
    <w:rsid w:val="00F95DD6"/>
    <w:rsid w:val="00F96370"/>
    <w:rsid w:val="00F97479"/>
    <w:rsid w:val="00F97657"/>
    <w:rsid w:val="00F978D4"/>
    <w:rsid w:val="00F97940"/>
    <w:rsid w:val="00F97BA3"/>
    <w:rsid w:val="00F97EA2"/>
    <w:rsid w:val="00F97F0D"/>
    <w:rsid w:val="00F97FBB"/>
    <w:rsid w:val="00FA0B0A"/>
    <w:rsid w:val="00FA0B73"/>
    <w:rsid w:val="00FA0F66"/>
    <w:rsid w:val="00FA121C"/>
    <w:rsid w:val="00FA1407"/>
    <w:rsid w:val="00FA14A6"/>
    <w:rsid w:val="00FA1533"/>
    <w:rsid w:val="00FA197C"/>
    <w:rsid w:val="00FA1A68"/>
    <w:rsid w:val="00FA1B1A"/>
    <w:rsid w:val="00FA220C"/>
    <w:rsid w:val="00FA2747"/>
    <w:rsid w:val="00FA2A33"/>
    <w:rsid w:val="00FA2C8F"/>
    <w:rsid w:val="00FA2CF7"/>
    <w:rsid w:val="00FA2FFF"/>
    <w:rsid w:val="00FA3410"/>
    <w:rsid w:val="00FA360B"/>
    <w:rsid w:val="00FA3860"/>
    <w:rsid w:val="00FA3A50"/>
    <w:rsid w:val="00FA4763"/>
    <w:rsid w:val="00FA4830"/>
    <w:rsid w:val="00FA5032"/>
    <w:rsid w:val="00FA54B4"/>
    <w:rsid w:val="00FA5A53"/>
    <w:rsid w:val="00FA5CE0"/>
    <w:rsid w:val="00FA6980"/>
    <w:rsid w:val="00FA6CDF"/>
    <w:rsid w:val="00FA7699"/>
    <w:rsid w:val="00FA7B43"/>
    <w:rsid w:val="00FA7BB5"/>
    <w:rsid w:val="00FA7C85"/>
    <w:rsid w:val="00FA7D7B"/>
    <w:rsid w:val="00FB0BD1"/>
    <w:rsid w:val="00FB12D8"/>
    <w:rsid w:val="00FB176A"/>
    <w:rsid w:val="00FB1CDC"/>
    <w:rsid w:val="00FB238A"/>
    <w:rsid w:val="00FB2446"/>
    <w:rsid w:val="00FB2C81"/>
    <w:rsid w:val="00FB3034"/>
    <w:rsid w:val="00FB3BC4"/>
    <w:rsid w:val="00FB3F9C"/>
    <w:rsid w:val="00FB3FDE"/>
    <w:rsid w:val="00FB4676"/>
    <w:rsid w:val="00FB467B"/>
    <w:rsid w:val="00FB5552"/>
    <w:rsid w:val="00FB5789"/>
    <w:rsid w:val="00FB5F3A"/>
    <w:rsid w:val="00FB6AA9"/>
    <w:rsid w:val="00FB6AD4"/>
    <w:rsid w:val="00FB7BFF"/>
    <w:rsid w:val="00FB7F22"/>
    <w:rsid w:val="00FC00F3"/>
    <w:rsid w:val="00FC0A33"/>
    <w:rsid w:val="00FC1416"/>
    <w:rsid w:val="00FC14B2"/>
    <w:rsid w:val="00FC1766"/>
    <w:rsid w:val="00FC1823"/>
    <w:rsid w:val="00FC1C55"/>
    <w:rsid w:val="00FC2198"/>
    <w:rsid w:val="00FC26A4"/>
    <w:rsid w:val="00FC2BB6"/>
    <w:rsid w:val="00FC2C93"/>
    <w:rsid w:val="00FC325A"/>
    <w:rsid w:val="00FC33ED"/>
    <w:rsid w:val="00FC3BF0"/>
    <w:rsid w:val="00FC40C4"/>
    <w:rsid w:val="00FC43AD"/>
    <w:rsid w:val="00FC5876"/>
    <w:rsid w:val="00FC62F5"/>
    <w:rsid w:val="00FC731E"/>
    <w:rsid w:val="00FD035A"/>
    <w:rsid w:val="00FD06CB"/>
    <w:rsid w:val="00FD15B3"/>
    <w:rsid w:val="00FD19F1"/>
    <w:rsid w:val="00FD1A7E"/>
    <w:rsid w:val="00FD1CFE"/>
    <w:rsid w:val="00FD2CC3"/>
    <w:rsid w:val="00FD31BF"/>
    <w:rsid w:val="00FD3CC7"/>
    <w:rsid w:val="00FD3EF9"/>
    <w:rsid w:val="00FD3F5E"/>
    <w:rsid w:val="00FD4148"/>
    <w:rsid w:val="00FD4D5B"/>
    <w:rsid w:val="00FD6453"/>
    <w:rsid w:val="00FD67F3"/>
    <w:rsid w:val="00FD67FD"/>
    <w:rsid w:val="00FD6AA8"/>
    <w:rsid w:val="00FD6EDE"/>
    <w:rsid w:val="00FD7CB2"/>
    <w:rsid w:val="00FD7D46"/>
    <w:rsid w:val="00FD7D8B"/>
    <w:rsid w:val="00FE0881"/>
    <w:rsid w:val="00FE0AF2"/>
    <w:rsid w:val="00FE1C47"/>
    <w:rsid w:val="00FE22DD"/>
    <w:rsid w:val="00FE2CFB"/>
    <w:rsid w:val="00FE329E"/>
    <w:rsid w:val="00FE4336"/>
    <w:rsid w:val="00FE4A60"/>
    <w:rsid w:val="00FE5327"/>
    <w:rsid w:val="00FE54E0"/>
    <w:rsid w:val="00FE55F0"/>
    <w:rsid w:val="00FE598E"/>
    <w:rsid w:val="00FE6331"/>
    <w:rsid w:val="00FE685B"/>
    <w:rsid w:val="00FE6C12"/>
    <w:rsid w:val="00FE7894"/>
    <w:rsid w:val="00FF01FA"/>
    <w:rsid w:val="00FF119F"/>
    <w:rsid w:val="00FF21B5"/>
    <w:rsid w:val="00FF21C3"/>
    <w:rsid w:val="00FF2A11"/>
    <w:rsid w:val="00FF2AA0"/>
    <w:rsid w:val="00FF3F6C"/>
    <w:rsid w:val="00FF3F9E"/>
    <w:rsid w:val="00FF45D8"/>
    <w:rsid w:val="00FF4603"/>
    <w:rsid w:val="00FF46AD"/>
    <w:rsid w:val="00FF4B07"/>
    <w:rsid w:val="00FF4BA8"/>
    <w:rsid w:val="00FF4BFC"/>
    <w:rsid w:val="00FF4C11"/>
    <w:rsid w:val="00FF56B9"/>
    <w:rsid w:val="00FF57E8"/>
    <w:rsid w:val="00FF58C0"/>
    <w:rsid w:val="00FF5948"/>
    <w:rsid w:val="00FF6B71"/>
    <w:rsid w:val="00FF6EDF"/>
    <w:rsid w:val="00FF6EEA"/>
    <w:rsid w:val="00FF6F5D"/>
    <w:rsid w:val="00FF77DF"/>
    <w:rsid w:val="00FF7ABB"/>
    <w:rsid w:val="00FF7B99"/>
    <w:rsid w:val="1F923B63"/>
    <w:rsid w:val="24931357"/>
    <w:rsid w:val="290B1DD2"/>
    <w:rsid w:val="3BFA3519"/>
    <w:rsid w:val="629E04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86E3F2"/>
  <w14:defaultImageDpi w14:val="330"/>
  <w15:docId w15:val="{8F5EE8B1-DE46-4BD3-AD39-9044CC96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qFormat="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555EF"/>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uiPriority w:val="2"/>
    <w:qFormat/>
    <w:rsid w:val="00585FD0"/>
    <w:pPr>
      <w:keepNext/>
      <w:tabs>
        <w:tab w:val="left" w:pos="851"/>
      </w:tabs>
      <w:spacing w:before="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uiPriority w:val="2"/>
    <w:qFormat/>
    <w:rsid w:val="0066352E"/>
    <w:pPr>
      <w:keepNext/>
      <w:tabs>
        <w:tab w:val="left" w:pos="851"/>
      </w:tabs>
      <w:spacing w:before="360" w:after="0" w:line="440" w:lineRule="exac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uiPriority w:val="2"/>
    <w:qFormat/>
    <w:rsid w:val="009A2A8A"/>
    <w:pPr>
      <w:keepNext/>
      <w:tabs>
        <w:tab w:val="left" w:pos="851"/>
      </w:tabs>
      <w:spacing w:before="360" w:after="0" w:line="360" w:lineRule="exac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uiPriority w:val="2"/>
    <w:qFormat/>
    <w:rsid w:val="009F1D7F"/>
    <w:pPr>
      <w:outlineLvl w:val="3"/>
    </w:pPr>
    <w:rPr>
      <w:sz w:val="24"/>
    </w:rPr>
  </w:style>
  <w:style w:type="paragraph" w:styleId="Heading5">
    <w:name w:val="heading 5"/>
    <w:basedOn w:val="Normal"/>
    <w:next w:val="BodyText"/>
    <w:link w:val="Heading5Char"/>
    <w:uiPriority w:val="2"/>
    <w:qFormat/>
    <w:rsid w:val="008B68EC"/>
    <w:pPr>
      <w:keepNext/>
      <w:spacing w:before="320" w:after="0" w:line="240" w:lineRule="auto"/>
      <w:jc w:val="left"/>
      <w:outlineLvl w:val="4"/>
    </w:pPr>
    <w:rPr>
      <w:rFonts w:eastAsiaTheme="majorEastAsia" w:cstheme="majorBidi"/>
      <w:i/>
      <w:sz w:val="24"/>
    </w:rPr>
  </w:style>
  <w:style w:type="paragraph" w:styleId="Heading6">
    <w:name w:val="heading 6"/>
    <w:basedOn w:val="Normal"/>
    <w:next w:val="Normal"/>
    <w:link w:val="Heading6Char"/>
    <w:uiPriority w:val="2"/>
    <w:qFormat/>
    <w:rsid w:val="00EA64B4"/>
    <w:pPr>
      <w:numPr>
        <w:ilvl w:val="5"/>
        <w:numId w:val="1"/>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uiPriority w:val="2"/>
    <w:qFormat/>
    <w:rsid w:val="00EA64B4"/>
    <w:pPr>
      <w:numPr>
        <w:ilvl w:val="6"/>
        <w:numId w:val="1"/>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uiPriority w:val="2"/>
    <w:qFormat/>
    <w:rsid w:val="00EA64B4"/>
    <w:pPr>
      <w:numPr>
        <w:ilvl w:val="7"/>
        <w:numId w:val="1"/>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uiPriority w:val="2"/>
    <w:qFormat/>
    <w:rsid w:val="00EA64B4"/>
    <w:pPr>
      <w:numPr>
        <w:ilvl w:val="8"/>
        <w:numId w:val="1"/>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FD0"/>
    <w:rPr>
      <w:rFonts w:ascii="Georgia" w:eastAsiaTheme="majorEastAsia" w:hAnsi="Georgia" w:cstheme="majorBidi"/>
      <w:b/>
      <w:bCs/>
      <w:color w:val="1B556B"/>
      <w:sz w:val="48"/>
      <w:szCs w:val="28"/>
      <w:lang w:eastAsia="en-NZ"/>
    </w:rPr>
  </w:style>
  <w:style w:type="character" w:customStyle="1" w:styleId="Heading2Char">
    <w:name w:val="Heading 2 Char"/>
    <w:basedOn w:val="DefaultParagraphFont"/>
    <w:link w:val="Heading2"/>
    <w:rsid w:val="0066352E"/>
    <w:rPr>
      <w:rFonts w:ascii="Georgia" w:eastAsiaTheme="majorEastAsia" w:hAnsi="Georgia" w:cstheme="majorBidi"/>
      <w:b/>
      <w:bCs/>
      <w:color w:val="1B556B"/>
      <w:sz w:val="36"/>
      <w:szCs w:val="26"/>
      <w:lang w:eastAsia="en-NZ"/>
    </w:rPr>
  </w:style>
  <w:style w:type="character" w:customStyle="1" w:styleId="Heading3Char">
    <w:name w:val="Heading 3 Char"/>
    <w:basedOn w:val="DefaultParagraphFont"/>
    <w:link w:val="Heading3"/>
    <w:rsid w:val="009A2A8A"/>
    <w:rPr>
      <w:rFonts w:ascii="Georgia" w:eastAsiaTheme="majorEastAsia" w:hAnsi="Georgia" w:cstheme="majorBidi"/>
      <w:b/>
      <w:bCs/>
      <w:sz w:val="28"/>
      <w:lang w:eastAsia="en-NZ"/>
    </w:rPr>
  </w:style>
  <w:style w:type="character" w:customStyle="1" w:styleId="Heading4Char">
    <w:name w:val="Heading 4 Char"/>
    <w:basedOn w:val="DefaultParagraphFont"/>
    <w:link w:val="Heading4"/>
    <w:rsid w:val="009F1D7F"/>
    <w:rPr>
      <w:rFonts w:ascii="Georgia" w:eastAsiaTheme="majorEastAsia" w:hAnsi="Georgia" w:cstheme="majorBidi"/>
      <w:b/>
      <w:bCs/>
      <w:sz w:val="24"/>
      <w:lang w:eastAsia="en-NZ"/>
    </w:rPr>
  </w:style>
  <w:style w:type="character" w:customStyle="1" w:styleId="Heading5Char">
    <w:name w:val="Heading 5 Char"/>
    <w:basedOn w:val="DefaultParagraphFont"/>
    <w:link w:val="Heading5"/>
    <w:rsid w:val="008B68EC"/>
    <w:rPr>
      <w:rFonts w:ascii="Calibri" w:eastAsiaTheme="majorEastAsia" w:hAnsi="Calibri" w:cstheme="majorBidi"/>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basedOn w:val="DefaultParagraphFont"/>
    <w:link w:val="BodyText"/>
    <w:rsid w:val="00EA64B4"/>
    <w:rPr>
      <w:rFonts w:ascii="Calibri" w:eastAsiaTheme="minorEastAsia" w:hAnsi="Calibri"/>
      <w:lang w:eastAsia="en-NZ"/>
    </w:rPr>
  </w:style>
  <w:style w:type="table" w:styleId="TableGrid">
    <w:name w:val="Table Grid"/>
    <w:basedOn w:val="TableNormal"/>
    <w:uiPriority w:val="59"/>
    <w:rsid w:val="00EA64B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basedOn w:val="DefaultParagraphFont"/>
    <w:link w:val="Header"/>
    <w:semiHidden/>
    <w:rsid w:val="00F03FF2"/>
    <w:rPr>
      <w:rFonts w:ascii="Arial" w:eastAsiaTheme="minorEastAsia"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basedOn w:val="DefaultParagraphFont"/>
    <w:link w:val="Quote"/>
    <w:uiPriority w:val="1"/>
    <w:rsid w:val="00684D9B"/>
    <w:rPr>
      <w:rFonts w:ascii="Calibri" w:eastAsiaTheme="minorEastAsia" w:hAnsi="Calibri"/>
      <w:sz w:val="20"/>
      <w:lang w:eastAsia="en-NZ"/>
    </w:rPr>
  </w:style>
  <w:style w:type="paragraph" w:customStyle="1" w:styleId="Bullet">
    <w:name w:val="Bullet"/>
    <w:basedOn w:val="Normal"/>
    <w:link w:val="BulletChar"/>
    <w:qFormat/>
    <w:rsid w:val="000A109B"/>
    <w:pPr>
      <w:numPr>
        <w:numId w:val="14"/>
      </w:numPr>
      <w:spacing w:before="0"/>
      <w:jc w:val="left"/>
    </w:pPr>
    <w:rPr>
      <w:rFonts w:eastAsia="Times New Roman" w:cs="Times New Roman"/>
      <w:szCs w:val="20"/>
    </w:rPr>
  </w:style>
  <w:style w:type="paragraph" w:customStyle="1" w:styleId="Heading">
    <w:name w:val="Heading"/>
    <w:basedOn w:val="Heading1"/>
    <w:next w:val="Normal"/>
    <w:uiPriority w:val="3"/>
    <w:rsid w:val="00F06E0B"/>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basedOn w:val="DefaultParagraphFont"/>
    <w:link w:val="Footer"/>
    <w:semiHidden/>
    <w:rsid w:val="00F03FF2"/>
    <w:rPr>
      <w:rFonts w:ascii="Calibri" w:eastAsiaTheme="minorEastAsia" w:hAnsi="Calibri"/>
      <w:lang w:eastAsia="en-NZ"/>
    </w:rPr>
  </w:style>
  <w:style w:type="paragraph" w:customStyle="1" w:styleId="Sub-list">
    <w:name w:val="Sub-list"/>
    <w:basedOn w:val="Normal"/>
    <w:qFormat/>
    <w:rsid w:val="002A533C"/>
    <w:pPr>
      <w:numPr>
        <w:numId w:val="3"/>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qFormat/>
    <w:rsid w:val="00EA64B4"/>
    <w:rPr>
      <w:rFonts w:ascii="Calibri" w:hAnsi="Calibri"/>
      <w:color w:val="183C47"/>
      <w:sz w:val="22"/>
      <w:vertAlign w:val="superscript"/>
    </w:rPr>
  </w:style>
  <w:style w:type="paragraph" w:styleId="FootnoteText">
    <w:name w:val="footnote text"/>
    <w:aliases w:val="Char,Footnote Text Char1,Footnote Text Char Char,Footnote Text Char1 Char Char,Footnote Text Char Char Char Char,Footnote Text Char1 Char Char Char Char,Footnote Text Char Char Char Char Char Char, Char"/>
    <w:basedOn w:val="Normal"/>
    <w:link w:val="FootnoteTextChar"/>
    <w:uiPriority w:val="99"/>
    <w:qFormat/>
    <w:rsid w:val="00EA64B4"/>
    <w:pPr>
      <w:spacing w:before="0" w:after="60" w:line="240" w:lineRule="atLeast"/>
      <w:ind w:left="284" w:hanging="284"/>
      <w:jc w:val="left"/>
    </w:pPr>
    <w:rPr>
      <w:sz w:val="19"/>
    </w:rPr>
  </w:style>
  <w:style w:type="character" w:customStyle="1" w:styleId="FootnoteTextChar">
    <w:name w:val="Footnote Text Char"/>
    <w:aliases w:val="Char Char,Footnote Text Char1 Char,Footnote Text Char Char Char,Footnote Text Char1 Char Char Char,Footnote Text Char Char Char Char Char,Footnote Text Char1 Char Char Char Char Char,Footnote Text Char Char Char Char Char Char Char"/>
    <w:basedOn w:val="DefaultParagraphFont"/>
    <w:link w:val="FootnoteText"/>
    <w:uiPriority w:val="99"/>
    <w:rsid w:val="00BE2893"/>
    <w:rPr>
      <w:rFonts w:ascii="Calibri" w:eastAsiaTheme="minorEastAsia"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4A3CC2"/>
    <w:pPr>
      <w:spacing w:line="360" w:lineRule="auto"/>
      <w:jc w:val="center"/>
    </w:pPr>
    <w:rPr>
      <w:rFonts w:ascii="Georgia" w:hAnsi="Georgia"/>
      <w:b/>
      <w:color w:val="1B556B"/>
      <w:sz w:val="56"/>
    </w:rPr>
  </w:style>
  <w:style w:type="character" w:customStyle="1" w:styleId="TitleChar">
    <w:name w:val="Title Char"/>
    <w:basedOn w:val="DefaultParagraphFont"/>
    <w:link w:val="Title"/>
    <w:uiPriority w:val="2"/>
    <w:rsid w:val="004A3CC2"/>
    <w:rPr>
      <w:rFonts w:ascii="Georgia" w:eastAsiaTheme="minorEastAsia" w:hAnsi="Georgia"/>
      <w:b/>
      <w:color w:val="1B556B"/>
      <w:sz w:val="56"/>
      <w:lang w:eastAsia="en-NZ"/>
    </w:rPr>
  </w:style>
  <w:style w:type="paragraph" w:styleId="Subtitle">
    <w:name w:val="Subtitle"/>
    <w:basedOn w:val="Title"/>
    <w:link w:val="SubtitleChar"/>
    <w:uiPriority w:val="2"/>
    <w:rsid w:val="004A3CC2"/>
    <w:pPr>
      <w:spacing w:before="600" w:line="240" w:lineRule="auto"/>
    </w:pPr>
    <w:rPr>
      <w:sz w:val="36"/>
      <w:szCs w:val="36"/>
    </w:rPr>
  </w:style>
  <w:style w:type="character" w:customStyle="1" w:styleId="SubtitleChar">
    <w:name w:val="Subtitle Char"/>
    <w:basedOn w:val="DefaultParagraphFont"/>
    <w:link w:val="Subtitle"/>
    <w:uiPriority w:val="2"/>
    <w:rsid w:val="004A3CC2"/>
    <w:rPr>
      <w:rFonts w:ascii="Georgia" w:eastAsiaTheme="minorEastAsia" w:hAnsi="Georgia"/>
      <w:b/>
      <w:color w:val="1B556B"/>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uiPriority w:val="3"/>
    <w:qFormat/>
    <w:rsid w:val="00EA64B4"/>
    <w:pPr>
      <w:spacing w:before="60" w:after="60" w:line="240" w:lineRule="atLeast"/>
      <w:jc w:val="left"/>
    </w:pPr>
    <w:rPr>
      <w:sz w:val="18"/>
    </w:rPr>
  </w:style>
  <w:style w:type="paragraph" w:customStyle="1" w:styleId="TableTextbold">
    <w:name w:val="TableText bold"/>
    <w:basedOn w:val="TableText"/>
    <w:uiPriority w:val="3"/>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2"/>
    <w:rsid w:val="00EA64B4"/>
    <w:pPr>
      <w:tabs>
        <w:tab w:val="right" w:pos="7938"/>
        <w:tab w:val="right" w:pos="8505"/>
      </w:tabs>
      <w:jc w:val="left"/>
    </w:pPr>
    <w:rPr>
      <w:sz w:val="16"/>
    </w:rPr>
  </w:style>
  <w:style w:type="paragraph" w:customStyle="1" w:styleId="Footereven">
    <w:name w:val="Footer even"/>
    <w:basedOn w:val="Normal"/>
    <w:uiPriority w:val="2"/>
    <w:rsid w:val="00EA64B4"/>
    <w:pPr>
      <w:tabs>
        <w:tab w:val="left" w:pos="567"/>
      </w:tabs>
    </w:pPr>
    <w:rPr>
      <w:sz w:val="16"/>
    </w:rPr>
  </w:style>
  <w:style w:type="paragraph" w:customStyle="1" w:styleId="Numberedparagraph">
    <w:name w:val="Numbered paragraph"/>
    <w:basedOn w:val="Normal"/>
    <w:uiPriority w:val="1"/>
    <w:qFormat/>
    <w:rsid w:val="005B6698"/>
    <w:pPr>
      <w:numPr>
        <w:numId w:val="4"/>
      </w:numPr>
      <w:spacing w:before="0"/>
      <w:jc w:val="left"/>
    </w:pPr>
  </w:style>
  <w:style w:type="paragraph" w:customStyle="1" w:styleId="Sub-lista">
    <w:name w:val="Sub-list a"/>
    <w:aliases w:val="b"/>
    <w:basedOn w:val="Normal"/>
    <w:uiPriority w:val="2"/>
    <w:rsid w:val="00E21ACA"/>
    <w:pPr>
      <w:numPr>
        <w:numId w:val="5"/>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6"/>
      </w:numPr>
      <w:spacing w:before="60" w:after="60"/>
    </w:pPr>
  </w:style>
  <w:style w:type="paragraph" w:customStyle="1" w:styleId="TableBullet">
    <w:name w:val="TableBullet"/>
    <w:basedOn w:val="Normal"/>
    <w:uiPriority w:val="3"/>
    <w:qFormat/>
    <w:rsid w:val="00523DFA"/>
    <w:pPr>
      <w:numPr>
        <w:numId w:val="7"/>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8"/>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basedOn w:val="DefaultParagraphFont"/>
    <w:link w:val="BalloonText"/>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single" w:sz="8" w:space="0" w:color="52A8C7" w:themeColor="accent2" w:themeTint="BF"/>
      </w:tblBorders>
    </w:tblPr>
    <w:tblStylePr w:type="firstRow">
      <w:pPr>
        <w:spacing w:before="0" w:after="0" w:line="240" w:lineRule="auto"/>
      </w:pPr>
      <w:rPr>
        <w:b/>
        <w:bCs/>
        <w:color w:val="FFFFFF" w:themeColor="background1"/>
      </w:rPr>
      <w:tblPr/>
      <w:tcPr>
        <w:tcBorders>
          <w:top w:val="single" w:sz="8"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nil"/>
          <w:insideV w:val="nil"/>
        </w:tcBorders>
        <w:shd w:val="clear" w:color="auto" w:fill="32809C" w:themeFill="accent2"/>
      </w:tcPr>
    </w:tblStylePr>
    <w:tblStylePr w:type="lastRow">
      <w:pPr>
        <w:spacing w:before="0" w:after="0" w:line="240" w:lineRule="auto"/>
      </w:pPr>
      <w:rPr>
        <w:b/>
        <w:bCs/>
      </w:rPr>
      <w:tblPr/>
      <w:tcPr>
        <w:tcBorders>
          <w:top w:val="double" w:sz="6"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2EC" w:themeFill="accent2" w:themeFillTint="3F"/>
      </w:tcPr>
    </w:tblStylePr>
    <w:tblStylePr w:type="band1Horz">
      <w:tblPr/>
      <w:tcPr>
        <w:tcBorders>
          <w:insideH w:val="nil"/>
          <w:insideV w:val="nil"/>
        </w:tcBorders>
        <w:shd w:val="clear" w:color="auto" w:fill="C5E2EC"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uiPriority w:val="99"/>
    <w:semiHidden/>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semiHidden/>
    <w:qFormat/>
    <w:rsid w:val="00EA64B4"/>
    <w:rPr>
      <w:b/>
      <w:bCs/>
    </w:rPr>
  </w:style>
  <w:style w:type="paragraph" w:customStyle="1" w:styleId="Boxa">
    <w:name w:val="Box a"/>
    <w:aliases w:val="b list"/>
    <w:basedOn w:val="Sub-listi"/>
    <w:semiHidden/>
    <w:qFormat/>
    <w:rsid w:val="00EA64B4"/>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EA64B4"/>
    <w:rPr>
      <w:color w:val="800080" w:themeColor="followedHyperlink"/>
      <w:u w:val="none"/>
    </w:rPr>
  </w:style>
  <w:style w:type="paragraph" w:customStyle="1" w:styleId="BoxBullet0">
    <w:name w:val="Box Bullet"/>
    <w:basedOn w:val="Normal"/>
    <w:semiHidden/>
    <w:rsid w:val="008B5E54"/>
    <w:pPr>
      <w:pBdr>
        <w:top w:val="single" w:sz="6" w:space="15" w:color="auto"/>
        <w:left w:val="single" w:sz="6" w:space="15" w:color="auto"/>
        <w:bottom w:val="single" w:sz="6" w:space="15" w:color="auto"/>
        <w:right w:val="single" w:sz="6" w:space="15" w:color="auto"/>
      </w:pBdr>
      <w:tabs>
        <w:tab w:val="num" w:pos="851"/>
      </w:tabs>
      <w:spacing w:after="0" w:line="240" w:lineRule="auto"/>
      <w:ind w:left="851" w:right="284" w:hanging="567"/>
      <w:jc w:val="left"/>
    </w:pPr>
    <w:rPr>
      <w:rFonts w:ascii="Arial" w:eastAsia="Times New Roman" w:hAnsi="Arial" w:cs="Times New Roman"/>
      <w:sz w:val="20"/>
      <w:szCs w:val="20"/>
      <w:lang w:eastAsia="en-GB"/>
    </w:rPr>
  </w:style>
  <w:style w:type="paragraph" w:customStyle="1" w:styleId="BoxHeading">
    <w:name w:val="BoxHeading"/>
    <w:basedOn w:val="Normal"/>
    <w:next w:val="Normal"/>
    <w:semiHidden/>
    <w:rsid w:val="008B5E54"/>
    <w:pPr>
      <w:pBdr>
        <w:top w:val="single" w:sz="6" w:space="15" w:color="auto"/>
        <w:left w:val="single" w:sz="6" w:space="15" w:color="auto"/>
        <w:bottom w:val="single" w:sz="6" w:space="15" w:color="auto"/>
        <w:right w:val="single" w:sz="6" w:space="15" w:color="auto"/>
      </w:pBdr>
      <w:spacing w:before="0" w:after="240" w:line="240" w:lineRule="auto"/>
      <w:ind w:left="284" w:right="284"/>
    </w:pPr>
    <w:rPr>
      <w:rFonts w:ascii="Arial" w:eastAsia="Times New Roman" w:hAnsi="Arial" w:cs="Times New Roman"/>
      <w:b/>
      <w:szCs w:val="20"/>
      <w:lang w:eastAsia="en-GB"/>
    </w:rPr>
  </w:style>
  <w:style w:type="character" w:customStyle="1" w:styleId="Heading6Char">
    <w:name w:val="Heading 6 Char"/>
    <w:basedOn w:val="DefaultParagraphFont"/>
    <w:link w:val="Heading6"/>
    <w:uiPriority w:val="2"/>
    <w:rsid w:val="00EA64B4"/>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uiPriority w:val="2"/>
    <w:rsid w:val="00EA64B4"/>
    <w:rPr>
      <w:rFonts w:ascii="Times New Roman" w:eastAsia="Times New Roman" w:hAnsi="Times New Roman" w:cs="Times New Roman"/>
      <w:szCs w:val="20"/>
      <w:lang w:val="en-AU"/>
    </w:rPr>
  </w:style>
  <w:style w:type="character" w:customStyle="1" w:styleId="Heading8Char">
    <w:name w:val="Heading 8 Char"/>
    <w:basedOn w:val="DefaultParagraphFont"/>
    <w:link w:val="Heading8"/>
    <w:uiPriority w:val="2"/>
    <w:rsid w:val="00EA64B4"/>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uiPriority w:val="2"/>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eastAsia="Times New Roman" w:hAnsi="Times New Roman" w:cs="Times New Roman"/>
      <w:b/>
      <w:bCs/>
      <w:color w:val="1C556C" w:themeColor="accent1"/>
      <w:sz w:val="18"/>
      <w:szCs w:val="18"/>
      <w:lang w:eastAsia="en-US"/>
    </w:rPr>
  </w:style>
  <w:style w:type="character" w:customStyle="1" w:styleId="BulletChar">
    <w:name w:val="Bullet Char"/>
    <w:basedOn w:val="DefaultParagraphFont"/>
    <w:link w:val="Bullet"/>
    <w:locked/>
    <w:rsid w:val="000A109B"/>
    <w:rPr>
      <w:rFonts w:ascii="Calibri" w:eastAsia="Times New Roman" w:hAnsi="Calibri" w:cs="Times New Roman"/>
      <w:szCs w:val="20"/>
      <w:lang w:eastAsia="en-NZ"/>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themeColor="background1"/>
    </w:rPr>
  </w:style>
  <w:style w:type="table" w:styleId="LightShading-Accent1">
    <w:name w:val="Light Shading Accent 1"/>
    <w:basedOn w:val="TableNormal"/>
    <w:uiPriority w:val="60"/>
    <w:rsid w:val="00E05569"/>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416330"/>
    <w:pPr>
      <w:spacing w:after="0" w:line="240" w:lineRule="auto"/>
    </w:pPr>
    <w:rPr>
      <w:rFonts w:eastAsiaTheme="minorEastAsia"/>
      <w:lang w:val="en-US"/>
    </w:rPr>
    <w:tblPr>
      <w:tblStyleRowBandSize w:val="1"/>
      <w:tblStyleColBandSize w:val="1"/>
      <w:tblBorders>
        <w:top w:val="single" w:sz="8" w:space="0" w:color="D5EBE8" w:themeColor="accent3"/>
        <w:left w:val="single" w:sz="8" w:space="0" w:color="D5EBE8" w:themeColor="accent3"/>
        <w:bottom w:val="single" w:sz="8" w:space="0" w:color="D5EBE8" w:themeColor="accent3"/>
        <w:right w:val="single" w:sz="8" w:space="0" w:color="D5EBE8" w:themeColor="accent3"/>
      </w:tblBorders>
    </w:tblPr>
    <w:tblStylePr w:type="firstRow">
      <w:pPr>
        <w:spacing w:before="0" w:after="0" w:line="240" w:lineRule="auto"/>
      </w:pPr>
      <w:rPr>
        <w:b/>
        <w:bCs/>
        <w:color w:val="FFFFFF" w:themeColor="background1"/>
      </w:rPr>
      <w:tblPr/>
      <w:tcPr>
        <w:shd w:val="clear" w:color="auto" w:fill="D5EBE8" w:themeFill="accent3"/>
      </w:tcPr>
    </w:tblStylePr>
    <w:tblStylePr w:type="lastRow">
      <w:pPr>
        <w:spacing w:before="0" w:after="0" w:line="240" w:lineRule="auto"/>
      </w:pPr>
      <w:rPr>
        <w:b/>
        <w:bCs/>
      </w:rPr>
      <w:tblPr/>
      <w:tcPr>
        <w:tcBorders>
          <w:top w:val="double" w:sz="6" w:space="0" w:color="D5EBE8" w:themeColor="accent3"/>
          <w:left w:val="single" w:sz="8" w:space="0" w:color="D5EBE8" w:themeColor="accent3"/>
          <w:bottom w:val="single" w:sz="8" w:space="0" w:color="D5EBE8" w:themeColor="accent3"/>
          <w:right w:val="single" w:sz="8" w:space="0" w:color="D5EBE8" w:themeColor="accent3"/>
        </w:tcBorders>
      </w:tcPr>
    </w:tblStylePr>
    <w:tblStylePr w:type="firstCol">
      <w:rPr>
        <w:b/>
        <w:bCs/>
      </w:rPr>
    </w:tblStylePr>
    <w:tblStylePr w:type="lastCol">
      <w:rPr>
        <w:b/>
        <w:bCs/>
      </w:rPr>
    </w:tblStylePr>
    <w:tblStylePr w:type="band1Vert">
      <w:tblPr/>
      <w:tcPr>
        <w:tcBorders>
          <w:top w:val="single" w:sz="8" w:space="0" w:color="D5EBE8" w:themeColor="accent3"/>
          <w:left w:val="single" w:sz="8" w:space="0" w:color="D5EBE8" w:themeColor="accent3"/>
          <w:bottom w:val="single" w:sz="8" w:space="0" w:color="D5EBE8" w:themeColor="accent3"/>
          <w:right w:val="single" w:sz="8" w:space="0" w:color="D5EBE8" w:themeColor="accent3"/>
        </w:tcBorders>
      </w:tcPr>
    </w:tblStylePr>
    <w:tblStylePr w:type="band1Horz">
      <w:tblPr/>
      <w:tcPr>
        <w:tcBorders>
          <w:top w:val="single" w:sz="8" w:space="0" w:color="D5EBE8" w:themeColor="accent3"/>
          <w:left w:val="single" w:sz="8" w:space="0" w:color="D5EBE8" w:themeColor="accent3"/>
          <w:bottom w:val="single" w:sz="8" w:space="0" w:color="D5EBE8" w:themeColor="accent3"/>
          <w:right w:val="single" w:sz="8" w:space="0" w:color="D5EBE8" w:themeColor="accent3"/>
        </w:tcBorders>
      </w:tcPr>
    </w:tblStylePr>
  </w:style>
  <w:style w:type="numbering" w:customStyle="1" w:styleId="Style1">
    <w:name w:val="Style1"/>
    <w:uiPriority w:val="99"/>
    <w:rsid w:val="00B07CE9"/>
    <w:pPr>
      <w:numPr>
        <w:numId w:val="10"/>
      </w:numPr>
    </w:pPr>
  </w:style>
  <w:style w:type="numbering" w:customStyle="1" w:styleId="Style2">
    <w:name w:val="Style2"/>
    <w:uiPriority w:val="99"/>
    <w:rsid w:val="008E0688"/>
    <w:pPr>
      <w:numPr>
        <w:numId w:val="11"/>
      </w:numPr>
    </w:pPr>
  </w:style>
  <w:style w:type="paragraph" w:customStyle="1" w:styleId="Greenbullet-casestudytables">
    <w:name w:val="Green bullet - case study tables"/>
    <w:basedOn w:val="Greentext-casestudytables"/>
    <w:uiPriority w:val="1"/>
    <w:semiHidden/>
    <w:rsid w:val="00C15722"/>
    <w:pPr>
      <w:numPr>
        <w:numId w:val="12"/>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9F1D7F"/>
    <w:pPr>
      <w:keepNext/>
      <w:spacing w:before="240" w:after="0"/>
    </w:pPr>
    <w:rPr>
      <w:rFonts w:eastAsia="Times New Roman"/>
      <w:b/>
      <w:color w:val="1B556B"/>
      <w:sz w:val="22"/>
    </w:rPr>
  </w:style>
  <w:style w:type="numbering" w:customStyle="1" w:styleId="Style3">
    <w:name w:val="Style3"/>
    <w:uiPriority w:val="99"/>
    <w:rsid w:val="008B5A2D"/>
    <w:pPr>
      <w:numPr>
        <w:numId w:val="13"/>
      </w:numPr>
    </w:pPr>
  </w:style>
  <w:style w:type="paragraph" w:customStyle="1" w:styleId="Boxtext">
    <w:name w:val="Box text"/>
    <w:basedOn w:val="Normal"/>
    <w:uiPriority w:val="1"/>
    <w:qFormat/>
    <w:rsid w:val="00DB6A2B"/>
    <w:pPr>
      <w:spacing w:line="260" w:lineRule="atLeast"/>
      <w:ind w:left="284" w:right="284"/>
      <w:jc w:val="left"/>
    </w:pPr>
    <w:rPr>
      <w:color w:val="1B556B"/>
      <w:sz w:val="20"/>
    </w:rPr>
  </w:style>
  <w:style w:type="paragraph" w:customStyle="1" w:styleId="Boxbullet">
    <w:name w:val="Box bullet"/>
    <w:basedOn w:val="Boxtext"/>
    <w:uiPriority w:val="1"/>
    <w:qFormat/>
    <w:rsid w:val="005D3242"/>
    <w:pPr>
      <w:numPr>
        <w:numId w:val="2"/>
      </w:numPr>
      <w:tabs>
        <w:tab w:val="left" w:pos="680"/>
      </w:tabs>
      <w:spacing w:before="0"/>
    </w:pPr>
    <w:rPr>
      <w:rFonts w:cs="Times New Roman"/>
      <w:szCs w:val="20"/>
    </w:rPr>
  </w:style>
  <w:style w:type="paragraph" w:customStyle="1" w:styleId="Boxheading0">
    <w:name w:val="Box heading"/>
    <w:basedOn w:val="Boxtext"/>
    <w:next w:val="Boxtext"/>
    <w:uiPriority w:val="1"/>
    <w:qFormat/>
    <w:rsid w:val="00DB6A2B"/>
    <w:pPr>
      <w:keepNext/>
      <w:spacing w:before="240" w:after="0"/>
    </w:pPr>
    <w:rPr>
      <w:rFonts w:cs="Times New Roman"/>
      <w:b/>
      <w:sz w:val="22"/>
      <w:szCs w:val="20"/>
    </w:rPr>
  </w:style>
  <w:style w:type="paragraph" w:customStyle="1" w:styleId="Boxsub-bullet">
    <w:name w:val="Box sub-bullet"/>
    <w:basedOn w:val="Boxtext"/>
    <w:uiPriority w:val="1"/>
    <w:qFormat/>
    <w:rsid w:val="00DB6A2B"/>
    <w:pPr>
      <w:numPr>
        <w:numId w:val="15"/>
      </w:numPr>
      <w:spacing w:before="0"/>
    </w:pPr>
    <w:rPr>
      <w:rFonts w:cs="Times New Roman"/>
      <w:szCs w:val="20"/>
    </w:rPr>
  </w:style>
  <w:style w:type="paragraph" w:customStyle="1" w:styleId="Greensub-bullet-casestudytables">
    <w:name w:val="Green sub-bullet - case study tables"/>
    <w:basedOn w:val="Greentext-casestudytables"/>
    <w:uiPriority w:val="1"/>
    <w:semiHidden/>
    <w:qFormat/>
    <w:rsid w:val="00C15722"/>
    <w:pPr>
      <w:numPr>
        <w:numId w:val="16"/>
      </w:numPr>
      <w:spacing w:before="0"/>
      <w:ind w:left="1077" w:hanging="397"/>
    </w:pPr>
  </w:style>
  <w:style w:type="character" w:styleId="UnresolvedMention">
    <w:name w:val="Unresolved Mention"/>
    <w:basedOn w:val="DefaultParagraphFont"/>
    <w:uiPriority w:val="99"/>
    <w:semiHidden/>
    <w:unhideWhenUsed/>
    <w:rsid w:val="00563317"/>
    <w:rPr>
      <w:color w:val="605E5C"/>
      <w:shd w:val="clear" w:color="auto" w:fill="E1DFDD"/>
    </w:rPr>
  </w:style>
  <w:style w:type="paragraph" w:styleId="CommentText">
    <w:name w:val="annotation text"/>
    <w:basedOn w:val="Normal"/>
    <w:link w:val="CommentTextChar"/>
    <w:uiPriority w:val="99"/>
    <w:rsid w:val="009D5803"/>
    <w:pPr>
      <w:spacing w:line="240" w:lineRule="auto"/>
    </w:pPr>
    <w:rPr>
      <w:sz w:val="20"/>
      <w:szCs w:val="20"/>
    </w:rPr>
  </w:style>
  <w:style w:type="character" w:customStyle="1" w:styleId="CommentTextChar">
    <w:name w:val="Comment Text Char"/>
    <w:basedOn w:val="DefaultParagraphFont"/>
    <w:link w:val="CommentText"/>
    <w:uiPriority w:val="99"/>
    <w:rsid w:val="009D5803"/>
    <w:rPr>
      <w:rFonts w:ascii="Calibri" w:eastAsiaTheme="minorEastAsia" w:hAnsi="Calibri"/>
      <w:sz w:val="20"/>
      <w:szCs w:val="20"/>
      <w:lang w:eastAsia="en-NZ"/>
    </w:rPr>
  </w:style>
  <w:style w:type="paragraph" w:customStyle="1" w:styleId="NIndent">
    <w:name w:val="NIndent"/>
    <w:basedOn w:val="Normal"/>
    <w:qFormat/>
    <w:rsid w:val="00537586"/>
    <w:pPr>
      <w:spacing w:before="160" w:after="80" w:line="240" w:lineRule="atLeast"/>
      <w:ind w:left="567"/>
      <w:jc w:val="left"/>
    </w:pPr>
    <w:rPr>
      <w:rFonts w:asciiTheme="minorHAnsi" w:eastAsiaTheme="minorHAnsi" w:hAnsiTheme="minorHAnsi"/>
      <w:sz w:val="18"/>
      <w:lang w:eastAsia="en-US"/>
    </w:rPr>
  </w:style>
  <w:style w:type="character" w:customStyle="1" w:styleId="HdgLeftIndentChar">
    <w:name w:val="HdgLeftIndent Char"/>
    <w:basedOn w:val="DefaultParagraphFont"/>
    <w:link w:val="HdgLeftIndent"/>
    <w:uiPriority w:val="3"/>
    <w:rsid w:val="00D63593"/>
    <w:rPr>
      <w:rFonts w:asciiTheme="majorHAnsi" w:hAnsiTheme="majorHAnsi"/>
      <w:caps/>
      <w:spacing w:val="-6"/>
      <w:sz w:val="18"/>
    </w:rPr>
  </w:style>
  <w:style w:type="paragraph" w:customStyle="1" w:styleId="Appendix">
    <w:name w:val="Appendix"/>
    <w:basedOn w:val="Heading1"/>
    <w:next w:val="Normal"/>
    <w:uiPriority w:val="99"/>
    <w:qFormat/>
    <w:rsid w:val="00D63593"/>
    <w:pPr>
      <w:keepLines/>
      <w:numPr>
        <w:numId w:val="18"/>
      </w:numPr>
      <w:tabs>
        <w:tab w:val="clear" w:pos="851"/>
      </w:tabs>
      <w:spacing w:after="440" w:line="360" w:lineRule="exact"/>
      <w:outlineLvl w:val="8"/>
    </w:pPr>
    <w:rPr>
      <w:rFonts w:asciiTheme="majorHAnsi" w:hAnsiTheme="majorHAnsi"/>
      <w:b w:val="0"/>
      <w:caps/>
      <w:color w:val="auto"/>
      <w:spacing w:val="-14"/>
      <w:sz w:val="36"/>
      <w:szCs w:val="36"/>
      <w:lang w:eastAsia="en-US"/>
    </w:rPr>
  </w:style>
  <w:style w:type="paragraph" w:customStyle="1" w:styleId="HdgLeftIndent">
    <w:name w:val="HdgLeftIndent"/>
    <w:basedOn w:val="Normal"/>
    <w:next w:val="NIndent"/>
    <w:link w:val="HdgLeftIndentChar"/>
    <w:uiPriority w:val="3"/>
    <w:qFormat/>
    <w:rsid w:val="00D63593"/>
    <w:pPr>
      <w:spacing w:before="240" w:after="0" w:line="240" w:lineRule="auto"/>
      <w:ind w:left="567"/>
      <w:jc w:val="left"/>
    </w:pPr>
    <w:rPr>
      <w:rFonts w:asciiTheme="majorHAnsi" w:eastAsiaTheme="minorHAnsi" w:hAnsiTheme="majorHAnsi"/>
      <w:caps/>
      <w:spacing w:val="-6"/>
      <w:sz w:val="18"/>
      <w:lang w:eastAsia="en-US"/>
    </w:rPr>
  </w:style>
  <w:style w:type="paragraph" w:customStyle="1" w:styleId="HdgLeftIndentGreen">
    <w:name w:val="HdgLeftIndentGreen"/>
    <w:basedOn w:val="HdgLeftIndent"/>
    <w:next w:val="NIndent"/>
    <w:link w:val="HdgLeftIndentGreenChar"/>
    <w:uiPriority w:val="3"/>
    <w:qFormat/>
    <w:rsid w:val="00EF5BFC"/>
    <w:rPr>
      <w:color w:val="1B556B" w:themeColor="text2"/>
    </w:rPr>
  </w:style>
  <w:style w:type="character" w:customStyle="1" w:styleId="HdgLeftIndentGreenChar">
    <w:name w:val="HdgLeftIndentGreen Char"/>
    <w:basedOn w:val="HdgLeftIndentChar"/>
    <w:link w:val="HdgLeftIndentGreen"/>
    <w:uiPriority w:val="3"/>
    <w:rsid w:val="00EF5BFC"/>
    <w:rPr>
      <w:rFonts w:asciiTheme="majorHAnsi" w:hAnsiTheme="majorHAnsi"/>
      <w:caps/>
      <w:color w:val="1B556B" w:themeColor="text2"/>
      <w:spacing w:val="-6"/>
      <w:sz w:val="18"/>
    </w:rPr>
  </w:style>
  <w:style w:type="paragraph" w:customStyle="1" w:styleId="PolicyAssessmentHeadings">
    <w:name w:val="Policy Assessment Headings"/>
    <w:basedOn w:val="Heading2"/>
    <w:qFormat/>
    <w:rsid w:val="00EF5BFC"/>
    <w:pPr>
      <w:keepLines/>
      <w:numPr>
        <w:ilvl w:val="1"/>
      </w:numPr>
      <w:tabs>
        <w:tab w:val="clear" w:pos="851"/>
        <w:tab w:val="num" w:pos="822"/>
      </w:tabs>
      <w:spacing w:before="200" w:after="160" w:line="360" w:lineRule="exact"/>
      <w:ind w:left="567" w:hanging="567"/>
    </w:pPr>
    <w:rPr>
      <w:rFonts w:asciiTheme="majorHAnsi" w:hAnsiTheme="majorHAnsi"/>
      <w:b w:val="0"/>
      <w:caps/>
      <w:color w:val="1B556B" w:themeColor="text2"/>
      <w:spacing w:val="-14"/>
      <w:sz w:val="20"/>
      <w:szCs w:val="20"/>
      <w:lang w:eastAsia="en-US"/>
    </w:rPr>
  </w:style>
  <w:style w:type="paragraph" w:customStyle="1" w:styleId="TableIndent">
    <w:name w:val="TableIndent"/>
    <w:basedOn w:val="NIndent"/>
    <w:uiPriority w:val="23"/>
    <w:qFormat/>
    <w:rsid w:val="002A741A"/>
    <w:pPr>
      <w:ind w:left="181"/>
    </w:pPr>
  </w:style>
  <w:style w:type="paragraph" w:customStyle="1" w:styleId="TableNoSpacing">
    <w:name w:val="TableNoSpacing"/>
    <w:basedOn w:val="Normal"/>
    <w:uiPriority w:val="99"/>
    <w:qFormat/>
    <w:rsid w:val="002A741A"/>
    <w:pPr>
      <w:spacing w:before="0" w:after="0" w:line="240" w:lineRule="atLeast"/>
      <w:jc w:val="left"/>
    </w:pPr>
    <w:rPr>
      <w:rFonts w:asciiTheme="minorHAnsi" w:eastAsiaTheme="minorHAnsi" w:hAnsiTheme="minorHAnsi"/>
      <w:sz w:val="18"/>
      <w:lang w:eastAsia="en-US"/>
    </w:rPr>
  </w:style>
  <w:style w:type="paragraph" w:customStyle="1" w:styleId="TableNumbering">
    <w:name w:val="TableNumbering"/>
    <w:basedOn w:val="Normal"/>
    <w:uiPriority w:val="23"/>
    <w:qFormat/>
    <w:rsid w:val="002A741A"/>
    <w:pPr>
      <w:numPr>
        <w:numId w:val="21"/>
      </w:numPr>
      <w:spacing w:before="80" w:after="0" w:line="240" w:lineRule="atLeast"/>
      <w:jc w:val="left"/>
    </w:pPr>
    <w:rPr>
      <w:rFonts w:asciiTheme="minorHAnsi" w:eastAsiaTheme="minorHAnsi" w:hAnsiTheme="minorHAnsi"/>
      <w:sz w:val="18"/>
      <w:lang w:eastAsia="en-US"/>
    </w:rPr>
  </w:style>
  <w:style w:type="table" w:customStyle="1" w:styleId="MinistryfortheEnvironment">
    <w:name w:val="Ministry for the Environment"/>
    <w:basedOn w:val="TableNormal"/>
    <w:uiPriority w:val="99"/>
    <w:rsid w:val="00597CFC"/>
    <w:pPr>
      <w:spacing w:after="0" w:line="240" w:lineRule="auto"/>
    </w:pPr>
    <w:rPr>
      <w:rFonts w:ascii="Calibri" w:eastAsia="Calibri" w:hAnsi="Calibri" w:cs="Times New Roman"/>
      <w:sz w:val="20"/>
      <w:szCs w:val="20"/>
      <w:lang w:eastAsia="en-NZ"/>
    </w:rPr>
    <w:tblPr>
      <w:tblBorders>
        <w:bottom w:val="single" w:sz="4" w:space="0" w:color="1B556B" w:themeColor="text2"/>
        <w:insideH w:val="single" w:sz="4" w:space="0" w:color="1B556B" w:themeColor="text2"/>
        <w:insideV w:val="single" w:sz="4" w:space="0" w:color="1B556B" w:themeColor="text2"/>
      </w:tblBorders>
      <w:tblCellMar>
        <w:bottom w:w="57" w:type="dxa"/>
      </w:tblCellMar>
    </w:tblPr>
    <w:tblStylePr w:type="firstRow">
      <w:rPr>
        <w:b/>
        <w:color w:val="FFFFFF" w:themeColor="background1"/>
      </w:rPr>
      <w:tblPr/>
      <w:tcPr>
        <w:shd w:val="clear" w:color="auto" w:fill="1B556B"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410586573">
      <w:bodyDiv w:val="1"/>
      <w:marLeft w:val="0"/>
      <w:marRight w:val="0"/>
      <w:marTop w:val="0"/>
      <w:marBottom w:val="0"/>
      <w:divBdr>
        <w:top w:val="none" w:sz="0" w:space="0" w:color="auto"/>
        <w:left w:val="none" w:sz="0" w:space="0" w:color="auto"/>
        <w:bottom w:val="none" w:sz="0" w:space="0" w:color="auto"/>
        <w:right w:val="none" w:sz="0" w:space="0" w:color="auto"/>
      </w:divBdr>
      <w:divsChild>
        <w:div w:id="88086263">
          <w:marLeft w:val="0"/>
          <w:marRight w:val="0"/>
          <w:marTop w:val="0"/>
          <w:marBottom w:val="0"/>
          <w:divBdr>
            <w:top w:val="none" w:sz="0" w:space="0" w:color="auto"/>
            <w:left w:val="none" w:sz="0" w:space="0" w:color="auto"/>
            <w:bottom w:val="none" w:sz="0" w:space="0" w:color="auto"/>
            <w:right w:val="none" w:sz="0" w:space="0" w:color="auto"/>
          </w:divBdr>
        </w:div>
      </w:divsChild>
    </w:div>
    <w:div w:id="1331717574">
      <w:bodyDiv w:val="1"/>
      <w:marLeft w:val="0"/>
      <w:marRight w:val="0"/>
      <w:marTop w:val="0"/>
      <w:marBottom w:val="0"/>
      <w:divBdr>
        <w:top w:val="none" w:sz="0" w:space="0" w:color="auto"/>
        <w:left w:val="none" w:sz="0" w:space="0" w:color="auto"/>
        <w:bottom w:val="none" w:sz="0" w:space="0" w:color="auto"/>
        <w:right w:val="none" w:sz="0" w:space="0" w:color="auto"/>
      </w:divBdr>
      <w:divsChild>
        <w:div w:id="1930306521">
          <w:marLeft w:val="0"/>
          <w:marRight w:val="0"/>
          <w:marTop w:val="0"/>
          <w:marBottom w:val="0"/>
          <w:divBdr>
            <w:top w:val="none" w:sz="0" w:space="0" w:color="auto"/>
            <w:left w:val="none" w:sz="0" w:space="0" w:color="auto"/>
            <w:bottom w:val="none" w:sz="0" w:space="0" w:color="auto"/>
            <w:right w:val="none" w:sz="0" w:space="0" w:color="auto"/>
          </w:divBdr>
        </w:div>
      </w:divsChild>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792747956">
      <w:bodyDiv w:val="1"/>
      <w:marLeft w:val="0"/>
      <w:marRight w:val="0"/>
      <w:marTop w:val="0"/>
      <w:marBottom w:val="0"/>
      <w:divBdr>
        <w:top w:val="none" w:sz="0" w:space="0" w:color="auto"/>
        <w:left w:val="none" w:sz="0" w:space="0" w:color="auto"/>
        <w:bottom w:val="none" w:sz="0" w:space="0" w:color="auto"/>
        <w:right w:val="none" w:sz="0" w:space="0" w:color="auto"/>
      </w:divBdr>
      <w:divsChild>
        <w:div w:id="1622376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environment.govt.nz/publications/national-policy-statement-for-freshwater-management-2020/" TargetMode="External"/><Relationship Id="rId39" Type="http://schemas.openxmlformats.org/officeDocument/2006/relationships/hyperlink" Target="https://environment.govt.nz/publications/managing-intensive-winter-grazing-discussion-document/" TargetMode="External"/><Relationship Id="rId21" Type="http://schemas.openxmlformats.org/officeDocument/2006/relationships/header" Target="header5.xml"/><Relationship Id="rId34" Type="http://schemas.openxmlformats.org/officeDocument/2006/relationships/hyperlink" Target="http://www.legislation.govt.nz/act/public/1991/0069/latest/link.aspx?search=qs_act%40bill%40regulation%40deemedreg_resource+management+_resel_25_h&amp;p=1&amp;id=DLM435834" TargetMode="External"/><Relationship Id="rId42" Type="http://schemas.openxmlformats.org/officeDocument/2006/relationships/hyperlink" Target="https://environment.govt.nz/what-government-is-doing/cabinet-papers-and-regulatory-impact-statements/regulatory-impact-statement-intensive-winter-grazing/" TargetMode="External"/><Relationship Id="rId47" Type="http://schemas.openxmlformats.org/officeDocument/2006/relationships/hyperlink" Target="https://environment.govt.nz/publications/action-for-healthy-waterways-section-32-evaluation-report/" TargetMode="External"/><Relationship Id="rId50" Type="http://schemas.openxmlformats.org/officeDocument/2006/relationships/hyperlink" Target="https://aus01.safelinks.protection.outlook.com/?url=https%3A%2F%2Fenvironment.govt.nz%2Fwhat-government-is-doing%2Fcabinet-papers-and-regulatory-impact-statements%2Fintensive-winter-grazing%2F&amp;data=04%7C01%7CCrystal.Wilson%40mfe.govt.nz%7Cd639837a1c39467e61a908da0c828a9c%7C761dd003d4ff40498a728549b20fcbb1%7C0%7C0%7C637836052052096669%7CUnknown%7CTWFpbGZsb3d8eyJWIjoiMC4wLjAwMDAiLCJQIjoiV2luMzIiLCJBTiI6Ik1haWwiLCJXVCI6Mn0%3D%7C3000&amp;sdata=evQxGoGit7dL17WLKxG8CX%2BrMpmuiTo4oqeEUctV0%2BA%3D&amp;reserved=0"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environment.govt.nz/publications/action-for-healthy-waterways-part-2-detailed-analysis/" TargetMode="External"/><Relationship Id="rId11" Type="http://schemas.openxmlformats.org/officeDocument/2006/relationships/endnotes" Target="endnotes.xml"/><Relationship Id="rId24" Type="http://schemas.openxmlformats.org/officeDocument/2006/relationships/hyperlink" Target="https://www.legislation.govt.nz/regulation/public/2020/0174/latest/LMS364099.html" TargetMode="External"/><Relationship Id="rId32" Type="http://schemas.openxmlformats.org/officeDocument/2006/relationships/hyperlink" Target="https://environment.govt.nz/publications/action-for-healthy-waterways-section-32-evaluation-report/" TargetMode="External"/><Relationship Id="rId37" Type="http://schemas.openxmlformats.org/officeDocument/2006/relationships/hyperlink" Target="https://environment.govt.nz/publications/action-for-healthy-waterways-part-2-detailed-analysis/" TargetMode="External"/><Relationship Id="rId40" Type="http://schemas.openxmlformats.org/officeDocument/2006/relationships/hyperlink" Target="https://environment.govt.nz/publications/managing-iwg-summary-of-submissions" TargetMode="External"/><Relationship Id="rId45" Type="http://schemas.openxmlformats.org/officeDocument/2006/relationships/hyperlink" Target="https://www.legislation.govt.nz/regulation/public/2020/0174/latest/LMS376712.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s://environment.govt.nz/publications/national-policy-statement-for-freshwater-management-2020/" TargetMode="External"/><Relationship Id="rId36" Type="http://schemas.openxmlformats.org/officeDocument/2006/relationships/hyperlink" Target="https://environment.govt.nz/publications/action-for-healthy-waterways-section-32-evaluation-report/" TargetMode="External"/><Relationship Id="rId49"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yperlink" Target="http://www.environment.govt.nz" TargetMode="External"/><Relationship Id="rId31" Type="http://schemas.openxmlformats.org/officeDocument/2006/relationships/hyperlink" Target="https://environment.govt.nz/what-government-is-doing/cabinet-papers-and-regulatory-impact-statements/intensive-winter-grazing/" TargetMode="External"/><Relationship Id="rId44" Type="http://schemas.openxmlformats.org/officeDocument/2006/relationships/hyperlink" Target="https://www.legislation.govt.nz/regulation/public/2020/0174/latest/LMS376711.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s://environment.govt.nz/publications/managing-intensive-winter-grazing-discussion-document/" TargetMode="External"/><Relationship Id="rId30" Type="http://schemas.openxmlformats.org/officeDocument/2006/relationships/hyperlink" Target="https://environment.govt.nz/publications/action-for-healthy-waterways-section-32-evaluation-report/" TargetMode="External"/><Relationship Id="rId35" Type="http://schemas.openxmlformats.org/officeDocument/2006/relationships/hyperlink" Target="https://environment.govt.nz/publications/essential-freshwater-healthy-water-fairly-allocated/" TargetMode="External"/><Relationship Id="rId43" Type="http://schemas.openxmlformats.org/officeDocument/2006/relationships/hyperlink" Target="https://environment.govt.nz/what-government-is-doing/cabinet-papers-and-regulatory-impact-statements/intensive-winter-grazing/" TargetMode="External"/><Relationship Id="rId48"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yperlink" Target="https://environment.govt.nz/publications/action-for-healthy-waterways-section-32-evaluation-report/" TargetMode="External"/><Relationship Id="rId33" Type="http://schemas.openxmlformats.org/officeDocument/2006/relationships/hyperlink" Target="https://environment.govt.nz/publications/report-and-recommendations-on-iwg-amendments" TargetMode="External"/><Relationship Id="rId38" Type="http://schemas.openxmlformats.org/officeDocument/2006/relationships/hyperlink" Target="https://www.es.govt.nz/repository/libraries/id:26gi9ayo517q9stt81sd/hierarchy/environment/water/Essential%20Freshwater%20documents/Southland%20NES%20Advisory%20Group%2015-12-2020%20%28Final%29.pdf" TargetMode="External"/><Relationship Id="rId46" Type="http://schemas.openxmlformats.org/officeDocument/2006/relationships/hyperlink" Target="https://environment.govt.nz/publications/report-and-recommendations-on-iwg-amendments" TargetMode="External"/><Relationship Id="rId20" Type="http://schemas.openxmlformats.org/officeDocument/2006/relationships/header" Target="header4.xml"/><Relationship Id="rId41" Type="http://schemas.openxmlformats.org/officeDocument/2006/relationships/hyperlink" Target="https://environment.govt.nz/publications/report-and-recommendations-on-iwg-amendments"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environment.govt.nz/publications/action-for-healthy-waterways-a-discussion-document-on-national-direction-for-our-essential-freshwater/" TargetMode="External"/><Relationship Id="rId2" Type="http://schemas.openxmlformats.org/officeDocument/2006/relationships/hyperlink" Target="https://environment.govt.nz/publications/action-for-healthy-waterways-part-2-detailed-analysis/" TargetMode="External"/><Relationship Id="rId1" Type="http://schemas.openxmlformats.org/officeDocument/2006/relationships/hyperlink" Target="https://environment.govt.nz/acts-and-regulations/national-policy-statements/national-policy-statement-freshwater-management/" TargetMode="External"/><Relationship Id="rId5" Type="http://schemas.openxmlformats.org/officeDocument/2006/relationships/hyperlink" Target="https://environment.govt.nz/publications/action-for-healthy-waterways-part-2-detailed-analysis/" TargetMode="External"/><Relationship Id="rId4" Type="http://schemas.openxmlformats.org/officeDocument/2006/relationships/hyperlink" Target="https://environment.govt.nz/publications/a-guide-to-section-32-of-the-resource-management-act/" TargetMode="External"/></Relationships>
</file>

<file path=word/theme/theme1.xml><?xml version="1.0" encoding="utf-8"?>
<a:theme xmlns:a="http://schemas.openxmlformats.org/drawingml/2006/main" name="MF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IconOverlay xmlns="http://schemas.microsoft.com/sharepoint/v4"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ECM-1409336298-165496</_dlc_DocId>
    <_dlc_DocIdUrl xmlns="58a6f171-52cb-4404-b47d-af1c8daf8fd1">
      <Url>https://ministryforenvironment.sharepoint.com/sites/ECM-Pol-FW/_layouts/15/DocIdRedir.aspx?ID=ECM-1409336298-165496</Url>
      <Description>ECM-1409336298-165496</Description>
    </_dlc_DocIdUrl>
    <Supplemental_x0020_Markings xmlns="4a94300e-a927-4b92-9d3a-682523035cb6" xsi:nil="true"/>
    <Contract_x0020_Number xmlns="4a94300e-a927-4b92-9d3a-682523035cb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2" ma:contentTypeDescription="Create a new document." ma:contentTypeScope="" ma:versionID="364fab13241d362890b7d679b9219ba3">
  <xsd:schema xmlns:xsd="http://www.w3.org/2001/XMLSchema" xmlns:xs="http://www.w3.org/2001/XMLSchema" xmlns:p="http://schemas.microsoft.com/office/2006/metadata/properties" xmlns:ns1="http://schemas.microsoft.com/sharepoint/v3" xmlns:ns2="58a6f171-52cb-4404-b47d-af1c8daf8fd1" xmlns:ns3="4a94300e-a927-4b92-9d3a-682523035cb6" xmlns:ns4="0a5b0190-e301-4766-933d-448c7c363fce" xmlns:ns5="http://schemas.microsoft.com/sharepoint/v4" targetNamespace="http://schemas.microsoft.com/office/2006/metadata/properties" ma:root="true" ma:fieldsID="6f65ceae5a1b989c06f0e272bd4e6419" ns1:_="" ns2:_="" ns3:_="" ns4:_="" ns5:_="">
    <xsd:import namespace="http://schemas.microsoft.com/sharepoint/v3"/>
    <xsd:import namespace="58a6f171-52cb-4404-b47d-af1c8daf8fd1"/>
    <xsd:import namespace="4a94300e-a927-4b92-9d3a-682523035cb6"/>
    <xsd:import namespace="0a5b0190-e301-4766-933d-448c7c363fc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Other_x0020_Details_2" minOccurs="0"/>
                <xsd:element ref="ns3:Other_x0020_Details_3" minOccurs="0"/>
                <xsd:element ref="ns3:MediaServiceMetadata" minOccurs="0"/>
                <xsd:element ref="ns3:MediaServiceFastMetadata" minOccurs="0"/>
                <xsd:element ref="ns3:MediaServiceAutoKeyPoints" minOccurs="0"/>
                <xsd:element ref="ns3:MediaServiceKeyPoints" minOccurs="0"/>
                <xsd:element ref="ns3:To" minOccurs="0"/>
                <xsd:element ref="ns3:From" minOccurs="0"/>
                <xsd:element ref="ns3:Sent_x002f_Received" minOccurs="0"/>
                <xsd:element ref="ns3:MediaServiceAutoTags" minOccurs="0"/>
                <xsd:element ref="ns3:MediaServiceOCR" minOccurs="0"/>
                <xsd:element ref="ns3:MediaServiceGenerationTime" minOccurs="0"/>
                <xsd:element ref="ns3:MediaServiceEventHashCode" minOccurs="0"/>
                <xsd:element ref="ns3:Supplemental_x0020_Markings" minOccurs="0"/>
                <xsd:element ref="ns3:MTS_x0020_Type" minOccurs="0"/>
                <xsd:element ref="ns3:MTS_x0020_ID" minOccurs="0"/>
                <xsd:element ref="ns3:Contract_x0020_Number"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5:IconOverla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6" nillable="true" ma:displayName="Unified Compliance Policy Properties" ma:hidden="true" ma:internalName="_ip_UnifiedCompliancePolicyProperties">
      <xsd:simpleType>
        <xsd:restriction base="dms:Note"/>
      </xsd:simpleType>
    </xsd:element>
    <xsd:element name="_ip_UnifiedCompliancePolicyUIAction" ma:index="4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Library" ma:index="19" nillable="true" ma:displayName="Library" ma:default="" ma:description="" ma:internalName="Library">
      <xsd:simpleType>
        <xsd:restriction base="dms:Text">
          <xsd:maxLength value="255"/>
        </xsd:restriction>
      </xsd:simpleType>
    </xsd:element>
    <xsd:element name="Legacy_x0020_DocID" ma:index="20" nillable="true" ma:displayName="Legacy DocID" ma:decimals="-1" ma:default="" ma:description="" ma:internalName="Legacy_x0020_DocID">
      <xsd:simpleType>
        <xsd:restriction base="dms:Number"/>
      </xsd:simpleType>
    </xsd:element>
    <xsd:element name="Legacy_x0020_Version" ma:index="21" nillable="true" ma:displayName="Legacy Version" ma:default="" ma:description="" ma:internalName="Legacy_x0020_Version">
      <xsd:simpleType>
        <xsd:restriction base="dms:Text">
          <xsd:maxLength value="255"/>
        </xsd:restriction>
      </xsd:simpleType>
    </xsd:element>
    <xsd:element name="Class" ma:index="22" nillable="true" ma:displayName="Class" ma:default="" ma:description="" ma:internalName="Class">
      <xsd:simpleType>
        <xsd:restriction base="dms:Text">
          <xsd:maxLength value="255"/>
        </xsd:restriction>
      </xsd:simpleType>
    </xsd:element>
    <xsd:element name="Author0" ma:index="23" nillable="true" ma:displayName="Author" ma:default="" ma:description="" ma:internalName="Author0">
      <xsd:simpleType>
        <xsd:restriction base="dms:Text">
          <xsd:maxLength value="255"/>
        </xsd:restriction>
      </xsd:simpleType>
    </xsd:element>
    <xsd:element name="Status" ma:index="24" nillable="true" ma:displayName="Status" ma:default="" ma:description="" ma:internalName="Status">
      <xsd:simpleType>
        <xsd:restriction base="dms:Text">
          <xsd:maxLength value="255"/>
        </xsd:restriction>
      </xsd:simpleType>
    </xsd:element>
    <xsd:element name="Year" ma:index="25" nillable="true" ma:displayName="Year" ma:default="" ma:description="" ma:internalName="Year">
      <xsd:simpleType>
        <xsd:restriction base="dms:Text">
          <xsd:maxLength value="255"/>
        </xsd:restriction>
      </xsd:simpleType>
    </xsd:element>
    <xsd:element name="Other_x0020_Details" ma:index="26" nillable="true" ma:displayName="Other Details" ma:default="" ma:description="" ma:internalName="Other_x0020_Details">
      <xsd:simpleType>
        <xsd:restriction base="dms:Text">
          <xsd:maxLength value="255"/>
        </xsd:restriction>
      </xsd:simpleType>
    </xsd:element>
    <xsd:element name="Other_x0020_Details_2" ma:index="27" nillable="true" ma:displayName="Other Details_2" ma:description="" ma:internalName="Other_x0020_Details_2">
      <xsd:simpleType>
        <xsd:restriction base="dms:Text">
          <xsd:maxLength value="255"/>
        </xsd:restriction>
      </xsd:simpleType>
    </xsd:element>
    <xsd:element name="Other_x0020_Details_3" ma:index="28" nillable="true" ma:displayName="Other Details_3" ma:description="" ma:internalName="Other_x0020_Details_3">
      <xsd:simpleType>
        <xsd:restriction base="dms:Text">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To" ma:index="33" nillable="true" ma:displayName="To" ma:default="" ma:description="" ma:internalName="To">
      <xsd:simpleType>
        <xsd:restriction base="dms:Note">
          <xsd:maxLength value="255"/>
        </xsd:restriction>
      </xsd:simpleType>
    </xsd:element>
    <xsd:element name="From" ma:index="34" nillable="true" ma:displayName="From" ma:default="" ma:description="" ma:internalName="From">
      <xsd:simpleType>
        <xsd:restriction base="dms:Text">
          <xsd:maxLength value="255"/>
        </xsd:restriction>
      </xsd:simpleType>
    </xsd:element>
    <xsd:element name="Sent_x002f_Received" ma:index="35" nillable="true" ma:displayName="Sent/Received" ma:default="" ma:description="" ma:internalName="Sent_x002f_Received">
      <xsd:simpleType>
        <xsd:restriction base="dms:Text">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Supplemental_x0020_Markings" ma:index="40" nillable="true" ma:displayName="Supplemental Markings" ma:description="" ma:internalName="Supplemental_x0020_Markings">
      <xsd:simpleType>
        <xsd:restriction base="dms:Note">
          <xsd:maxLength value="255"/>
        </xsd:restriction>
      </xsd:simpleType>
    </xsd:element>
    <xsd:element name="MTS_x0020_Type" ma:index="41" nillable="true" ma:displayName="MTS Type" ma:default="" ma:description="" ma:internalName="MTS_x0020_Type">
      <xsd:simpleType>
        <xsd:restriction base="dms:Note">
          <xsd:maxLength value="255"/>
        </xsd:restriction>
      </xsd:simpleType>
    </xsd:element>
    <xsd:element name="MTS_x0020_ID" ma:index="42" nillable="true" ma:displayName="MTS ID" ma:default="" ma:description="" ma:internalName="MTS_x0020_ID">
      <xsd:simpleType>
        <xsd:restriction base="dms:Text">
          <xsd:maxLength value="255"/>
        </xsd:restriction>
      </xsd:simpleType>
    </xsd:element>
    <xsd:element name="Contract_x0020_Number" ma:index="43" nillable="true" ma:displayName="Contract Number" ma:default="" ma:description="" ma:internalName="Contract_x0020_Number">
      <xsd:simpleType>
        <xsd:restriction base="dms:Text">
          <xsd:maxLength value="255"/>
        </xsd:restriction>
      </xsd:simpleType>
    </xsd:element>
    <xsd:element name="MediaServiceDateTaken" ma:index="44" nillable="true" ma:displayName="MediaServiceDateTaken" ma:hidden="true" ma:internalName="MediaServiceDateTaken" ma:readOnly="true">
      <xsd:simpleType>
        <xsd:restriction base="dms:Text"/>
      </xsd:simpleType>
    </xsd:element>
    <xsd:element name="MediaServiceLocation" ma:index="45" nillable="true" ma:displayName="Location" ma:internalName="MediaServiceLocation" ma:readOnly="true">
      <xsd:simpleType>
        <xsd:restriction base="dms:Text"/>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5373F-630C-45C1-9D1D-0033FB98D60B}">
  <ds:schemaRefs>
    <ds:schemaRef ds:uri="http://schemas.microsoft.com/sharepoint/events"/>
  </ds:schemaRefs>
</ds:datastoreItem>
</file>

<file path=customXml/itemProps2.xml><?xml version="1.0" encoding="utf-8"?>
<ds:datastoreItem xmlns:ds="http://schemas.openxmlformats.org/officeDocument/2006/customXml" ds:itemID="{4D0CDAC4-0417-4665-BFBD-38D6177B7AAE}">
  <ds:schemaRefs>
    <ds:schemaRef ds:uri="http://schemas.microsoft.com/sharepoint/v3/contenttype/forms"/>
  </ds:schemaRefs>
</ds:datastoreItem>
</file>

<file path=customXml/itemProps3.xml><?xml version="1.0" encoding="utf-8"?>
<ds:datastoreItem xmlns:ds="http://schemas.openxmlformats.org/officeDocument/2006/customXml" ds:itemID="{D27907E1-733D-40A2-9501-D22B1B74D9CB}">
  <ds:schemaRefs>
    <ds:schemaRef ds:uri="http://schemas.openxmlformats.org/officeDocument/2006/bibliography"/>
  </ds:schemaRefs>
</ds:datastoreItem>
</file>

<file path=customXml/itemProps4.xml><?xml version="1.0" encoding="utf-8"?>
<ds:datastoreItem xmlns:ds="http://schemas.openxmlformats.org/officeDocument/2006/customXml" ds:itemID="{A6ABE385-CC81-41C6-A3F2-1BC9449571F7}">
  <ds:schemaRefs>
    <ds:schemaRef ds:uri="http://schemas.microsoft.com/office/2006/metadata/properties"/>
    <ds:schemaRef ds:uri="http://schemas.microsoft.com/office/infopath/2007/PartnerControls"/>
    <ds:schemaRef ds:uri="4a94300e-a927-4b92-9d3a-682523035cb6"/>
    <ds:schemaRef ds:uri="http://schemas.microsoft.com/sharepoint/v3"/>
    <ds:schemaRef ds:uri="http://schemas.microsoft.com/sharepoint/v4"/>
    <ds:schemaRef ds:uri="58a6f171-52cb-4404-b47d-af1c8daf8fd1"/>
  </ds:schemaRefs>
</ds:datastoreItem>
</file>

<file path=customXml/itemProps5.xml><?xml version="1.0" encoding="utf-8"?>
<ds:datastoreItem xmlns:ds="http://schemas.openxmlformats.org/officeDocument/2006/customXml" ds:itemID="{6B6DC3D9-F343-4822-9F23-E46597A33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0a5b0190-e301-4766-933d-448c7c363f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27</Pages>
  <Words>9548</Words>
  <Characters>54429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63850</CharactersWithSpaces>
  <SharedDoc>false</SharedDoc>
  <HLinks>
    <vt:vector size="282" baseType="variant">
      <vt:variant>
        <vt:i4>4063347</vt:i4>
      </vt:variant>
      <vt:variant>
        <vt:i4>192</vt:i4>
      </vt:variant>
      <vt:variant>
        <vt:i4>0</vt:i4>
      </vt:variant>
      <vt:variant>
        <vt:i4>5</vt:i4>
      </vt:variant>
      <vt:variant>
        <vt:lpwstr/>
      </vt:variant>
      <vt:variant>
        <vt:lpwstr>Table3</vt:lpwstr>
      </vt:variant>
      <vt:variant>
        <vt:i4>4128883</vt:i4>
      </vt:variant>
      <vt:variant>
        <vt:i4>189</vt:i4>
      </vt:variant>
      <vt:variant>
        <vt:i4>0</vt:i4>
      </vt:variant>
      <vt:variant>
        <vt:i4>5</vt:i4>
      </vt:variant>
      <vt:variant>
        <vt:lpwstr/>
      </vt:variant>
      <vt:variant>
        <vt:lpwstr>Table2</vt:lpwstr>
      </vt:variant>
      <vt:variant>
        <vt:i4>1376321</vt:i4>
      </vt:variant>
      <vt:variant>
        <vt:i4>186</vt:i4>
      </vt:variant>
      <vt:variant>
        <vt:i4>0</vt:i4>
      </vt:variant>
      <vt:variant>
        <vt:i4>5</vt:i4>
      </vt:variant>
      <vt:variant>
        <vt:lpwstr>https://www.legislation.govt.nz/regulation/public/2020/0174/latest/LMS376712.html</vt:lpwstr>
      </vt:variant>
      <vt:variant>
        <vt:lpwstr/>
      </vt:variant>
      <vt:variant>
        <vt:i4>262159</vt:i4>
      </vt:variant>
      <vt:variant>
        <vt:i4>183</vt:i4>
      </vt:variant>
      <vt:variant>
        <vt:i4>0</vt:i4>
      </vt:variant>
      <vt:variant>
        <vt:i4>5</vt:i4>
      </vt:variant>
      <vt:variant>
        <vt:lpwstr>https://environment.govt.nz/assets/publications/ris-iwg-11-8-2021.pdf</vt:lpwstr>
      </vt:variant>
      <vt:variant>
        <vt:lpwstr/>
      </vt:variant>
      <vt:variant>
        <vt:i4>2555960</vt:i4>
      </vt:variant>
      <vt:variant>
        <vt:i4>180</vt:i4>
      </vt:variant>
      <vt:variant>
        <vt:i4>0</vt:i4>
      </vt:variant>
      <vt:variant>
        <vt:i4>5</vt:i4>
      </vt:variant>
      <vt:variant>
        <vt:lpwstr>https://environment.govt.nz/publications/managing-intensive-winter-grazing-discussion-document/</vt:lpwstr>
      </vt:variant>
      <vt:variant>
        <vt:lpwstr/>
      </vt:variant>
      <vt:variant>
        <vt:i4>7012465</vt:i4>
      </vt:variant>
      <vt:variant>
        <vt:i4>177</vt:i4>
      </vt:variant>
      <vt:variant>
        <vt:i4>0</vt:i4>
      </vt:variant>
      <vt:variant>
        <vt:i4>5</vt:i4>
      </vt:variant>
      <vt:variant>
        <vt:lpwstr>https://www.es.govt.nz/repository/libraries/id:26gi9ayo517q9stt81sd/hierarchy/environment/water/Essential Freshwater documents/Southland NES Advisory Group 15-12-2020 %28Final%29.pdf</vt:lpwstr>
      </vt:variant>
      <vt:variant>
        <vt:lpwstr/>
      </vt:variant>
      <vt:variant>
        <vt:i4>7733280</vt:i4>
      </vt:variant>
      <vt:variant>
        <vt:i4>174</vt:i4>
      </vt:variant>
      <vt:variant>
        <vt:i4>0</vt:i4>
      </vt:variant>
      <vt:variant>
        <vt:i4>5</vt:i4>
      </vt:variant>
      <vt:variant>
        <vt:lpwstr>https://environment.govt.nz/publications/action-for-healthy-waterways-part-2-detailed-analysis/</vt:lpwstr>
      </vt:variant>
      <vt:variant>
        <vt:lpwstr/>
      </vt:variant>
      <vt:variant>
        <vt:i4>3801147</vt:i4>
      </vt:variant>
      <vt:variant>
        <vt:i4>171</vt:i4>
      </vt:variant>
      <vt:variant>
        <vt:i4>0</vt:i4>
      </vt:variant>
      <vt:variant>
        <vt:i4>5</vt:i4>
      </vt:variant>
      <vt:variant>
        <vt:lpwstr>https://environment.govt.nz/publications/action-for-healthy-waterways-section-32-evaluation-report/</vt:lpwstr>
      </vt:variant>
      <vt:variant>
        <vt:lpwstr/>
      </vt:variant>
      <vt:variant>
        <vt:i4>5374027</vt:i4>
      </vt:variant>
      <vt:variant>
        <vt:i4>168</vt:i4>
      </vt:variant>
      <vt:variant>
        <vt:i4>0</vt:i4>
      </vt:variant>
      <vt:variant>
        <vt:i4>5</vt:i4>
      </vt:variant>
      <vt:variant>
        <vt:lpwstr>https://environment.govt.nz/publications/essential-freshwater-healthy-water-fairly-allocated/</vt:lpwstr>
      </vt:variant>
      <vt:variant>
        <vt:lpwstr/>
      </vt:variant>
      <vt:variant>
        <vt:i4>4325499</vt:i4>
      </vt:variant>
      <vt:variant>
        <vt:i4>165</vt:i4>
      </vt:variant>
      <vt:variant>
        <vt:i4>0</vt:i4>
      </vt:variant>
      <vt:variant>
        <vt:i4>5</vt:i4>
      </vt:variant>
      <vt:variant>
        <vt:lpwstr/>
      </vt:variant>
      <vt:variant>
        <vt:lpwstr>_Evaluation_of_the</vt:lpwstr>
      </vt:variant>
      <vt:variant>
        <vt:i4>7405584</vt:i4>
      </vt:variant>
      <vt:variant>
        <vt:i4>162</vt:i4>
      </vt:variant>
      <vt:variant>
        <vt:i4>0</vt:i4>
      </vt:variant>
      <vt:variant>
        <vt:i4>5</vt:i4>
      </vt:variant>
      <vt:variant>
        <vt:lpwstr>http://www.legislation.govt.nz/act/public/1991/0069/latest/link.aspx?search=qs_act%40bill%40regulation%40deemedreg_resource+management+_resel_25_h&amp;p=1&amp;id=DLM435834</vt:lpwstr>
      </vt:variant>
      <vt:variant>
        <vt:lpwstr>DLM435834</vt:lpwstr>
      </vt:variant>
      <vt:variant>
        <vt:i4>3801147</vt:i4>
      </vt:variant>
      <vt:variant>
        <vt:i4>159</vt:i4>
      </vt:variant>
      <vt:variant>
        <vt:i4>0</vt:i4>
      </vt:variant>
      <vt:variant>
        <vt:i4>5</vt:i4>
      </vt:variant>
      <vt:variant>
        <vt:lpwstr>https://environment.govt.nz/publications/action-for-healthy-waterways-section-32-evaluation-report/</vt:lpwstr>
      </vt:variant>
      <vt:variant>
        <vt:lpwstr/>
      </vt:variant>
      <vt:variant>
        <vt:i4>2</vt:i4>
      </vt:variant>
      <vt:variant>
        <vt:i4>156</vt:i4>
      </vt:variant>
      <vt:variant>
        <vt:i4>0</vt:i4>
      </vt:variant>
      <vt:variant>
        <vt:i4>5</vt:i4>
      </vt:variant>
      <vt:variant>
        <vt:lpwstr/>
      </vt:variant>
      <vt:variant>
        <vt:lpwstr>CSAs</vt:lpwstr>
      </vt:variant>
      <vt:variant>
        <vt:i4>4325499</vt:i4>
      </vt:variant>
      <vt:variant>
        <vt:i4>153</vt:i4>
      </vt:variant>
      <vt:variant>
        <vt:i4>0</vt:i4>
      </vt:variant>
      <vt:variant>
        <vt:i4>5</vt:i4>
      </vt:variant>
      <vt:variant>
        <vt:lpwstr/>
      </vt:variant>
      <vt:variant>
        <vt:lpwstr>_Evaluation_of_the</vt:lpwstr>
      </vt:variant>
      <vt:variant>
        <vt:i4>3801147</vt:i4>
      </vt:variant>
      <vt:variant>
        <vt:i4>150</vt:i4>
      </vt:variant>
      <vt:variant>
        <vt:i4>0</vt:i4>
      </vt:variant>
      <vt:variant>
        <vt:i4>5</vt:i4>
      </vt:variant>
      <vt:variant>
        <vt:lpwstr>https://environment.govt.nz/publications/action-for-healthy-waterways-section-32-evaluation-report/</vt:lpwstr>
      </vt:variant>
      <vt:variant>
        <vt:lpwstr/>
      </vt:variant>
      <vt:variant>
        <vt:i4>7733280</vt:i4>
      </vt:variant>
      <vt:variant>
        <vt:i4>147</vt:i4>
      </vt:variant>
      <vt:variant>
        <vt:i4>0</vt:i4>
      </vt:variant>
      <vt:variant>
        <vt:i4>5</vt:i4>
      </vt:variant>
      <vt:variant>
        <vt:lpwstr>https://environment.govt.nz/publications/action-for-healthy-waterways-part-2-detailed-analysis/</vt:lpwstr>
      </vt:variant>
      <vt:variant>
        <vt:lpwstr/>
      </vt:variant>
      <vt:variant>
        <vt:i4>3211303</vt:i4>
      </vt:variant>
      <vt:variant>
        <vt:i4>144</vt:i4>
      </vt:variant>
      <vt:variant>
        <vt:i4>0</vt:i4>
      </vt:variant>
      <vt:variant>
        <vt:i4>5</vt:i4>
      </vt:variant>
      <vt:variant>
        <vt:lpwstr>https://environment.govt.nz/publications/national-policy-statement-for-freshwater-management-2020/</vt:lpwstr>
      </vt:variant>
      <vt:variant>
        <vt:lpwstr/>
      </vt:variant>
      <vt:variant>
        <vt:i4>2555960</vt:i4>
      </vt:variant>
      <vt:variant>
        <vt:i4>141</vt:i4>
      </vt:variant>
      <vt:variant>
        <vt:i4>0</vt:i4>
      </vt:variant>
      <vt:variant>
        <vt:i4>5</vt:i4>
      </vt:variant>
      <vt:variant>
        <vt:lpwstr>https://environment.govt.nz/publications/managing-intensive-winter-grazing-discussion-document/</vt:lpwstr>
      </vt:variant>
      <vt:variant>
        <vt:lpwstr/>
      </vt:variant>
      <vt:variant>
        <vt:i4>3211303</vt:i4>
      </vt:variant>
      <vt:variant>
        <vt:i4>138</vt:i4>
      </vt:variant>
      <vt:variant>
        <vt:i4>0</vt:i4>
      </vt:variant>
      <vt:variant>
        <vt:i4>5</vt:i4>
      </vt:variant>
      <vt:variant>
        <vt:lpwstr>https://environment.govt.nz/publications/national-policy-statement-for-freshwater-management-2020/</vt:lpwstr>
      </vt:variant>
      <vt:variant>
        <vt:lpwstr/>
      </vt:variant>
      <vt:variant>
        <vt:i4>3801147</vt:i4>
      </vt:variant>
      <vt:variant>
        <vt:i4>135</vt:i4>
      </vt:variant>
      <vt:variant>
        <vt:i4>0</vt:i4>
      </vt:variant>
      <vt:variant>
        <vt:i4>5</vt:i4>
      </vt:variant>
      <vt:variant>
        <vt:lpwstr>https://environment.govt.nz/publications/action-for-healthy-waterways-section-32-evaluation-report/</vt:lpwstr>
      </vt:variant>
      <vt:variant>
        <vt:lpwstr/>
      </vt:variant>
      <vt:variant>
        <vt:i4>1966138</vt:i4>
      </vt:variant>
      <vt:variant>
        <vt:i4>128</vt:i4>
      </vt:variant>
      <vt:variant>
        <vt:i4>0</vt:i4>
      </vt:variant>
      <vt:variant>
        <vt:i4>5</vt:i4>
      </vt:variant>
      <vt:variant>
        <vt:lpwstr/>
      </vt:variant>
      <vt:variant>
        <vt:lpwstr>_Toc98513151</vt:lpwstr>
      </vt:variant>
      <vt:variant>
        <vt:i4>2031674</vt:i4>
      </vt:variant>
      <vt:variant>
        <vt:i4>122</vt:i4>
      </vt:variant>
      <vt:variant>
        <vt:i4>0</vt:i4>
      </vt:variant>
      <vt:variant>
        <vt:i4>5</vt:i4>
      </vt:variant>
      <vt:variant>
        <vt:lpwstr/>
      </vt:variant>
      <vt:variant>
        <vt:lpwstr>_Toc98513150</vt:lpwstr>
      </vt:variant>
      <vt:variant>
        <vt:i4>1441851</vt:i4>
      </vt:variant>
      <vt:variant>
        <vt:i4>116</vt:i4>
      </vt:variant>
      <vt:variant>
        <vt:i4>0</vt:i4>
      </vt:variant>
      <vt:variant>
        <vt:i4>5</vt:i4>
      </vt:variant>
      <vt:variant>
        <vt:lpwstr/>
      </vt:variant>
      <vt:variant>
        <vt:lpwstr>_Toc98513149</vt:lpwstr>
      </vt:variant>
      <vt:variant>
        <vt:i4>1507387</vt:i4>
      </vt:variant>
      <vt:variant>
        <vt:i4>110</vt:i4>
      </vt:variant>
      <vt:variant>
        <vt:i4>0</vt:i4>
      </vt:variant>
      <vt:variant>
        <vt:i4>5</vt:i4>
      </vt:variant>
      <vt:variant>
        <vt:lpwstr/>
      </vt:variant>
      <vt:variant>
        <vt:lpwstr>_Toc98513148</vt:lpwstr>
      </vt:variant>
      <vt:variant>
        <vt:i4>1900601</vt:i4>
      </vt:variant>
      <vt:variant>
        <vt:i4>101</vt:i4>
      </vt:variant>
      <vt:variant>
        <vt:i4>0</vt:i4>
      </vt:variant>
      <vt:variant>
        <vt:i4>5</vt:i4>
      </vt:variant>
      <vt:variant>
        <vt:lpwstr/>
      </vt:variant>
      <vt:variant>
        <vt:lpwstr>_Toc98254562</vt:lpwstr>
      </vt:variant>
      <vt:variant>
        <vt:i4>1966137</vt:i4>
      </vt:variant>
      <vt:variant>
        <vt:i4>95</vt:i4>
      </vt:variant>
      <vt:variant>
        <vt:i4>0</vt:i4>
      </vt:variant>
      <vt:variant>
        <vt:i4>5</vt:i4>
      </vt:variant>
      <vt:variant>
        <vt:lpwstr/>
      </vt:variant>
      <vt:variant>
        <vt:lpwstr>_Toc98254561</vt:lpwstr>
      </vt:variant>
      <vt:variant>
        <vt:i4>2031673</vt:i4>
      </vt:variant>
      <vt:variant>
        <vt:i4>89</vt:i4>
      </vt:variant>
      <vt:variant>
        <vt:i4>0</vt:i4>
      </vt:variant>
      <vt:variant>
        <vt:i4>5</vt:i4>
      </vt:variant>
      <vt:variant>
        <vt:lpwstr/>
      </vt:variant>
      <vt:variant>
        <vt:lpwstr>_Toc98254560</vt:lpwstr>
      </vt:variant>
      <vt:variant>
        <vt:i4>1441850</vt:i4>
      </vt:variant>
      <vt:variant>
        <vt:i4>83</vt:i4>
      </vt:variant>
      <vt:variant>
        <vt:i4>0</vt:i4>
      </vt:variant>
      <vt:variant>
        <vt:i4>5</vt:i4>
      </vt:variant>
      <vt:variant>
        <vt:lpwstr/>
      </vt:variant>
      <vt:variant>
        <vt:lpwstr>_Toc98254559</vt:lpwstr>
      </vt:variant>
      <vt:variant>
        <vt:i4>1507386</vt:i4>
      </vt:variant>
      <vt:variant>
        <vt:i4>77</vt:i4>
      </vt:variant>
      <vt:variant>
        <vt:i4>0</vt:i4>
      </vt:variant>
      <vt:variant>
        <vt:i4>5</vt:i4>
      </vt:variant>
      <vt:variant>
        <vt:lpwstr/>
      </vt:variant>
      <vt:variant>
        <vt:lpwstr>_Toc98254558</vt:lpwstr>
      </vt:variant>
      <vt:variant>
        <vt:i4>1572922</vt:i4>
      </vt:variant>
      <vt:variant>
        <vt:i4>71</vt:i4>
      </vt:variant>
      <vt:variant>
        <vt:i4>0</vt:i4>
      </vt:variant>
      <vt:variant>
        <vt:i4>5</vt:i4>
      </vt:variant>
      <vt:variant>
        <vt:lpwstr/>
      </vt:variant>
      <vt:variant>
        <vt:lpwstr>_Toc98254557</vt:lpwstr>
      </vt:variant>
      <vt:variant>
        <vt:i4>1638458</vt:i4>
      </vt:variant>
      <vt:variant>
        <vt:i4>65</vt:i4>
      </vt:variant>
      <vt:variant>
        <vt:i4>0</vt:i4>
      </vt:variant>
      <vt:variant>
        <vt:i4>5</vt:i4>
      </vt:variant>
      <vt:variant>
        <vt:lpwstr/>
      </vt:variant>
      <vt:variant>
        <vt:lpwstr>_Toc98254556</vt:lpwstr>
      </vt:variant>
      <vt:variant>
        <vt:i4>1703994</vt:i4>
      </vt:variant>
      <vt:variant>
        <vt:i4>59</vt:i4>
      </vt:variant>
      <vt:variant>
        <vt:i4>0</vt:i4>
      </vt:variant>
      <vt:variant>
        <vt:i4>5</vt:i4>
      </vt:variant>
      <vt:variant>
        <vt:lpwstr/>
      </vt:variant>
      <vt:variant>
        <vt:lpwstr>_Toc98254555</vt:lpwstr>
      </vt:variant>
      <vt:variant>
        <vt:i4>1769530</vt:i4>
      </vt:variant>
      <vt:variant>
        <vt:i4>53</vt:i4>
      </vt:variant>
      <vt:variant>
        <vt:i4>0</vt:i4>
      </vt:variant>
      <vt:variant>
        <vt:i4>5</vt:i4>
      </vt:variant>
      <vt:variant>
        <vt:lpwstr/>
      </vt:variant>
      <vt:variant>
        <vt:lpwstr>_Toc98254554</vt:lpwstr>
      </vt:variant>
      <vt:variant>
        <vt:i4>1835066</vt:i4>
      </vt:variant>
      <vt:variant>
        <vt:i4>47</vt:i4>
      </vt:variant>
      <vt:variant>
        <vt:i4>0</vt:i4>
      </vt:variant>
      <vt:variant>
        <vt:i4>5</vt:i4>
      </vt:variant>
      <vt:variant>
        <vt:lpwstr/>
      </vt:variant>
      <vt:variant>
        <vt:lpwstr>_Toc98254553</vt:lpwstr>
      </vt:variant>
      <vt:variant>
        <vt:i4>1900602</vt:i4>
      </vt:variant>
      <vt:variant>
        <vt:i4>41</vt:i4>
      </vt:variant>
      <vt:variant>
        <vt:i4>0</vt:i4>
      </vt:variant>
      <vt:variant>
        <vt:i4>5</vt:i4>
      </vt:variant>
      <vt:variant>
        <vt:lpwstr/>
      </vt:variant>
      <vt:variant>
        <vt:lpwstr>_Toc98254552</vt:lpwstr>
      </vt:variant>
      <vt:variant>
        <vt:i4>1966138</vt:i4>
      </vt:variant>
      <vt:variant>
        <vt:i4>35</vt:i4>
      </vt:variant>
      <vt:variant>
        <vt:i4>0</vt:i4>
      </vt:variant>
      <vt:variant>
        <vt:i4>5</vt:i4>
      </vt:variant>
      <vt:variant>
        <vt:lpwstr/>
      </vt:variant>
      <vt:variant>
        <vt:lpwstr>_Toc98254551</vt:lpwstr>
      </vt:variant>
      <vt:variant>
        <vt:i4>2031674</vt:i4>
      </vt:variant>
      <vt:variant>
        <vt:i4>29</vt:i4>
      </vt:variant>
      <vt:variant>
        <vt:i4>0</vt:i4>
      </vt:variant>
      <vt:variant>
        <vt:i4>5</vt:i4>
      </vt:variant>
      <vt:variant>
        <vt:lpwstr/>
      </vt:variant>
      <vt:variant>
        <vt:lpwstr>_Toc98254550</vt:lpwstr>
      </vt:variant>
      <vt:variant>
        <vt:i4>1441851</vt:i4>
      </vt:variant>
      <vt:variant>
        <vt:i4>23</vt:i4>
      </vt:variant>
      <vt:variant>
        <vt:i4>0</vt:i4>
      </vt:variant>
      <vt:variant>
        <vt:i4>5</vt:i4>
      </vt:variant>
      <vt:variant>
        <vt:lpwstr/>
      </vt:variant>
      <vt:variant>
        <vt:lpwstr>_Toc98254549</vt:lpwstr>
      </vt:variant>
      <vt:variant>
        <vt:i4>1507387</vt:i4>
      </vt:variant>
      <vt:variant>
        <vt:i4>17</vt:i4>
      </vt:variant>
      <vt:variant>
        <vt:i4>0</vt:i4>
      </vt:variant>
      <vt:variant>
        <vt:i4>5</vt:i4>
      </vt:variant>
      <vt:variant>
        <vt:lpwstr/>
      </vt:variant>
      <vt:variant>
        <vt:lpwstr>_Toc98254548</vt:lpwstr>
      </vt:variant>
      <vt:variant>
        <vt:i4>1572923</vt:i4>
      </vt:variant>
      <vt:variant>
        <vt:i4>11</vt:i4>
      </vt:variant>
      <vt:variant>
        <vt:i4>0</vt:i4>
      </vt:variant>
      <vt:variant>
        <vt:i4>5</vt:i4>
      </vt:variant>
      <vt:variant>
        <vt:lpwstr/>
      </vt:variant>
      <vt:variant>
        <vt:lpwstr>_Toc98254547</vt:lpwstr>
      </vt:variant>
      <vt:variant>
        <vt:i4>1638459</vt:i4>
      </vt:variant>
      <vt:variant>
        <vt:i4>5</vt:i4>
      </vt:variant>
      <vt:variant>
        <vt:i4>0</vt:i4>
      </vt:variant>
      <vt:variant>
        <vt:i4>5</vt:i4>
      </vt:variant>
      <vt:variant>
        <vt:lpwstr/>
      </vt:variant>
      <vt:variant>
        <vt:lpwstr>_Toc98254546</vt:lpwstr>
      </vt:variant>
      <vt:variant>
        <vt:i4>7340128</vt:i4>
      </vt:variant>
      <vt:variant>
        <vt:i4>0</vt:i4>
      </vt:variant>
      <vt:variant>
        <vt:i4>0</vt:i4>
      </vt:variant>
      <vt:variant>
        <vt:i4>5</vt:i4>
      </vt:variant>
      <vt:variant>
        <vt:lpwstr>http://www.environment.govt.nz/</vt:lpwstr>
      </vt:variant>
      <vt:variant>
        <vt:lpwstr/>
      </vt:variant>
      <vt:variant>
        <vt:i4>7733280</vt:i4>
      </vt:variant>
      <vt:variant>
        <vt:i4>12</vt:i4>
      </vt:variant>
      <vt:variant>
        <vt:i4>0</vt:i4>
      </vt:variant>
      <vt:variant>
        <vt:i4>5</vt:i4>
      </vt:variant>
      <vt:variant>
        <vt:lpwstr>https://environment.govt.nz/publications/action-for-healthy-waterways-part-2-detailed-analysis/</vt:lpwstr>
      </vt:variant>
      <vt:variant>
        <vt:lpwstr/>
      </vt:variant>
      <vt:variant>
        <vt:i4>3276914</vt:i4>
      </vt:variant>
      <vt:variant>
        <vt:i4>9</vt:i4>
      </vt:variant>
      <vt:variant>
        <vt:i4>0</vt:i4>
      </vt:variant>
      <vt:variant>
        <vt:i4>5</vt:i4>
      </vt:variant>
      <vt:variant>
        <vt:lpwstr>https://environment.govt.nz/publications/a-guide-to-section-32-of-the-resource-management-act/</vt:lpwstr>
      </vt:variant>
      <vt:variant>
        <vt:lpwstr/>
      </vt:variant>
      <vt:variant>
        <vt:i4>3211302</vt:i4>
      </vt:variant>
      <vt:variant>
        <vt:i4>6</vt:i4>
      </vt:variant>
      <vt:variant>
        <vt:i4>0</vt:i4>
      </vt:variant>
      <vt:variant>
        <vt:i4>5</vt:i4>
      </vt:variant>
      <vt:variant>
        <vt:lpwstr>https://environment.govt.nz/publications/action-for-healthy-waterways-a-discussion-document-on-national-direction-for-our-essential-freshwater/</vt:lpwstr>
      </vt:variant>
      <vt:variant>
        <vt:lpwstr/>
      </vt:variant>
      <vt:variant>
        <vt:i4>7733280</vt:i4>
      </vt:variant>
      <vt:variant>
        <vt:i4>3</vt:i4>
      </vt:variant>
      <vt:variant>
        <vt:i4>0</vt:i4>
      </vt:variant>
      <vt:variant>
        <vt:i4>5</vt:i4>
      </vt:variant>
      <vt:variant>
        <vt:lpwstr>https://environment.govt.nz/publications/action-for-healthy-waterways-part-2-detailed-analysis/</vt:lpwstr>
      </vt:variant>
      <vt:variant>
        <vt:lpwstr/>
      </vt:variant>
      <vt:variant>
        <vt:i4>4915207</vt:i4>
      </vt:variant>
      <vt:variant>
        <vt:i4>0</vt:i4>
      </vt:variant>
      <vt:variant>
        <vt:i4>0</vt:i4>
      </vt:variant>
      <vt:variant>
        <vt:i4>5</vt:i4>
      </vt:variant>
      <vt:variant>
        <vt:lpwstr>https://environment.govt.nz/acts-and-regulations/national-policy-statements/national-policy-statement-freshwater-management/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Katrina Walsh</cp:lastModifiedBy>
  <cp:revision>587</cp:revision>
  <cp:lastPrinted>2022-03-30T21:29:00Z</cp:lastPrinted>
  <dcterms:created xsi:type="dcterms:W3CDTF">2022-03-15T14:26:00Z</dcterms:created>
  <dcterms:modified xsi:type="dcterms:W3CDTF">2022-06-15T23:59:00Z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0x010100EA5FB0BEBF7DE54D9F252D8A06C053F7</vt:lpwstr>
  </property>
  <property fmtid="{D5CDD505-2E9C-101B-9397-08002B2CF9AE}" pid="3" name="_dlc_DocIdItemGuid">
    <vt:lpwstr>455d1387-98bf-4f58-8e43-c93ba27887f4</vt:lpwstr>
  </property>
  <property fmtid="{D5CDD505-2E9C-101B-9397-08002B2CF9AE}" pid="4" name="MSIP_Label_52dda6cc-d61d-4fd2-bf18-9b3017d931cc_Enabled">
    <vt:lpwstr>true</vt:lpwstr>
  </property>
  <property fmtid="{D5CDD505-2E9C-101B-9397-08002B2CF9AE}" pid="5" name="MSIP_Label_52dda6cc-d61d-4fd2-bf18-9b3017d931cc_SetDate">
    <vt:lpwstr>2022-03-13T21:16:57Z</vt:lpwstr>
  </property>
  <property fmtid="{D5CDD505-2E9C-101B-9397-08002B2CF9AE}" pid="6" name="MSIP_Label_52dda6cc-d61d-4fd2-bf18-9b3017d931cc_Method">
    <vt:lpwstr>Privileged</vt:lpwstr>
  </property>
  <property fmtid="{D5CDD505-2E9C-101B-9397-08002B2CF9AE}" pid="7" name="MSIP_Label_52dda6cc-d61d-4fd2-bf18-9b3017d931cc_Name">
    <vt:lpwstr>[UNCLASSIFIED]</vt:lpwstr>
  </property>
  <property fmtid="{D5CDD505-2E9C-101B-9397-08002B2CF9AE}" pid="8" name="MSIP_Label_52dda6cc-d61d-4fd2-bf18-9b3017d931cc_SiteId">
    <vt:lpwstr>761dd003-d4ff-4049-8a72-8549b20fcbb1</vt:lpwstr>
  </property>
  <property fmtid="{D5CDD505-2E9C-101B-9397-08002B2CF9AE}" pid="9" name="MSIP_Label_52dda6cc-d61d-4fd2-bf18-9b3017d931cc_ActionId">
    <vt:lpwstr>37781c37-bab5-4314-8452-867deda141f0</vt:lpwstr>
  </property>
  <property fmtid="{D5CDD505-2E9C-101B-9397-08002B2CF9AE}" pid="10" name="MSIP_Label_52dda6cc-d61d-4fd2-bf18-9b3017d931cc_ContentBits">
    <vt:lpwstr>0</vt:lpwstr>
  </property>
</Properties>
</file>