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B36B" w14:textId="12DAFD38" w:rsidR="00464781" w:rsidRDefault="00464781" w:rsidP="00A4515D">
      <w:pPr>
        <w:pStyle w:val="Heading1"/>
        <w:jc w:val="center"/>
        <w:rPr>
          <w:rFonts w:ascii="Segoe UI" w:hAnsi="Segoe UI" w:cs="Segoe UI"/>
          <w:sz w:val="18"/>
          <w:szCs w:val="18"/>
        </w:rPr>
      </w:pPr>
      <w:r>
        <w:rPr>
          <w:rStyle w:val="normaltextrun"/>
          <w:rFonts w:ascii="Calibri" w:hAnsi="Calibri" w:cs="Calibri"/>
          <w:b w:val="0"/>
          <w:bCs w:val="0"/>
          <w:sz w:val="48"/>
          <w:szCs w:val="48"/>
        </w:rPr>
        <w:t>2023 Report on reasons for differences between prescribed NZ ETS limits and price control settings for units and the Climate Change Commission’s advice on these settings</w:t>
      </w:r>
    </w:p>
    <w:p w14:paraId="3F57F0D4" w14:textId="763115DF" w:rsidR="00464781" w:rsidRDefault="00464781" w:rsidP="00A4515D">
      <w:pPr>
        <w:pStyle w:val="Heading1"/>
        <w:jc w:val="center"/>
        <w:rPr>
          <w:rFonts w:ascii="Segoe UI" w:hAnsi="Segoe UI" w:cs="Segoe UI"/>
          <w:sz w:val="18"/>
          <w:szCs w:val="18"/>
        </w:rPr>
      </w:pPr>
    </w:p>
    <w:p w14:paraId="2BBED081" w14:textId="5421059F" w:rsidR="00464781" w:rsidRDefault="00464781" w:rsidP="00A4515D">
      <w:pPr>
        <w:pStyle w:val="Heading1"/>
        <w:jc w:val="center"/>
        <w:rPr>
          <w:rFonts w:ascii="Segoe UI" w:hAnsi="Segoe UI" w:cs="Segoe UI"/>
          <w:sz w:val="18"/>
          <w:szCs w:val="18"/>
        </w:rPr>
      </w:pPr>
    </w:p>
    <w:p w14:paraId="5251B662" w14:textId="11E1771C" w:rsidR="00464781" w:rsidRDefault="00464781" w:rsidP="00A4515D">
      <w:pPr>
        <w:pStyle w:val="Heading1"/>
        <w:jc w:val="center"/>
        <w:rPr>
          <w:rFonts w:ascii="Segoe UI" w:hAnsi="Segoe UI" w:cs="Segoe UI"/>
          <w:sz w:val="18"/>
          <w:szCs w:val="18"/>
        </w:rPr>
      </w:pPr>
    </w:p>
    <w:p w14:paraId="23CEBF6B" w14:textId="11A3388E" w:rsidR="00464781" w:rsidRDefault="00464781" w:rsidP="00A4515D">
      <w:pPr>
        <w:pStyle w:val="Heading1"/>
        <w:jc w:val="center"/>
        <w:rPr>
          <w:rFonts w:ascii="Segoe UI" w:hAnsi="Segoe UI" w:cs="Segoe UI"/>
          <w:sz w:val="18"/>
          <w:szCs w:val="18"/>
        </w:rPr>
      </w:pPr>
    </w:p>
    <w:p w14:paraId="4D924256" w14:textId="3DBD48B9" w:rsidR="00464781" w:rsidRDefault="00464781" w:rsidP="00A4515D">
      <w:pPr>
        <w:pStyle w:val="Heading1"/>
        <w:jc w:val="center"/>
        <w:rPr>
          <w:rFonts w:ascii="Segoe UI" w:hAnsi="Segoe UI" w:cs="Segoe UI"/>
          <w:sz w:val="18"/>
          <w:szCs w:val="18"/>
        </w:rPr>
      </w:pPr>
    </w:p>
    <w:p w14:paraId="7F07CE9B" w14:textId="219BB055" w:rsidR="00464781" w:rsidRDefault="00464781" w:rsidP="00A4515D">
      <w:pPr>
        <w:pStyle w:val="Heading1"/>
        <w:jc w:val="center"/>
        <w:rPr>
          <w:rFonts w:ascii="Segoe UI" w:hAnsi="Segoe UI" w:cs="Segoe UI"/>
          <w:sz w:val="18"/>
          <w:szCs w:val="18"/>
        </w:rPr>
      </w:pPr>
    </w:p>
    <w:p w14:paraId="698E09B1" w14:textId="64035A05" w:rsidR="00464781" w:rsidRDefault="2272DA96" w:rsidP="00A4515D">
      <w:pPr>
        <w:pStyle w:val="Heading1"/>
        <w:jc w:val="center"/>
        <w:rPr>
          <w:rStyle w:val="normaltextrun"/>
          <w:rFonts w:ascii="Calibri" w:hAnsi="Calibri" w:cs="Calibri"/>
          <w:b w:val="0"/>
          <w:bCs w:val="0"/>
          <w:sz w:val="40"/>
          <w:szCs w:val="40"/>
        </w:rPr>
      </w:pPr>
      <w:r w:rsidRPr="03F39E3A">
        <w:rPr>
          <w:rStyle w:val="normaltextrun"/>
          <w:rFonts w:ascii="Calibri" w:hAnsi="Calibri" w:cs="Calibri"/>
          <w:b w:val="0"/>
          <w:bCs w:val="0"/>
          <w:sz w:val="40"/>
          <w:szCs w:val="40"/>
        </w:rPr>
        <w:t>25</w:t>
      </w:r>
      <w:r w:rsidR="00464781">
        <w:rPr>
          <w:rStyle w:val="normaltextrun"/>
          <w:rFonts w:ascii="Calibri" w:hAnsi="Calibri" w:cs="Calibri"/>
          <w:b w:val="0"/>
          <w:bCs w:val="0"/>
          <w:sz w:val="40"/>
          <w:szCs w:val="40"/>
        </w:rPr>
        <w:t xml:space="preserve"> September 2023</w:t>
      </w:r>
    </w:p>
    <w:p w14:paraId="244F6EEE" w14:textId="77777777" w:rsidR="00EE3CC9" w:rsidRDefault="00EE3CC9" w:rsidP="00EE3CC9">
      <w:pPr>
        <w:pStyle w:val="BodyText"/>
      </w:pPr>
    </w:p>
    <w:p w14:paraId="6776728F" w14:textId="77777777" w:rsidR="00EE3CC9" w:rsidRDefault="00EE3CC9" w:rsidP="00EE3CC9">
      <w:pPr>
        <w:pStyle w:val="BodyText"/>
      </w:pPr>
    </w:p>
    <w:p w14:paraId="49B9DF66" w14:textId="77777777" w:rsidR="00EE3CC9" w:rsidRDefault="00EE3CC9" w:rsidP="00EE3CC9">
      <w:pPr>
        <w:pStyle w:val="BodyText"/>
      </w:pPr>
    </w:p>
    <w:p w14:paraId="1FB8CBD9" w14:textId="77777777" w:rsidR="00EE3CC9" w:rsidRDefault="00EE3CC9" w:rsidP="00EE3CC9">
      <w:pPr>
        <w:pStyle w:val="BodyText"/>
      </w:pPr>
    </w:p>
    <w:p w14:paraId="7DAF4DA4" w14:textId="77777777" w:rsidR="00EE3CC9" w:rsidRDefault="00EE3CC9" w:rsidP="00EE3CC9">
      <w:pPr>
        <w:pStyle w:val="BodyText"/>
      </w:pPr>
    </w:p>
    <w:p w14:paraId="18C96A49" w14:textId="77777777" w:rsidR="00EE3CC9" w:rsidRDefault="00EE3CC9" w:rsidP="00EE3CC9">
      <w:pPr>
        <w:pStyle w:val="BodyText"/>
      </w:pPr>
    </w:p>
    <w:p w14:paraId="36A33F51" w14:textId="77777777" w:rsidR="00EE3CC9" w:rsidRDefault="00EE3CC9" w:rsidP="00EE3CC9">
      <w:pPr>
        <w:pStyle w:val="BodyText"/>
      </w:pPr>
    </w:p>
    <w:p w14:paraId="11F04158" w14:textId="77777777" w:rsidR="00EE3CC9" w:rsidRDefault="00EE3CC9" w:rsidP="00EE3CC9">
      <w:pPr>
        <w:pStyle w:val="BodyText"/>
      </w:pPr>
    </w:p>
    <w:p w14:paraId="3F86EAB5" w14:textId="77777777" w:rsidR="00EE3CC9" w:rsidRDefault="00EE3CC9" w:rsidP="00EE3CC9">
      <w:pPr>
        <w:pStyle w:val="BodyText"/>
      </w:pPr>
    </w:p>
    <w:p w14:paraId="79490825" w14:textId="77777777" w:rsidR="00EE3CC9" w:rsidRDefault="00EE3CC9" w:rsidP="00EE3CC9">
      <w:pPr>
        <w:pStyle w:val="BodyText"/>
      </w:pPr>
    </w:p>
    <w:p w14:paraId="4FEE453D" w14:textId="77777777" w:rsidR="00EE3CC9" w:rsidRDefault="00EE3CC9" w:rsidP="00EE3CC9">
      <w:pPr>
        <w:pStyle w:val="BodyText"/>
      </w:pPr>
    </w:p>
    <w:p w14:paraId="5BC07BCE" w14:textId="77777777" w:rsidR="00EE3CC9" w:rsidRDefault="00EE3CC9" w:rsidP="00EE3CC9">
      <w:pPr>
        <w:pStyle w:val="BodyText"/>
      </w:pPr>
    </w:p>
    <w:p w14:paraId="607949D5" w14:textId="77777777" w:rsidR="00EE3CC9" w:rsidRDefault="00EE3CC9" w:rsidP="00EE3CC9">
      <w:pPr>
        <w:pStyle w:val="BodyText"/>
      </w:pPr>
    </w:p>
    <w:p w14:paraId="6381EED1" w14:textId="77777777" w:rsidR="00EE3CC9" w:rsidRDefault="00EE3CC9" w:rsidP="00EE3CC9">
      <w:pPr>
        <w:pStyle w:val="BodyText"/>
      </w:pPr>
    </w:p>
    <w:p w14:paraId="28576D9E" w14:textId="77777777" w:rsidR="00EE3CC9" w:rsidRDefault="00EE3CC9" w:rsidP="00EE3CC9">
      <w:pPr>
        <w:pStyle w:val="BodyText"/>
      </w:pPr>
    </w:p>
    <w:p w14:paraId="6D3524D5" w14:textId="77777777" w:rsidR="00EE3CC9" w:rsidRDefault="00EE3CC9" w:rsidP="00EE3CC9">
      <w:pPr>
        <w:pStyle w:val="BodyText"/>
      </w:pPr>
    </w:p>
    <w:p w14:paraId="7F2F4263" w14:textId="39B8F8D4" w:rsidR="00ED23B5" w:rsidRPr="00386B78" w:rsidRDefault="00ED23B5" w:rsidP="00386B78">
      <w:pPr>
        <w:pStyle w:val="Heading2"/>
        <w:rPr>
          <w:rStyle w:val="Hyperlink"/>
          <w:b w:val="0"/>
          <w:bCs w:val="0"/>
          <w:sz w:val="23"/>
        </w:rPr>
      </w:pPr>
      <w:r w:rsidRPr="00386B78">
        <w:rPr>
          <w:rStyle w:val="Hyperlink"/>
          <w:rFonts w:ascii="Calibri" w:hAnsi="Calibri"/>
          <w:b w:val="0"/>
          <w:bCs w:val="0"/>
          <w:sz w:val="23"/>
        </w:rPr>
        <w:t xml:space="preserve">Presented to the House of Representatives pursuant to section </w:t>
      </w:r>
      <w:r w:rsidR="00EE3CC9" w:rsidRPr="00386B78">
        <w:rPr>
          <w:rStyle w:val="Hyperlink"/>
          <w:rFonts w:ascii="Calibri" w:hAnsi="Calibri"/>
          <w:b w:val="0"/>
          <w:bCs w:val="0"/>
          <w:sz w:val="23"/>
        </w:rPr>
        <w:t>30</w:t>
      </w:r>
      <w:proofErr w:type="gramStart"/>
      <w:r w:rsidR="00EE3CC9" w:rsidRPr="00386B78">
        <w:rPr>
          <w:rStyle w:val="Hyperlink"/>
          <w:rFonts w:ascii="Calibri" w:hAnsi="Calibri"/>
          <w:b w:val="0"/>
          <w:bCs w:val="0"/>
          <w:sz w:val="23"/>
        </w:rPr>
        <w:t>GC(</w:t>
      </w:r>
      <w:proofErr w:type="gramEnd"/>
      <w:r w:rsidR="00EE3CC9" w:rsidRPr="00386B78">
        <w:rPr>
          <w:rStyle w:val="Hyperlink"/>
          <w:rFonts w:ascii="Calibri" w:hAnsi="Calibri"/>
          <w:b w:val="0"/>
          <w:bCs w:val="0"/>
          <w:sz w:val="23"/>
        </w:rPr>
        <w:t>7)</w:t>
      </w:r>
      <w:r w:rsidRPr="00386B78">
        <w:rPr>
          <w:rStyle w:val="Hyperlink"/>
          <w:rFonts w:ascii="Calibri" w:hAnsi="Calibri"/>
          <w:b w:val="0"/>
          <w:bCs w:val="0"/>
          <w:sz w:val="23"/>
        </w:rPr>
        <w:t xml:space="preserve"> of the </w:t>
      </w:r>
      <w:r w:rsidR="00EE3CC9" w:rsidRPr="00386B78">
        <w:rPr>
          <w:rStyle w:val="Hyperlink"/>
          <w:rFonts w:ascii="Calibri" w:hAnsi="Calibri"/>
          <w:b w:val="0"/>
          <w:bCs w:val="0"/>
          <w:sz w:val="23"/>
        </w:rPr>
        <w:t>Climate Change Response Act 2002</w:t>
      </w:r>
      <w:r w:rsidR="00386B78">
        <w:rPr>
          <w:rStyle w:val="Hyperlink"/>
          <w:rFonts w:ascii="Calibri" w:hAnsi="Calibri"/>
          <w:b w:val="0"/>
          <w:bCs w:val="0"/>
          <w:sz w:val="23"/>
        </w:rPr>
        <w:t>.</w:t>
      </w:r>
    </w:p>
    <w:p w14:paraId="5FB56D2E" w14:textId="77777777" w:rsidR="00ED23B5" w:rsidRDefault="00ED23B5">
      <w:pPr>
        <w:spacing w:before="0" w:after="0" w:line="240" w:lineRule="auto"/>
        <w:jc w:val="left"/>
      </w:pPr>
    </w:p>
    <w:p w14:paraId="4B9B34CE" w14:textId="77777777" w:rsidR="00ED23B5" w:rsidRDefault="00ED23B5">
      <w:pPr>
        <w:spacing w:before="0" w:after="0" w:line="240" w:lineRule="auto"/>
        <w:jc w:val="left"/>
      </w:pPr>
    </w:p>
    <w:p w14:paraId="3672E0B1" w14:textId="77777777" w:rsidR="00ED23B5" w:rsidRDefault="00ED23B5">
      <w:pPr>
        <w:spacing w:before="0" w:after="0" w:line="240" w:lineRule="auto"/>
        <w:jc w:val="left"/>
      </w:pPr>
    </w:p>
    <w:p w14:paraId="32197911" w14:textId="77777777" w:rsidR="00EE3CC9" w:rsidRDefault="00EE3CC9">
      <w:pPr>
        <w:spacing w:before="0" w:after="0" w:line="240" w:lineRule="auto"/>
        <w:jc w:val="left"/>
        <w:rPr>
          <w:rStyle w:val="normaltextrun"/>
          <w:rFonts w:ascii="Arial" w:eastAsia="Times New Roman" w:hAnsi="Arial"/>
          <w:b/>
          <w:bCs/>
          <w:color w:val="0F7B7D"/>
          <w:sz w:val="24"/>
          <w:szCs w:val="26"/>
        </w:rPr>
      </w:pPr>
      <w:r>
        <w:rPr>
          <w:rStyle w:val="normaltextrun"/>
        </w:rPr>
        <w:br w:type="page"/>
      </w:r>
    </w:p>
    <w:p w14:paraId="6DC8FEE5" w14:textId="03280A22" w:rsidR="00ED4882" w:rsidRPr="00D5761D" w:rsidRDefault="00AD5FA4" w:rsidP="00D5761D">
      <w:pPr>
        <w:pStyle w:val="Heading2"/>
      </w:pPr>
      <w:r>
        <w:rPr>
          <w:rStyle w:val="normaltextrun"/>
        </w:rPr>
        <w:lastRenderedPageBreak/>
        <w:t>Introduction</w:t>
      </w:r>
    </w:p>
    <w:p w14:paraId="52E790B9" w14:textId="21BC8752" w:rsidR="00ED4882" w:rsidRDefault="00ED4882" w:rsidP="00ED4882">
      <w:pPr>
        <w:pStyle w:val="NoSpacing"/>
        <w:rPr>
          <w:rFonts w:ascii="Segoe UI" w:hAnsi="Segoe UI" w:cs="Segoe UI"/>
          <w:sz w:val="18"/>
          <w:szCs w:val="18"/>
        </w:rPr>
      </w:pPr>
      <w:r>
        <w:rPr>
          <w:rStyle w:val="normaltextrun"/>
          <w:rFonts w:ascii="Calibri" w:hAnsi="Calibri" w:cs="Calibri"/>
          <w:szCs w:val="22"/>
        </w:rPr>
        <w:t>This report sets out the reasons for differences between the Climate Change Commission’s (the Commission’s) advice on limits and price control settings for units in the New Zealand Emissions Trading Scheme (NZ ETS unit settings) and the settings that have been prescribed in</w:t>
      </w:r>
      <w:r w:rsidRPr="00C70D04">
        <w:t xml:space="preserve"> </w:t>
      </w:r>
      <w:r w:rsidR="00C70D04">
        <w:t xml:space="preserve">the </w:t>
      </w:r>
      <w:r w:rsidR="00C70D04" w:rsidRPr="00C70D04">
        <w:rPr>
          <w:rStyle w:val="normaltextrun"/>
          <w:rFonts w:ascii="Calibri" w:hAnsi="Calibri" w:cs="Calibri"/>
          <w:i/>
          <w:iCs/>
          <w:szCs w:val="22"/>
        </w:rPr>
        <w:t>Climate Change (Auctions, Limits, and Price Controls for Units) Regulations 2020</w:t>
      </w:r>
      <w:r w:rsidR="00455C9C">
        <w:rPr>
          <w:rStyle w:val="FootnoteReference"/>
          <w:rFonts w:cs="Calibri"/>
          <w:i/>
          <w:iCs/>
          <w:szCs w:val="22"/>
        </w:rPr>
        <w:footnoteReference w:id="2"/>
      </w:r>
      <w:r w:rsidR="00C70D04" w:rsidRPr="00C70D04">
        <w:rPr>
          <w:rStyle w:val="normaltextrun"/>
          <w:rFonts w:ascii="Calibri" w:hAnsi="Calibri" w:cs="Calibri"/>
          <w:szCs w:val="22"/>
        </w:rPr>
        <w:t xml:space="preserve"> </w:t>
      </w:r>
      <w:r w:rsidR="00C70D04">
        <w:rPr>
          <w:rStyle w:val="normaltextrun"/>
          <w:rFonts w:ascii="Calibri" w:hAnsi="Calibri" w:cs="Calibri"/>
          <w:szCs w:val="22"/>
        </w:rPr>
        <w:t xml:space="preserve">(the </w:t>
      </w:r>
      <w:r>
        <w:rPr>
          <w:rStyle w:val="normaltextrun"/>
          <w:rFonts w:ascii="Calibri" w:hAnsi="Calibri" w:cs="Calibri"/>
          <w:szCs w:val="22"/>
        </w:rPr>
        <w:t>regulation</w:t>
      </w:r>
      <w:r w:rsidR="00C70D04">
        <w:rPr>
          <w:rStyle w:val="normaltextrun"/>
          <w:rFonts w:ascii="Calibri" w:hAnsi="Calibri" w:cs="Calibri"/>
          <w:szCs w:val="22"/>
        </w:rPr>
        <w:t>s).</w:t>
      </w:r>
    </w:p>
    <w:p w14:paraId="65C214EE" w14:textId="77777777" w:rsidR="00ED4882" w:rsidRPr="00AD5FA4" w:rsidRDefault="00ED4882" w:rsidP="00ED4882">
      <w:pPr>
        <w:pStyle w:val="NoSpacing"/>
        <w:rPr>
          <w:rStyle w:val="normaltextrun"/>
          <w:rFonts w:ascii="Segoe UI" w:hAnsi="Segoe UI" w:cs="Segoe UI"/>
          <w:sz w:val="18"/>
          <w:szCs w:val="18"/>
        </w:rPr>
      </w:pPr>
      <w:r>
        <w:rPr>
          <w:rStyle w:val="normaltextrun"/>
          <w:rFonts w:ascii="Calibri" w:hAnsi="Calibri" w:cs="Calibri"/>
          <w:szCs w:val="22"/>
        </w:rPr>
        <w:t>A report explaining the differences is required under section 30</w:t>
      </w:r>
      <w:proofErr w:type="gramStart"/>
      <w:r>
        <w:rPr>
          <w:rStyle w:val="normaltextrun"/>
          <w:rFonts w:ascii="Calibri" w:hAnsi="Calibri" w:cs="Calibri"/>
          <w:szCs w:val="22"/>
        </w:rPr>
        <w:t>GC(</w:t>
      </w:r>
      <w:proofErr w:type="gramEnd"/>
      <w:r>
        <w:rPr>
          <w:rStyle w:val="normaltextrun"/>
          <w:rFonts w:ascii="Calibri" w:hAnsi="Calibri" w:cs="Calibri"/>
          <w:szCs w:val="22"/>
        </w:rPr>
        <w:t>7) of the Climate Change Response Act 2002 (the Act).</w:t>
      </w:r>
    </w:p>
    <w:p w14:paraId="40E0CF46" w14:textId="43974F71" w:rsidR="00AD5FA4" w:rsidRDefault="00965C1C" w:rsidP="00ED4882">
      <w:pPr>
        <w:pStyle w:val="NoSpacing"/>
        <w:rPr>
          <w:rFonts w:ascii="Segoe UI" w:hAnsi="Segoe UI" w:cs="Segoe UI"/>
          <w:sz w:val="18"/>
          <w:szCs w:val="18"/>
        </w:rPr>
      </w:pPr>
      <w:r>
        <w:rPr>
          <w:rStyle w:val="normaltextrun"/>
          <w:rFonts w:ascii="Calibri" w:hAnsi="Calibri" w:cs="Calibri"/>
          <w:szCs w:val="22"/>
        </w:rPr>
        <w:t>The prescribed unit limits for 202</w:t>
      </w:r>
      <w:r w:rsidR="00446ED3">
        <w:rPr>
          <w:rStyle w:val="normaltextrun"/>
          <w:rFonts w:ascii="Calibri" w:hAnsi="Calibri" w:cs="Calibri"/>
          <w:szCs w:val="22"/>
        </w:rPr>
        <w:t>3 to 2028</w:t>
      </w:r>
      <w:r w:rsidR="006210E6">
        <w:rPr>
          <w:rStyle w:val="normaltextrun"/>
          <w:rFonts w:ascii="Calibri" w:hAnsi="Calibri" w:cs="Calibri"/>
          <w:szCs w:val="22"/>
        </w:rPr>
        <w:t xml:space="preserve"> are</w:t>
      </w:r>
      <w:r>
        <w:rPr>
          <w:rStyle w:val="normaltextrun"/>
          <w:rFonts w:ascii="Calibri" w:hAnsi="Calibri" w:cs="Calibri"/>
          <w:szCs w:val="22"/>
        </w:rPr>
        <w:t xml:space="preserve"> intended to be consistent with the </w:t>
      </w:r>
      <w:r w:rsidR="00C5328F">
        <w:rPr>
          <w:rStyle w:val="normaltextrun"/>
          <w:rFonts w:ascii="Calibri" w:hAnsi="Calibri" w:cs="Calibri"/>
          <w:szCs w:val="22"/>
        </w:rPr>
        <w:t>recommendations made</w:t>
      </w:r>
      <w:r>
        <w:rPr>
          <w:rStyle w:val="normaltextrun"/>
          <w:rFonts w:ascii="Calibri" w:hAnsi="Calibri" w:cs="Calibri"/>
          <w:szCs w:val="22"/>
        </w:rPr>
        <w:t xml:space="preserve"> by the Commission.</w:t>
      </w:r>
      <w:r w:rsidR="006210E6">
        <w:rPr>
          <w:rStyle w:val="normaltextrun"/>
          <w:rFonts w:ascii="Calibri" w:hAnsi="Calibri" w:cs="Calibri"/>
          <w:szCs w:val="22"/>
        </w:rPr>
        <w:t xml:space="preserve"> However, there are some differences </w:t>
      </w:r>
      <w:r w:rsidR="001F074D">
        <w:rPr>
          <w:rStyle w:val="normaltextrun"/>
          <w:rFonts w:ascii="Calibri" w:hAnsi="Calibri" w:cs="Calibri"/>
          <w:szCs w:val="22"/>
        </w:rPr>
        <w:t xml:space="preserve">which are explained </w:t>
      </w:r>
      <w:r w:rsidR="00E57212">
        <w:rPr>
          <w:rStyle w:val="normaltextrun"/>
          <w:rFonts w:ascii="Calibri" w:hAnsi="Calibri" w:cs="Calibri"/>
          <w:szCs w:val="22"/>
        </w:rPr>
        <w:t>in full below.</w:t>
      </w:r>
    </w:p>
    <w:p w14:paraId="7F55EBA5" w14:textId="77777777" w:rsidR="00ED4882" w:rsidRPr="00D5761D" w:rsidRDefault="00ED4882" w:rsidP="00D5761D">
      <w:pPr>
        <w:pStyle w:val="Heading2"/>
      </w:pPr>
      <w:r w:rsidRPr="00D5761D">
        <w:rPr>
          <w:rStyle w:val="normaltextrun"/>
        </w:rPr>
        <w:t>Context</w:t>
      </w:r>
      <w:r w:rsidRPr="00D5761D">
        <w:rPr>
          <w:rStyle w:val="eop"/>
        </w:rPr>
        <w:t> </w:t>
      </w:r>
    </w:p>
    <w:p w14:paraId="1E3E0A4F" w14:textId="263D5BDE" w:rsidR="00ED4882" w:rsidRDefault="00B419D0" w:rsidP="00ED4882">
      <w:pPr>
        <w:pStyle w:val="NoSpacing"/>
        <w:rPr>
          <w:rFonts w:ascii="Segoe UI" w:hAnsi="Segoe UI" w:cs="Segoe UI"/>
          <w:sz w:val="18"/>
          <w:szCs w:val="18"/>
        </w:rPr>
      </w:pPr>
      <w:r>
        <w:rPr>
          <w:rStyle w:val="normaltextrun"/>
          <w:rFonts w:ascii="Calibri" w:hAnsi="Calibri" w:cs="Calibri"/>
          <w:szCs w:val="22"/>
        </w:rPr>
        <w:t>Unit limits</w:t>
      </w:r>
      <w:r w:rsidR="00ED4882">
        <w:rPr>
          <w:rStyle w:val="normaltextrun"/>
          <w:rFonts w:ascii="Calibri" w:hAnsi="Calibri" w:cs="Calibri"/>
          <w:szCs w:val="22"/>
        </w:rPr>
        <w:t xml:space="preserve"> cap the supply of emissions units into the NZ ETS, other than New Zealand Units (NZUs) transferred for removal activities (e.g., for carbon sequestration by forests).</w:t>
      </w:r>
      <w:r w:rsidR="00ED4882">
        <w:rPr>
          <w:rStyle w:val="eop"/>
          <w:rFonts w:ascii="Calibri" w:hAnsi="Calibri" w:cs="Calibri"/>
          <w:szCs w:val="22"/>
        </w:rPr>
        <w:t> </w:t>
      </w:r>
    </w:p>
    <w:p w14:paraId="3580780E" w14:textId="33D05226" w:rsidR="00605FC2" w:rsidRPr="00605FC2" w:rsidRDefault="007116ED" w:rsidP="00605FC2">
      <w:pPr>
        <w:pStyle w:val="NoSpacing"/>
        <w:rPr>
          <w:rStyle w:val="normaltextrun"/>
          <w:rFonts w:ascii="Calibri" w:hAnsi="Calibri" w:cs="Calibri"/>
          <w:szCs w:val="22"/>
        </w:rPr>
      </w:pPr>
      <w:r w:rsidRPr="00605FC2">
        <w:rPr>
          <w:rStyle w:val="normaltextrun"/>
          <w:rFonts w:ascii="Calibri" w:hAnsi="Calibri" w:cs="Calibri"/>
          <w:szCs w:val="22"/>
        </w:rPr>
        <w:t>NZ ETS p</w:t>
      </w:r>
      <w:r w:rsidR="00ED4882" w:rsidRPr="00605FC2">
        <w:rPr>
          <w:rStyle w:val="normaltextrun"/>
          <w:rFonts w:ascii="Calibri" w:hAnsi="Calibri" w:cs="Calibri"/>
          <w:szCs w:val="22"/>
        </w:rPr>
        <w:t>rice control</w:t>
      </w:r>
      <w:r w:rsidR="006A10F2" w:rsidRPr="00605FC2">
        <w:rPr>
          <w:rStyle w:val="normaltextrun"/>
          <w:rFonts w:ascii="Calibri" w:hAnsi="Calibri" w:cs="Calibri"/>
          <w:szCs w:val="22"/>
        </w:rPr>
        <w:t xml:space="preserve">s </w:t>
      </w:r>
      <w:r w:rsidR="00605FC2" w:rsidRPr="00605FC2">
        <w:rPr>
          <w:rStyle w:val="normaltextrun"/>
          <w:rFonts w:ascii="Calibri" w:hAnsi="Calibri" w:cs="Calibri"/>
          <w:szCs w:val="22"/>
        </w:rPr>
        <w:t>settings help manage unacceptably low or high prices in the NZ ETS, setting an upper and lower bound for prices within which the market can discover prices for the target level of emissions reductions.</w:t>
      </w:r>
    </w:p>
    <w:p w14:paraId="7AFF8026" w14:textId="4291FCA7" w:rsidR="00ED4882" w:rsidRPr="00605FC2" w:rsidRDefault="00ED4882">
      <w:pPr>
        <w:pStyle w:val="NoSpacing"/>
        <w:rPr>
          <w:rFonts w:ascii="Segoe UI" w:hAnsi="Segoe UI" w:cs="Segoe UI"/>
          <w:sz w:val="18"/>
          <w:szCs w:val="18"/>
        </w:rPr>
      </w:pPr>
      <w:r w:rsidRPr="00605FC2">
        <w:rPr>
          <w:rStyle w:val="normaltextrun"/>
          <w:rFonts w:ascii="Calibri" w:hAnsi="Calibri" w:cs="Calibri"/>
          <w:szCs w:val="22"/>
        </w:rPr>
        <w:t xml:space="preserve">Regulations prescribing </w:t>
      </w:r>
      <w:r w:rsidR="00B1042E">
        <w:rPr>
          <w:rStyle w:val="normaltextrun"/>
          <w:rFonts w:ascii="Calibri" w:hAnsi="Calibri" w:cs="Calibri"/>
          <w:szCs w:val="22"/>
        </w:rPr>
        <w:t>NZ ETS unit settings</w:t>
      </w:r>
      <w:r w:rsidRPr="00605FC2">
        <w:rPr>
          <w:rStyle w:val="normaltextrun"/>
          <w:rFonts w:ascii="Calibri" w:hAnsi="Calibri" w:cs="Calibri"/>
          <w:szCs w:val="22"/>
        </w:rPr>
        <w:t xml:space="preserve"> need to be updated each year. This is to meet the requirement that, </w:t>
      </w:r>
      <w:proofErr w:type="gramStart"/>
      <w:r w:rsidRPr="00605FC2">
        <w:rPr>
          <w:rStyle w:val="normaltextrun"/>
          <w:rFonts w:ascii="Calibri" w:hAnsi="Calibri" w:cs="Calibri"/>
          <w:szCs w:val="22"/>
        </w:rPr>
        <w:t>at all times</w:t>
      </w:r>
      <w:proofErr w:type="gramEnd"/>
      <w:r w:rsidRPr="00605FC2">
        <w:rPr>
          <w:rStyle w:val="normaltextrun"/>
          <w:rFonts w:ascii="Calibri" w:hAnsi="Calibri" w:cs="Calibri"/>
          <w:szCs w:val="22"/>
        </w:rPr>
        <w:t xml:space="preserve">, settings are in place for each of the following five calendar years. Settings for earlier years can be updated in </w:t>
      </w:r>
      <w:r w:rsidR="00750413" w:rsidRPr="00605FC2">
        <w:rPr>
          <w:rStyle w:val="normaltextrun"/>
          <w:rFonts w:ascii="Calibri" w:hAnsi="Calibri" w:cs="Calibri"/>
          <w:szCs w:val="22"/>
        </w:rPr>
        <w:t xml:space="preserve">certain </w:t>
      </w:r>
      <w:r w:rsidRPr="00605FC2">
        <w:rPr>
          <w:rStyle w:val="normaltextrun"/>
          <w:rFonts w:ascii="Calibri" w:hAnsi="Calibri" w:cs="Calibri"/>
          <w:szCs w:val="22"/>
        </w:rPr>
        <w:t>circumstances</w:t>
      </w:r>
      <w:r w:rsidR="00750413" w:rsidRPr="00605FC2">
        <w:rPr>
          <w:rStyle w:val="normaltextrun"/>
          <w:rFonts w:ascii="Calibri" w:hAnsi="Calibri" w:cs="Calibri"/>
          <w:szCs w:val="22"/>
        </w:rPr>
        <w:t xml:space="preserve"> defined in the Act</w:t>
      </w:r>
      <w:r w:rsidRPr="00605FC2">
        <w:rPr>
          <w:rStyle w:val="normaltextrun"/>
          <w:rFonts w:ascii="Calibri" w:hAnsi="Calibri" w:cs="Calibri"/>
          <w:szCs w:val="22"/>
        </w:rPr>
        <w:t>. </w:t>
      </w:r>
      <w:r w:rsidRPr="00605FC2">
        <w:rPr>
          <w:rStyle w:val="eop"/>
          <w:rFonts w:ascii="Calibri" w:hAnsi="Calibri" w:cs="Calibri"/>
          <w:szCs w:val="22"/>
        </w:rPr>
        <w:t> </w:t>
      </w:r>
    </w:p>
    <w:p w14:paraId="01BCFE1E" w14:textId="4AB8FD46" w:rsidR="004826E8" w:rsidRPr="00BD13C4" w:rsidRDefault="00ED4882">
      <w:pPr>
        <w:pStyle w:val="NoSpacing"/>
        <w:rPr>
          <w:rStyle w:val="normaltextrun"/>
          <w:rFonts w:ascii="Segoe UI" w:hAnsi="Segoe UI" w:cs="Segoe UI"/>
          <w:sz w:val="18"/>
          <w:szCs w:val="18"/>
        </w:rPr>
      </w:pPr>
      <w:r w:rsidRPr="00BD13C4">
        <w:rPr>
          <w:rStyle w:val="normaltextrun"/>
          <w:rFonts w:ascii="Calibri" w:hAnsi="Calibri" w:cs="Calibri"/>
          <w:szCs w:val="22"/>
        </w:rPr>
        <w:t>The Commission provides</w:t>
      </w:r>
      <w:r w:rsidR="00234E91" w:rsidRPr="00BD13C4">
        <w:rPr>
          <w:rStyle w:val="normaltextrun"/>
          <w:rFonts w:ascii="Calibri" w:hAnsi="Calibri" w:cs="Calibri"/>
          <w:szCs w:val="22"/>
        </w:rPr>
        <w:t xml:space="preserve"> annual</w:t>
      </w:r>
      <w:r w:rsidRPr="00BD13C4">
        <w:rPr>
          <w:rStyle w:val="normaltextrun"/>
          <w:rFonts w:ascii="Calibri" w:hAnsi="Calibri" w:cs="Calibri"/>
          <w:szCs w:val="22"/>
        </w:rPr>
        <w:t xml:space="preserve"> advice with its recommendations on </w:t>
      </w:r>
      <w:r w:rsidR="00DC0A83">
        <w:rPr>
          <w:rStyle w:val="normaltextrun"/>
          <w:rFonts w:ascii="Calibri" w:hAnsi="Calibri" w:cs="Calibri"/>
          <w:szCs w:val="22"/>
        </w:rPr>
        <w:t xml:space="preserve">NZ ETS </w:t>
      </w:r>
      <w:r w:rsidRPr="00BD13C4">
        <w:rPr>
          <w:rStyle w:val="normaltextrun"/>
          <w:rFonts w:ascii="Calibri" w:hAnsi="Calibri" w:cs="Calibri"/>
          <w:szCs w:val="22"/>
        </w:rPr>
        <w:t>unit settings for the upcoming five years</w:t>
      </w:r>
      <w:r w:rsidR="00FA10C2" w:rsidRPr="00BD13C4">
        <w:rPr>
          <w:rStyle w:val="normaltextrun"/>
          <w:rFonts w:ascii="Calibri" w:hAnsi="Calibri" w:cs="Calibri"/>
          <w:szCs w:val="22"/>
        </w:rPr>
        <w:t xml:space="preserve"> </w:t>
      </w:r>
      <w:r w:rsidRPr="00BD13C4">
        <w:rPr>
          <w:rStyle w:val="normaltextrun"/>
          <w:rFonts w:ascii="Calibri" w:hAnsi="Calibri" w:cs="Calibri"/>
          <w:szCs w:val="22"/>
        </w:rPr>
        <w:t xml:space="preserve">under section 5ZOA of the Act. </w:t>
      </w:r>
      <w:r w:rsidR="00476D42" w:rsidRPr="00BD13C4">
        <w:rPr>
          <w:rStyle w:val="normaltextrun"/>
          <w:rFonts w:ascii="Calibri" w:hAnsi="Calibri" w:cs="Calibri"/>
          <w:szCs w:val="22"/>
        </w:rPr>
        <w:t>The Commission provided its advice on unit settings for 2024-2028 in March 2023.</w:t>
      </w:r>
      <w:r w:rsidR="00476D42">
        <w:rPr>
          <w:rStyle w:val="FootnoteReference"/>
          <w:rFonts w:cs="Calibri"/>
          <w:szCs w:val="22"/>
        </w:rPr>
        <w:footnoteReference w:id="3"/>
      </w:r>
      <w:r w:rsidR="00BD13C4" w:rsidRPr="00BD13C4">
        <w:rPr>
          <w:rStyle w:val="normaltextrun"/>
          <w:rFonts w:ascii="Calibri" w:hAnsi="Calibri" w:cs="Calibri"/>
          <w:szCs w:val="22"/>
        </w:rPr>
        <w:t xml:space="preserve"> </w:t>
      </w:r>
      <w:r w:rsidR="00A61917" w:rsidRPr="00BD13C4">
        <w:rPr>
          <w:rStyle w:val="normaltextrun"/>
          <w:rFonts w:ascii="Calibri" w:hAnsi="Calibri" w:cs="Calibri"/>
          <w:szCs w:val="22"/>
        </w:rPr>
        <w:t xml:space="preserve">The Commission did not find grounds to change settings for 2024-2025. </w:t>
      </w:r>
    </w:p>
    <w:p w14:paraId="1FCE839D" w14:textId="3D4442AF" w:rsidR="00177FEB" w:rsidRPr="00177FEB" w:rsidRDefault="0077081A" w:rsidP="00750413">
      <w:pPr>
        <w:pStyle w:val="NoSpacing"/>
        <w:rPr>
          <w:rStyle w:val="normaltextrun"/>
          <w:rFonts w:ascii="Segoe UI" w:hAnsi="Segoe UI" w:cs="Segoe UI"/>
          <w:sz w:val="18"/>
          <w:szCs w:val="18"/>
        </w:rPr>
      </w:pPr>
      <w:r>
        <w:rPr>
          <w:rStyle w:val="normaltextrun"/>
          <w:rFonts w:ascii="Calibri" w:hAnsi="Calibri" w:cs="Calibri"/>
          <w:szCs w:val="22"/>
        </w:rPr>
        <w:t>The Minister</w:t>
      </w:r>
      <w:r w:rsidR="00750413" w:rsidRPr="00ED4882">
        <w:rPr>
          <w:rStyle w:val="normaltextrun"/>
          <w:rFonts w:ascii="Calibri" w:hAnsi="Calibri" w:cs="Calibri"/>
          <w:szCs w:val="22"/>
        </w:rPr>
        <w:t xml:space="preserve"> was directed by the High Court in a judgment issued 13 July 2023</w:t>
      </w:r>
      <w:r w:rsidR="00750413">
        <w:rPr>
          <w:rStyle w:val="FootnoteReference"/>
          <w:rFonts w:cs="Calibri"/>
          <w:szCs w:val="22"/>
        </w:rPr>
        <w:footnoteReference w:id="4"/>
      </w:r>
      <w:r w:rsidR="00750413" w:rsidRPr="00ED4882">
        <w:rPr>
          <w:rStyle w:val="normaltextrun"/>
          <w:rFonts w:ascii="Calibri" w:hAnsi="Calibri" w:cs="Calibri"/>
          <w:szCs w:val="22"/>
        </w:rPr>
        <w:t xml:space="preserve"> to reconsider the unit settings</w:t>
      </w:r>
      <w:r w:rsidR="00E23B66">
        <w:rPr>
          <w:rStyle w:val="normaltextrun"/>
          <w:rFonts w:ascii="Calibri" w:hAnsi="Calibri" w:cs="Calibri"/>
          <w:szCs w:val="22"/>
        </w:rPr>
        <w:t xml:space="preserve"> decided in 2022</w:t>
      </w:r>
      <w:r w:rsidR="00750413" w:rsidRPr="00ED4882">
        <w:rPr>
          <w:rStyle w:val="normaltextrun"/>
          <w:rFonts w:ascii="Calibri" w:hAnsi="Calibri" w:cs="Calibri"/>
          <w:szCs w:val="22"/>
        </w:rPr>
        <w:t xml:space="preserve"> for the years 2023 to 2027</w:t>
      </w:r>
      <w:r>
        <w:rPr>
          <w:rStyle w:val="normaltextrun"/>
          <w:rFonts w:ascii="Calibri" w:hAnsi="Calibri" w:cs="Calibri"/>
          <w:szCs w:val="22"/>
        </w:rPr>
        <w:t>, following legal action.</w:t>
      </w:r>
      <w:r w:rsidR="003853C0" w:rsidRPr="00E349B2">
        <w:rPr>
          <w:rStyle w:val="normaltextrun"/>
          <w:rFonts w:ascii="Calibri" w:hAnsi="Calibri" w:cs="Calibri"/>
          <w:szCs w:val="22"/>
        </w:rPr>
        <w:t xml:space="preserve"> The Government was able to amend those years due to the outcome of the litigation.</w:t>
      </w:r>
      <w:r w:rsidR="00E349B2" w:rsidRPr="00E349B2">
        <w:rPr>
          <w:rStyle w:val="normaltextrun"/>
          <w:rFonts w:ascii="Calibri" w:hAnsi="Calibri" w:cs="Calibri"/>
          <w:szCs w:val="22"/>
        </w:rPr>
        <w:t xml:space="preserve"> </w:t>
      </w:r>
      <w:r w:rsidR="00E349B2">
        <w:rPr>
          <w:rStyle w:val="normaltextrun"/>
          <w:rFonts w:ascii="Calibri" w:hAnsi="Calibri" w:cs="Calibri"/>
          <w:szCs w:val="22"/>
        </w:rPr>
        <w:t>T</w:t>
      </w:r>
      <w:r w:rsidR="00750413" w:rsidRPr="00E349B2">
        <w:rPr>
          <w:rStyle w:val="normaltextrun"/>
          <w:rFonts w:ascii="Calibri" w:hAnsi="Calibri" w:cs="Calibri"/>
          <w:szCs w:val="22"/>
        </w:rPr>
        <w:t xml:space="preserve">he </w:t>
      </w:r>
      <w:r w:rsidR="003C0D45">
        <w:rPr>
          <w:rStyle w:val="normaltextrun"/>
          <w:rFonts w:ascii="Calibri" w:hAnsi="Calibri" w:cs="Calibri"/>
          <w:szCs w:val="22"/>
        </w:rPr>
        <w:t xml:space="preserve">Commission was unable to consider the </w:t>
      </w:r>
      <w:r w:rsidR="00CE684B">
        <w:rPr>
          <w:rStyle w:val="normaltextrun"/>
          <w:rFonts w:ascii="Calibri" w:hAnsi="Calibri" w:cs="Calibri"/>
          <w:szCs w:val="22"/>
        </w:rPr>
        <w:t>High Court decision</w:t>
      </w:r>
      <w:r w:rsidR="00750413" w:rsidRPr="00E349B2">
        <w:rPr>
          <w:rStyle w:val="normaltextrun"/>
          <w:rFonts w:ascii="Calibri" w:hAnsi="Calibri" w:cs="Calibri"/>
          <w:szCs w:val="22"/>
        </w:rPr>
        <w:t xml:space="preserve"> </w:t>
      </w:r>
      <w:r w:rsidR="003C0D45">
        <w:rPr>
          <w:rStyle w:val="normaltextrun"/>
          <w:rFonts w:ascii="Calibri" w:hAnsi="Calibri" w:cs="Calibri"/>
          <w:szCs w:val="22"/>
        </w:rPr>
        <w:t xml:space="preserve">as it </w:t>
      </w:r>
      <w:r w:rsidR="00750413" w:rsidRPr="00E349B2">
        <w:rPr>
          <w:rStyle w:val="normaltextrun"/>
          <w:rFonts w:ascii="Calibri" w:hAnsi="Calibri" w:cs="Calibri"/>
          <w:szCs w:val="22"/>
        </w:rPr>
        <w:t xml:space="preserve">was </w:t>
      </w:r>
      <w:r w:rsidR="007507BF">
        <w:rPr>
          <w:rStyle w:val="normaltextrun"/>
          <w:rFonts w:ascii="Calibri" w:hAnsi="Calibri" w:cs="Calibri"/>
          <w:szCs w:val="22"/>
        </w:rPr>
        <w:t>issued</w:t>
      </w:r>
      <w:r w:rsidR="00750413">
        <w:rPr>
          <w:rStyle w:val="normaltextrun"/>
          <w:rFonts w:ascii="Calibri" w:hAnsi="Calibri" w:cs="Calibri"/>
          <w:szCs w:val="22"/>
        </w:rPr>
        <w:t xml:space="preserve"> after the Commission had already provided its </w:t>
      </w:r>
      <w:r w:rsidR="00993552">
        <w:rPr>
          <w:rStyle w:val="normaltextrun"/>
          <w:rFonts w:ascii="Calibri" w:hAnsi="Calibri" w:cs="Calibri"/>
          <w:szCs w:val="22"/>
        </w:rPr>
        <w:t xml:space="preserve">2023 </w:t>
      </w:r>
      <w:r w:rsidR="00750413">
        <w:rPr>
          <w:rStyle w:val="normaltextrun"/>
          <w:rFonts w:ascii="Calibri" w:hAnsi="Calibri" w:cs="Calibri"/>
          <w:szCs w:val="22"/>
        </w:rPr>
        <w:t>advice.</w:t>
      </w:r>
    </w:p>
    <w:p w14:paraId="0C5801A4" w14:textId="7062BA76" w:rsidR="00906F03" w:rsidRPr="00190B47" w:rsidRDefault="00906F03" w:rsidP="00906F03">
      <w:pPr>
        <w:pStyle w:val="NoSpacing"/>
        <w:rPr>
          <w:rStyle w:val="normaltextrun"/>
          <w:rFonts w:ascii="Segoe UI" w:hAnsi="Segoe UI" w:cs="Segoe UI"/>
          <w:sz w:val="18"/>
          <w:szCs w:val="18"/>
        </w:rPr>
      </w:pPr>
      <w:r w:rsidRPr="03F39E3A">
        <w:rPr>
          <w:rStyle w:val="normaltextrun"/>
          <w:rFonts w:ascii="Calibri" w:hAnsi="Calibri" w:cs="Calibri"/>
        </w:rPr>
        <w:t xml:space="preserve">The intent of the unit settings decisions was to agree with the recommendations of the Commission because the </w:t>
      </w:r>
      <w:r w:rsidR="00CE65A9" w:rsidRPr="03F39E3A">
        <w:rPr>
          <w:rStyle w:val="normaltextrun"/>
          <w:rFonts w:ascii="Calibri" w:hAnsi="Calibri" w:cs="Calibri"/>
        </w:rPr>
        <w:t>Minister considered the</w:t>
      </w:r>
      <w:r w:rsidRPr="03F39E3A">
        <w:rPr>
          <w:rStyle w:val="normaltextrun"/>
          <w:rFonts w:ascii="Calibri" w:hAnsi="Calibri" w:cs="Calibri"/>
        </w:rPr>
        <w:t xml:space="preserve"> </w:t>
      </w:r>
      <w:r w:rsidR="00CE65A9" w:rsidRPr="03F39E3A">
        <w:rPr>
          <w:rStyle w:val="normaltextrun"/>
          <w:rFonts w:ascii="Calibri" w:hAnsi="Calibri" w:cs="Calibri"/>
        </w:rPr>
        <w:t xml:space="preserve">recommended </w:t>
      </w:r>
      <w:r w:rsidRPr="03F39E3A">
        <w:rPr>
          <w:rStyle w:val="normaltextrun"/>
          <w:rFonts w:ascii="Calibri" w:hAnsi="Calibri" w:cs="Calibri"/>
        </w:rPr>
        <w:t>settings</w:t>
      </w:r>
      <w:r w:rsidR="002D04D6" w:rsidRPr="03F39E3A">
        <w:rPr>
          <w:rStyle w:val="normaltextrun"/>
          <w:rFonts w:ascii="Calibri" w:hAnsi="Calibri" w:cs="Calibri"/>
        </w:rPr>
        <w:t xml:space="preserve"> either</w:t>
      </w:r>
      <w:r w:rsidR="004F38D9" w:rsidRPr="03F39E3A">
        <w:rPr>
          <w:rStyle w:val="normaltextrun"/>
          <w:rFonts w:ascii="Calibri" w:hAnsi="Calibri" w:cs="Calibri"/>
        </w:rPr>
        <w:t>:</w:t>
      </w:r>
      <w:r w:rsidRPr="03F39E3A">
        <w:rPr>
          <w:rStyle w:val="normaltextrun"/>
          <w:rFonts w:ascii="Calibri" w:hAnsi="Calibri" w:cs="Calibri"/>
        </w:rPr>
        <w:t xml:space="preserve"> </w:t>
      </w:r>
      <w:r w:rsidR="00CE65A9" w:rsidRPr="03F39E3A">
        <w:rPr>
          <w:rStyle w:val="normaltextrun"/>
          <w:rFonts w:ascii="Calibri" w:hAnsi="Calibri" w:cs="Calibri"/>
        </w:rPr>
        <w:t xml:space="preserve">to be </w:t>
      </w:r>
      <w:r w:rsidRPr="03F39E3A">
        <w:rPr>
          <w:rStyle w:val="normaltextrun"/>
          <w:rFonts w:ascii="Calibri" w:hAnsi="Calibri" w:cs="Calibri"/>
        </w:rPr>
        <w:t>in accordance with emissions budgets</w:t>
      </w:r>
      <w:r w:rsidR="000413C9" w:rsidRPr="03F39E3A">
        <w:rPr>
          <w:rStyle w:val="normaltextrun"/>
          <w:rFonts w:ascii="Calibri" w:hAnsi="Calibri" w:cs="Calibri"/>
        </w:rPr>
        <w:t>, New Zealand</w:t>
      </w:r>
      <w:r w:rsidR="00120F6C" w:rsidRPr="03F39E3A">
        <w:rPr>
          <w:rStyle w:val="normaltextrun"/>
          <w:rFonts w:ascii="Calibri" w:hAnsi="Calibri" w:cs="Calibri"/>
        </w:rPr>
        <w:t>’s</w:t>
      </w:r>
      <w:r w:rsidR="000413C9" w:rsidRPr="03F39E3A">
        <w:rPr>
          <w:rStyle w:val="normaltextrun"/>
          <w:rFonts w:ascii="Calibri" w:hAnsi="Calibri" w:cs="Calibri"/>
        </w:rPr>
        <w:t xml:space="preserve"> nationally determine contribution under the Paris Agreement, and the 2050 target</w:t>
      </w:r>
      <w:r w:rsidR="004F38D9" w:rsidRPr="03F39E3A">
        <w:rPr>
          <w:rStyle w:val="normaltextrun"/>
          <w:rFonts w:ascii="Calibri" w:hAnsi="Calibri" w:cs="Calibri"/>
        </w:rPr>
        <w:t>;</w:t>
      </w:r>
      <w:r w:rsidR="002D04D6" w:rsidRPr="03F39E3A">
        <w:rPr>
          <w:rStyle w:val="normaltextrun"/>
          <w:rFonts w:ascii="Calibri" w:hAnsi="Calibri" w:cs="Calibri"/>
        </w:rPr>
        <w:t xml:space="preserve"> </w:t>
      </w:r>
      <w:r w:rsidR="0029097A" w:rsidRPr="03F39E3A">
        <w:rPr>
          <w:rStyle w:val="normaltextrun"/>
          <w:rFonts w:ascii="Calibri" w:hAnsi="Calibri" w:cs="Calibri"/>
        </w:rPr>
        <w:t>or for any discrepancy to be justified under the Act</w:t>
      </w:r>
      <w:r w:rsidRPr="03F39E3A">
        <w:rPr>
          <w:rStyle w:val="normaltextrun"/>
          <w:rFonts w:ascii="Calibri" w:hAnsi="Calibri" w:cs="Calibri"/>
        </w:rPr>
        <w:t>. However, there are some differences</w:t>
      </w:r>
      <w:r w:rsidR="00C7286C" w:rsidRPr="03F39E3A">
        <w:rPr>
          <w:rStyle w:val="normaltextrun"/>
          <w:rFonts w:ascii="Calibri" w:hAnsi="Calibri" w:cs="Calibri"/>
        </w:rPr>
        <w:t>;</w:t>
      </w:r>
      <w:r w:rsidRPr="03F39E3A">
        <w:rPr>
          <w:rStyle w:val="normaltextrun"/>
          <w:rFonts w:ascii="Calibri" w:hAnsi="Calibri" w:cs="Calibri"/>
        </w:rPr>
        <w:t xml:space="preserve"> </w:t>
      </w:r>
      <w:r w:rsidR="001510B1" w:rsidRPr="03F39E3A">
        <w:rPr>
          <w:rStyle w:val="normaltextrun"/>
          <w:rFonts w:ascii="Calibri" w:hAnsi="Calibri" w:cs="Calibri"/>
        </w:rPr>
        <w:t xml:space="preserve">primarily </w:t>
      </w:r>
      <w:r w:rsidR="00383C2D" w:rsidRPr="03F39E3A">
        <w:rPr>
          <w:rStyle w:val="normaltextrun"/>
          <w:rFonts w:ascii="Calibri" w:hAnsi="Calibri" w:cs="Calibri"/>
        </w:rPr>
        <w:t xml:space="preserve">because </w:t>
      </w:r>
      <w:r w:rsidRPr="03F39E3A">
        <w:rPr>
          <w:rStyle w:val="normaltextrun"/>
          <w:rFonts w:ascii="Calibri" w:hAnsi="Calibri" w:cs="Calibri"/>
        </w:rPr>
        <w:t>the Commission was unable to contemplate the judgment of the High Court in developing it</w:t>
      </w:r>
      <w:r w:rsidR="00286FA5" w:rsidRPr="03F39E3A">
        <w:rPr>
          <w:rStyle w:val="normaltextrun"/>
          <w:rFonts w:ascii="Calibri" w:hAnsi="Calibri" w:cs="Calibri"/>
        </w:rPr>
        <w:t xml:space="preserve">s advice. </w:t>
      </w:r>
    </w:p>
    <w:p w14:paraId="46313404" w14:textId="7FAE3FB4" w:rsidR="0092105C" w:rsidRDefault="0092105C" w:rsidP="0092105C">
      <w:pPr>
        <w:pStyle w:val="Heading2"/>
        <w:rPr>
          <w:rStyle w:val="normaltextrun"/>
        </w:rPr>
      </w:pPr>
      <w:r w:rsidRPr="0092105C">
        <w:rPr>
          <w:rStyle w:val="normaltextrun"/>
        </w:rPr>
        <w:t>Differences in unit limits</w:t>
      </w:r>
    </w:p>
    <w:p w14:paraId="2D781116" w14:textId="6BF60F22" w:rsidR="0092105C" w:rsidRPr="00411902" w:rsidRDefault="00016EE5" w:rsidP="0092105C">
      <w:pPr>
        <w:pStyle w:val="NoSpacing"/>
        <w:rPr>
          <w:rStyle w:val="normaltextrun"/>
          <w:rFonts w:ascii="Calibri" w:hAnsi="Calibri" w:cs="Calibri"/>
          <w:szCs w:val="22"/>
        </w:rPr>
      </w:pPr>
      <w:r w:rsidRPr="00411902">
        <w:rPr>
          <w:rStyle w:val="normaltextrun"/>
          <w:rFonts w:ascii="Calibri" w:hAnsi="Calibri" w:cs="Calibri"/>
          <w:szCs w:val="22"/>
        </w:rPr>
        <w:t>Calculations for unit limits are based on a series of steps</w:t>
      </w:r>
      <w:r w:rsidR="00EF6F98" w:rsidRPr="00411902">
        <w:rPr>
          <w:rStyle w:val="normaltextrun"/>
          <w:rFonts w:ascii="Calibri" w:hAnsi="Calibri" w:cs="Calibri"/>
          <w:szCs w:val="22"/>
        </w:rPr>
        <w:t xml:space="preserve">, used by both the Commission and the Government. A difference in any of the steps </w:t>
      </w:r>
      <w:r w:rsidR="00411902">
        <w:rPr>
          <w:rStyle w:val="normaltextrun"/>
          <w:rFonts w:ascii="Calibri" w:hAnsi="Calibri" w:cs="Calibri"/>
          <w:szCs w:val="22"/>
        </w:rPr>
        <w:t xml:space="preserve">between </w:t>
      </w:r>
      <w:r w:rsidR="007B457E">
        <w:rPr>
          <w:rStyle w:val="normaltextrun"/>
          <w:rFonts w:ascii="Calibri" w:hAnsi="Calibri" w:cs="Calibri"/>
          <w:szCs w:val="22"/>
        </w:rPr>
        <w:t>the Commission’s a</w:t>
      </w:r>
      <w:r w:rsidR="00157A55">
        <w:rPr>
          <w:rStyle w:val="normaltextrun"/>
          <w:rFonts w:ascii="Calibri" w:hAnsi="Calibri" w:cs="Calibri"/>
          <w:szCs w:val="22"/>
        </w:rPr>
        <w:t xml:space="preserve">pproach and the Government’s will result in </w:t>
      </w:r>
      <w:r w:rsidR="00FC2C27">
        <w:rPr>
          <w:rStyle w:val="normaltextrun"/>
          <w:rFonts w:ascii="Calibri" w:hAnsi="Calibri" w:cs="Calibri"/>
          <w:szCs w:val="22"/>
        </w:rPr>
        <w:t>different</w:t>
      </w:r>
      <w:r w:rsidR="007B457E">
        <w:rPr>
          <w:rStyle w:val="normaltextrun"/>
          <w:rFonts w:ascii="Calibri" w:hAnsi="Calibri" w:cs="Calibri"/>
          <w:szCs w:val="22"/>
        </w:rPr>
        <w:t xml:space="preserve"> unit limits. </w:t>
      </w:r>
      <w:r w:rsidR="001F793F">
        <w:rPr>
          <w:rStyle w:val="normaltextrun"/>
          <w:rFonts w:ascii="Calibri" w:hAnsi="Calibri" w:cs="Calibri"/>
          <w:szCs w:val="22"/>
        </w:rPr>
        <w:t xml:space="preserve"> </w:t>
      </w:r>
    </w:p>
    <w:p w14:paraId="0F5323A4" w14:textId="77777777" w:rsidR="00D5761D" w:rsidRDefault="00D5761D" w:rsidP="0092105C">
      <w:pPr>
        <w:pStyle w:val="Heading3"/>
      </w:pPr>
      <w:bookmarkStart w:id="0" w:name="_Toc121923315"/>
      <w:r>
        <w:lastRenderedPageBreak/>
        <w:t xml:space="preserve">Differences in </w:t>
      </w:r>
      <w:r w:rsidRPr="00632507">
        <w:t>unit</w:t>
      </w:r>
      <w:bookmarkEnd w:id="0"/>
      <w:r>
        <w:t xml:space="preserve"> limits for 2023</w:t>
      </w:r>
    </w:p>
    <w:p w14:paraId="00FB5985" w14:textId="77777777" w:rsidR="000814CF" w:rsidRPr="000814CF" w:rsidRDefault="00C7647F" w:rsidP="00D5761D">
      <w:pPr>
        <w:pStyle w:val="NoSpacing"/>
        <w:rPr>
          <w:rStyle w:val="normaltextrun"/>
        </w:rPr>
      </w:pPr>
      <w:r>
        <w:rPr>
          <w:rStyle w:val="normaltextrun"/>
          <w:rFonts w:ascii="Calibri" w:hAnsi="Calibri" w:cs="Calibri"/>
          <w:szCs w:val="22"/>
        </w:rPr>
        <w:t>The Commission’s 2022</w:t>
      </w:r>
      <w:r w:rsidR="00FC2C27">
        <w:rPr>
          <w:rStyle w:val="FootnoteReference"/>
          <w:rFonts w:cs="Calibri"/>
          <w:szCs w:val="22"/>
        </w:rPr>
        <w:footnoteReference w:id="5"/>
      </w:r>
      <w:r>
        <w:rPr>
          <w:rStyle w:val="normaltextrun"/>
          <w:rFonts w:ascii="Calibri" w:hAnsi="Calibri" w:cs="Calibri"/>
          <w:szCs w:val="22"/>
        </w:rPr>
        <w:t xml:space="preserve"> and 2023 </w:t>
      </w:r>
      <w:r w:rsidR="0082482B">
        <w:rPr>
          <w:rStyle w:val="normaltextrun"/>
          <w:rFonts w:ascii="Calibri" w:hAnsi="Calibri" w:cs="Calibri"/>
          <w:szCs w:val="22"/>
        </w:rPr>
        <w:t xml:space="preserve">advice </w:t>
      </w:r>
      <w:r>
        <w:rPr>
          <w:rStyle w:val="normaltextrun"/>
          <w:rFonts w:ascii="Calibri" w:hAnsi="Calibri" w:cs="Calibri"/>
          <w:szCs w:val="22"/>
        </w:rPr>
        <w:t xml:space="preserve">was considered </w:t>
      </w:r>
      <w:r w:rsidR="0082482B">
        <w:rPr>
          <w:rStyle w:val="normaltextrun"/>
          <w:rFonts w:ascii="Calibri" w:hAnsi="Calibri" w:cs="Calibri"/>
          <w:szCs w:val="22"/>
        </w:rPr>
        <w:t>to calculate</w:t>
      </w:r>
      <w:r>
        <w:rPr>
          <w:rStyle w:val="normaltextrun"/>
          <w:rFonts w:ascii="Calibri" w:hAnsi="Calibri" w:cs="Calibri"/>
          <w:szCs w:val="22"/>
        </w:rPr>
        <w:t xml:space="preserve"> the unit limits for 2023, although only the Commission’s 2022 advice provided a recommendation for 2023. </w:t>
      </w:r>
    </w:p>
    <w:p w14:paraId="0F0DB1F4" w14:textId="5192E8F7" w:rsidR="002763ED" w:rsidRPr="007C4C20" w:rsidRDefault="00C7647F" w:rsidP="00D5761D">
      <w:pPr>
        <w:pStyle w:val="NoSpacing"/>
        <w:rPr>
          <w:rStyle w:val="normaltextrun"/>
        </w:rPr>
      </w:pPr>
      <w:r>
        <w:rPr>
          <w:rStyle w:val="normaltextrun"/>
          <w:rFonts w:ascii="Calibri" w:hAnsi="Calibri" w:cs="Calibri"/>
          <w:szCs w:val="22"/>
        </w:rPr>
        <w:t xml:space="preserve">The Commission’s 2022 advice </w:t>
      </w:r>
      <w:r w:rsidR="006A6B1B">
        <w:rPr>
          <w:rStyle w:val="normaltextrun"/>
          <w:rFonts w:ascii="Calibri" w:hAnsi="Calibri" w:cs="Calibri"/>
          <w:szCs w:val="22"/>
        </w:rPr>
        <w:t xml:space="preserve">differs from </w:t>
      </w:r>
      <w:r>
        <w:rPr>
          <w:rStyle w:val="normaltextrun"/>
          <w:rFonts w:ascii="Calibri" w:hAnsi="Calibri" w:cs="Calibri"/>
          <w:szCs w:val="22"/>
        </w:rPr>
        <w:t>th</w:t>
      </w:r>
      <w:r w:rsidR="00A306DC">
        <w:rPr>
          <w:rStyle w:val="normaltextrun"/>
          <w:rFonts w:ascii="Calibri" w:hAnsi="Calibri" w:cs="Calibri"/>
          <w:szCs w:val="22"/>
        </w:rPr>
        <w:t>e</w:t>
      </w:r>
      <w:r>
        <w:rPr>
          <w:rStyle w:val="normaltextrun"/>
          <w:rFonts w:ascii="Calibri" w:hAnsi="Calibri" w:cs="Calibri"/>
          <w:szCs w:val="22"/>
        </w:rPr>
        <w:t xml:space="preserve"> prescribed </w:t>
      </w:r>
      <w:r w:rsidR="00A306DC">
        <w:rPr>
          <w:rStyle w:val="normaltextrun"/>
          <w:rFonts w:ascii="Calibri" w:hAnsi="Calibri" w:cs="Calibri"/>
          <w:szCs w:val="22"/>
        </w:rPr>
        <w:t xml:space="preserve">unit settings </w:t>
      </w:r>
      <w:r w:rsidR="006A6B1B">
        <w:rPr>
          <w:rStyle w:val="normaltextrun"/>
          <w:rFonts w:ascii="Calibri" w:hAnsi="Calibri" w:cs="Calibri"/>
          <w:szCs w:val="22"/>
        </w:rPr>
        <w:t>because</w:t>
      </w:r>
      <w:r w:rsidR="0053000D">
        <w:rPr>
          <w:rStyle w:val="normaltextrun"/>
          <w:rFonts w:ascii="Calibri" w:hAnsi="Calibri" w:cs="Calibri"/>
          <w:szCs w:val="22"/>
        </w:rPr>
        <w:t xml:space="preserve"> of more recen</w:t>
      </w:r>
      <w:r w:rsidR="00041AB0">
        <w:rPr>
          <w:rStyle w:val="normaltextrun"/>
          <w:rFonts w:ascii="Calibri" w:hAnsi="Calibri" w:cs="Calibri"/>
          <w:szCs w:val="22"/>
        </w:rPr>
        <w:t>t data</w:t>
      </w:r>
      <w:r w:rsidR="00875F60" w:rsidDel="00337B5B">
        <w:rPr>
          <w:rStyle w:val="normaltextrun"/>
          <w:rFonts w:ascii="Calibri" w:hAnsi="Calibri" w:cs="Calibri"/>
          <w:szCs w:val="22"/>
        </w:rPr>
        <w:t xml:space="preserve"> that </w:t>
      </w:r>
      <w:r w:rsidR="00041AB0">
        <w:rPr>
          <w:rStyle w:val="normaltextrun"/>
          <w:rFonts w:ascii="Calibri" w:hAnsi="Calibri" w:cs="Calibri"/>
          <w:szCs w:val="22"/>
        </w:rPr>
        <w:t>applies</w:t>
      </w:r>
      <w:r w:rsidR="00267B6E">
        <w:rPr>
          <w:rStyle w:val="normaltextrun"/>
          <w:rFonts w:ascii="Calibri" w:hAnsi="Calibri" w:cs="Calibri"/>
          <w:szCs w:val="22"/>
        </w:rPr>
        <w:t xml:space="preserve"> to</w:t>
      </w:r>
      <w:r w:rsidR="00337B5B">
        <w:rPr>
          <w:rStyle w:val="normaltextrun"/>
          <w:rFonts w:ascii="Calibri" w:hAnsi="Calibri" w:cs="Calibri"/>
          <w:szCs w:val="22"/>
        </w:rPr>
        <w:t xml:space="preserve"> </w:t>
      </w:r>
      <w:r w:rsidR="000814CF">
        <w:rPr>
          <w:rStyle w:val="normaltextrun"/>
          <w:rFonts w:ascii="Calibri" w:hAnsi="Calibri" w:cs="Calibri"/>
          <w:szCs w:val="22"/>
        </w:rPr>
        <w:t>2023</w:t>
      </w:r>
      <w:r w:rsidR="00337B5B">
        <w:rPr>
          <w:rStyle w:val="normaltextrun"/>
          <w:rFonts w:ascii="Calibri" w:hAnsi="Calibri" w:cs="Calibri"/>
          <w:szCs w:val="22"/>
        </w:rPr>
        <w:t>.</w:t>
      </w:r>
      <w:r w:rsidR="002763ED">
        <w:rPr>
          <w:rStyle w:val="normaltextrun"/>
          <w:rFonts w:ascii="Calibri" w:hAnsi="Calibri" w:cs="Calibri"/>
          <w:szCs w:val="22"/>
        </w:rPr>
        <w:t xml:space="preserve">  The</w:t>
      </w:r>
      <w:r w:rsidR="00267B6E">
        <w:rPr>
          <w:rStyle w:val="normaltextrun"/>
          <w:rFonts w:ascii="Calibri" w:hAnsi="Calibri" w:cs="Calibri"/>
          <w:szCs w:val="22"/>
        </w:rPr>
        <w:t xml:space="preserve"> two factors </w:t>
      </w:r>
      <w:r w:rsidR="00462923">
        <w:rPr>
          <w:rStyle w:val="normaltextrun"/>
          <w:rFonts w:ascii="Calibri" w:hAnsi="Calibri" w:cs="Calibri"/>
          <w:szCs w:val="22"/>
        </w:rPr>
        <w:t>underlying the updates</w:t>
      </w:r>
      <w:r w:rsidR="002763ED">
        <w:rPr>
          <w:rStyle w:val="normaltextrun"/>
          <w:rFonts w:ascii="Calibri" w:hAnsi="Calibri" w:cs="Calibri"/>
          <w:szCs w:val="22"/>
        </w:rPr>
        <w:t xml:space="preserve"> </w:t>
      </w:r>
      <w:r w:rsidR="00462923">
        <w:rPr>
          <w:rStyle w:val="normaltextrun"/>
          <w:rFonts w:ascii="Calibri" w:hAnsi="Calibri" w:cs="Calibri"/>
          <w:szCs w:val="22"/>
        </w:rPr>
        <w:t>are</w:t>
      </w:r>
      <w:r w:rsidR="002763ED">
        <w:rPr>
          <w:rStyle w:val="normaltextrun"/>
          <w:rFonts w:ascii="Calibri" w:hAnsi="Calibri" w:cs="Calibri"/>
          <w:szCs w:val="22"/>
        </w:rPr>
        <w:t>:</w:t>
      </w:r>
    </w:p>
    <w:p w14:paraId="425C6A3A" w14:textId="7440915C" w:rsidR="002763ED" w:rsidRPr="00170468" w:rsidRDefault="000814CF" w:rsidP="002763ED">
      <w:pPr>
        <w:pStyle w:val="NoSpacing"/>
        <w:numPr>
          <w:ilvl w:val="1"/>
          <w:numId w:val="6"/>
        </w:numPr>
        <w:rPr>
          <w:rStyle w:val="normaltextrun"/>
        </w:rPr>
      </w:pPr>
      <w:r>
        <w:rPr>
          <w:rStyle w:val="normaltextrun"/>
          <w:rFonts w:ascii="Calibri" w:hAnsi="Calibri" w:cs="Calibri"/>
          <w:szCs w:val="22"/>
        </w:rPr>
        <w:t xml:space="preserve">a </w:t>
      </w:r>
      <w:r w:rsidR="00C7647F">
        <w:rPr>
          <w:rStyle w:val="normaltextrun"/>
          <w:rFonts w:ascii="Calibri" w:hAnsi="Calibri" w:cs="Calibri"/>
          <w:szCs w:val="22"/>
        </w:rPr>
        <w:t>change in forest</w:t>
      </w:r>
      <w:r w:rsidR="006653AD">
        <w:rPr>
          <w:rStyle w:val="normaltextrun"/>
          <w:rFonts w:ascii="Calibri" w:hAnsi="Calibri" w:cs="Calibri"/>
          <w:szCs w:val="22"/>
        </w:rPr>
        <w:t xml:space="preserve"> land</w:t>
      </w:r>
      <w:r w:rsidR="00C7647F">
        <w:rPr>
          <w:rStyle w:val="normaltextrun"/>
          <w:rFonts w:ascii="Calibri" w:hAnsi="Calibri" w:cs="Calibri"/>
          <w:szCs w:val="22"/>
        </w:rPr>
        <w:t xml:space="preserve"> estimated to be registered in the </w:t>
      </w:r>
      <w:proofErr w:type="gramStart"/>
      <w:r w:rsidR="00C7647F">
        <w:rPr>
          <w:rStyle w:val="normaltextrun"/>
          <w:rFonts w:ascii="Calibri" w:hAnsi="Calibri" w:cs="Calibri"/>
          <w:szCs w:val="22"/>
        </w:rPr>
        <w:t>scheme</w:t>
      </w:r>
      <w:proofErr w:type="gramEnd"/>
    </w:p>
    <w:p w14:paraId="4492867E" w14:textId="568B8367" w:rsidR="00D5761D" w:rsidRPr="00C7647F" w:rsidRDefault="00402D21" w:rsidP="00170468">
      <w:pPr>
        <w:pStyle w:val="NoSpacing"/>
        <w:numPr>
          <w:ilvl w:val="1"/>
          <w:numId w:val="6"/>
        </w:numPr>
        <w:rPr>
          <w:rStyle w:val="normaltextrun"/>
        </w:rPr>
      </w:pPr>
      <w:r>
        <w:rPr>
          <w:rStyle w:val="normaltextrun"/>
          <w:rFonts w:ascii="Calibri" w:hAnsi="Calibri" w:cs="Calibri"/>
          <w:szCs w:val="22"/>
        </w:rPr>
        <w:t>more</w:t>
      </w:r>
      <w:r w:rsidR="00C7647F">
        <w:rPr>
          <w:rStyle w:val="normaltextrun"/>
          <w:rFonts w:ascii="Calibri" w:hAnsi="Calibri" w:cs="Calibri"/>
          <w:szCs w:val="22"/>
        </w:rPr>
        <w:t xml:space="preserve"> recent </w:t>
      </w:r>
      <w:r w:rsidR="00D519F3">
        <w:rPr>
          <w:rStyle w:val="normaltextrun"/>
          <w:rFonts w:ascii="Calibri" w:hAnsi="Calibri" w:cs="Calibri"/>
          <w:szCs w:val="22"/>
        </w:rPr>
        <w:t xml:space="preserve">industrial allocation </w:t>
      </w:r>
      <w:r w:rsidR="00C7647F">
        <w:rPr>
          <w:rStyle w:val="normaltextrun"/>
          <w:rFonts w:ascii="Calibri" w:hAnsi="Calibri" w:cs="Calibri"/>
          <w:szCs w:val="22"/>
        </w:rPr>
        <w:t>projections</w:t>
      </w:r>
    </w:p>
    <w:p w14:paraId="67C0DD99" w14:textId="3458AB94" w:rsidR="00C7647F" w:rsidRPr="00C7647F" w:rsidRDefault="00C7647F" w:rsidP="00D5761D">
      <w:pPr>
        <w:pStyle w:val="NoSpacing"/>
        <w:rPr>
          <w:rStyle w:val="normaltextrun"/>
        </w:rPr>
      </w:pPr>
      <w:r>
        <w:rPr>
          <w:rStyle w:val="normaltextrun"/>
          <w:rFonts w:ascii="Calibri" w:hAnsi="Calibri" w:cs="Calibri"/>
          <w:szCs w:val="22"/>
        </w:rPr>
        <w:t>The total difference is a 1.3 million reduction in the prescribed auction limit and overall limit compared with the Commission’s 2022 recommendation</w:t>
      </w:r>
      <w:r w:rsidR="00760581">
        <w:rPr>
          <w:rStyle w:val="normaltextrun"/>
          <w:rFonts w:ascii="Calibri" w:hAnsi="Calibri" w:cs="Calibri"/>
          <w:szCs w:val="22"/>
        </w:rPr>
        <w:t>s</w:t>
      </w:r>
      <w:r w:rsidR="00A543E0">
        <w:rPr>
          <w:rStyle w:val="normaltextrun"/>
          <w:rFonts w:ascii="Calibri" w:hAnsi="Calibri" w:cs="Calibri"/>
          <w:szCs w:val="22"/>
        </w:rPr>
        <w:t xml:space="preserve"> (see Table 1 below)</w:t>
      </w:r>
      <w:r>
        <w:rPr>
          <w:rStyle w:val="normaltextrun"/>
          <w:rFonts w:ascii="Calibri" w:hAnsi="Calibri" w:cs="Calibri"/>
          <w:szCs w:val="22"/>
        </w:rPr>
        <w:t>. Th</w:t>
      </w:r>
      <w:r w:rsidR="00677E3A">
        <w:rPr>
          <w:rStyle w:val="normaltextrun"/>
          <w:rFonts w:ascii="Calibri" w:hAnsi="Calibri" w:cs="Calibri"/>
          <w:szCs w:val="22"/>
        </w:rPr>
        <w:t xml:space="preserve">e difference </w:t>
      </w:r>
      <w:proofErr w:type="gramStart"/>
      <w:r w:rsidR="005B7494">
        <w:rPr>
          <w:rStyle w:val="normaltextrun"/>
          <w:rFonts w:ascii="Calibri" w:hAnsi="Calibri" w:cs="Calibri"/>
          <w:szCs w:val="22"/>
        </w:rPr>
        <w:t>are</w:t>
      </w:r>
      <w:proofErr w:type="gramEnd"/>
      <w:r w:rsidR="005B7494">
        <w:rPr>
          <w:rStyle w:val="normaltextrun"/>
          <w:rFonts w:ascii="Calibri" w:hAnsi="Calibri" w:cs="Calibri"/>
          <w:szCs w:val="22"/>
        </w:rPr>
        <w:t xml:space="preserve"> due to</w:t>
      </w:r>
      <w:r>
        <w:rPr>
          <w:rStyle w:val="normaltextrun"/>
          <w:rFonts w:ascii="Calibri" w:hAnsi="Calibri" w:cs="Calibri"/>
          <w:szCs w:val="22"/>
        </w:rPr>
        <w:t>:</w:t>
      </w:r>
    </w:p>
    <w:p w14:paraId="51AABBA9" w14:textId="35FF6B3E" w:rsidR="00C7647F" w:rsidRPr="00C7647F" w:rsidRDefault="00C7647F" w:rsidP="00C7647F">
      <w:pPr>
        <w:pStyle w:val="NoSpacing"/>
        <w:numPr>
          <w:ilvl w:val="1"/>
          <w:numId w:val="6"/>
        </w:numPr>
        <w:rPr>
          <w:rStyle w:val="normaltextrun"/>
          <w:rFonts w:ascii="Calibri" w:hAnsi="Calibri" w:cs="Calibri"/>
          <w:szCs w:val="22"/>
        </w:rPr>
      </w:pPr>
      <w:r w:rsidRPr="00C7647F">
        <w:rPr>
          <w:rStyle w:val="normaltextrun"/>
          <w:rFonts w:ascii="Calibri" w:hAnsi="Calibri" w:cs="Calibri"/>
          <w:szCs w:val="22"/>
        </w:rPr>
        <w:t>updated data regarding new forestry registrations, which impacts how emissions budgets</w:t>
      </w:r>
      <w:r w:rsidR="00760581">
        <w:rPr>
          <w:rStyle w:val="normaltextrun"/>
          <w:rFonts w:ascii="Calibri" w:hAnsi="Calibri" w:cs="Calibri"/>
          <w:szCs w:val="22"/>
        </w:rPr>
        <w:t xml:space="preserve"> are allocated</w:t>
      </w:r>
      <w:r w:rsidRPr="00C7647F">
        <w:rPr>
          <w:rStyle w:val="normaltextrun"/>
          <w:rFonts w:ascii="Calibri" w:hAnsi="Calibri" w:cs="Calibri"/>
          <w:szCs w:val="22"/>
        </w:rPr>
        <w:t xml:space="preserve"> between NZ ETS and non-NZ ETS sectors</w:t>
      </w:r>
      <w:r w:rsidR="00677E3A">
        <w:rPr>
          <w:rStyle w:val="normaltextrun"/>
          <w:rFonts w:ascii="Calibri" w:hAnsi="Calibri" w:cs="Calibri"/>
          <w:szCs w:val="22"/>
        </w:rPr>
        <w:t xml:space="preserve"> (</w:t>
      </w:r>
      <w:r w:rsidR="003518A9">
        <w:rPr>
          <w:rStyle w:val="normaltextrun"/>
          <w:rFonts w:ascii="Calibri" w:hAnsi="Calibri" w:cs="Calibri"/>
          <w:szCs w:val="22"/>
        </w:rPr>
        <w:t xml:space="preserve">reducing auction volume by </w:t>
      </w:r>
      <w:r w:rsidR="00677E3A" w:rsidRPr="00C7647F">
        <w:rPr>
          <w:rStyle w:val="normaltextrun"/>
          <w:rFonts w:ascii="Calibri" w:hAnsi="Calibri" w:cs="Calibri"/>
          <w:szCs w:val="22"/>
        </w:rPr>
        <w:t>1.5 million units</w:t>
      </w:r>
      <w:r w:rsidR="003518A9">
        <w:rPr>
          <w:rStyle w:val="normaltextrun"/>
          <w:rFonts w:ascii="Calibri" w:hAnsi="Calibri" w:cs="Calibri"/>
          <w:szCs w:val="22"/>
        </w:rPr>
        <w:t>)</w:t>
      </w:r>
    </w:p>
    <w:p w14:paraId="27B6575C" w14:textId="61973C8B" w:rsidR="00C7647F" w:rsidRDefault="00C7647F" w:rsidP="00C7647F">
      <w:pPr>
        <w:pStyle w:val="NoSpacing"/>
        <w:numPr>
          <w:ilvl w:val="1"/>
          <w:numId w:val="6"/>
        </w:numPr>
        <w:rPr>
          <w:rStyle w:val="normaltextrun"/>
          <w:rFonts w:ascii="Calibri" w:hAnsi="Calibri" w:cs="Calibri"/>
          <w:szCs w:val="22"/>
        </w:rPr>
      </w:pPr>
      <w:r w:rsidRPr="00C7647F">
        <w:rPr>
          <w:rStyle w:val="normaltextrun"/>
          <w:rFonts w:ascii="Calibri" w:hAnsi="Calibri" w:cs="Calibri"/>
          <w:szCs w:val="22"/>
        </w:rPr>
        <w:t xml:space="preserve">updated forecasts of industrial free allocation </w:t>
      </w:r>
      <w:r w:rsidR="003518A9">
        <w:rPr>
          <w:rStyle w:val="normaltextrun"/>
          <w:rFonts w:ascii="Calibri" w:hAnsi="Calibri" w:cs="Calibri"/>
          <w:szCs w:val="22"/>
        </w:rPr>
        <w:t xml:space="preserve">(increasing auction volume by </w:t>
      </w:r>
      <w:r w:rsidR="003518A9" w:rsidRPr="00C7647F">
        <w:rPr>
          <w:rStyle w:val="normaltextrun"/>
          <w:rFonts w:ascii="Calibri" w:hAnsi="Calibri" w:cs="Calibri"/>
          <w:szCs w:val="22"/>
        </w:rPr>
        <w:t>0.2 million units</w:t>
      </w:r>
      <w:r w:rsidR="003518A9">
        <w:rPr>
          <w:rStyle w:val="normaltextrun"/>
          <w:rFonts w:ascii="Calibri" w:hAnsi="Calibri" w:cs="Calibri"/>
          <w:szCs w:val="22"/>
        </w:rPr>
        <w:t>)</w:t>
      </w:r>
    </w:p>
    <w:p w14:paraId="6F1115C3" w14:textId="0A6F2255" w:rsidR="002B59BC" w:rsidRPr="00C7647F" w:rsidRDefault="002B59BC" w:rsidP="002B59BC">
      <w:pPr>
        <w:pStyle w:val="Tableheading"/>
        <w:rPr>
          <w:rStyle w:val="normaltextrun"/>
          <w:rFonts w:ascii="Calibri" w:hAnsi="Calibri" w:cs="Calibri"/>
        </w:rPr>
      </w:pPr>
      <w:r>
        <w:rPr>
          <w:rStyle w:val="normaltextrun"/>
          <w:rFonts w:cs="Calibri"/>
        </w:rPr>
        <w:t>Table 1: unit limit difference for 2023</w:t>
      </w:r>
      <w:r w:rsidR="00631734">
        <w:rPr>
          <w:rStyle w:val="normaltextrun"/>
          <w:rFonts w:cs="Calibri"/>
        </w:rPr>
        <w:t xml:space="preserve"> between the Commission’s 2022 advice and those prescribed in </w:t>
      </w:r>
      <w:proofErr w:type="gramStart"/>
      <w:r w:rsidR="00631734">
        <w:rPr>
          <w:rStyle w:val="normaltextrun"/>
          <w:rFonts w:cs="Calibri"/>
        </w:rPr>
        <w:t>regulations</w:t>
      </w:r>
      <w:proofErr w:type="gramEnd"/>
    </w:p>
    <w:tbl>
      <w:tblPr>
        <w:tblStyle w:val="LightList-Accent11"/>
        <w:tblW w:w="0" w:type="auto"/>
        <w:tblLook w:val="04A0" w:firstRow="1" w:lastRow="0" w:firstColumn="1" w:lastColumn="0" w:noHBand="0" w:noVBand="1"/>
      </w:tblPr>
      <w:tblGrid>
        <w:gridCol w:w="4343"/>
        <w:gridCol w:w="4313"/>
      </w:tblGrid>
      <w:tr w:rsidR="00C7647F" w14:paraId="5B486E1F" w14:textId="77777777" w:rsidTr="00403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3" w:type="dxa"/>
          </w:tcPr>
          <w:p w14:paraId="00342F92" w14:textId="3301CD6C" w:rsidR="00C7647F" w:rsidRPr="00C7647F" w:rsidRDefault="00C7647F" w:rsidP="00C7647F">
            <w:pPr>
              <w:pStyle w:val="NoSpacing"/>
              <w:numPr>
                <w:ilvl w:val="0"/>
                <w:numId w:val="0"/>
              </w:numPr>
              <w:rPr>
                <w:rFonts w:asciiTheme="minorHAnsi" w:hAnsiTheme="minorHAnsi" w:cstheme="minorHAnsi"/>
                <w:sz w:val="20"/>
              </w:rPr>
            </w:pPr>
            <w:r w:rsidRPr="00C7647F">
              <w:rPr>
                <w:rFonts w:asciiTheme="minorHAnsi" w:hAnsiTheme="minorHAnsi" w:cstheme="minorHAnsi"/>
                <w:sz w:val="20"/>
              </w:rPr>
              <w:t>Million units</w:t>
            </w:r>
          </w:p>
        </w:tc>
        <w:tc>
          <w:tcPr>
            <w:tcW w:w="4313" w:type="dxa"/>
          </w:tcPr>
          <w:p w14:paraId="6D11B48D" w14:textId="74CF4024" w:rsidR="00C7647F" w:rsidRPr="00C7647F" w:rsidRDefault="00C7647F" w:rsidP="00C7647F">
            <w:pPr>
              <w:pStyle w:val="NoSpacing"/>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2023</w:t>
            </w:r>
          </w:p>
        </w:tc>
      </w:tr>
      <w:tr w:rsidR="00C7647F" w14:paraId="0EC5FAAE" w14:textId="77777777" w:rsidTr="00403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3" w:type="dxa"/>
          </w:tcPr>
          <w:p w14:paraId="04B58EE1" w14:textId="5768432B" w:rsidR="00C7647F" w:rsidRPr="00C7647F" w:rsidRDefault="00760581" w:rsidP="00C7647F">
            <w:pPr>
              <w:pStyle w:val="NoSpacing"/>
              <w:numPr>
                <w:ilvl w:val="0"/>
                <w:numId w:val="0"/>
              </w:numPr>
              <w:rPr>
                <w:rFonts w:asciiTheme="minorHAnsi" w:hAnsiTheme="minorHAnsi" w:cstheme="minorHAnsi"/>
                <w:sz w:val="20"/>
              </w:rPr>
            </w:pPr>
            <w:r>
              <w:rPr>
                <w:rFonts w:asciiTheme="minorHAnsi" w:hAnsiTheme="minorHAnsi" w:cstheme="minorHAnsi"/>
                <w:sz w:val="20"/>
              </w:rPr>
              <w:t>Prescribed NZUs available by auction</w:t>
            </w:r>
          </w:p>
        </w:tc>
        <w:tc>
          <w:tcPr>
            <w:tcW w:w="4313" w:type="dxa"/>
          </w:tcPr>
          <w:p w14:paraId="44370BA1" w14:textId="00A9DB09" w:rsidR="00C7647F" w:rsidRPr="00C7647F" w:rsidRDefault="00760581" w:rsidP="00C7647F">
            <w:pPr>
              <w:pStyle w:val="NoSpacing"/>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23.0</w:t>
            </w:r>
          </w:p>
        </w:tc>
      </w:tr>
      <w:tr w:rsidR="00C7647F" w14:paraId="236EE828" w14:textId="77777777" w:rsidTr="0040362A">
        <w:tc>
          <w:tcPr>
            <w:tcW w:w="4343" w:type="dxa"/>
          </w:tcPr>
          <w:p w14:paraId="70C26DC3" w14:textId="20C56130" w:rsidR="00C7647F" w:rsidRPr="00C7647F" w:rsidRDefault="00760581" w:rsidP="00C7647F">
            <w:pPr>
              <w:pStyle w:val="NoSpacing"/>
              <w:numPr>
                <w:ilvl w:val="0"/>
                <w:numId w:val="0"/>
              </w:numPr>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2022 Commission advice</w:t>
            </w:r>
          </w:p>
        </w:tc>
        <w:tc>
          <w:tcPr>
            <w:tcW w:w="4313" w:type="dxa"/>
          </w:tcPr>
          <w:p w14:paraId="6DF9CE5E" w14:textId="4F2E3E29" w:rsidR="00C7647F" w:rsidRPr="00C7647F" w:rsidRDefault="00760581" w:rsidP="00C7647F">
            <w:pPr>
              <w:pStyle w:val="NoSpacing"/>
              <w:numPr>
                <w:ilvl w:val="0"/>
                <w:numId w:val="0"/>
              </w:numPr>
              <w:rPr>
                <w:rFonts w:asciiTheme="minorHAnsi" w:hAnsiTheme="minorHAnsi" w:cstheme="minorHAnsi"/>
                <w:sz w:val="20"/>
              </w:rPr>
            </w:pPr>
            <w:r>
              <w:rPr>
                <w:rFonts w:asciiTheme="minorHAnsi" w:hAnsiTheme="minorHAnsi" w:cstheme="minorHAnsi"/>
                <w:sz w:val="20"/>
              </w:rPr>
              <w:t>24.3</w:t>
            </w:r>
            <w:r w:rsidR="00A66274">
              <w:rPr>
                <w:rStyle w:val="FootnoteReference"/>
                <w:rFonts w:cstheme="minorHAnsi"/>
              </w:rPr>
              <w:footnoteReference w:id="6"/>
            </w:r>
          </w:p>
        </w:tc>
      </w:tr>
      <w:tr w:rsidR="00C7647F" w14:paraId="1277DD9F" w14:textId="77777777" w:rsidTr="00403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3" w:type="dxa"/>
          </w:tcPr>
          <w:p w14:paraId="6DA5E77D" w14:textId="1C9D6E51" w:rsidR="00C7647F" w:rsidRPr="00C7647F" w:rsidRDefault="00760581" w:rsidP="00C7647F">
            <w:pPr>
              <w:pStyle w:val="NoSpacing"/>
              <w:numPr>
                <w:ilvl w:val="0"/>
                <w:numId w:val="0"/>
              </w:numPr>
              <w:rPr>
                <w:rFonts w:asciiTheme="minorHAnsi" w:hAnsiTheme="minorHAnsi" w:cstheme="minorHAnsi"/>
                <w:sz w:val="20"/>
              </w:rPr>
            </w:pPr>
            <w:r>
              <w:rPr>
                <w:rFonts w:asciiTheme="minorHAnsi" w:hAnsiTheme="minorHAnsi" w:cstheme="minorHAnsi"/>
                <w:sz w:val="20"/>
              </w:rPr>
              <w:t>Difference</w:t>
            </w:r>
          </w:p>
        </w:tc>
        <w:tc>
          <w:tcPr>
            <w:tcW w:w="4313" w:type="dxa"/>
          </w:tcPr>
          <w:p w14:paraId="10AE86D9" w14:textId="452C2D31" w:rsidR="00C7647F" w:rsidRPr="00C7647F" w:rsidRDefault="003D7E38" w:rsidP="00C7647F">
            <w:pPr>
              <w:pStyle w:val="NoSpacing"/>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t>
            </w:r>
            <w:r w:rsidR="00760581">
              <w:rPr>
                <w:rFonts w:asciiTheme="minorHAnsi" w:hAnsiTheme="minorHAnsi" w:cstheme="minorHAnsi"/>
                <w:sz w:val="20"/>
              </w:rPr>
              <w:t>1.3</w:t>
            </w:r>
          </w:p>
        </w:tc>
      </w:tr>
    </w:tbl>
    <w:p w14:paraId="752AD858" w14:textId="0216A74A" w:rsidR="00D5761D" w:rsidRPr="00632507" w:rsidRDefault="00D5761D" w:rsidP="0092105C">
      <w:pPr>
        <w:pStyle w:val="Heading3"/>
      </w:pPr>
      <w:r>
        <w:t>Differences in unit limits for 2024 and 2025</w:t>
      </w:r>
    </w:p>
    <w:p w14:paraId="07BA9CC9" w14:textId="3B03DC80" w:rsidR="00D5761D" w:rsidRDefault="00DC79CE" w:rsidP="00D5761D">
      <w:pPr>
        <w:pStyle w:val="NoSpacing"/>
        <w:rPr>
          <w:rStyle w:val="normaltextrun"/>
          <w:rFonts w:ascii="Calibri" w:hAnsi="Calibri" w:cs="Calibri"/>
          <w:szCs w:val="22"/>
        </w:rPr>
      </w:pPr>
      <w:r>
        <w:rPr>
          <w:rStyle w:val="normaltextrun"/>
          <w:rFonts w:ascii="Calibri" w:hAnsi="Calibri" w:cs="Calibri"/>
          <w:szCs w:val="22"/>
        </w:rPr>
        <w:t>In its 2023 advice the Commission considered that the settings for 2024 and 2025 could not be changed</w:t>
      </w:r>
      <w:r w:rsidR="007270D8">
        <w:rPr>
          <w:rStyle w:val="normaltextrun"/>
          <w:rFonts w:ascii="Calibri" w:hAnsi="Calibri" w:cs="Calibri"/>
          <w:szCs w:val="22"/>
        </w:rPr>
        <w:t xml:space="preserve"> because it considered </w:t>
      </w:r>
      <w:r w:rsidR="00190B05">
        <w:rPr>
          <w:rStyle w:val="normaltextrun"/>
          <w:rFonts w:ascii="Calibri" w:hAnsi="Calibri" w:cs="Calibri"/>
          <w:szCs w:val="22"/>
        </w:rPr>
        <w:t>that mandatory criteria under the Act were</w:t>
      </w:r>
      <w:r w:rsidR="009E28C9">
        <w:rPr>
          <w:rStyle w:val="normaltextrun"/>
          <w:rFonts w:ascii="Calibri" w:hAnsi="Calibri" w:cs="Calibri"/>
          <w:szCs w:val="22"/>
        </w:rPr>
        <w:t xml:space="preserve"> not</w:t>
      </w:r>
      <w:r w:rsidR="00190B05">
        <w:rPr>
          <w:rStyle w:val="normaltextrun"/>
          <w:rFonts w:ascii="Calibri" w:hAnsi="Calibri" w:cs="Calibri"/>
          <w:szCs w:val="22"/>
        </w:rPr>
        <w:t xml:space="preserve"> met</w:t>
      </w:r>
      <w:r>
        <w:rPr>
          <w:rStyle w:val="normaltextrun"/>
          <w:rFonts w:ascii="Calibri" w:hAnsi="Calibri" w:cs="Calibri"/>
          <w:szCs w:val="22"/>
        </w:rPr>
        <w:t>. The</w:t>
      </w:r>
      <w:r w:rsidR="00002C94">
        <w:rPr>
          <w:rStyle w:val="normaltextrun"/>
          <w:rFonts w:ascii="Calibri" w:hAnsi="Calibri" w:cs="Calibri"/>
          <w:szCs w:val="22"/>
        </w:rPr>
        <w:t xml:space="preserve"> Commission</w:t>
      </w:r>
      <w:r>
        <w:rPr>
          <w:rStyle w:val="normaltextrun"/>
          <w:rFonts w:ascii="Calibri" w:hAnsi="Calibri" w:cs="Calibri"/>
          <w:szCs w:val="22"/>
        </w:rPr>
        <w:t xml:space="preserve"> did provide an example of possible settings if </w:t>
      </w:r>
      <w:r w:rsidR="00185851">
        <w:rPr>
          <w:rStyle w:val="normaltextrun"/>
          <w:rFonts w:ascii="Calibri" w:hAnsi="Calibri" w:cs="Calibri"/>
          <w:szCs w:val="22"/>
        </w:rPr>
        <w:t>the Minister disagreed and determined the</w:t>
      </w:r>
      <w:r>
        <w:rPr>
          <w:rStyle w:val="normaltextrun"/>
          <w:rFonts w:ascii="Calibri" w:hAnsi="Calibri" w:cs="Calibri"/>
          <w:szCs w:val="22"/>
        </w:rPr>
        <w:t xml:space="preserve"> 2024 and 2025 settings could be changed</w:t>
      </w:r>
      <w:r w:rsidR="0056581F">
        <w:rPr>
          <w:rStyle w:val="normaltextrun"/>
          <w:rFonts w:ascii="Calibri" w:hAnsi="Calibri" w:cs="Calibri"/>
          <w:szCs w:val="22"/>
        </w:rPr>
        <w:t>. H</w:t>
      </w:r>
      <w:r w:rsidR="00692DB2">
        <w:rPr>
          <w:rStyle w:val="normaltextrun"/>
          <w:rFonts w:ascii="Calibri" w:hAnsi="Calibri" w:cs="Calibri"/>
          <w:szCs w:val="22"/>
        </w:rPr>
        <w:t xml:space="preserve">owever, </w:t>
      </w:r>
      <w:r w:rsidR="00185851">
        <w:rPr>
          <w:rStyle w:val="normaltextrun"/>
          <w:rFonts w:ascii="Calibri" w:hAnsi="Calibri" w:cs="Calibri"/>
          <w:szCs w:val="22"/>
        </w:rPr>
        <w:t>these examples</w:t>
      </w:r>
      <w:r w:rsidR="00692DB2">
        <w:rPr>
          <w:rStyle w:val="normaltextrun"/>
          <w:rFonts w:ascii="Calibri" w:hAnsi="Calibri" w:cs="Calibri"/>
          <w:szCs w:val="22"/>
        </w:rPr>
        <w:t xml:space="preserve"> assumed</w:t>
      </w:r>
      <w:r w:rsidR="002727CF">
        <w:rPr>
          <w:rStyle w:val="normaltextrun"/>
          <w:rFonts w:ascii="Calibri" w:hAnsi="Calibri" w:cs="Calibri"/>
          <w:szCs w:val="22"/>
        </w:rPr>
        <w:t xml:space="preserve"> the</w:t>
      </w:r>
      <w:r>
        <w:rPr>
          <w:rStyle w:val="normaltextrun"/>
          <w:rFonts w:ascii="Calibri" w:hAnsi="Calibri" w:cs="Calibri"/>
          <w:szCs w:val="22"/>
        </w:rPr>
        <w:t xml:space="preserve"> cost containment reserve would have been triggered and released in full, which has not occurred</w:t>
      </w:r>
      <w:r w:rsidR="00F45A64">
        <w:rPr>
          <w:rStyle w:val="normaltextrun"/>
          <w:rFonts w:ascii="Calibri" w:hAnsi="Calibri" w:cs="Calibri"/>
          <w:szCs w:val="22"/>
        </w:rPr>
        <w:t xml:space="preserve"> yet in 2023</w:t>
      </w:r>
      <w:r>
        <w:rPr>
          <w:rStyle w:val="normaltextrun"/>
          <w:rFonts w:ascii="Calibri" w:hAnsi="Calibri" w:cs="Calibri"/>
          <w:szCs w:val="22"/>
        </w:rPr>
        <w:t>.</w:t>
      </w:r>
    </w:p>
    <w:p w14:paraId="6323A714" w14:textId="11CB3999" w:rsidR="00DC79CE" w:rsidRDefault="00C57A41" w:rsidP="00D5761D">
      <w:pPr>
        <w:pStyle w:val="NoSpacing"/>
        <w:rPr>
          <w:rStyle w:val="normaltextrun"/>
          <w:rFonts w:ascii="Calibri" w:hAnsi="Calibri" w:cs="Calibri"/>
          <w:szCs w:val="22"/>
        </w:rPr>
      </w:pPr>
      <w:r>
        <w:rPr>
          <w:rStyle w:val="normaltextrun"/>
          <w:rFonts w:ascii="Calibri" w:hAnsi="Calibri" w:cs="Calibri"/>
          <w:szCs w:val="22"/>
        </w:rPr>
        <w:t xml:space="preserve">In the end, </w:t>
      </w:r>
      <w:r w:rsidR="009E1C87">
        <w:rPr>
          <w:rStyle w:val="normaltextrun"/>
          <w:rFonts w:ascii="Calibri" w:hAnsi="Calibri" w:cs="Calibri"/>
          <w:szCs w:val="22"/>
        </w:rPr>
        <w:t>t</w:t>
      </w:r>
      <w:r w:rsidR="00535F78">
        <w:rPr>
          <w:rStyle w:val="normaltextrun"/>
          <w:rFonts w:ascii="Calibri" w:hAnsi="Calibri" w:cs="Calibri"/>
          <w:szCs w:val="22"/>
        </w:rPr>
        <w:t xml:space="preserve">he </w:t>
      </w:r>
      <w:r w:rsidR="001B53D6" w:rsidRPr="00CA224B">
        <w:rPr>
          <w:rStyle w:val="normaltextrun"/>
          <w:rFonts w:ascii="Calibri" w:hAnsi="Calibri" w:cs="Calibri"/>
          <w:szCs w:val="22"/>
        </w:rPr>
        <w:t>High Court</w:t>
      </w:r>
      <w:r w:rsidR="00872A3D" w:rsidRPr="00CA224B">
        <w:rPr>
          <w:rStyle w:val="normaltextrun"/>
          <w:rFonts w:ascii="Calibri" w:hAnsi="Calibri" w:cs="Calibri"/>
          <w:szCs w:val="22"/>
        </w:rPr>
        <w:t xml:space="preserve"> </w:t>
      </w:r>
      <w:r w:rsidR="0073010E">
        <w:rPr>
          <w:rStyle w:val="normaltextrun"/>
          <w:rFonts w:ascii="Calibri" w:hAnsi="Calibri" w:cs="Calibri"/>
          <w:szCs w:val="22"/>
        </w:rPr>
        <w:t>directed</w:t>
      </w:r>
      <w:r w:rsidR="00872A3D" w:rsidRPr="00CA224B">
        <w:rPr>
          <w:rStyle w:val="normaltextrun"/>
          <w:rFonts w:ascii="Calibri" w:hAnsi="Calibri" w:cs="Calibri"/>
          <w:szCs w:val="22"/>
        </w:rPr>
        <w:t xml:space="preserve"> the NZ ETS unit settings for</w:t>
      </w:r>
      <w:r w:rsidR="001B53D6" w:rsidRPr="00CA224B">
        <w:rPr>
          <w:rStyle w:val="normaltextrun"/>
          <w:rFonts w:ascii="Calibri" w:hAnsi="Calibri" w:cs="Calibri"/>
          <w:szCs w:val="22"/>
        </w:rPr>
        <w:t xml:space="preserve"> </w:t>
      </w:r>
      <w:r w:rsidR="00DC79CE" w:rsidRPr="00CA224B">
        <w:rPr>
          <w:rStyle w:val="normaltextrun"/>
          <w:rFonts w:ascii="Calibri" w:hAnsi="Calibri" w:cs="Calibri"/>
          <w:szCs w:val="22"/>
        </w:rPr>
        <w:t>2024 and 2025</w:t>
      </w:r>
      <w:r w:rsidR="00B2582A" w:rsidRPr="00CA224B">
        <w:rPr>
          <w:rStyle w:val="normaltextrun"/>
          <w:rFonts w:ascii="Calibri" w:hAnsi="Calibri" w:cs="Calibri"/>
          <w:szCs w:val="22"/>
        </w:rPr>
        <w:t xml:space="preserve"> </w:t>
      </w:r>
      <w:r w:rsidR="00942158" w:rsidRPr="00CA224B">
        <w:rPr>
          <w:rStyle w:val="normaltextrun"/>
          <w:rFonts w:ascii="Calibri" w:hAnsi="Calibri" w:cs="Calibri"/>
          <w:szCs w:val="22"/>
        </w:rPr>
        <w:t xml:space="preserve">to be </w:t>
      </w:r>
      <w:r>
        <w:rPr>
          <w:rStyle w:val="normaltextrun"/>
          <w:rFonts w:ascii="Calibri" w:hAnsi="Calibri" w:cs="Calibri"/>
          <w:szCs w:val="22"/>
        </w:rPr>
        <w:t>reconsidered</w:t>
      </w:r>
      <w:r w:rsidR="00877ACD">
        <w:rPr>
          <w:rStyle w:val="normaltextrun"/>
          <w:rFonts w:ascii="Calibri" w:hAnsi="Calibri" w:cs="Calibri"/>
          <w:szCs w:val="22"/>
        </w:rPr>
        <w:t xml:space="preserve"> regardless</w:t>
      </w:r>
      <w:r w:rsidR="00E20453">
        <w:rPr>
          <w:rStyle w:val="normaltextrun"/>
          <w:rFonts w:ascii="Calibri" w:hAnsi="Calibri" w:cs="Calibri"/>
          <w:szCs w:val="22"/>
        </w:rPr>
        <w:t>, which the Minister did</w:t>
      </w:r>
      <w:r w:rsidR="00E94FE1">
        <w:rPr>
          <w:rStyle w:val="normaltextrun"/>
          <w:rFonts w:ascii="Calibri" w:hAnsi="Calibri" w:cs="Calibri"/>
          <w:szCs w:val="22"/>
        </w:rPr>
        <w:t xml:space="preserve">, </w:t>
      </w:r>
      <w:r w:rsidR="005604B6">
        <w:rPr>
          <w:rStyle w:val="normaltextrun"/>
          <w:rFonts w:ascii="Calibri" w:hAnsi="Calibri" w:cs="Calibri"/>
          <w:szCs w:val="22"/>
        </w:rPr>
        <w:t xml:space="preserve">ultimately </w:t>
      </w:r>
      <w:r w:rsidR="00E94FE1">
        <w:rPr>
          <w:rStyle w:val="normaltextrun"/>
          <w:rFonts w:ascii="Calibri" w:hAnsi="Calibri" w:cs="Calibri"/>
          <w:szCs w:val="22"/>
        </w:rPr>
        <w:t xml:space="preserve">adopting different settings to those </w:t>
      </w:r>
      <w:r w:rsidR="00F004D6">
        <w:rPr>
          <w:rStyle w:val="normaltextrun"/>
          <w:rFonts w:ascii="Calibri" w:hAnsi="Calibri" w:cs="Calibri"/>
          <w:szCs w:val="22"/>
        </w:rPr>
        <w:t>suggested</w:t>
      </w:r>
      <w:r w:rsidR="00E94FE1">
        <w:rPr>
          <w:rStyle w:val="normaltextrun"/>
          <w:rFonts w:ascii="Calibri" w:hAnsi="Calibri" w:cs="Calibri"/>
          <w:szCs w:val="22"/>
        </w:rPr>
        <w:t xml:space="preserve"> by the Commission in its </w:t>
      </w:r>
      <w:r w:rsidR="0024569E">
        <w:rPr>
          <w:rStyle w:val="normaltextrun"/>
          <w:rFonts w:ascii="Calibri" w:hAnsi="Calibri" w:cs="Calibri"/>
          <w:szCs w:val="22"/>
        </w:rPr>
        <w:t>‘</w:t>
      </w:r>
      <w:r w:rsidR="00E94FE1">
        <w:rPr>
          <w:rStyle w:val="normaltextrun"/>
          <w:rFonts w:ascii="Calibri" w:hAnsi="Calibri" w:cs="Calibri"/>
          <w:szCs w:val="22"/>
        </w:rPr>
        <w:t>exampl</w:t>
      </w:r>
      <w:r w:rsidR="0024569E">
        <w:rPr>
          <w:rStyle w:val="normaltextrun"/>
          <w:rFonts w:ascii="Calibri" w:hAnsi="Calibri" w:cs="Calibri"/>
          <w:szCs w:val="22"/>
        </w:rPr>
        <w:t>e’ settings</w:t>
      </w:r>
      <w:r w:rsidR="00942158" w:rsidRPr="00CA224B">
        <w:rPr>
          <w:rStyle w:val="normaltextrun"/>
          <w:rFonts w:ascii="Calibri" w:hAnsi="Calibri" w:cs="Calibri"/>
          <w:szCs w:val="22"/>
        </w:rPr>
        <w:t xml:space="preserve">. </w:t>
      </w:r>
      <w:r w:rsidR="00AB766A" w:rsidRPr="00CA224B">
        <w:rPr>
          <w:rStyle w:val="normaltextrun"/>
          <w:rFonts w:ascii="Calibri" w:hAnsi="Calibri" w:cs="Calibri"/>
          <w:szCs w:val="22"/>
        </w:rPr>
        <w:t>The total difference is a</w:t>
      </w:r>
      <w:r w:rsidR="00B458DD" w:rsidRPr="00CA224B">
        <w:rPr>
          <w:rStyle w:val="normaltextrun"/>
          <w:rFonts w:ascii="Calibri" w:hAnsi="Calibri" w:cs="Calibri"/>
          <w:szCs w:val="22"/>
        </w:rPr>
        <w:t xml:space="preserve"> decrease in auction volume of 2.9 million in 2024 and 2.7 million in 2025</w:t>
      </w:r>
      <w:r w:rsidR="00CA224B" w:rsidRPr="00CA224B">
        <w:rPr>
          <w:rStyle w:val="normaltextrun"/>
          <w:rFonts w:ascii="Calibri" w:hAnsi="Calibri" w:cs="Calibri"/>
          <w:szCs w:val="22"/>
        </w:rPr>
        <w:t xml:space="preserve"> </w:t>
      </w:r>
      <w:r w:rsidR="00AB766A" w:rsidRPr="00CA224B">
        <w:rPr>
          <w:rStyle w:val="normaltextrun"/>
          <w:rFonts w:ascii="Calibri" w:hAnsi="Calibri" w:cs="Calibri"/>
          <w:szCs w:val="22"/>
        </w:rPr>
        <w:t>compared with the Commission’s 202</w:t>
      </w:r>
      <w:r w:rsidR="00CA224B" w:rsidRPr="00CA224B">
        <w:rPr>
          <w:rStyle w:val="normaltextrun"/>
          <w:rFonts w:ascii="Calibri" w:hAnsi="Calibri" w:cs="Calibri"/>
          <w:szCs w:val="22"/>
        </w:rPr>
        <w:t>2</w:t>
      </w:r>
      <w:r w:rsidR="00AB766A" w:rsidRPr="00CA224B">
        <w:rPr>
          <w:rStyle w:val="normaltextrun"/>
          <w:rFonts w:ascii="Calibri" w:hAnsi="Calibri" w:cs="Calibri"/>
          <w:szCs w:val="22"/>
        </w:rPr>
        <w:t xml:space="preserve"> recommendations (see Table </w:t>
      </w:r>
      <w:r w:rsidR="00CA224B" w:rsidRPr="00CA224B">
        <w:rPr>
          <w:rStyle w:val="normaltextrun"/>
          <w:rFonts w:ascii="Calibri" w:hAnsi="Calibri" w:cs="Calibri"/>
          <w:szCs w:val="22"/>
        </w:rPr>
        <w:t>3</w:t>
      </w:r>
      <w:r w:rsidR="00AB766A" w:rsidRPr="00CA224B">
        <w:rPr>
          <w:rStyle w:val="normaltextrun"/>
          <w:rFonts w:ascii="Calibri" w:hAnsi="Calibri" w:cs="Calibri"/>
          <w:szCs w:val="22"/>
        </w:rPr>
        <w:t xml:space="preserve"> below). Th</w:t>
      </w:r>
      <w:r w:rsidR="00F97491">
        <w:rPr>
          <w:rStyle w:val="normaltextrun"/>
          <w:rFonts w:ascii="Calibri" w:hAnsi="Calibri" w:cs="Calibri"/>
          <w:szCs w:val="22"/>
        </w:rPr>
        <w:t xml:space="preserve">e </w:t>
      </w:r>
      <w:r w:rsidR="005B7494">
        <w:rPr>
          <w:rStyle w:val="normaltextrun"/>
          <w:rFonts w:ascii="Calibri" w:hAnsi="Calibri" w:cs="Calibri"/>
          <w:szCs w:val="22"/>
        </w:rPr>
        <w:t>differences are</w:t>
      </w:r>
      <w:r w:rsidR="00AB766A" w:rsidRPr="00CA224B">
        <w:rPr>
          <w:rStyle w:val="normaltextrun"/>
          <w:rFonts w:ascii="Calibri" w:hAnsi="Calibri" w:cs="Calibri"/>
          <w:szCs w:val="22"/>
        </w:rPr>
        <w:t xml:space="preserve"> </w:t>
      </w:r>
      <w:r w:rsidR="005B7494">
        <w:rPr>
          <w:rStyle w:val="normaltextrun"/>
          <w:rFonts w:ascii="Calibri" w:hAnsi="Calibri" w:cs="Calibri"/>
          <w:szCs w:val="22"/>
        </w:rPr>
        <w:t>due to</w:t>
      </w:r>
      <w:r w:rsidR="00AB7633">
        <w:rPr>
          <w:rStyle w:val="FootnoteReference"/>
          <w:rFonts w:cs="Calibri"/>
          <w:szCs w:val="22"/>
        </w:rPr>
        <w:footnoteReference w:id="7"/>
      </w:r>
      <w:r w:rsidR="00DC79CE" w:rsidRPr="00CA224B">
        <w:rPr>
          <w:rStyle w:val="normaltextrun"/>
          <w:rFonts w:ascii="Calibri" w:hAnsi="Calibri" w:cs="Calibri"/>
          <w:szCs w:val="22"/>
        </w:rPr>
        <w:t>:</w:t>
      </w:r>
      <w:r w:rsidR="00A254BA" w:rsidRPr="00CA224B">
        <w:rPr>
          <w:rStyle w:val="normaltextrun"/>
          <w:rFonts w:ascii="Calibri" w:hAnsi="Calibri" w:cs="Calibri"/>
          <w:szCs w:val="22"/>
        </w:rPr>
        <w:t xml:space="preserve"> </w:t>
      </w:r>
    </w:p>
    <w:p w14:paraId="3B0D431C" w14:textId="40C1D186" w:rsidR="00DC79CE" w:rsidRDefault="00DC79CE" w:rsidP="00DC79CE">
      <w:pPr>
        <w:pStyle w:val="NoSpacing"/>
        <w:numPr>
          <w:ilvl w:val="1"/>
          <w:numId w:val="6"/>
        </w:numPr>
        <w:rPr>
          <w:rStyle w:val="normaltextrun"/>
          <w:rFonts w:ascii="Calibri" w:hAnsi="Calibri" w:cs="Calibri"/>
          <w:szCs w:val="22"/>
        </w:rPr>
      </w:pPr>
      <w:r w:rsidRPr="00C7647F">
        <w:rPr>
          <w:rStyle w:val="normaltextrun"/>
          <w:rFonts w:ascii="Calibri" w:hAnsi="Calibri" w:cs="Calibri"/>
          <w:szCs w:val="22"/>
        </w:rPr>
        <w:lastRenderedPageBreak/>
        <w:t>updat</w:t>
      </w:r>
      <w:r w:rsidR="0058581C">
        <w:rPr>
          <w:rStyle w:val="normaltextrun"/>
          <w:rFonts w:ascii="Calibri" w:hAnsi="Calibri" w:cs="Calibri"/>
          <w:szCs w:val="22"/>
        </w:rPr>
        <w:t>ed</w:t>
      </w:r>
      <w:r>
        <w:rPr>
          <w:rStyle w:val="normaltextrun"/>
          <w:rFonts w:ascii="Calibri" w:hAnsi="Calibri" w:cs="Calibri"/>
          <w:szCs w:val="22"/>
        </w:rPr>
        <w:t xml:space="preserve"> </w:t>
      </w:r>
      <w:r w:rsidR="00C81DF5" w:rsidRPr="00C7647F">
        <w:rPr>
          <w:rStyle w:val="normaltextrun"/>
          <w:rFonts w:ascii="Calibri" w:hAnsi="Calibri" w:cs="Calibri"/>
          <w:szCs w:val="22"/>
        </w:rPr>
        <w:t xml:space="preserve">data regarding new forestry registrations, which impacts </w:t>
      </w:r>
      <w:r w:rsidRPr="00C7647F">
        <w:rPr>
          <w:rStyle w:val="normaltextrun"/>
          <w:rFonts w:ascii="Calibri" w:hAnsi="Calibri" w:cs="Calibri"/>
          <w:szCs w:val="22"/>
        </w:rPr>
        <w:t>how emissions budgets</w:t>
      </w:r>
      <w:r>
        <w:rPr>
          <w:rStyle w:val="normaltextrun"/>
          <w:rFonts w:ascii="Calibri" w:hAnsi="Calibri" w:cs="Calibri"/>
          <w:szCs w:val="22"/>
        </w:rPr>
        <w:t xml:space="preserve"> are allocated</w:t>
      </w:r>
      <w:r w:rsidRPr="00C7647F">
        <w:rPr>
          <w:rStyle w:val="normaltextrun"/>
          <w:rFonts w:ascii="Calibri" w:hAnsi="Calibri" w:cs="Calibri"/>
          <w:szCs w:val="22"/>
        </w:rPr>
        <w:t xml:space="preserve"> between NZ ETS and non-NZ ETS sectors</w:t>
      </w:r>
      <w:r>
        <w:rPr>
          <w:rStyle w:val="normaltextrun"/>
          <w:rFonts w:ascii="Calibri" w:hAnsi="Calibri" w:cs="Calibri"/>
          <w:szCs w:val="22"/>
        </w:rPr>
        <w:t xml:space="preserve"> (reducing auction volume by 1.7 million in 2024 and 1.6 million in 2025)</w:t>
      </w:r>
    </w:p>
    <w:p w14:paraId="2AE47562" w14:textId="224392D1" w:rsidR="00DC79CE" w:rsidRDefault="00A254BA">
      <w:pPr>
        <w:pStyle w:val="NoSpacing"/>
        <w:numPr>
          <w:ilvl w:val="1"/>
          <w:numId w:val="6"/>
        </w:numPr>
        <w:rPr>
          <w:rStyle w:val="normaltextrun"/>
          <w:rFonts w:ascii="Calibri" w:hAnsi="Calibri" w:cs="Calibri"/>
        </w:rPr>
      </w:pPr>
      <w:r w:rsidRPr="03F39E3A">
        <w:rPr>
          <w:rStyle w:val="normaltextrun"/>
          <w:rFonts w:ascii="Calibri" w:hAnsi="Calibri" w:cs="Calibri"/>
        </w:rPr>
        <w:t>technical adjustment</w:t>
      </w:r>
      <w:r w:rsidR="00A90E35" w:rsidRPr="03F39E3A">
        <w:rPr>
          <w:rStyle w:val="normaltextrun"/>
          <w:rFonts w:ascii="Calibri" w:hAnsi="Calibri" w:cs="Calibri"/>
        </w:rPr>
        <w:t>s</w:t>
      </w:r>
      <w:r w:rsidRPr="03F39E3A">
        <w:rPr>
          <w:rStyle w:val="normaltextrun"/>
          <w:rFonts w:ascii="Calibri" w:hAnsi="Calibri" w:cs="Calibri"/>
        </w:rPr>
        <w:t xml:space="preserve"> due to differences between </w:t>
      </w:r>
      <w:r w:rsidR="00804DCB" w:rsidRPr="03F39E3A">
        <w:rPr>
          <w:rStyle w:val="normaltextrun"/>
          <w:rFonts w:ascii="Calibri" w:hAnsi="Calibri" w:cs="Calibri"/>
        </w:rPr>
        <w:t>New Zealand’s G</w:t>
      </w:r>
      <w:r w:rsidRPr="03F39E3A">
        <w:rPr>
          <w:rStyle w:val="normaltextrun"/>
          <w:rFonts w:ascii="Calibri" w:hAnsi="Calibri" w:cs="Calibri"/>
        </w:rPr>
        <w:t xml:space="preserve">reenhouse </w:t>
      </w:r>
      <w:r w:rsidR="00804DCB" w:rsidRPr="03F39E3A">
        <w:rPr>
          <w:rStyle w:val="normaltextrun"/>
          <w:rFonts w:ascii="Calibri" w:hAnsi="Calibri" w:cs="Calibri"/>
        </w:rPr>
        <w:t>G</w:t>
      </w:r>
      <w:r w:rsidRPr="03F39E3A">
        <w:rPr>
          <w:rStyle w:val="normaltextrun"/>
          <w:rFonts w:ascii="Calibri" w:hAnsi="Calibri" w:cs="Calibri"/>
        </w:rPr>
        <w:t>as Inventory and emissions reported in the NZ ETS</w:t>
      </w:r>
      <w:r w:rsidR="00BD63D6" w:rsidRPr="03F39E3A">
        <w:rPr>
          <w:rStyle w:val="normaltextrun"/>
          <w:rFonts w:ascii="Calibri" w:hAnsi="Calibri" w:cs="Calibri"/>
        </w:rPr>
        <w:t>. T</w:t>
      </w:r>
      <w:r w:rsidR="000A54A1" w:rsidRPr="03F39E3A">
        <w:rPr>
          <w:rStyle w:val="normaltextrun"/>
          <w:rFonts w:ascii="Calibri" w:hAnsi="Calibri" w:cs="Calibri"/>
        </w:rPr>
        <w:t xml:space="preserve">hese </w:t>
      </w:r>
      <w:r w:rsidR="00BD63D6" w:rsidRPr="03F39E3A">
        <w:rPr>
          <w:rStyle w:val="normaltextrun"/>
          <w:rFonts w:ascii="Calibri" w:hAnsi="Calibri" w:cs="Calibri"/>
        </w:rPr>
        <w:t>relate to likely over-reporting of emissions in the Inventory</w:t>
      </w:r>
      <w:r w:rsidR="00E65757" w:rsidRPr="03F39E3A">
        <w:rPr>
          <w:rStyle w:val="normaltextrun"/>
          <w:rFonts w:ascii="Calibri" w:hAnsi="Calibri" w:cs="Calibri"/>
        </w:rPr>
        <w:t xml:space="preserve">, which mean that emissions budgets were likely set higher than they would have been if the Inventory had been adjusted </w:t>
      </w:r>
      <w:r w:rsidR="00CC42E4" w:rsidRPr="03F39E3A">
        <w:rPr>
          <w:rStyle w:val="normaltextrun"/>
          <w:rFonts w:ascii="Calibri" w:hAnsi="Calibri" w:cs="Calibri"/>
        </w:rPr>
        <w:t>earlier</w:t>
      </w:r>
      <w:r w:rsidRPr="03F39E3A">
        <w:rPr>
          <w:rStyle w:val="normaltextrun"/>
          <w:rFonts w:ascii="Calibri" w:hAnsi="Calibri" w:cs="Calibri"/>
        </w:rPr>
        <w:t xml:space="preserve"> (reducing auction volume by 1.4 million in 2024 and 1.3 million in 2025)</w:t>
      </w:r>
    </w:p>
    <w:p w14:paraId="21BB91D2" w14:textId="415AF2A8" w:rsidR="00A254BA" w:rsidRDefault="00A254BA">
      <w:pPr>
        <w:pStyle w:val="NoSpacing"/>
        <w:numPr>
          <w:ilvl w:val="1"/>
          <w:numId w:val="6"/>
        </w:numPr>
        <w:rPr>
          <w:rStyle w:val="normaltextrun"/>
          <w:rFonts w:ascii="Calibri" w:hAnsi="Calibri" w:cs="Calibri"/>
          <w:szCs w:val="22"/>
        </w:rPr>
      </w:pPr>
      <w:r>
        <w:rPr>
          <w:rStyle w:val="normaltextrun"/>
          <w:rFonts w:ascii="Calibri" w:hAnsi="Calibri" w:cs="Calibri"/>
          <w:szCs w:val="22"/>
        </w:rPr>
        <w:t>updat</w:t>
      </w:r>
      <w:r w:rsidR="0058581C">
        <w:rPr>
          <w:rStyle w:val="normaltextrun"/>
          <w:rFonts w:ascii="Calibri" w:hAnsi="Calibri" w:cs="Calibri"/>
          <w:szCs w:val="22"/>
        </w:rPr>
        <w:t>ed</w:t>
      </w:r>
      <w:r>
        <w:rPr>
          <w:rStyle w:val="normaltextrun"/>
          <w:rFonts w:ascii="Calibri" w:hAnsi="Calibri" w:cs="Calibri"/>
          <w:szCs w:val="22"/>
        </w:rPr>
        <w:t xml:space="preserve"> </w:t>
      </w:r>
      <w:r w:rsidR="00804DCB" w:rsidRPr="00C7647F">
        <w:rPr>
          <w:rStyle w:val="normaltextrun"/>
          <w:rFonts w:ascii="Calibri" w:hAnsi="Calibri" w:cs="Calibri"/>
          <w:szCs w:val="22"/>
        </w:rPr>
        <w:t>forecasts of</w:t>
      </w:r>
      <w:r>
        <w:rPr>
          <w:rStyle w:val="normaltextrun"/>
          <w:rFonts w:ascii="Calibri" w:hAnsi="Calibri" w:cs="Calibri"/>
          <w:szCs w:val="22"/>
        </w:rPr>
        <w:t xml:space="preserve"> industrial </w:t>
      </w:r>
      <w:r w:rsidR="00804DCB" w:rsidRPr="00C7647F">
        <w:rPr>
          <w:rStyle w:val="normaltextrun"/>
          <w:rFonts w:ascii="Calibri" w:hAnsi="Calibri" w:cs="Calibri"/>
          <w:szCs w:val="22"/>
        </w:rPr>
        <w:t xml:space="preserve">free </w:t>
      </w:r>
      <w:r>
        <w:rPr>
          <w:rStyle w:val="normaltextrun"/>
          <w:rFonts w:ascii="Calibri" w:hAnsi="Calibri" w:cs="Calibri"/>
          <w:szCs w:val="22"/>
        </w:rPr>
        <w:t>allocation (increasing auction volume by 0.2 million in 2024 and 2025)</w:t>
      </w:r>
    </w:p>
    <w:p w14:paraId="200384C3" w14:textId="530A5777" w:rsidR="009E2C86" w:rsidRPr="00C7647F" w:rsidRDefault="009E2C86" w:rsidP="009E2C86">
      <w:pPr>
        <w:pStyle w:val="Tableheading"/>
        <w:rPr>
          <w:rStyle w:val="normaltextrun"/>
          <w:rFonts w:ascii="Calibri" w:hAnsi="Calibri" w:cs="Calibri"/>
        </w:rPr>
      </w:pPr>
      <w:r>
        <w:rPr>
          <w:rStyle w:val="normaltextrun"/>
          <w:rFonts w:cs="Calibri"/>
        </w:rPr>
        <w:t>Table 2: unit limit differences for 2024-2025 between the Commission’s 202</w:t>
      </w:r>
      <w:r w:rsidR="00D72F13">
        <w:rPr>
          <w:rStyle w:val="normaltextrun"/>
          <w:rFonts w:cs="Calibri"/>
        </w:rPr>
        <w:t>3</w:t>
      </w:r>
      <w:r>
        <w:rPr>
          <w:rStyle w:val="normaltextrun"/>
          <w:rFonts w:cs="Calibri"/>
        </w:rPr>
        <w:t xml:space="preserve"> advice and those prescribed in </w:t>
      </w:r>
      <w:proofErr w:type="gramStart"/>
      <w:r>
        <w:rPr>
          <w:rStyle w:val="normaltextrun"/>
          <w:rFonts w:cs="Calibri"/>
        </w:rPr>
        <w:t>regulations</w:t>
      </w:r>
      <w:proofErr w:type="gramEnd"/>
    </w:p>
    <w:tbl>
      <w:tblPr>
        <w:tblStyle w:val="LightList-Accent11"/>
        <w:tblW w:w="0" w:type="auto"/>
        <w:tblLook w:val="04A0" w:firstRow="1" w:lastRow="0" w:firstColumn="1" w:lastColumn="0" w:noHBand="0" w:noVBand="1"/>
      </w:tblPr>
      <w:tblGrid>
        <w:gridCol w:w="4243"/>
        <w:gridCol w:w="2206"/>
        <w:gridCol w:w="2207"/>
      </w:tblGrid>
      <w:tr w:rsidR="00A254BA" w:rsidRPr="00C7647F" w14:paraId="733B870B" w14:textId="791D5C73" w:rsidTr="00023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15C4A5BD" w14:textId="77777777" w:rsidR="00A254BA" w:rsidRPr="00C7647F" w:rsidRDefault="00A254BA" w:rsidP="00804DCB">
            <w:pPr>
              <w:pStyle w:val="NoSpacing"/>
              <w:keepNext/>
              <w:numPr>
                <w:ilvl w:val="0"/>
                <w:numId w:val="0"/>
              </w:numPr>
              <w:rPr>
                <w:rFonts w:asciiTheme="minorHAnsi" w:hAnsiTheme="minorHAnsi" w:cstheme="minorHAnsi"/>
                <w:sz w:val="20"/>
              </w:rPr>
            </w:pPr>
            <w:r w:rsidRPr="00C7647F">
              <w:rPr>
                <w:rFonts w:asciiTheme="minorHAnsi" w:hAnsiTheme="minorHAnsi" w:cstheme="minorHAnsi"/>
                <w:sz w:val="20"/>
              </w:rPr>
              <w:t>Million units</w:t>
            </w:r>
          </w:p>
        </w:tc>
        <w:tc>
          <w:tcPr>
            <w:tcW w:w="2206" w:type="dxa"/>
            <w:vAlign w:val="center"/>
          </w:tcPr>
          <w:p w14:paraId="34170C31" w14:textId="6B03BD5A" w:rsidR="00A254BA" w:rsidRPr="00C7647F" w:rsidRDefault="00A254BA" w:rsidP="00023D0C">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2024</w:t>
            </w:r>
          </w:p>
        </w:tc>
        <w:tc>
          <w:tcPr>
            <w:tcW w:w="2207" w:type="dxa"/>
            <w:vAlign w:val="center"/>
          </w:tcPr>
          <w:p w14:paraId="76709505" w14:textId="577CFC04" w:rsidR="00A254BA" w:rsidRDefault="00A254BA" w:rsidP="00023D0C">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2025</w:t>
            </w:r>
          </w:p>
        </w:tc>
      </w:tr>
      <w:tr w:rsidR="00A254BA" w:rsidRPr="00C7647F" w14:paraId="68F54DB3" w14:textId="5811DAB9" w:rsidTr="0002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4DB8A9A1" w14:textId="77777777" w:rsidR="00A254BA" w:rsidRPr="00C7647F" w:rsidRDefault="00A254BA">
            <w:pPr>
              <w:pStyle w:val="NoSpacing"/>
              <w:numPr>
                <w:ilvl w:val="0"/>
                <w:numId w:val="0"/>
              </w:numPr>
              <w:rPr>
                <w:rFonts w:asciiTheme="minorHAnsi" w:hAnsiTheme="minorHAnsi" w:cstheme="minorHAnsi"/>
                <w:sz w:val="20"/>
              </w:rPr>
            </w:pPr>
            <w:r>
              <w:rPr>
                <w:rFonts w:asciiTheme="minorHAnsi" w:hAnsiTheme="minorHAnsi" w:cstheme="minorHAnsi"/>
                <w:sz w:val="20"/>
              </w:rPr>
              <w:t>Prescribed NZUs available by auction</w:t>
            </w:r>
          </w:p>
        </w:tc>
        <w:tc>
          <w:tcPr>
            <w:tcW w:w="2206" w:type="dxa"/>
            <w:vAlign w:val="center"/>
          </w:tcPr>
          <w:p w14:paraId="40507069" w14:textId="6317C16B" w:rsidR="00A254BA" w:rsidRPr="00C7647F" w:rsidRDefault="00A254BA"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21.8</w:t>
            </w:r>
          </w:p>
        </w:tc>
        <w:tc>
          <w:tcPr>
            <w:tcW w:w="2207" w:type="dxa"/>
            <w:vAlign w:val="center"/>
          </w:tcPr>
          <w:p w14:paraId="4000D96D" w14:textId="49E42701" w:rsidR="00A254BA" w:rsidRDefault="00A254BA"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19.7</w:t>
            </w:r>
          </w:p>
        </w:tc>
      </w:tr>
      <w:tr w:rsidR="00A254BA" w:rsidRPr="00C7647F" w14:paraId="540CBE68" w14:textId="7BA20BDA" w:rsidTr="00023D0C">
        <w:tc>
          <w:tcPr>
            <w:cnfStyle w:val="001000000000" w:firstRow="0" w:lastRow="0" w:firstColumn="1" w:lastColumn="0" w:oddVBand="0" w:evenVBand="0" w:oddHBand="0" w:evenHBand="0" w:firstRowFirstColumn="0" w:firstRowLastColumn="0" w:lastRowFirstColumn="0" w:lastRowLastColumn="0"/>
            <w:tcW w:w="4243" w:type="dxa"/>
          </w:tcPr>
          <w:p w14:paraId="25B2B8E6" w14:textId="3701F65E" w:rsidR="00A254BA" w:rsidRPr="00C7647F" w:rsidRDefault="00A254BA">
            <w:pPr>
              <w:pStyle w:val="NoSpacing"/>
              <w:numPr>
                <w:ilvl w:val="0"/>
                <w:numId w:val="0"/>
              </w:numPr>
              <w:rPr>
                <w:rFonts w:asciiTheme="minorHAnsi" w:hAnsiTheme="minorHAnsi" w:cstheme="minorHAnsi"/>
                <w:sz w:val="20"/>
              </w:rPr>
            </w:pPr>
            <w:r>
              <w:rPr>
                <w:rFonts w:asciiTheme="minorHAnsi" w:hAnsiTheme="minorHAnsi" w:cstheme="minorHAnsi"/>
                <w:sz w:val="20"/>
              </w:rPr>
              <w:t>2023 Commission advice</w:t>
            </w:r>
          </w:p>
        </w:tc>
        <w:tc>
          <w:tcPr>
            <w:tcW w:w="2206" w:type="dxa"/>
            <w:vAlign w:val="center"/>
          </w:tcPr>
          <w:p w14:paraId="546C2678" w14:textId="178EA366" w:rsidR="00A254BA" w:rsidRPr="00C7647F" w:rsidRDefault="00A254BA" w:rsidP="00023D0C">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24.8</w:t>
            </w:r>
          </w:p>
        </w:tc>
        <w:tc>
          <w:tcPr>
            <w:tcW w:w="2207" w:type="dxa"/>
            <w:vAlign w:val="center"/>
          </w:tcPr>
          <w:p w14:paraId="12ADA18F" w14:textId="168FBAD3" w:rsidR="00A254BA" w:rsidRDefault="00A254BA" w:rsidP="00023D0C">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22.5</w:t>
            </w:r>
          </w:p>
        </w:tc>
      </w:tr>
      <w:tr w:rsidR="00A254BA" w:rsidRPr="00C7647F" w14:paraId="65E8EDC3" w14:textId="2A1BAC10" w:rsidTr="0002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07F17C71" w14:textId="2491F166" w:rsidR="00A254BA" w:rsidRPr="00C7647F" w:rsidRDefault="00A254BA">
            <w:pPr>
              <w:pStyle w:val="NoSpacing"/>
              <w:numPr>
                <w:ilvl w:val="0"/>
                <w:numId w:val="0"/>
              </w:numPr>
              <w:rPr>
                <w:rFonts w:asciiTheme="minorHAnsi" w:hAnsiTheme="minorHAnsi" w:cstheme="minorHAnsi"/>
                <w:sz w:val="20"/>
              </w:rPr>
            </w:pPr>
            <w:r>
              <w:rPr>
                <w:rFonts w:asciiTheme="minorHAnsi" w:hAnsiTheme="minorHAnsi" w:cstheme="minorHAnsi"/>
                <w:sz w:val="20"/>
              </w:rPr>
              <w:t>Difference</w:t>
            </w:r>
          </w:p>
        </w:tc>
        <w:tc>
          <w:tcPr>
            <w:tcW w:w="2206" w:type="dxa"/>
            <w:vAlign w:val="center"/>
          </w:tcPr>
          <w:p w14:paraId="563FBAAA" w14:textId="7996A506" w:rsidR="00A254BA" w:rsidRPr="00C7647F" w:rsidRDefault="003D7E38"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t>
            </w:r>
            <w:r w:rsidR="00F13ADD">
              <w:rPr>
                <w:rFonts w:asciiTheme="minorHAnsi" w:hAnsiTheme="minorHAnsi" w:cstheme="minorHAnsi"/>
                <w:sz w:val="20"/>
              </w:rPr>
              <w:t>3.0</w:t>
            </w:r>
          </w:p>
        </w:tc>
        <w:tc>
          <w:tcPr>
            <w:tcW w:w="2207" w:type="dxa"/>
            <w:vAlign w:val="center"/>
          </w:tcPr>
          <w:p w14:paraId="02A4B5BC" w14:textId="2345DA15" w:rsidR="00A254BA" w:rsidRDefault="003D7E38"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t>
            </w:r>
            <w:r w:rsidR="00F13ADD">
              <w:rPr>
                <w:rFonts w:asciiTheme="minorHAnsi" w:hAnsiTheme="minorHAnsi" w:cstheme="minorHAnsi"/>
                <w:sz w:val="20"/>
              </w:rPr>
              <w:t>3.0</w:t>
            </w:r>
          </w:p>
        </w:tc>
      </w:tr>
    </w:tbl>
    <w:p w14:paraId="74352ACF" w14:textId="6C929059" w:rsidR="00D5761D" w:rsidRPr="00D5761D" w:rsidRDefault="00D5761D" w:rsidP="0092105C">
      <w:pPr>
        <w:pStyle w:val="Heading3"/>
        <w:rPr>
          <w:rStyle w:val="normaltextrun"/>
        </w:rPr>
      </w:pPr>
      <w:r w:rsidRPr="00D5761D">
        <w:rPr>
          <w:rStyle w:val="normaltextrun"/>
        </w:rPr>
        <w:t>Differences in unit limits for 2026-2028</w:t>
      </w:r>
    </w:p>
    <w:p w14:paraId="3FE615BF" w14:textId="5F29D715" w:rsidR="00E33229" w:rsidRDefault="00D5761D" w:rsidP="00735661">
      <w:pPr>
        <w:pStyle w:val="NoSpacing"/>
        <w:rPr>
          <w:rStyle w:val="normaltextrun"/>
          <w:rFonts w:ascii="Calibri" w:hAnsi="Calibri" w:cs="Calibri"/>
        </w:rPr>
      </w:pPr>
      <w:r w:rsidRPr="03F39E3A">
        <w:rPr>
          <w:rStyle w:val="normaltextrun"/>
          <w:rFonts w:ascii="Calibri" w:hAnsi="Calibri" w:cs="Calibri"/>
        </w:rPr>
        <w:t xml:space="preserve">The difference between the Commission’s </w:t>
      </w:r>
      <w:r w:rsidR="00950062" w:rsidRPr="03F39E3A">
        <w:rPr>
          <w:rStyle w:val="normaltextrun"/>
          <w:rFonts w:ascii="Calibri" w:hAnsi="Calibri" w:cs="Calibri"/>
        </w:rPr>
        <w:t xml:space="preserve">recommendations for 2026-2028 and those prescribed in regulations is due to the </w:t>
      </w:r>
      <w:r w:rsidR="00D72F13" w:rsidRPr="03F39E3A">
        <w:rPr>
          <w:rStyle w:val="normaltextrun"/>
          <w:rFonts w:ascii="Calibri" w:hAnsi="Calibri" w:cs="Calibri"/>
        </w:rPr>
        <w:t xml:space="preserve">need </w:t>
      </w:r>
      <w:r w:rsidR="00950062" w:rsidRPr="03F39E3A">
        <w:rPr>
          <w:rStyle w:val="normaltextrun"/>
          <w:rFonts w:ascii="Calibri" w:hAnsi="Calibri" w:cs="Calibri"/>
        </w:rPr>
        <w:t xml:space="preserve">to </w:t>
      </w:r>
      <w:r w:rsidR="00D72F13" w:rsidRPr="03F39E3A">
        <w:rPr>
          <w:rStyle w:val="normaltextrun"/>
          <w:rFonts w:ascii="Calibri" w:hAnsi="Calibri" w:cs="Calibri"/>
        </w:rPr>
        <w:t>reconsider</w:t>
      </w:r>
      <w:r w:rsidR="00950062" w:rsidRPr="03F39E3A">
        <w:rPr>
          <w:rStyle w:val="normaltextrun"/>
          <w:rFonts w:ascii="Calibri" w:hAnsi="Calibri" w:cs="Calibri"/>
        </w:rPr>
        <w:t xml:space="preserve"> the settings for 2023-2025</w:t>
      </w:r>
      <w:r w:rsidR="00D72F13" w:rsidRPr="03F39E3A">
        <w:rPr>
          <w:rStyle w:val="normaltextrun"/>
          <w:rFonts w:ascii="Calibri" w:hAnsi="Calibri" w:cs="Calibri"/>
        </w:rPr>
        <w:t xml:space="preserve"> as directed by the High Court</w:t>
      </w:r>
      <w:r w:rsidR="00950062" w:rsidRPr="03F39E3A">
        <w:rPr>
          <w:rStyle w:val="normaltextrun"/>
          <w:rFonts w:ascii="Calibri" w:hAnsi="Calibri" w:cs="Calibri"/>
        </w:rPr>
        <w:t>. It means that there is no</w:t>
      </w:r>
      <w:r w:rsidR="00AE721C" w:rsidRPr="03F39E3A">
        <w:rPr>
          <w:rStyle w:val="normaltextrun"/>
          <w:rFonts w:ascii="Calibri" w:hAnsi="Calibri" w:cs="Calibri"/>
        </w:rPr>
        <w:t xml:space="preserve"> longer a</w:t>
      </w:r>
      <w:r w:rsidR="00950062" w:rsidRPr="03F39E3A">
        <w:rPr>
          <w:rStyle w:val="normaltextrun"/>
          <w:rFonts w:ascii="Calibri" w:hAnsi="Calibri" w:cs="Calibri"/>
        </w:rPr>
        <w:t xml:space="preserve"> need to make a discrepancy </w:t>
      </w:r>
      <w:r w:rsidR="008B7392" w:rsidRPr="03F39E3A">
        <w:rPr>
          <w:rStyle w:val="normaltextrun"/>
          <w:rFonts w:ascii="Calibri" w:hAnsi="Calibri" w:cs="Calibri"/>
        </w:rPr>
        <w:t xml:space="preserve">adjustment to </w:t>
      </w:r>
      <w:r w:rsidR="00AE721C" w:rsidRPr="03F39E3A">
        <w:rPr>
          <w:rStyle w:val="normaltextrun"/>
          <w:rFonts w:ascii="Calibri" w:hAnsi="Calibri" w:cs="Calibri"/>
        </w:rPr>
        <w:t xml:space="preserve">adjust for the </w:t>
      </w:r>
      <w:r w:rsidR="00F810BF" w:rsidRPr="03F39E3A">
        <w:rPr>
          <w:rStyle w:val="normaltextrun"/>
          <w:rFonts w:ascii="Calibri" w:hAnsi="Calibri" w:cs="Calibri"/>
        </w:rPr>
        <w:t xml:space="preserve">updated free allocation projections, the allocation of the </w:t>
      </w:r>
      <w:r w:rsidR="001566C5" w:rsidRPr="03F39E3A">
        <w:rPr>
          <w:rStyle w:val="normaltextrun"/>
          <w:rFonts w:ascii="Calibri" w:hAnsi="Calibri" w:cs="Calibri"/>
        </w:rPr>
        <w:t>of emissions budgets between ETS and non-ETS sectors</w:t>
      </w:r>
      <w:r w:rsidR="00950062" w:rsidRPr="03F39E3A">
        <w:rPr>
          <w:rStyle w:val="normaltextrun"/>
          <w:rFonts w:ascii="Calibri" w:hAnsi="Calibri" w:cs="Calibri"/>
        </w:rPr>
        <w:t xml:space="preserve">, as </w:t>
      </w:r>
      <w:r w:rsidR="00563D47" w:rsidRPr="03F39E3A">
        <w:rPr>
          <w:rStyle w:val="normaltextrun"/>
          <w:rFonts w:ascii="Calibri" w:hAnsi="Calibri" w:cs="Calibri"/>
        </w:rPr>
        <w:t>all</w:t>
      </w:r>
      <w:r w:rsidR="00950062" w:rsidRPr="03F39E3A">
        <w:rPr>
          <w:rStyle w:val="normaltextrun"/>
          <w:rFonts w:ascii="Calibri" w:hAnsi="Calibri" w:cs="Calibri"/>
        </w:rPr>
        <w:t xml:space="preserve"> the</w:t>
      </w:r>
      <w:r w:rsidR="008B7392" w:rsidRPr="03F39E3A">
        <w:rPr>
          <w:rStyle w:val="normaltextrun"/>
          <w:rFonts w:ascii="Calibri" w:hAnsi="Calibri" w:cs="Calibri"/>
        </w:rPr>
        <w:t>se</w:t>
      </w:r>
      <w:r w:rsidR="00950062" w:rsidRPr="03F39E3A">
        <w:rPr>
          <w:rStyle w:val="normaltextrun"/>
          <w:rFonts w:ascii="Calibri" w:hAnsi="Calibri" w:cs="Calibri"/>
        </w:rPr>
        <w:t xml:space="preserve"> adjustments recommended </w:t>
      </w:r>
      <w:r w:rsidR="008B7392" w:rsidRPr="03F39E3A">
        <w:rPr>
          <w:rStyle w:val="normaltextrun"/>
          <w:rFonts w:ascii="Calibri" w:hAnsi="Calibri" w:cs="Calibri"/>
        </w:rPr>
        <w:t xml:space="preserve">by the Commission </w:t>
      </w:r>
      <w:r w:rsidR="00950062" w:rsidRPr="03F39E3A">
        <w:rPr>
          <w:rStyle w:val="normaltextrun"/>
          <w:rFonts w:ascii="Calibri" w:hAnsi="Calibri" w:cs="Calibri"/>
        </w:rPr>
        <w:t xml:space="preserve">have been </w:t>
      </w:r>
      <w:r w:rsidR="00E2191D" w:rsidRPr="03F39E3A">
        <w:rPr>
          <w:rStyle w:val="normaltextrun"/>
          <w:rFonts w:ascii="Calibri" w:hAnsi="Calibri" w:cs="Calibri"/>
        </w:rPr>
        <w:t>made</w:t>
      </w:r>
      <w:r w:rsidR="00950062" w:rsidRPr="03F39E3A">
        <w:rPr>
          <w:rStyle w:val="normaltextrun"/>
          <w:rFonts w:ascii="Calibri" w:hAnsi="Calibri" w:cs="Calibri"/>
        </w:rPr>
        <w:t xml:space="preserve">. </w:t>
      </w:r>
    </w:p>
    <w:p w14:paraId="39A1D3D6" w14:textId="5B07F775" w:rsidR="00BA00A5" w:rsidRPr="00735661" w:rsidRDefault="00E33229" w:rsidP="00735661">
      <w:pPr>
        <w:pStyle w:val="NoSpacing"/>
        <w:rPr>
          <w:rStyle w:val="normaltextrun"/>
          <w:rFonts w:ascii="Calibri" w:hAnsi="Calibri" w:cs="Calibri"/>
          <w:szCs w:val="22"/>
        </w:rPr>
      </w:pPr>
      <w:r>
        <w:rPr>
          <w:rStyle w:val="normaltextrun"/>
          <w:rFonts w:ascii="Calibri" w:hAnsi="Calibri" w:cs="Calibri"/>
          <w:szCs w:val="22"/>
        </w:rPr>
        <w:t>The Commission recommended a discrepancy adjustment that would have reduced the number of NZUs auctioned by</w:t>
      </w:r>
      <w:r w:rsidR="00BA00A5" w:rsidRPr="00735661">
        <w:rPr>
          <w:rStyle w:val="normaltextrun"/>
          <w:rFonts w:ascii="Calibri" w:hAnsi="Calibri" w:cs="Calibri"/>
          <w:szCs w:val="22"/>
        </w:rPr>
        <w:t xml:space="preserve"> </w:t>
      </w:r>
      <w:r w:rsidR="009C68D8" w:rsidRPr="00735661">
        <w:rPr>
          <w:rStyle w:val="normaltextrun"/>
          <w:rFonts w:ascii="Calibri" w:hAnsi="Calibri" w:cs="Calibri"/>
          <w:szCs w:val="22"/>
        </w:rPr>
        <w:t>2.2</w:t>
      </w:r>
      <w:r w:rsidR="00BA00A5" w:rsidRPr="00735661">
        <w:rPr>
          <w:rStyle w:val="normaltextrun"/>
          <w:rFonts w:ascii="Calibri" w:hAnsi="Calibri" w:cs="Calibri"/>
          <w:szCs w:val="22"/>
        </w:rPr>
        <w:t xml:space="preserve"> million in 202</w:t>
      </w:r>
      <w:r w:rsidR="009C68D8" w:rsidRPr="00735661">
        <w:rPr>
          <w:rStyle w:val="normaltextrun"/>
          <w:rFonts w:ascii="Calibri" w:hAnsi="Calibri" w:cs="Calibri"/>
          <w:szCs w:val="22"/>
        </w:rPr>
        <w:t>6,</w:t>
      </w:r>
      <w:r w:rsidR="00BA00A5" w:rsidRPr="00735661">
        <w:rPr>
          <w:rStyle w:val="normaltextrun"/>
          <w:rFonts w:ascii="Calibri" w:hAnsi="Calibri" w:cs="Calibri"/>
          <w:szCs w:val="22"/>
        </w:rPr>
        <w:t xml:space="preserve"> </w:t>
      </w:r>
      <w:r w:rsidR="009C68D8" w:rsidRPr="00735661">
        <w:rPr>
          <w:rStyle w:val="normaltextrun"/>
          <w:rFonts w:ascii="Calibri" w:hAnsi="Calibri" w:cs="Calibri"/>
          <w:szCs w:val="22"/>
        </w:rPr>
        <w:t>2.0</w:t>
      </w:r>
      <w:r w:rsidR="00BA00A5" w:rsidRPr="00735661">
        <w:rPr>
          <w:rStyle w:val="normaltextrun"/>
          <w:rFonts w:ascii="Calibri" w:hAnsi="Calibri" w:cs="Calibri"/>
          <w:szCs w:val="22"/>
        </w:rPr>
        <w:t xml:space="preserve"> million in 202</w:t>
      </w:r>
      <w:r w:rsidR="009C68D8" w:rsidRPr="00735661">
        <w:rPr>
          <w:rStyle w:val="normaltextrun"/>
          <w:rFonts w:ascii="Calibri" w:hAnsi="Calibri" w:cs="Calibri"/>
          <w:szCs w:val="22"/>
        </w:rPr>
        <w:t>7</w:t>
      </w:r>
      <w:r w:rsidR="00404E0A" w:rsidRPr="00735661">
        <w:rPr>
          <w:rStyle w:val="normaltextrun"/>
          <w:rFonts w:ascii="Calibri" w:hAnsi="Calibri" w:cs="Calibri"/>
          <w:szCs w:val="22"/>
        </w:rPr>
        <w:t xml:space="preserve"> and 1.7 </w:t>
      </w:r>
      <w:r w:rsidR="0012266B">
        <w:rPr>
          <w:rStyle w:val="normaltextrun"/>
          <w:rFonts w:ascii="Calibri" w:hAnsi="Calibri" w:cs="Calibri"/>
          <w:szCs w:val="22"/>
        </w:rPr>
        <w:t xml:space="preserve">million </w:t>
      </w:r>
      <w:r w:rsidR="00404E0A" w:rsidRPr="00735661">
        <w:rPr>
          <w:rStyle w:val="normaltextrun"/>
          <w:rFonts w:ascii="Calibri" w:hAnsi="Calibri" w:cs="Calibri"/>
          <w:szCs w:val="22"/>
        </w:rPr>
        <w:t>in 2028</w:t>
      </w:r>
      <w:r w:rsidR="0012266B">
        <w:rPr>
          <w:rStyle w:val="normaltextrun"/>
          <w:rFonts w:ascii="Calibri" w:hAnsi="Calibri" w:cs="Calibri"/>
          <w:szCs w:val="22"/>
        </w:rPr>
        <w:t>.</w:t>
      </w:r>
    </w:p>
    <w:p w14:paraId="2615A4F3" w14:textId="2C9EC568" w:rsidR="00023D0C" w:rsidRPr="00C7647F" w:rsidRDefault="00023D0C" w:rsidP="00023D0C">
      <w:pPr>
        <w:pStyle w:val="Tableheading"/>
        <w:rPr>
          <w:rStyle w:val="normaltextrun"/>
          <w:rFonts w:ascii="Calibri" w:hAnsi="Calibri" w:cs="Calibri"/>
        </w:rPr>
      </w:pPr>
      <w:r>
        <w:rPr>
          <w:rStyle w:val="normaltextrun"/>
          <w:rFonts w:cs="Calibri"/>
        </w:rPr>
        <w:t xml:space="preserve">Table 3: </w:t>
      </w:r>
      <w:r w:rsidR="00D9224D">
        <w:rPr>
          <w:rStyle w:val="normaltextrun"/>
          <w:rFonts w:cs="Calibri"/>
        </w:rPr>
        <w:t>D</w:t>
      </w:r>
      <w:r>
        <w:rPr>
          <w:rStyle w:val="normaltextrun"/>
          <w:rFonts w:cs="Calibri"/>
        </w:rPr>
        <w:t>ifferences</w:t>
      </w:r>
      <w:r w:rsidR="00D9224D">
        <w:rPr>
          <w:rStyle w:val="normaltextrun"/>
          <w:rFonts w:cs="Calibri"/>
        </w:rPr>
        <w:t xml:space="preserve"> </w:t>
      </w:r>
      <w:r w:rsidR="003E5E7D">
        <w:rPr>
          <w:rStyle w:val="normaltextrun"/>
          <w:rFonts w:cs="Calibri"/>
        </w:rPr>
        <w:t xml:space="preserve">in </w:t>
      </w:r>
      <w:r>
        <w:rPr>
          <w:rStyle w:val="normaltextrun"/>
          <w:rFonts w:cs="Calibri"/>
        </w:rPr>
        <w:t xml:space="preserve">unit </w:t>
      </w:r>
      <w:r w:rsidR="003E5E7D">
        <w:rPr>
          <w:rStyle w:val="normaltextrun"/>
          <w:rFonts w:cs="Calibri"/>
        </w:rPr>
        <w:t>limits</w:t>
      </w:r>
      <w:r>
        <w:rPr>
          <w:rStyle w:val="normaltextrun"/>
          <w:rFonts w:cs="Calibri"/>
        </w:rPr>
        <w:t xml:space="preserve"> for 2026-2028 between the Commission’s 2023 advice and those prescribed in </w:t>
      </w:r>
      <w:proofErr w:type="gramStart"/>
      <w:r>
        <w:rPr>
          <w:rStyle w:val="normaltextrun"/>
          <w:rFonts w:cs="Calibri"/>
        </w:rPr>
        <w:t>regulations</w:t>
      </w:r>
      <w:proofErr w:type="gramEnd"/>
    </w:p>
    <w:tbl>
      <w:tblPr>
        <w:tblStyle w:val="LightList-Accent11"/>
        <w:tblW w:w="0" w:type="auto"/>
        <w:tblLook w:val="04A0" w:firstRow="1" w:lastRow="0" w:firstColumn="1" w:lastColumn="0" w:noHBand="0" w:noVBand="1"/>
      </w:tblPr>
      <w:tblGrid>
        <w:gridCol w:w="3534"/>
        <w:gridCol w:w="1701"/>
        <w:gridCol w:w="1701"/>
        <w:gridCol w:w="1701"/>
      </w:tblGrid>
      <w:tr w:rsidR="00023D0C" w:rsidRPr="00C7647F" w14:paraId="588E572C" w14:textId="77777777" w:rsidTr="00023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2765C77C" w14:textId="77777777" w:rsidR="00023D0C" w:rsidRPr="00C7647F" w:rsidRDefault="00023D0C">
            <w:pPr>
              <w:pStyle w:val="NoSpacing"/>
              <w:numPr>
                <w:ilvl w:val="0"/>
                <w:numId w:val="0"/>
              </w:numPr>
              <w:rPr>
                <w:rFonts w:asciiTheme="minorHAnsi" w:hAnsiTheme="minorHAnsi" w:cstheme="minorHAnsi"/>
                <w:sz w:val="20"/>
              </w:rPr>
            </w:pPr>
            <w:r w:rsidRPr="00C7647F">
              <w:rPr>
                <w:rFonts w:asciiTheme="minorHAnsi" w:hAnsiTheme="minorHAnsi" w:cstheme="minorHAnsi"/>
                <w:sz w:val="20"/>
              </w:rPr>
              <w:t>Million units</w:t>
            </w:r>
          </w:p>
        </w:tc>
        <w:tc>
          <w:tcPr>
            <w:tcW w:w="1701" w:type="dxa"/>
            <w:vAlign w:val="center"/>
          </w:tcPr>
          <w:p w14:paraId="06A2A549" w14:textId="19171496" w:rsidR="00023D0C" w:rsidRPr="00C7647F" w:rsidRDefault="00023D0C" w:rsidP="00023D0C">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2026</w:t>
            </w:r>
          </w:p>
        </w:tc>
        <w:tc>
          <w:tcPr>
            <w:tcW w:w="1701" w:type="dxa"/>
            <w:vAlign w:val="center"/>
          </w:tcPr>
          <w:p w14:paraId="5D5E9BFD" w14:textId="2499642E" w:rsidR="00023D0C" w:rsidRDefault="00023D0C" w:rsidP="00023D0C">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2027</w:t>
            </w:r>
          </w:p>
        </w:tc>
        <w:tc>
          <w:tcPr>
            <w:tcW w:w="1701" w:type="dxa"/>
            <w:vAlign w:val="center"/>
          </w:tcPr>
          <w:p w14:paraId="28AB8EB4" w14:textId="7213F2F3" w:rsidR="00023D0C" w:rsidRDefault="00023D0C" w:rsidP="00023D0C">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2028</w:t>
            </w:r>
          </w:p>
        </w:tc>
      </w:tr>
      <w:tr w:rsidR="00023D0C" w:rsidRPr="00C7647F" w14:paraId="486434F0" w14:textId="77777777" w:rsidTr="0002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67B30D45" w14:textId="77777777" w:rsidR="00023D0C" w:rsidRPr="00C7647F" w:rsidRDefault="00023D0C">
            <w:pPr>
              <w:pStyle w:val="NoSpacing"/>
              <w:numPr>
                <w:ilvl w:val="0"/>
                <w:numId w:val="0"/>
              </w:numPr>
              <w:rPr>
                <w:rFonts w:asciiTheme="minorHAnsi" w:hAnsiTheme="minorHAnsi" w:cstheme="minorHAnsi"/>
                <w:sz w:val="20"/>
              </w:rPr>
            </w:pPr>
            <w:r>
              <w:rPr>
                <w:rFonts w:asciiTheme="minorHAnsi" w:hAnsiTheme="minorHAnsi" w:cstheme="minorHAnsi"/>
                <w:sz w:val="20"/>
              </w:rPr>
              <w:t>Prescribed NZUs available by auction</w:t>
            </w:r>
          </w:p>
        </w:tc>
        <w:tc>
          <w:tcPr>
            <w:tcW w:w="1701" w:type="dxa"/>
            <w:vAlign w:val="center"/>
          </w:tcPr>
          <w:p w14:paraId="5B110B8C" w14:textId="1C8BBA57" w:rsidR="00023D0C" w:rsidRPr="00C7647F" w:rsidRDefault="00735B75"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17.2</w:t>
            </w:r>
          </w:p>
        </w:tc>
        <w:tc>
          <w:tcPr>
            <w:tcW w:w="1701" w:type="dxa"/>
            <w:vAlign w:val="center"/>
          </w:tcPr>
          <w:p w14:paraId="27166A6C" w14:textId="3499510A" w:rsidR="00023D0C" w:rsidRDefault="00735B75"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15.0</w:t>
            </w:r>
          </w:p>
        </w:tc>
        <w:tc>
          <w:tcPr>
            <w:tcW w:w="1701" w:type="dxa"/>
            <w:vAlign w:val="center"/>
          </w:tcPr>
          <w:p w14:paraId="37F4E0E3" w14:textId="01B9F6CC" w:rsidR="00023D0C" w:rsidRDefault="00735B75"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12.3</w:t>
            </w:r>
          </w:p>
        </w:tc>
      </w:tr>
      <w:tr w:rsidR="00023D0C" w:rsidRPr="00C7647F" w14:paraId="13736542" w14:textId="77777777" w:rsidTr="00023D0C">
        <w:tc>
          <w:tcPr>
            <w:cnfStyle w:val="001000000000" w:firstRow="0" w:lastRow="0" w:firstColumn="1" w:lastColumn="0" w:oddVBand="0" w:evenVBand="0" w:oddHBand="0" w:evenHBand="0" w:firstRowFirstColumn="0" w:firstRowLastColumn="0" w:lastRowFirstColumn="0" w:lastRowLastColumn="0"/>
            <w:tcW w:w="3534" w:type="dxa"/>
          </w:tcPr>
          <w:p w14:paraId="474FB82C" w14:textId="77777777" w:rsidR="00023D0C" w:rsidRPr="00C7647F" w:rsidRDefault="00023D0C">
            <w:pPr>
              <w:pStyle w:val="NoSpacing"/>
              <w:numPr>
                <w:ilvl w:val="0"/>
                <w:numId w:val="0"/>
              </w:numPr>
              <w:rPr>
                <w:rFonts w:asciiTheme="minorHAnsi" w:hAnsiTheme="minorHAnsi" w:cstheme="minorHAnsi"/>
                <w:sz w:val="20"/>
              </w:rPr>
            </w:pPr>
            <w:r>
              <w:rPr>
                <w:rFonts w:asciiTheme="minorHAnsi" w:hAnsiTheme="minorHAnsi" w:cstheme="minorHAnsi"/>
                <w:sz w:val="20"/>
              </w:rPr>
              <w:t>2023 Commission advice</w:t>
            </w:r>
          </w:p>
        </w:tc>
        <w:tc>
          <w:tcPr>
            <w:tcW w:w="1701" w:type="dxa"/>
            <w:vAlign w:val="center"/>
          </w:tcPr>
          <w:p w14:paraId="585959C8" w14:textId="4709EB21" w:rsidR="00023D0C" w:rsidRPr="00C7647F" w:rsidRDefault="00674DD0" w:rsidP="00023D0C">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15.0</w:t>
            </w:r>
          </w:p>
        </w:tc>
        <w:tc>
          <w:tcPr>
            <w:tcW w:w="1701" w:type="dxa"/>
            <w:vAlign w:val="center"/>
          </w:tcPr>
          <w:p w14:paraId="429B6E8C" w14:textId="545C659C" w:rsidR="00023D0C" w:rsidRDefault="00674DD0" w:rsidP="00023D0C">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13.0</w:t>
            </w:r>
          </w:p>
        </w:tc>
        <w:tc>
          <w:tcPr>
            <w:tcW w:w="1701" w:type="dxa"/>
            <w:vAlign w:val="center"/>
          </w:tcPr>
          <w:p w14:paraId="76D639C6" w14:textId="6F6FAF68" w:rsidR="00023D0C" w:rsidRDefault="00674DD0" w:rsidP="00023D0C">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10.6</w:t>
            </w:r>
          </w:p>
        </w:tc>
      </w:tr>
      <w:tr w:rsidR="00023D0C" w:rsidRPr="00C7647F" w14:paraId="46022F28" w14:textId="77777777" w:rsidTr="0002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4D00400F" w14:textId="77777777" w:rsidR="00023D0C" w:rsidRPr="00C7647F" w:rsidRDefault="00023D0C">
            <w:pPr>
              <w:pStyle w:val="NoSpacing"/>
              <w:numPr>
                <w:ilvl w:val="0"/>
                <w:numId w:val="0"/>
              </w:numPr>
              <w:rPr>
                <w:rFonts w:asciiTheme="minorHAnsi" w:hAnsiTheme="minorHAnsi" w:cstheme="minorHAnsi"/>
                <w:sz w:val="20"/>
              </w:rPr>
            </w:pPr>
            <w:r>
              <w:rPr>
                <w:rFonts w:asciiTheme="minorHAnsi" w:hAnsiTheme="minorHAnsi" w:cstheme="minorHAnsi"/>
                <w:sz w:val="20"/>
              </w:rPr>
              <w:t>Difference</w:t>
            </w:r>
          </w:p>
        </w:tc>
        <w:tc>
          <w:tcPr>
            <w:tcW w:w="1701" w:type="dxa"/>
            <w:vAlign w:val="center"/>
          </w:tcPr>
          <w:p w14:paraId="1DA66A4D" w14:textId="1FE7FC3E" w:rsidR="00023D0C" w:rsidRPr="00C7647F" w:rsidRDefault="005F4698"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2.2</w:t>
            </w:r>
          </w:p>
        </w:tc>
        <w:tc>
          <w:tcPr>
            <w:tcW w:w="1701" w:type="dxa"/>
            <w:vAlign w:val="center"/>
          </w:tcPr>
          <w:p w14:paraId="1C80C84A" w14:textId="21C4A9C5" w:rsidR="00023D0C" w:rsidRDefault="005F4698"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w:t>
            </w:r>
          </w:p>
        </w:tc>
        <w:tc>
          <w:tcPr>
            <w:tcW w:w="1701" w:type="dxa"/>
            <w:vAlign w:val="center"/>
          </w:tcPr>
          <w:p w14:paraId="1448C033" w14:textId="10B1BCD7" w:rsidR="00023D0C" w:rsidRDefault="005F4698" w:rsidP="00023D0C">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1.7</w:t>
            </w:r>
          </w:p>
        </w:tc>
      </w:tr>
    </w:tbl>
    <w:p w14:paraId="655120F4" w14:textId="25B6AECD" w:rsidR="00950062" w:rsidRPr="00950062" w:rsidRDefault="00950062" w:rsidP="00950062">
      <w:pPr>
        <w:pStyle w:val="Heading2"/>
        <w:rPr>
          <w:rStyle w:val="normaltextrun"/>
        </w:rPr>
      </w:pPr>
      <w:r w:rsidRPr="00950062">
        <w:rPr>
          <w:rStyle w:val="normaltextrun"/>
        </w:rPr>
        <w:t>D</w:t>
      </w:r>
      <w:r>
        <w:rPr>
          <w:rStyle w:val="normaltextrun"/>
        </w:rPr>
        <w:t xml:space="preserve">ifferences in price control settings </w:t>
      </w:r>
    </w:p>
    <w:p w14:paraId="5BE045E9" w14:textId="60A19CEC" w:rsidR="00A9696A" w:rsidRDefault="00A9696A" w:rsidP="00950062">
      <w:pPr>
        <w:pStyle w:val="NoSpacing"/>
        <w:rPr>
          <w:rStyle w:val="normaltextrun"/>
          <w:rFonts w:ascii="Calibri" w:hAnsi="Calibri" w:cs="Calibri"/>
          <w:szCs w:val="22"/>
        </w:rPr>
      </w:pPr>
      <w:r>
        <w:rPr>
          <w:rStyle w:val="normaltextrun"/>
          <w:rFonts w:ascii="Calibri" w:hAnsi="Calibri" w:cs="Calibri"/>
          <w:szCs w:val="22"/>
        </w:rPr>
        <w:t>The NZ ETS price controls settings</w:t>
      </w:r>
      <w:r w:rsidR="006773DA">
        <w:rPr>
          <w:rStyle w:val="normaltextrun"/>
          <w:rFonts w:ascii="Calibri" w:hAnsi="Calibri" w:cs="Calibri"/>
          <w:szCs w:val="22"/>
        </w:rPr>
        <w:t>, like the unit limits,</w:t>
      </w:r>
      <w:r>
        <w:rPr>
          <w:rStyle w:val="normaltextrun"/>
          <w:rFonts w:ascii="Calibri" w:hAnsi="Calibri" w:cs="Calibri"/>
          <w:szCs w:val="22"/>
        </w:rPr>
        <w:t xml:space="preserve"> </w:t>
      </w:r>
      <w:r w:rsidR="00A26532">
        <w:rPr>
          <w:rStyle w:val="normaltextrun"/>
          <w:rFonts w:ascii="Calibri" w:hAnsi="Calibri" w:cs="Calibri"/>
          <w:szCs w:val="22"/>
        </w:rPr>
        <w:t xml:space="preserve">have been </w:t>
      </w:r>
      <w:r w:rsidR="006773DA">
        <w:rPr>
          <w:rStyle w:val="normaltextrun"/>
          <w:rFonts w:ascii="Calibri" w:hAnsi="Calibri" w:cs="Calibri"/>
          <w:szCs w:val="22"/>
        </w:rPr>
        <w:t>compared to the Commission’s 2022 and 2023 advice.</w:t>
      </w:r>
    </w:p>
    <w:p w14:paraId="53444AE4" w14:textId="70E9EF84" w:rsidR="00ED4882" w:rsidRDefault="00950062" w:rsidP="00950062">
      <w:pPr>
        <w:pStyle w:val="NoSpacing"/>
        <w:rPr>
          <w:rStyle w:val="normaltextrun"/>
          <w:rFonts w:ascii="Calibri" w:hAnsi="Calibri" w:cs="Calibri"/>
          <w:szCs w:val="22"/>
        </w:rPr>
      </w:pPr>
      <w:r w:rsidRPr="00950062">
        <w:rPr>
          <w:rStyle w:val="normaltextrun"/>
          <w:rFonts w:ascii="Calibri" w:hAnsi="Calibri" w:cs="Calibri"/>
          <w:szCs w:val="22"/>
        </w:rPr>
        <w:t xml:space="preserve">The difference between </w:t>
      </w:r>
      <w:r w:rsidR="00CA39D9" w:rsidRPr="00950062">
        <w:rPr>
          <w:rStyle w:val="normaltextrun"/>
          <w:rFonts w:ascii="Calibri" w:hAnsi="Calibri" w:cs="Calibri"/>
          <w:szCs w:val="22"/>
        </w:rPr>
        <w:t xml:space="preserve">price control settings </w:t>
      </w:r>
      <w:r w:rsidR="00CA39D9">
        <w:rPr>
          <w:rStyle w:val="normaltextrun"/>
          <w:rFonts w:ascii="Calibri" w:hAnsi="Calibri" w:cs="Calibri"/>
          <w:szCs w:val="22"/>
        </w:rPr>
        <w:t>recommend</w:t>
      </w:r>
      <w:r w:rsidR="00A26532">
        <w:rPr>
          <w:rStyle w:val="normaltextrun"/>
          <w:rFonts w:ascii="Calibri" w:hAnsi="Calibri" w:cs="Calibri"/>
          <w:szCs w:val="22"/>
        </w:rPr>
        <w:t>ed</w:t>
      </w:r>
      <w:r w:rsidR="00CA39D9">
        <w:rPr>
          <w:rStyle w:val="normaltextrun"/>
          <w:rFonts w:ascii="Calibri" w:hAnsi="Calibri" w:cs="Calibri"/>
          <w:szCs w:val="22"/>
        </w:rPr>
        <w:t xml:space="preserve"> by the </w:t>
      </w:r>
      <w:r w:rsidRPr="00950062">
        <w:rPr>
          <w:rStyle w:val="normaltextrun"/>
          <w:rFonts w:ascii="Calibri" w:hAnsi="Calibri" w:cs="Calibri"/>
          <w:szCs w:val="22"/>
        </w:rPr>
        <w:t>Commission</w:t>
      </w:r>
      <w:r w:rsidR="00CA39D9">
        <w:rPr>
          <w:rStyle w:val="normaltextrun"/>
          <w:rFonts w:ascii="Calibri" w:hAnsi="Calibri" w:cs="Calibri"/>
          <w:szCs w:val="22"/>
        </w:rPr>
        <w:t xml:space="preserve"> </w:t>
      </w:r>
      <w:r w:rsidRPr="00950062">
        <w:rPr>
          <w:rStyle w:val="normaltextrun"/>
          <w:rFonts w:ascii="Calibri" w:hAnsi="Calibri" w:cs="Calibri"/>
          <w:szCs w:val="22"/>
        </w:rPr>
        <w:t xml:space="preserve">and those prescribed in regulations </w:t>
      </w:r>
      <w:r w:rsidR="00CA39D9">
        <w:rPr>
          <w:rStyle w:val="normaltextrun"/>
          <w:rFonts w:ascii="Calibri" w:hAnsi="Calibri" w:cs="Calibri"/>
          <w:szCs w:val="22"/>
        </w:rPr>
        <w:t xml:space="preserve">are due to using the most recent </w:t>
      </w:r>
      <w:r w:rsidRPr="00950062">
        <w:rPr>
          <w:rStyle w:val="normaltextrun"/>
          <w:rFonts w:ascii="Calibri" w:hAnsi="Calibri" w:cs="Calibri"/>
          <w:szCs w:val="22"/>
        </w:rPr>
        <w:t>inflation</w:t>
      </w:r>
      <w:r w:rsidR="003E3BC7">
        <w:rPr>
          <w:rStyle w:val="normaltextrun"/>
          <w:rFonts w:ascii="Calibri" w:hAnsi="Calibri" w:cs="Calibri"/>
          <w:szCs w:val="22"/>
        </w:rPr>
        <w:t xml:space="preserve"> rates from Budget Economic </w:t>
      </w:r>
      <w:r w:rsidR="003E3BC7">
        <w:rPr>
          <w:rStyle w:val="normaltextrun"/>
          <w:rFonts w:ascii="Calibri" w:hAnsi="Calibri" w:cs="Calibri"/>
          <w:szCs w:val="22"/>
        </w:rPr>
        <w:lastRenderedPageBreak/>
        <w:t>and Fiscal Update 2023</w:t>
      </w:r>
      <w:r w:rsidRPr="00950062">
        <w:rPr>
          <w:rStyle w:val="normaltextrun"/>
          <w:rFonts w:ascii="Calibri" w:hAnsi="Calibri" w:cs="Calibri"/>
          <w:szCs w:val="22"/>
        </w:rPr>
        <w:t>.</w:t>
      </w:r>
      <w:r w:rsidR="000914E2">
        <w:rPr>
          <w:rStyle w:val="FootnoteReference"/>
          <w:rFonts w:cs="Calibri"/>
          <w:szCs w:val="22"/>
        </w:rPr>
        <w:footnoteReference w:id="8"/>
      </w:r>
      <w:r w:rsidRPr="00950062">
        <w:rPr>
          <w:rStyle w:val="normaltextrun"/>
          <w:rFonts w:ascii="Calibri" w:hAnsi="Calibri" w:cs="Calibri"/>
          <w:szCs w:val="22"/>
        </w:rPr>
        <w:t xml:space="preserve"> The Commission reco</w:t>
      </w:r>
      <w:r w:rsidR="000914E2">
        <w:rPr>
          <w:rStyle w:val="normaltextrun"/>
          <w:rFonts w:ascii="Calibri" w:hAnsi="Calibri" w:cs="Calibri"/>
          <w:szCs w:val="22"/>
        </w:rPr>
        <w:t>gnised that updated inflation rates would be released after it had provided advice and reco</w:t>
      </w:r>
      <w:r w:rsidRPr="00950062">
        <w:rPr>
          <w:rStyle w:val="normaltextrun"/>
          <w:rFonts w:ascii="Calibri" w:hAnsi="Calibri" w:cs="Calibri"/>
          <w:szCs w:val="22"/>
        </w:rPr>
        <w:t xml:space="preserve">mmended that the price control settings were recalculated </w:t>
      </w:r>
      <w:r w:rsidR="000914E2">
        <w:rPr>
          <w:rStyle w:val="normaltextrun"/>
          <w:rFonts w:ascii="Calibri" w:hAnsi="Calibri" w:cs="Calibri"/>
          <w:szCs w:val="22"/>
        </w:rPr>
        <w:t>with updated</w:t>
      </w:r>
      <w:r w:rsidRPr="00950062">
        <w:rPr>
          <w:rStyle w:val="normaltextrun"/>
          <w:rFonts w:ascii="Calibri" w:hAnsi="Calibri" w:cs="Calibri"/>
          <w:szCs w:val="22"/>
        </w:rPr>
        <w:t xml:space="preserve"> inflation rates</w:t>
      </w:r>
      <w:r w:rsidR="000914E2">
        <w:rPr>
          <w:rStyle w:val="normaltextrun"/>
          <w:rFonts w:ascii="Calibri" w:hAnsi="Calibri" w:cs="Calibri"/>
          <w:szCs w:val="22"/>
        </w:rPr>
        <w:t xml:space="preserve">. </w:t>
      </w:r>
    </w:p>
    <w:p w14:paraId="65064D05" w14:textId="1241263C" w:rsidR="000914E2" w:rsidRDefault="005E0755" w:rsidP="00950062">
      <w:pPr>
        <w:pStyle w:val="NoSpacing"/>
        <w:rPr>
          <w:rStyle w:val="normaltextrun"/>
          <w:rFonts w:ascii="Calibri" w:hAnsi="Calibri" w:cs="Calibri"/>
          <w:szCs w:val="22"/>
        </w:rPr>
      </w:pPr>
      <w:r>
        <w:rPr>
          <w:rStyle w:val="normaltextrun"/>
          <w:rFonts w:ascii="Calibri" w:hAnsi="Calibri" w:cs="Calibri"/>
          <w:szCs w:val="22"/>
        </w:rPr>
        <w:t xml:space="preserve">This </w:t>
      </w:r>
      <w:r w:rsidR="00151122">
        <w:rPr>
          <w:rStyle w:val="normaltextrun"/>
          <w:rFonts w:ascii="Calibri" w:hAnsi="Calibri" w:cs="Calibri"/>
          <w:szCs w:val="22"/>
        </w:rPr>
        <w:t>means</w:t>
      </w:r>
      <w:r w:rsidR="004718D5">
        <w:rPr>
          <w:rStyle w:val="normaltextrun"/>
          <w:rFonts w:ascii="Calibri" w:hAnsi="Calibri" w:cs="Calibri"/>
          <w:szCs w:val="22"/>
        </w:rPr>
        <w:t xml:space="preserve"> the prescribed price control settings for some years vary by</w:t>
      </w:r>
      <w:r w:rsidR="00D53F53">
        <w:rPr>
          <w:rStyle w:val="normaltextrun"/>
          <w:rFonts w:ascii="Calibri" w:hAnsi="Calibri" w:cs="Calibri"/>
          <w:szCs w:val="22"/>
        </w:rPr>
        <w:t xml:space="preserve"> $1</w:t>
      </w:r>
      <w:r w:rsidR="003E5E7D">
        <w:rPr>
          <w:rStyle w:val="normaltextrun"/>
          <w:rFonts w:ascii="Calibri" w:hAnsi="Calibri" w:cs="Calibri"/>
          <w:szCs w:val="22"/>
        </w:rPr>
        <w:t xml:space="preserve"> to </w:t>
      </w:r>
      <w:r w:rsidR="00D53F53">
        <w:rPr>
          <w:rStyle w:val="normaltextrun"/>
          <w:rFonts w:ascii="Calibri" w:hAnsi="Calibri" w:cs="Calibri"/>
          <w:szCs w:val="22"/>
        </w:rPr>
        <w:t>$2</w:t>
      </w:r>
      <w:r w:rsidR="003E5E7D">
        <w:rPr>
          <w:rStyle w:val="normaltextrun"/>
          <w:rFonts w:ascii="Calibri" w:hAnsi="Calibri" w:cs="Calibri"/>
          <w:szCs w:val="22"/>
        </w:rPr>
        <w:t xml:space="preserve"> </w:t>
      </w:r>
      <w:r w:rsidR="004718D5">
        <w:rPr>
          <w:rStyle w:val="normaltextrun"/>
          <w:rFonts w:ascii="Calibri" w:hAnsi="Calibri" w:cs="Calibri"/>
          <w:szCs w:val="22"/>
        </w:rPr>
        <w:t>from</w:t>
      </w:r>
      <w:r w:rsidR="000E67A5">
        <w:rPr>
          <w:rStyle w:val="normaltextrun"/>
          <w:rFonts w:ascii="Calibri" w:hAnsi="Calibri" w:cs="Calibri"/>
          <w:szCs w:val="22"/>
        </w:rPr>
        <w:t xml:space="preserve"> those in </w:t>
      </w:r>
      <w:r w:rsidR="00D53F53">
        <w:rPr>
          <w:rStyle w:val="normaltextrun"/>
          <w:rFonts w:ascii="Calibri" w:hAnsi="Calibri" w:cs="Calibri"/>
          <w:szCs w:val="22"/>
        </w:rPr>
        <w:t xml:space="preserve">the Commission’s 2022 and 2023 advice </w:t>
      </w:r>
      <w:r w:rsidR="000E67A5">
        <w:rPr>
          <w:rStyle w:val="normaltextrun"/>
          <w:rFonts w:ascii="Calibri" w:hAnsi="Calibri" w:cs="Calibri"/>
          <w:szCs w:val="22"/>
        </w:rPr>
        <w:t>(highlighted in table 4 below)</w:t>
      </w:r>
      <w:r w:rsidR="00520230">
        <w:rPr>
          <w:rStyle w:val="normaltextrun"/>
          <w:rFonts w:ascii="Calibri" w:hAnsi="Calibri" w:cs="Calibri"/>
          <w:szCs w:val="22"/>
        </w:rPr>
        <w:t>.</w:t>
      </w:r>
    </w:p>
    <w:p w14:paraId="612831DA" w14:textId="7B14D961" w:rsidR="00520230" w:rsidRPr="00520230" w:rsidRDefault="00520230" w:rsidP="00520230">
      <w:pPr>
        <w:pStyle w:val="Tableheading"/>
        <w:rPr>
          <w:rStyle w:val="normaltextrun"/>
        </w:rPr>
      </w:pPr>
      <w:r w:rsidRPr="00520230">
        <w:rPr>
          <w:rStyle w:val="normaltextrun"/>
        </w:rPr>
        <w:t xml:space="preserve">Table </w:t>
      </w:r>
      <w:r>
        <w:rPr>
          <w:rStyle w:val="normaltextrun"/>
        </w:rPr>
        <w:t>4</w:t>
      </w:r>
      <w:r w:rsidRPr="00520230">
        <w:rPr>
          <w:rStyle w:val="normaltextrun"/>
        </w:rPr>
        <w:t xml:space="preserve">: </w:t>
      </w:r>
      <w:r w:rsidR="00D9224D">
        <w:rPr>
          <w:rStyle w:val="normaltextrun"/>
        </w:rPr>
        <w:t>D</w:t>
      </w:r>
      <w:r w:rsidRPr="00520230">
        <w:rPr>
          <w:rStyle w:val="normaltextrun"/>
        </w:rPr>
        <w:t>ifferences</w:t>
      </w:r>
      <w:r w:rsidR="00D9224D">
        <w:rPr>
          <w:rStyle w:val="normaltextrun"/>
        </w:rPr>
        <w:t xml:space="preserve"> in price control settings</w:t>
      </w:r>
      <w:r w:rsidRPr="00520230">
        <w:rPr>
          <w:rStyle w:val="normaltextrun"/>
        </w:rPr>
        <w:t xml:space="preserve"> between the Commission’s advice and those prescribed in </w:t>
      </w:r>
      <w:proofErr w:type="gramStart"/>
      <w:r w:rsidRPr="00520230">
        <w:rPr>
          <w:rStyle w:val="normaltextrun"/>
        </w:rPr>
        <w:t>regulations</w:t>
      </w:r>
      <w:proofErr w:type="gramEnd"/>
    </w:p>
    <w:tbl>
      <w:tblPr>
        <w:tblStyle w:val="LightList-Accent11"/>
        <w:tblW w:w="0" w:type="auto"/>
        <w:tblLook w:val="04A0" w:firstRow="1" w:lastRow="0" w:firstColumn="1" w:lastColumn="0" w:noHBand="0" w:noVBand="1"/>
      </w:tblPr>
      <w:tblGrid>
        <w:gridCol w:w="1975"/>
        <w:gridCol w:w="709"/>
        <w:gridCol w:w="1053"/>
        <w:gridCol w:w="1054"/>
        <w:gridCol w:w="1054"/>
        <w:gridCol w:w="1053"/>
        <w:gridCol w:w="1054"/>
        <w:gridCol w:w="1054"/>
      </w:tblGrid>
      <w:tr w:rsidR="00A83409" w:rsidRPr="00C7647F" w14:paraId="23DCDD06" w14:textId="77777777" w:rsidTr="00F02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D299179" w14:textId="13B4E15A" w:rsidR="00A83409" w:rsidRPr="00C7647F" w:rsidRDefault="00A83409">
            <w:pPr>
              <w:pStyle w:val="NoSpacing"/>
              <w:numPr>
                <w:ilvl w:val="0"/>
                <w:numId w:val="0"/>
              </w:numPr>
              <w:rPr>
                <w:rFonts w:asciiTheme="minorHAnsi" w:hAnsiTheme="minorHAnsi" w:cstheme="minorHAnsi"/>
                <w:sz w:val="20"/>
              </w:rPr>
            </w:pPr>
          </w:p>
        </w:tc>
        <w:tc>
          <w:tcPr>
            <w:tcW w:w="709" w:type="dxa"/>
          </w:tcPr>
          <w:p w14:paraId="3B4F3B25" w14:textId="77777777" w:rsidR="00A83409" w:rsidRDefault="00A83409">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1053" w:type="dxa"/>
            <w:vAlign w:val="center"/>
          </w:tcPr>
          <w:p w14:paraId="699CD241" w14:textId="2A1A2577" w:rsidR="00A83409" w:rsidRDefault="00F8212E" w:rsidP="00E6241B">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2023</w:t>
            </w:r>
          </w:p>
        </w:tc>
        <w:tc>
          <w:tcPr>
            <w:tcW w:w="1054" w:type="dxa"/>
            <w:vAlign w:val="center"/>
          </w:tcPr>
          <w:p w14:paraId="403B0352" w14:textId="509CC1DA" w:rsidR="00A83409" w:rsidRDefault="00F8212E" w:rsidP="00E6241B">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2024</w:t>
            </w:r>
          </w:p>
        </w:tc>
        <w:tc>
          <w:tcPr>
            <w:tcW w:w="1054" w:type="dxa"/>
            <w:vAlign w:val="center"/>
          </w:tcPr>
          <w:p w14:paraId="0EC8920E" w14:textId="6708B43E" w:rsidR="00A83409" w:rsidRDefault="00F8212E" w:rsidP="00E6241B">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2025</w:t>
            </w:r>
          </w:p>
        </w:tc>
        <w:tc>
          <w:tcPr>
            <w:tcW w:w="1053" w:type="dxa"/>
            <w:vAlign w:val="center"/>
          </w:tcPr>
          <w:p w14:paraId="5EBE9EFB" w14:textId="034525D2" w:rsidR="00A83409" w:rsidRPr="00C7647F" w:rsidRDefault="00A83409" w:rsidP="00E6241B">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2026</w:t>
            </w:r>
          </w:p>
        </w:tc>
        <w:tc>
          <w:tcPr>
            <w:tcW w:w="1054" w:type="dxa"/>
            <w:vAlign w:val="center"/>
          </w:tcPr>
          <w:p w14:paraId="51E5DCB9" w14:textId="77777777" w:rsidR="00A83409" w:rsidRDefault="00A83409" w:rsidP="00E6241B">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2027</w:t>
            </w:r>
          </w:p>
        </w:tc>
        <w:tc>
          <w:tcPr>
            <w:tcW w:w="1054" w:type="dxa"/>
            <w:vAlign w:val="center"/>
          </w:tcPr>
          <w:p w14:paraId="7A51815E" w14:textId="77777777" w:rsidR="00A83409" w:rsidRDefault="00A83409" w:rsidP="00E6241B">
            <w:pPr>
              <w:pStyle w:val="NoSpacing"/>
              <w:numPr>
                <w:ilvl w:val="0"/>
                <w:numId w:val="0"/>
              </w:num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2028</w:t>
            </w:r>
          </w:p>
        </w:tc>
      </w:tr>
      <w:tr w:rsidR="00FF6331" w:rsidRPr="00C7647F" w14:paraId="54624C93" w14:textId="77777777" w:rsidTr="00F02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tcPr>
          <w:p w14:paraId="6B17FBFB" w14:textId="0B33337D" w:rsidR="00FF6331" w:rsidRPr="00C7647F" w:rsidRDefault="00FF6331" w:rsidP="00FF6331">
            <w:pPr>
              <w:pStyle w:val="NoSpacing"/>
              <w:numPr>
                <w:ilvl w:val="0"/>
                <w:numId w:val="0"/>
              </w:numPr>
              <w:jc w:val="left"/>
              <w:rPr>
                <w:rFonts w:asciiTheme="minorHAnsi" w:hAnsiTheme="minorHAnsi" w:cstheme="minorHAnsi"/>
                <w:sz w:val="20"/>
              </w:rPr>
            </w:pPr>
            <w:r>
              <w:rPr>
                <w:rFonts w:asciiTheme="minorHAnsi" w:hAnsiTheme="minorHAnsi" w:cstheme="minorHAnsi"/>
                <w:sz w:val="20"/>
              </w:rPr>
              <w:t>Cost containment reserve trigger price</w:t>
            </w:r>
          </w:p>
        </w:tc>
        <w:tc>
          <w:tcPr>
            <w:tcW w:w="709" w:type="dxa"/>
          </w:tcPr>
          <w:p w14:paraId="3D984D30" w14:textId="66157CC7" w:rsidR="00FF6331" w:rsidRPr="00CA39D9" w:rsidRDefault="00FF6331"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CA39D9">
              <w:rPr>
                <w:rFonts w:asciiTheme="minorHAnsi" w:hAnsiTheme="minorHAnsi" w:cstheme="minorHAnsi"/>
                <w:b/>
                <w:bCs/>
                <w:sz w:val="20"/>
              </w:rPr>
              <w:t>Tier 1</w:t>
            </w:r>
          </w:p>
        </w:tc>
        <w:tc>
          <w:tcPr>
            <w:tcW w:w="1053" w:type="dxa"/>
            <w:vAlign w:val="center"/>
          </w:tcPr>
          <w:p w14:paraId="16D5FF1C" w14:textId="24383B1C" w:rsidR="00FF6331" w:rsidRPr="00D53F53" w:rsidRDefault="00FF6331"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rPr>
            </w:pPr>
            <w:r w:rsidRPr="00D53F53">
              <w:rPr>
                <w:rFonts w:asciiTheme="minorHAnsi" w:hAnsiTheme="minorHAnsi" w:cstheme="minorHAnsi"/>
                <w:sz w:val="20"/>
                <w:highlight w:val="yellow"/>
              </w:rPr>
              <w:t xml:space="preserve"> $173 </w:t>
            </w:r>
          </w:p>
        </w:tc>
        <w:tc>
          <w:tcPr>
            <w:tcW w:w="1054" w:type="dxa"/>
            <w:vAlign w:val="center"/>
          </w:tcPr>
          <w:p w14:paraId="2AA89264" w14:textId="499862B3" w:rsidR="00FF6331" w:rsidRPr="00D53F53" w:rsidRDefault="00FF6331"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rPr>
            </w:pPr>
            <w:r w:rsidRPr="00D53F53">
              <w:rPr>
                <w:rFonts w:asciiTheme="minorHAnsi" w:hAnsiTheme="minorHAnsi" w:cstheme="minorHAnsi"/>
                <w:sz w:val="20"/>
                <w:highlight w:val="yellow"/>
              </w:rPr>
              <w:t xml:space="preserve"> $184</w:t>
            </w:r>
          </w:p>
        </w:tc>
        <w:tc>
          <w:tcPr>
            <w:tcW w:w="1054" w:type="dxa"/>
            <w:vAlign w:val="center"/>
          </w:tcPr>
          <w:p w14:paraId="0BA96394" w14:textId="724442F6" w:rsidR="00FF6331" w:rsidRPr="00D53F53" w:rsidRDefault="00FF6331"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rPr>
            </w:pPr>
            <w:r w:rsidRPr="00D53F53">
              <w:rPr>
                <w:rFonts w:asciiTheme="minorHAnsi" w:hAnsiTheme="minorHAnsi" w:cstheme="minorHAnsi"/>
                <w:sz w:val="20"/>
                <w:highlight w:val="yellow"/>
              </w:rPr>
              <w:t xml:space="preserve"> $194 </w:t>
            </w:r>
          </w:p>
        </w:tc>
        <w:tc>
          <w:tcPr>
            <w:tcW w:w="1053" w:type="dxa"/>
            <w:vAlign w:val="center"/>
          </w:tcPr>
          <w:p w14:paraId="122AACFE" w14:textId="0C54F70E" w:rsidR="00FF6331" w:rsidRPr="00C7647F" w:rsidRDefault="00FF6331"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$205 </w:t>
            </w:r>
          </w:p>
        </w:tc>
        <w:tc>
          <w:tcPr>
            <w:tcW w:w="1054" w:type="dxa"/>
            <w:vAlign w:val="center"/>
          </w:tcPr>
          <w:p w14:paraId="0A3B59D4" w14:textId="40F0339C" w:rsidR="00FF6331" w:rsidRDefault="00FF6331"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$215 </w:t>
            </w:r>
          </w:p>
        </w:tc>
        <w:tc>
          <w:tcPr>
            <w:tcW w:w="1054" w:type="dxa"/>
            <w:vAlign w:val="center"/>
          </w:tcPr>
          <w:p w14:paraId="21F1CD6B" w14:textId="1385E3A3" w:rsidR="00FF6331" w:rsidRDefault="00FF6331"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$226 </w:t>
            </w:r>
          </w:p>
        </w:tc>
      </w:tr>
      <w:tr w:rsidR="00FF6331" w:rsidRPr="00C7647F" w14:paraId="22C7B966" w14:textId="77777777" w:rsidTr="00F02081">
        <w:tc>
          <w:tcPr>
            <w:cnfStyle w:val="001000000000" w:firstRow="0" w:lastRow="0" w:firstColumn="1" w:lastColumn="0" w:oddVBand="0" w:evenVBand="0" w:oddHBand="0" w:evenHBand="0" w:firstRowFirstColumn="0" w:firstRowLastColumn="0" w:lastRowFirstColumn="0" w:lastRowLastColumn="0"/>
            <w:tcW w:w="1975" w:type="dxa"/>
            <w:vMerge/>
          </w:tcPr>
          <w:p w14:paraId="5A2080E9" w14:textId="3C431DB5" w:rsidR="00FF6331" w:rsidRPr="00C7647F" w:rsidRDefault="00FF6331" w:rsidP="00FF6331">
            <w:pPr>
              <w:pStyle w:val="NoSpacing"/>
              <w:numPr>
                <w:ilvl w:val="0"/>
                <w:numId w:val="0"/>
              </w:numPr>
              <w:rPr>
                <w:rFonts w:asciiTheme="minorHAnsi" w:hAnsiTheme="minorHAnsi" w:cstheme="minorHAnsi"/>
                <w:sz w:val="20"/>
              </w:rPr>
            </w:pPr>
          </w:p>
        </w:tc>
        <w:tc>
          <w:tcPr>
            <w:tcW w:w="709" w:type="dxa"/>
          </w:tcPr>
          <w:p w14:paraId="18540658" w14:textId="70E806C6" w:rsidR="00FF6331" w:rsidRPr="00CA39D9" w:rsidRDefault="00FF6331" w:rsidP="00FF6331">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rPr>
            </w:pPr>
            <w:r w:rsidRPr="00CA39D9">
              <w:rPr>
                <w:rFonts w:asciiTheme="minorHAnsi" w:hAnsiTheme="minorHAnsi" w:cstheme="minorHAnsi"/>
                <w:b/>
                <w:bCs/>
                <w:sz w:val="20"/>
              </w:rPr>
              <w:t>Tier 2</w:t>
            </w:r>
          </w:p>
        </w:tc>
        <w:tc>
          <w:tcPr>
            <w:tcW w:w="1053" w:type="dxa"/>
            <w:vAlign w:val="center"/>
          </w:tcPr>
          <w:p w14:paraId="6A841856" w14:textId="4605D008" w:rsidR="00FF6331" w:rsidRPr="00D53F53" w:rsidRDefault="00FF6331" w:rsidP="00FF6331">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rPr>
            </w:pPr>
            <w:r w:rsidRPr="00D53F53">
              <w:rPr>
                <w:rFonts w:asciiTheme="minorHAnsi" w:hAnsiTheme="minorHAnsi" w:cstheme="minorHAnsi"/>
                <w:sz w:val="20"/>
                <w:highlight w:val="yellow"/>
              </w:rPr>
              <w:t xml:space="preserve"> $216 </w:t>
            </w:r>
          </w:p>
        </w:tc>
        <w:tc>
          <w:tcPr>
            <w:tcW w:w="1054" w:type="dxa"/>
            <w:vAlign w:val="center"/>
          </w:tcPr>
          <w:p w14:paraId="68A68830" w14:textId="58544B6C" w:rsidR="00FF6331" w:rsidRPr="00D53F53" w:rsidRDefault="00FF6331" w:rsidP="00FF6331">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rPr>
            </w:pPr>
            <w:r w:rsidRPr="00D53F53">
              <w:rPr>
                <w:rFonts w:asciiTheme="minorHAnsi" w:hAnsiTheme="minorHAnsi" w:cstheme="minorHAnsi"/>
                <w:sz w:val="20"/>
                <w:highlight w:val="yellow"/>
              </w:rPr>
              <w:t xml:space="preserve"> $230 </w:t>
            </w:r>
          </w:p>
        </w:tc>
        <w:tc>
          <w:tcPr>
            <w:tcW w:w="1054" w:type="dxa"/>
            <w:vAlign w:val="center"/>
          </w:tcPr>
          <w:p w14:paraId="6AF42033" w14:textId="6EFA50B0" w:rsidR="00FF6331" w:rsidRPr="00D53F53" w:rsidRDefault="00FF6331" w:rsidP="00FF6331">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rPr>
            </w:pPr>
            <w:r w:rsidRPr="00D53F53">
              <w:rPr>
                <w:rFonts w:asciiTheme="minorHAnsi" w:hAnsiTheme="minorHAnsi" w:cstheme="minorHAnsi"/>
                <w:sz w:val="20"/>
                <w:highlight w:val="yellow"/>
              </w:rPr>
              <w:t xml:space="preserve"> $243 </w:t>
            </w:r>
          </w:p>
        </w:tc>
        <w:tc>
          <w:tcPr>
            <w:tcW w:w="1053" w:type="dxa"/>
            <w:vAlign w:val="center"/>
          </w:tcPr>
          <w:p w14:paraId="2BFE5EDC" w14:textId="2376CD88" w:rsidR="00FF6331" w:rsidRPr="00C7647F" w:rsidRDefault="00FF6331" w:rsidP="00FF6331">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$256 </w:t>
            </w:r>
          </w:p>
        </w:tc>
        <w:tc>
          <w:tcPr>
            <w:tcW w:w="1054" w:type="dxa"/>
            <w:vAlign w:val="center"/>
          </w:tcPr>
          <w:p w14:paraId="5889ED32" w14:textId="0F50C68A" w:rsidR="00FF6331" w:rsidRDefault="00FF6331" w:rsidP="00FF6331">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$269 </w:t>
            </w:r>
          </w:p>
        </w:tc>
        <w:tc>
          <w:tcPr>
            <w:tcW w:w="1054" w:type="dxa"/>
            <w:vAlign w:val="center"/>
          </w:tcPr>
          <w:p w14:paraId="3E5D77BF" w14:textId="0CE0BF10" w:rsidR="00FF6331" w:rsidRDefault="00FF6331" w:rsidP="00FF6331">
            <w:pPr>
              <w:pStyle w:val="NoSpacing"/>
              <w:numPr>
                <w:ilvl w:val="0"/>
                <w:numId w:val="0"/>
              </w:num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w:t>
            </w:r>
            <w:r w:rsidRPr="00A9696A">
              <w:rPr>
                <w:rFonts w:asciiTheme="minorHAnsi" w:hAnsiTheme="minorHAnsi" w:cstheme="minorHAnsi"/>
                <w:sz w:val="20"/>
                <w:highlight w:val="yellow"/>
              </w:rPr>
              <w:t>$283</w:t>
            </w:r>
            <w:r w:rsidRPr="00FF6331">
              <w:rPr>
                <w:rFonts w:asciiTheme="minorHAnsi" w:hAnsiTheme="minorHAnsi" w:cstheme="minorHAnsi"/>
                <w:sz w:val="20"/>
              </w:rPr>
              <w:t xml:space="preserve"> </w:t>
            </w:r>
          </w:p>
        </w:tc>
      </w:tr>
      <w:tr w:rsidR="00966567" w:rsidRPr="00C7647F" w14:paraId="75946F3E" w14:textId="77777777" w:rsidTr="00966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gridSpan w:val="2"/>
            <w:vAlign w:val="center"/>
          </w:tcPr>
          <w:p w14:paraId="48ABDEF0" w14:textId="7D3D2A37" w:rsidR="00966567" w:rsidRDefault="00966567" w:rsidP="00966567">
            <w:pPr>
              <w:pStyle w:val="NoSpacing"/>
              <w:numPr>
                <w:ilvl w:val="0"/>
                <w:numId w:val="0"/>
              </w:numPr>
              <w:jc w:val="left"/>
              <w:rPr>
                <w:rFonts w:asciiTheme="minorHAnsi" w:hAnsiTheme="minorHAnsi" w:cstheme="minorHAnsi"/>
                <w:sz w:val="20"/>
              </w:rPr>
            </w:pPr>
            <w:r>
              <w:rPr>
                <w:rFonts w:asciiTheme="minorHAnsi" w:hAnsiTheme="minorHAnsi" w:cstheme="minorHAnsi"/>
                <w:sz w:val="20"/>
              </w:rPr>
              <w:t>Auction reserve price</w:t>
            </w:r>
          </w:p>
        </w:tc>
        <w:tc>
          <w:tcPr>
            <w:tcW w:w="1053" w:type="dxa"/>
            <w:vAlign w:val="center"/>
          </w:tcPr>
          <w:p w14:paraId="04947618" w14:textId="41E1CDD5" w:rsidR="00966567" w:rsidRDefault="00966567"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$60 </w:t>
            </w:r>
          </w:p>
        </w:tc>
        <w:tc>
          <w:tcPr>
            <w:tcW w:w="1054" w:type="dxa"/>
            <w:vAlign w:val="center"/>
          </w:tcPr>
          <w:p w14:paraId="4E832ADE" w14:textId="40A23E21" w:rsidR="00966567" w:rsidRDefault="00966567"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$64 </w:t>
            </w:r>
          </w:p>
        </w:tc>
        <w:tc>
          <w:tcPr>
            <w:tcW w:w="1054" w:type="dxa"/>
            <w:vAlign w:val="center"/>
          </w:tcPr>
          <w:p w14:paraId="29DB800F" w14:textId="424E1515" w:rsidR="00966567" w:rsidRDefault="00966567"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$68 </w:t>
            </w:r>
          </w:p>
        </w:tc>
        <w:tc>
          <w:tcPr>
            <w:tcW w:w="1053" w:type="dxa"/>
            <w:vAlign w:val="center"/>
          </w:tcPr>
          <w:p w14:paraId="66F06ADE" w14:textId="1B2C4CA6" w:rsidR="00966567" w:rsidRPr="00C7647F" w:rsidRDefault="00966567"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$72 </w:t>
            </w:r>
          </w:p>
        </w:tc>
        <w:tc>
          <w:tcPr>
            <w:tcW w:w="1054" w:type="dxa"/>
            <w:vAlign w:val="center"/>
          </w:tcPr>
          <w:p w14:paraId="3040AEBA" w14:textId="1AE802B5" w:rsidR="00966567" w:rsidRDefault="00966567"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$75 </w:t>
            </w:r>
          </w:p>
        </w:tc>
        <w:tc>
          <w:tcPr>
            <w:tcW w:w="1054" w:type="dxa"/>
            <w:vAlign w:val="center"/>
          </w:tcPr>
          <w:p w14:paraId="3C7BD483" w14:textId="3F51FD4A" w:rsidR="00966567" w:rsidRDefault="00966567" w:rsidP="00FF6331">
            <w:pPr>
              <w:pStyle w:val="NoSpacing"/>
              <w:numPr>
                <w:ilvl w:val="0"/>
                <w:numId w:val="0"/>
              </w:num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F6331">
              <w:rPr>
                <w:rFonts w:asciiTheme="minorHAnsi" w:hAnsiTheme="minorHAnsi" w:cstheme="minorHAnsi"/>
                <w:sz w:val="20"/>
              </w:rPr>
              <w:t xml:space="preserve"> $79 </w:t>
            </w:r>
          </w:p>
        </w:tc>
      </w:tr>
    </w:tbl>
    <w:p w14:paraId="2C08AEA8" w14:textId="77777777" w:rsidR="0041157B" w:rsidRPr="00950062" w:rsidRDefault="0041157B" w:rsidP="0041157B">
      <w:pPr>
        <w:pStyle w:val="NoSpacing"/>
        <w:numPr>
          <w:ilvl w:val="0"/>
          <w:numId w:val="0"/>
        </w:numPr>
        <w:ind w:left="360" w:hanging="360"/>
        <w:rPr>
          <w:rStyle w:val="normaltextrun"/>
          <w:rFonts w:ascii="Calibri" w:hAnsi="Calibri" w:cs="Calibri"/>
          <w:szCs w:val="22"/>
        </w:rPr>
      </w:pPr>
    </w:p>
    <w:sectPr w:rsidR="0041157B" w:rsidRPr="00950062" w:rsidSect="00347B39">
      <w:headerReference w:type="even" r:id="rId12"/>
      <w:headerReference w:type="default" r:id="rId13"/>
      <w:footerReference w:type="even"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7A2C" w14:textId="77777777" w:rsidR="004F2471" w:rsidRDefault="004F2471" w:rsidP="00ED4882">
      <w:pPr>
        <w:spacing w:before="0" w:after="0" w:line="240" w:lineRule="auto"/>
      </w:pPr>
      <w:r>
        <w:separator/>
      </w:r>
    </w:p>
  </w:endnote>
  <w:endnote w:type="continuationSeparator" w:id="0">
    <w:p w14:paraId="1C89446E" w14:textId="77777777" w:rsidR="004F2471" w:rsidRDefault="004F2471" w:rsidP="00ED4882">
      <w:pPr>
        <w:spacing w:before="0" w:after="0" w:line="240" w:lineRule="auto"/>
      </w:pPr>
      <w:r>
        <w:continuationSeparator/>
      </w:r>
    </w:p>
  </w:endnote>
  <w:endnote w:type="continuationNotice" w:id="1">
    <w:p w14:paraId="460DB875" w14:textId="77777777" w:rsidR="004F2471" w:rsidRDefault="004F24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9D47" w14:textId="52CF976E" w:rsidR="00950062" w:rsidRDefault="00950062">
    <w:pPr>
      <w:pStyle w:val="Footer"/>
    </w:pPr>
    <w:r>
      <w:rPr>
        <w:noProof/>
      </w:rPr>
      <mc:AlternateContent>
        <mc:Choice Requires="wps">
          <w:drawing>
            <wp:anchor distT="0" distB="0" distL="0" distR="0" simplePos="0" relativeHeight="251658244" behindDoc="0" locked="0" layoutInCell="1" allowOverlap="1" wp14:anchorId="00F13D9E" wp14:editId="4145B334">
              <wp:simplePos x="635" y="635"/>
              <wp:positionH relativeFrom="page">
                <wp:align>center</wp:align>
              </wp:positionH>
              <wp:positionV relativeFrom="page">
                <wp:align>bottom</wp:align>
              </wp:positionV>
              <wp:extent cx="443865" cy="443865"/>
              <wp:effectExtent l="0" t="0" r="3810" b="0"/>
              <wp:wrapNone/>
              <wp:docPr id="5"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3F5BE" w14:textId="17274960" w:rsidR="00950062" w:rsidRPr="00950062" w:rsidRDefault="00950062" w:rsidP="00950062">
                          <w:pPr>
                            <w:spacing w:after="0"/>
                            <w:rPr>
                              <w:rFonts w:eastAsia="Calibri" w:cs="Calibri"/>
                              <w:noProof/>
                              <w:color w:val="000000"/>
                              <w:sz w:val="18"/>
                              <w:szCs w:val="18"/>
                            </w:rPr>
                          </w:pPr>
                          <w:r w:rsidRPr="00950062">
                            <w:rPr>
                              <w:rFonts w:eastAsia="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0F13D9E" id="_x0000_t202" coordsize="21600,21600" o:spt="202" path="m,l,21600r21600,l21600,xe">
              <v:stroke joinstyle="miter"/>
              <v:path gradientshapeok="t" o:connecttype="rect"/>
            </v:shapetype>
            <v:shape id="Text Box 5" o:spid="_x0000_s1028" type="#_x0000_t202" alt="[IN-CONFIDENCE]"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F3F5BE" w14:textId="17274960" w:rsidR="00950062" w:rsidRPr="00950062" w:rsidRDefault="00950062" w:rsidP="00950062">
                    <w:pPr>
                      <w:spacing w:after="0"/>
                      <w:rPr>
                        <w:rFonts w:eastAsia="Calibri" w:cs="Calibri"/>
                        <w:noProof/>
                        <w:color w:val="000000"/>
                        <w:sz w:val="18"/>
                        <w:szCs w:val="18"/>
                      </w:rPr>
                    </w:pPr>
                    <w:r w:rsidRPr="00950062">
                      <w:rPr>
                        <w:rFonts w:eastAsia="Calibri" w:cs="Calibri"/>
                        <w:noProof/>
                        <w:color w:val="000000"/>
                        <w:sz w:val="18"/>
                        <w:szCs w:val="18"/>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BFAD" w14:textId="2809A7EB" w:rsidR="00950062" w:rsidRDefault="00950062">
    <w:pPr>
      <w:pStyle w:val="Footer"/>
    </w:pPr>
    <w:r>
      <w:rPr>
        <w:noProof/>
      </w:rPr>
      <mc:AlternateContent>
        <mc:Choice Requires="wps">
          <w:drawing>
            <wp:anchor distT="0" distB="0" distL="0" distR="0" simplePos="0" relativeHeight="251658243" behindDoc="0" locked="0" layoutInCell="1" allowOverlap="1" wp14:anchorId="157BAC54" wp14:editId="039509B0">
              <wp:simplePos x="635" y="635"/>
              <wp:positionH relativeFrom="page">
                <wp:align>center</wp:align>
              </wp:positionH>
              <wp:positionV relativeFrom="page">
                <wp:align>bottom</wp:align>
              </wp:positionV>
              <wp:extent cx="443865" cy="443865"/>
              <wp:effectExtent l="0" t="0" r="3810" b="0"/>
              <wp:wrapNone/>
              <wp:docPr id="4"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1ADAB" w14:textId="27A0568F" w:rsidR="00950062" w:rsidRPr="00950062" w:rsidRDefault="00950062" w:rsidP="00950062">
                          <w:pPr>
                            <w:spacing w:after="0"/>
                            <w:rPr>
                              <w:rFonts w:eastAsia="Calibri" w:cs="Calibri"/>
                              <w:noProof/>
                              <w:color w:val="000000"/>
                              <w:sz w:val="18"/>
                              <w:szCs w:val="18"/>
                            </w:rPr>
                          </w:pPr>
                          <w:r w:rsidRPr="00950062">
                            <w:rPr>
                              <w:rFonts w:eastAsia="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57BAC54" id="_x0000_t202" coordsize="21600,21600" o:spt="202" path="m,l,21600r21600,l21600,xe">
              <v:stroke joinstyle="miter"/>
              <v:path gradientshapeok="t" o:connecttype="rect"/>
            </v:shapetype>
            <v:shape id="Text Box 4" o:spid="_x0000_s1031" type="#_x0000_t202" alt="[IN-CONFIDENC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9F1ADAB" w14:textId="27A0568F" w:rsidR="00950062" w:rsidRPr="00950062" w:rsidRDefault="00950062" w:rsidP="00950062">
                    <w:pPr>
                      <w:spacing w:after="0"/>
                      <w:rPr>
                        <w:rFonts w:eastAsia="Calibri" w:cs="Calibri"/>
                        <w:noProof/>
                        <w:color w:val="000000"/>
                        <w:sz w:val="18"/>
                        <w:szCs w:val="18"/>
                      </w:rPr>
                    </w:pPr>
                    <w:r w:rsidRPr="00950062">
                      <w:rPr>
                        <w:rFonts w:eastAsia="Calibri" w:cs="Calibri"/>
                        <w:noProof/>
                        <w:color w:val="000000"/>
                        <w:sz w:val="18"/>
                        <w:szCs w:val="18"/>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AF93" w14:textId="77777777" w:rsidR="004F2471" w:rsidRDefault="004F2471" w:rsidP="00ED4882">
      <w:pPr>
        <w:spacing w:before="0" w:after="0" w:line="240" w:lineRule="auto"/>
      </w:pPr>
      <w:r>
        <w:separator/>
      </w:r>
    </w:p>
  </w:footnote>
  <w:footnote w:type="continuationSeparator" w:id="0">
    <w:p w14:paraId="34C54DB4" w14:textId="77777777" w:rsidR="004F2471" w:rsidRDefault="004F2471" w:rsidP="00ED4882">
      <w:pPr>
        <w:spacing w:before="0" w:after="0" w:line="240" w:lineRule="auto"/>
      </w:pPr>
      <w:r>
        <w:continuationSeparator/>
      </w:r>
    </w:p>
  </w:footnote>
  <w:footnote w:type="continuationNotice" w:id="1">
    <w:p w14:paraId="6B7CBDCE" w14:textId="77777777" w:rsidR="004F2471" w:rsidRDefault="004F2471">
      <w:pPr>
        <w:spacing w:before="0" w:after="0" w:line="240" w:lineRule="auto"/>
      </w:pPr>
    </w:p>
  </w:footnote>
  <w:footnote w:id="2">
    <w:p w14:paraId="58A011B4" w14:textId="3F8BCBD2" w:rsidR="00455C9C" w:rsidRPr="00455C9C" w:rsidRDefault="00455C9C">
      <w:pPr>
        <w:pStyle w:val="FootnoteText"/>
        <w:rPr>
          <w:rFonts w:asciiTheme="minorHAnsi" w:hAnsiTheme="minorHAnsi" w:cstheme="minorHAnsi"/>
          <w:sz w:val="20"/>
          <w:szCs w:val="20"/>
        </w:rPr>
      </w:pPr>
      <w:r w:rsidRPr="00455C9C">
        <w:rPr>
          <w:rStyle w:val="FootnoteReference"/>
          <w:rFonts w:asciiTheme="minorHAnsi" w:hAnsiTheme="minorHAnsi" w:cstheme="minorHAnsi"/>
          <w:sz w:val="20"/>
          <w:szCs w:val="20"/>
        </w:rPr>
        <w:footnoteRef/>
      </w:r>
      <w:r w:rsidRPr="00455C9C">
        <w:rPr>
          <w:rFonts w:asciiTheme="minorHAnsi" w:hAnsiTheme="minorHAnsi" w:cstheme="minorHAnsi"/>
          <w:sz w:val="20"/>
          <w:szCs w:val="20"/>
        </w:rPr>
        <w:t xml:space="preserve"> </w:t>
      </w:r>
      <w:hyperlink r:id="rId1" w:history="1">
        <w:r w:rsidRPr="001A2F1E">
          <w:rPr>
            <w:rStyle w:val="Hyperlink"/>
          </w:rPr>
          <w:t xml:space="preserve">Climate Change (Auctions, Limits, and Price Controls for Units) Regulations 2020 (LI 2020/264) (as </w:t>
        </w:r>
        <w:proofErr w:type="gramStart"/>
        <w:r w:rsidRPr="001A2F1E">
          <w:rPr>
            <w:rStyle w:val="Hyperlink"/>
          </w:rPr>
          <w:t>at</w:t>
        </w:r>
        <w:proofErr w:type="gramEnd"/>
        <w:r w:rsidRPr="001A2F1E">
          <w:rPr>
            <w:rStyle w:val="Hyperlink"/>
          </w:rPr>
          <w:t xml:space="preserve"> 01 January 2023) Contents – New Zealand Legislation</w:t>
        </w:r>
      </w:hyperlink>
    </w:p>
  </w:footnote>
  <w:footnote w:id="3">
    <w:p w14:paraId="045D3D21" w14:textId="77777777" w:rsidR="00476D42" w:rsidRPr="00455C9C" w:rsidRDefault="00476D42" w:rsidP="00476D42">
      <w:pPr>
        <w:pStyle w:val="FootnoteText"/>
        <w:rPr>
          <w:rFonts w:asciiTheme="minorHAnsi" w:hAnsiTheme="minorHAnsi" w:cstheme="minorHAnsi"/>
          <w:sz w:val="20"/>
          <w:szCs w:val="20"/>
        </w:rPr>
      </w:pPr>
      <w:r w:rsidRPr="00455C9C">
        <w:rPr>
          <w:rStyle w:val="FootnoteReference"/>
          <w:rFonts w:asciiTheme="minorHAnsi" w:hAnsiTheme="minorHAnsi" w:cstheme="minorHAnsi"/>
          <w:sz w:val="20"/>
          <w:szCs w:val="20"/>
        </w:rPr>
        <w:footnoteRef/>
      </w:r>
      <w:r w:rsidRPr="00455C9C">
        <w:rPr>
          <w:rFonts w:asciiTheme="minorHAnsi" w:hAnsiTheme="minorHAnsi" w:cstheme="minorHAnsi"/>
          <w:sz w:val="20"/>
          <w:szCs w:val="20"/>
        </w:rPr>
        <w:t xml:space="preserve"> </w:t>
      </w:r>
      <w:hyperlink r:id="rId2" w:history="1">
        <w:r w:rsidRPr="001A2F1E">
          <w:rPr>
            <w:rStyle w:val="Hyperlink"/>
          </w:rPr>
          <w:t>2023-advice-on-NZ-ETS-unit-limit-and-price-control-settings.pdf (climatecommission.govt.nz)</w:t>
        </w:r>
      </w:hyperlink>
    </w:p>
  </w:footnote>
  <w:footnote w:id="4">
    <w:p w14:paraId="16131057" w14:textId="77777777" w:rsidR="00750413" w:rsidRDefault="00750413" w:rsidP="00750413">
      <w:pPr>
        <w:pStyle w:val="FootnoteText"/>
      </w:pPr>
      <w:r w:rsidRPr="00455C9C">
        <w:rPr>
          <w:rStyle w:val="FootnoteReference"/>
          <w:rFonts w:asciiTheme="minorHAnsi" w:hAnsiTheme="minorHAnsi" w:cstheme="minorHAnsi"/>
          <w:sz w:val="20"/>
          <w:szCs w:val="20"/>
        </w:rPr>
        <w:footnoteRef/>
      </w:r>
      <w:r w:rsidRPr="00455C9C">
        <w:rPr>
          <w:rFonts w:asciiTheme="minorHAnsi" w:hAnsiTheme="minorHAnsi" w:cstheme="minorHAnsi"/>
          <w:sz w:val="20"/>
          <w:szCs w:val="20"/>
        </w:rPr>
        <w:t xml:space="preserve"> </w:t>
      </w:r>
      <w:r w:rsidRPr="00455C9C">
        <w:rPr>
          <w:rStyle w:val="normaltextrun"/>
          <w:rFonts w:asciiTheme="minorHAnsi" w:hAnsiTheme="minorHAnsi" w:cstheme="minorHAnsi"/>
          <w:color w:val="000000"/>
          <w:sz w:val="20"/>
          <w:szCs w:val="20"/>
          <w:shd w:val="clear" w:color="auto" w:fill="FFFFFF"/>
        </w:rPr>
        <w:t>Lawyers for Climate Action NZ Incorporated v Minister of Climate Change [</w:t>
      </w:r>
      <w:r w:rsidRPr="00455C9C">
        <w:rPr>
          <w:rStyle w:val="findhit"/>
          <w:rFonts w:asciiTheme="minorHAnsi" w:hAnsiTheme="minorHAnsi" w:cstheme="minorHAnsi"/>
          <w:color w:val="000000"/>
          <w:sz w:val="20"/>
          <w:szCs w:val="20"/>
          <w:shd w:val="clear" w:color="auto" w:fill="FFFFFF"/>
        </w:rPr>
        <w:t>2023</w:t>
      </w:r>
      <w:r w:rsidRPr="00455C9C">
        <w:rPr>
          <w:rStyle w:val="normaltextrun"/>
          <w:rFonts w:asciiTheme="minorHAnsi" w:hAnsiTheme="minorHAnsi" w:cstheme="minorHAnsi"/>
          <w:color w:val="000000"/>
          <w:sz w:val="20"/>
          <w:szCs w:val="20"/>
          <w:shd w:val="clear" w:color="auto" w:fill="FFFFFF"/>
        </w:rPr>
        <w:t>] NZHC 1835</w:t>
      </w:r>
      <w:r>
        <w:rPr>
          <w:rStyle w:val="eop"/>
          <w:rFonts w:ascii="Arial" w:hAnsi="Arial" w:cs="Arial"/>
          <w:color w:val="000000"/>
          <w:sz w:val="20"/>
          <w:szCs w:val="20"/>
          <w:shd w:val="clear" w:color="auto" w:fill="FFFFFF"/>
        </w:rPr>
        <w:t> </w:t>
      </w:r>
    </w:p>
  </w:footnote>
  <w:footnote w:id="5">
    <w:p w14:paraId="4AF6210C" w14:textId="7AAECA71" w:rsidR="00FC2C27" w:rsidRPr="001A2F1E" w:rsidRDefault="00FC2C27">
      <w:pPr>
        <w:pStyle w:val="FootnoteText"/>
        <w:rPr>
          <w:rStyle w:val="Hyperlink"/>
        </w:rPr>
      </w:pPr>
      <w:r w:rsidRPr="00455C9C">
        <w:rPr>
          <w:rStyle w:val="FootnoteReference"/>
          <w:sz w:val="20"/>
          <w:szCs w:val="20"/>
        </w:rPr>
        <w:footnoteRef/>
      </w:r>
      <w:r w:rsidRPr="00455C9C">
        <w:rPr>
          <w:sz w:val="20"/>
          <w:szCs w:val="20"/>
        </w:rPr>
        <w:t xml:space="preserve"> </w:t>
      </w:r>
      <w:hyperlink r:id="rId3" w:history="1">
        <w:r w:rsidRPr="001A2F1E">
          <w:rPr>
            <w:rStyle w:val="Hyperlink"/>
          </w:rPr>
          <w:t>NZ ETS settings for 2023-2027 (climatecommission.govt.nz)</w:t>
        </w:r>
      </w:hyperlink>
    </w:p>
  </w:footnote>
  <w:footnote w:id="6">
    <w:p w14:paraId="3C138EED" w14:textId="12FC0B93" w:rsidR="00A66274" w:rsidRPr="00455C9C" w:rsidRDefault="00A66274" w:rsidP="00A66274">
      <w:pPr>
        <w:pStyle w:val="FootnoteText"/>
        <w:rPr>
          <w:sz w:val="20"/>
          <w:szCs w:val="20"/>
        </w:rPr>
      </w:pPr>
      <w:r w:rsidRPr="00455C9C">
        <w:rPr>
          <w:rStyle w:val="FootnoteReference"/>
          <w:sz w:val="20"/>
          <w:szCs w:val="20"/>
        </w:rPr>
        <w:footnoteRef/>
      </w:r>
      <w:r w:rsidRPr="00455C9C">
        <w:rPr>
          <w:sz w:val="20"/>
          <w:szCs w:val="20"/>
        </w:rPr>
        <w:t xml:space="preserve"> </w:t>
      </w:r>
      <w:r w:rsidR="00EE40C1" w:rsidRPr="00455C9C">
        <w:rPr>
          <w:sz w:val="20"/>
          <w:szCs w:val="20"/>
        </w:rPr>
        <w:t xml:space="preserve">This is </w:t>
      </w:r>
      <w:r w:rsidR="009926C1" w:rsidRPr="00455C9C">
        <w:rPr>
          <w:sz w:val="20"/>
          <w:szCs w:val="20"/>
        </w:rPr>
        <w:t>calculated using the</w:t>
      </w:r>
      <w:r w:rsidR="00EE40C1" w:rsidRPr="00455C9C">
        <w:rPr>
          <w:sz w:val="20"/>
          <w:szCs w:val="20"/>
        </w:rPr>
        <w:t xml:space="preserve"> Commission’s 2022 workbook</w:t>
      </w:r>
      <w:r w:rsidR="009926C1" w:rsidRPr="00455C9C">
        <w:rPr>
          <w:sz w:val="20"/>
          <w:szCs w:val="20"/>
        </w:rPr>
        <w:t xml:space="preserve"> </w:t>
      </w:r>
      <w:hyperlink r:id="rId4" w:history="1">
        <w:r w:rsidR="009926C1" w:rsidRPr="001A2F1E">
          <w:rPr>
            <w:rStyle w:val="Hyperlink"/>
          </w:rPr>
          <w:t>Technical-annex-1-Unit-limit-settings-workbook.xlsx (live.com)</w:t>
        </w:r>
      </w:hyperlink>
    </w:p>
  </w:footnote>
  <w:footnote w:id="7">
    <w:p w14:paraId="6339556B" w14:textId="5380A44C" w:rsidR="00AB7633" w:rsidRDefault="00AB7633">
      <w:pPr>
        <w:pStyle w:val="FootnoteText"/>
      </w:pPr>
      <w:r w:rsidRPr="00455C9C">
        <w:rPr>
          <w:rStyle w:val="FootnoteReference"/>
          <w:sz w:val="20"/>
          <w:szCs w:val="20"/>
        </w:rPr>
        <w:footnoteRef/>
      </w:r>
      <w:r w:rsidRPr="00455C9C">
        <w:rPr>
          <w:sz w:val="20"/>
          <w:szCs w:val="20"/>
        </w:rPr>
        <w:t xml:space="preserve"> The figures used in paragraph 15 have been rounded</w:t>
      </w:r>
      <w:r w:rsidR="00544594" w:rsidRPr="00455C9C">
        <w:rPr>
          <w:sz w:val="20"/>
          <w:szCs w:val="20"/>
        </w:rPr>
        <w:t xml:space="preserve"> to one decimal place. </w:t>
      </w:r>
      <w:r w:rsidR="00D62227" w:rsidRPr="00455C9C">
        <w:rPr>
          <w:sz w:val="20"/>
          <w:szCs w:val="20"/>
        </w:rPr>
        <w:t>When calculating the unit limits, unrounded figures are used until the final ca</w:t>
      </w:r>
      <w:r w:rsidR="000A00F1" w:rsidRPr="00455C9C">
        <w:rPr>
          <w:sz w:val="20"/>
          <w:szCs w:val="20"/>
        </w:rPr>
        <w:t xml:space="preserve">lculation step. </w:t>
      </w:r>
      <w:r w:rsidR="00546ECD" w:rsidRPr="00455C9C">
        <w:rPr>
          <w:sz w:val="20"/>
          <w:szCs w:val="20"/>
        </w:rPr>
        <w:t xml:space="preserve">This means if paragraphs 15a-15c are added together, there is a 0.1 difference </w:t>
      </w:r>
      <w:r w:rsidR="009E2C86" w:rsidRPr="00455C9C">
        <w:rPr>
          <w:sz w:val="20"/>
          <w:szCs w:val="20"/>
        </w:rPr>
        <w:t>shown in Table 2.</w:t>
      </w:r>
    </w:p>
  </w:footnote>
  <w:footnote w:id="8">
    <w:p w14:paraId="1C629BF4" w14:textId="1A0E5DB6" w:rsidR="000914E2" w:rsidRDefault="000914E2">
      <w:pPr>
        <w:pStyle w:val="FootnoteText"/>
      </w:pPr>
      <w:r>
        <w:rPr>
          <w:rStyle w:val="FootnoteReference"/>
        </w:rPr>
        <w:footnoteRef/>
      </w:r>
      <w:r>
        <w:t xml:space="preserve"> </w:t>
      </w:r>
      <w:hyperlink r:id="rId5" w:history="1">
        <w:r w:rsidRPr="00455C9C">
          <w:rPr>
            <w:rStyle w:val="Hyperlink"/>
            <w:sz w:val="20"/>
            <w:szCs w:val="20"/>
          </w:rPr>
          <w:t>https://www.treasury.govt.nz/publications/efu/budget-economic-and-fiscal-update-2023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5369" w14:textId="476D4BB8" w:rsidR="00950062" w:rsidRDefault="00950062">
    <w:pPr>
      <w:pStyle w:val="Header"/>
    </w:pPr>
    <w:r>
      <w:rPr>
        <w:noProof/>
      </w:rPr>
      <mc:AlternateContent>
        <mc:Choice Requires="wps">
          <w:drawing>
            <wp:anchor distT="0" distB="0" distL="0" distR="0" simplePos="0" relativeHeight="251658241" behindDoc="0" locked="0" layoutInCell="1" allowOverlap="1" wp14:anchorId="46FEAFA7" wp14:editId="59AD0018">
              <wp:simplePos x="635" y="635"/>
              <wp:positionH relativeFrom="page">
                <wp:align>center</wp:align>
              </wp:positionH>
              <wp:positionV relativeFrom="page">
                <wp:align>top</wp:align>
              </wp:positionV>
              <wp:extent cx="443865" cy="443865"/>
              <wp:effectExtent l="0" t="0" r="3810" b="1270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0E8C5" w14:textId="21FE7834" w:rsidR="00950062" w:rsidRPr="00950062" w:rsidRDefault="00950062" w:rsidP="00950062">
                          <w:pPr>
                            <w:spacing w:after="0"/>
                            <w:rPr>
                              <w:rFonts w:eastAsia="Calibri" w:cs="Calibri"/>
                              <w:noProof/>
                              <w:color w:val="000000"/>
                              <w:sz w:val="18"/>
                              <w:szCs w:val="18"/>
                            </w:rPr>
                          </w:pPr>
                          <w:r w:rsidRPr="00950062">
                            <w:rPr>
                              <w:rFonts w:eastAsia="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6FEAFA7" id="_x0000_t202" coordsize="21600,21600" o:spt="202" path="m,l,21600r21600,l21600,xe">
              <v:stroke joinstyle="miter"/>
              <v:path gradientshapeok="t" o:connecttype="rect"/>
            </v:shapetype>
            <v:shape id="Text Box 2" o:spid="_x0000_s1026" type="#_x0000_t202" alt="[IN-CONFIDENC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50E8C5" w14:textId="21FE7834" w:rsidR="00950062" w:rsidRPr="00950062" w:rsidRDefault="00950062" w:rsidP="00950062">
                    <w:pPr>
                      <w:spacing w:after="0"/>
                      <w:rPr>
                        <w:rFonts w:eastAsia="Calibri" w:cs="Calibri"/>
                        <w:noProof/>
                        <w:color w:val="000000"/>
                        <w:sz w:val="18"/>
                        <w:szCs w:val="18"/>
                      </w:rPr>
                    </w:pPr>
                    <w:r w:rsidRPr="00950062">
                      <w:rPr>
                        <w:rFonts w:eastAsia="Calibri" w:cs="Calibri"/>
                        <w:noProof/>
                        <w:color w:val="000000"/>
                        <w:sz w:val="18"/>
                        <w:szCs w:val="18"/>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F4D3" w14:textId="4EA456FE" w:rsidR="00950062" w:rsidRPr="007605A4" w:rsidRDefault="00950062" w:rsidP="007605A4">
    <w:pPr>
      <w:pStyle w:val="Header"/>
      <w:jc w:val="right"/>
      <w:rPr>
        <w:b/>
        <w:bCs/>
      </w:rPr>
    </w:pPr>
    <w:r>
      <w:rPr>
        <w:noProof/>
      </w:rPr>
      <mc:AlternateContent>
        <mc:Choice Requires="wps">
          <w:drawing>
            <wp:anchor distT="0" distB="0" distL="0" distR="0" simplePos="0" relativeHeight="251658242" behindDoc="0" locked="0" layoutInCell="1" allowOverlap="1" wp14:anchorId="236A9EF3" wp14:editId="11776C64">
              <wp:simplePos x="914400" y="447675"/>
              <wp:positionH relativeFrom="page">
                <wp:align>center</wp:align>
              </wp:positionH>
              <wp:positionV relativeFrom="page">
                <wp:align>top</wp:align>
              </wp:positionV>
              <wp:extent cx="443865" cy="443865"/>
              <wp:effectExtent l="0" t="0" r="3810" b="12700"/>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A55FA9" w14:textId="73860198" w:rsidR="00950062" w:rsidRPr="00950062" w:rsidRDefault="00950062" w:rsidP="00950062">
                          <w:pPr>
                            <w:spacing w:after="0"/>
                            <w:rPr>
                              <w:rFonts w:eastAsia="Calibri" w:cs="Calibri"/>
                              <w:noProof/>
                              <w:color w:val="000000"/>
                              <w:sz w:val="18"/>
                              <w:szCs w:val="1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36A9EF3" id="_x0000_t202" coordsize="21600,21600" o:spt="202" path="m,l,21600r21600,l21600,xe">
              <v:stroke joinstyle="miter"/>
              <v:path gradientshapeok="t" o:connecttype="rect"/>
            </v:shapetype>
            <v:shape id="Text Box 3" o:spid="_x0000_s1027" type="#_x0000_t202" alt="[IN-CONFIDENC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DA55FA9" w14:textId="73860198" w:rsidR="00950062" w:rsidRPr="00950062" w:rsidRDefault="00950062" w:rsidP="00950062">
                    <w:pPr>
                      <w:spacing w:after="0"/>
                      <w:rPr>
                        <w:rFonts w:eastAsia="Calibri" w:cs="Calibri"/>
                        <w:noProof/>
                        <w:color w:val="000000"/>
                        <w:sz w:val="18"/>
                        <w:szCs w:val="18"/>
                      </w:rPr>
                    </w:pPr>
                  </w:p>
                </w:txbxContent>
              </v:textbox>
              <w10:wrap anchorx="page" anchory="page"/>
            </v:shape>
          </w:pict>
        </mc:Fallback>
      </mc:AlternateContent>
    </w:r>
    <w:r w:rsidR="007605A4">
      <w:tab/>
    </w:r>
    <w:r w:rsidR="007605A4">
      <w:tab/>
    </w:r>
    <w:r w:rsidR="007605A4">
      <w:tab/>
    </w:r>
    <w:r w:rsidR="007605A4">
      <w:tab/>
    </w:r>
    <w:r w:rsidR="007605A4">
      <w:tab/>
    </w:r>
    <w:r w:rsidR="007605A4">
      <w:tab/>
    </w:r>
    <w:r w:rsidR="007605A4">
      <w:tab/>
    </w:r>
    <w:r w:rsidR="007605A4">
      <w:tab/>
    </w:r>
    <w:r w:rsidR="007605A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4E0F" w14:textId="11AA341B" w:rsidR="00950062" w:rsidRDefault="00347B39" w:rsidP="00347B39">
    <w:pPr>
      <w:pStyle w:val="Header"/>
      <w:jc w:val="right"/>
    </w:pPr>
    <w:r>
      <w:tab/>
    </w:r>
    <w:r>
      <w:tab/>
    </w:r>
    <w:r>
      <w:rPr>
        <w:b/>
        <w:bCs/>
      </w:rPr>
      <w:t>C.31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 w15:restartNumberingAfterBreak="0">
    <w:nsid w:val="2360589D"/>
    <w:multiLevelType w:val="multilevel"/>
    <w:tmpl w:val="74F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7"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BC11D0"/>
    <w:multiLevelType w:val="multilevel"/>
    <w:tmpl w:val="33AC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2"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14"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2A6067"/>
    <w:multiLevelType w:val="hybridMultilevel"/>
    <w:tmpl w:val="21A0693E"/>
    <w:lvl w:ilvl="0" w:tplc="D8F2641C">
      <w:start w:val="1"/>
      <w:numFmt w:val="decimal"/>
      <w:pStyle w:val="NoSpacing"/>
      <w:lvlText w:val="%1."/>
      <w:lvlJc w:val="left"/>
      <w:pPr>
        <w:ind w:left="360" w:hanging="360"/>
      </w:pPr>
      <w:rPr>
        <w:rFonts w:asciiTheme="minorHAnsi" w:hAnsiTheme="minorHAnsi" w:cstheme="minorHAnsi" w:hint="default"/>
        <w:b w:val="0"/>
        <w:color w:val="auto"/>
        <w:sz w:val="22"/>
        <w:szCs w:val="22"/>
      </w:rPr>
    </w:lvl>
    <w:lvl w:ilvl="1" w:tplc="14090019">
      <w:start w:val="1"/>
      <w:numFmt w:val="lowerLetter"/>
      <w:lvlText w:val="%2."/>
      <w:lvlJc w:val="left"/>
      <w:pPr>
        <w:ind w:left="1083" w:hanging="360"/>
      </w:pPr>
      <w:rPr>
        <w:rFonts w:cs="Times New Roman"/>
      </w:rPr>
    </w:lvl>
    <w:lvl w:ilvl="2" w:tplc="1409001B">
      <w:start w:val="1"/>
      <w:numFmt w:val="lowerRoman"/>
      <w:lvlText w:val="%3."/>
      <w:lvlJc w:val="right"/>
      <w:pPr>
        <w:ind w:left="1803" w:hanging="180"/>
      </w:pPr>
      <w:rPr>
        <w:rFonts w:cs="Times New Roman"/>
      </w:rPr>
    </w:lvl>
    <w:lvl w:ilvl="3" w:tplc="1409000F">
      <w:start w:val="1"/>
      <w:numFmt w:val="decimal"/>
      <w:lvlText w:val="%4."/>
      <w:lvlJc w:val="left"/>
      <w:pPr>
        <w:ind w:left="2523" w:hanging="360"/>
      </w:pPr>
      <w:rPr>
        <w:rFonts w:cs="Times New Roman"/>
      </w:rPr>
    </w:lvl>
    <w:lvl w:ilvl="4" w:tplc="14090019">
      <w:start w:val="1"/>
      <w:numFmt w:val="lowerLetter"/>
      <w:lvlText w:val="%5."/>
      <w:lvlJc w:val="left"/>
      <w:pPr>
        <w:ind w:left="3243" w:hanging="360"/>
      </w:pPr>
      <w:rPr>
        <w:rFonts w:cs="Times New Roman"/>
      </w:rPr>
    </w:lvl>
    <w:lvl w:ilvl="5" w:tplc="1409001B">
      <w:start w:val="1"/>
      <w:numFmt w:val="lowerRoman"/>
      <w:lvlText w:val="%6."/>
      <w:lvlJc w:val="right"/>
      <w:pPr>
        <w:ind w:left="3963" w:hanging="180"/>
      </w:pPr>
      <w:rPr>
        <w:rFonts w:cs="Times New Roman"/>
      </w:rPr>
    </w:lvl>
    <w:lvl w:ilvl="6" w:tplc="1409000F">
      <w:start w:val="1"/>
      <w:numFmt w:val="decimal"/>
      <w:lvlText w:val="%7."/>
      <w:lvlJc w:val="left"/>
      <w:pPr>
        <w:ind w:left="4683" w:hanging="360"/>
      </w:pPr>
      <w:rPr>
        <w:rFonts w:cs="Times New Roman"/>
      </w:rPr>
    </w:lvl>
    <w:lvl w:ilvl="7" w:tplc="14090019">
      <w:start w:val="1"/>
      <w:numFmt w:val="lowerLetter"/>
      <w:lvlText w:val="%8."/>
      <w:lvlJc w:val="left"/>
      <w:pPr>
        <w:ind w:left="5403" w:hanging="360"/>
      </w:pPr>
      <w:rPr>
        <w:rFonts w:cs="Times New Roman"/>
      </w:rPr>
    </w:lvl>
    <w:lvl w:ilvl="8" w:tplc="1409001B">
      <w:start w:val="1"/>
      <w:numFmt w:val="lowerRoman"/>
      <w:lvlText w:val="%9."/>
      <w:lvlJc w:val="right"/>
      <w:pPr>
        <w:ind w:left="6123" w:hanging="180"/>
      </w:pPr>
      <w:rPr>
        <w:rFonts w:cs="Times New Roman"/>
      </w:rPr>
    </w:lvl>
  </w:abstractNum>
  <w:abstractNum w:abstractNumId="16"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16cid:durableId="1782141691">
    <w:abstractNumId w:val="6"/>
  </w:num>
  <w:num w:numId="2" w16cid:durableId="1523980731">
    <w:abstractNumId w:val="13"/>
  </w:num>
  <w:num w:numId="3" w16cid:durableId="1318148443">
    <w:abstractNumId w:val="7"/>
  </w:num>
  <w:num w:numId="4" w16cid:durableId="830945984">
    <w:abstractNumId w:val="9"/>
  </w:num>
  <w:num w:numId="5" w16cid:durableId="1018701755">
    <w:abstractNumId w:val="5"/>
  </w:num>
  <w:num w:numId="6" w16cid:durableId="2136172772">
    <w:abstractNumId w:val="15"/>
  </w:num>
  <w:num w:numId="7" w16cid:durableId="1490635248">
    <w:abstractNumId w:val="11"/>
  </w:num>
  <w:num w:numId="8" w16cid:durableId="1804274733">
    <w:abstractNumId w:val="10"/>
  </w:num>
  <w:num w:numId="9" w16cid:durableId="1877808815">
    <w:abstractNumId w:val="17"/>
  </w:num>
  <w:num w:numId="10" w16cid:durableId="1209604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8131906">
    <w:abstractNumId w:val="4"/>
  </w:num>
  <w:num w:numId="12" w16cid:durableId="776413305">
    <w:abstractNumId w:val="12"/>
  </w:num>
  <w:num w:numId="13" w16cid:durableId="1084689050">
    <w:abstractNumId w:val="16"/>
  </w:num>
  <w:num w:numId="14" w16cid:durableId="1528105863">
    <w:abstractNumId w:val="14"/>
  </w:num>
  <w:num w:numId="15" w16cid:durableId="409233665">
    <w:abstractNumId w:val="1"/>
  </w:num>
  <w:num w:numId="16" w16cid:durableId="393158631">
    <w:abstractNumId w:val="3"/>
  </w:num>
  <w:num w:numId="17" w16cid:durableId="1693723261">
    <w:abstractNumId w:val="2"/>
  </w:num>
  <w:num w:numId="18" w16cid:durableId="924461737">
    <w:abstractNumId w:val="8"/>
  </w:num>
  <w:num w:numId="19" w16cid:durableId="727920869">
    <w:abstractNumId w:val="15"/>
  </w:num>
  <w:num w:numId="20" w16cid:durableId="1233731139">
    <w:abstractNumId w:val="15"/>
  </w:num>
  <w:num w:numId="21" w16cid:durableId="1083574888">
    <w:abstractNumId w:val="15"/>
  </w:num>
  <w:num w:numId="22" w16cid:durableId="741174929">
    <w:abstractNumId w:val="15"/>
  </w:num>
  <w:num w:numId="23" w16cid:durableId="572741871">
    <w:abstractNumId w:val="15"/>
  </w:num>
  <w:num w:numId="24" w16cid:durableId="1507331587">
    <w:abstractNumId w:val="15"/>
  </w:num>
  <w:num w:numId="25" w16cid:durableId="1163474756">
    <w:abstractNumId w:val="15"/>
  </w:num>
  <w:num w:numId="26" w16cid:durableId="1612470699">
    <w:abstractNumId w:val="15"/>
  </w:num>
  <w:num w:numId="27" w16cid:durableId="3521511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1"/>
    <w:rsid w:val="00002C94"/>
    <w:rsid w:val="0001038E"/>
    <w:rsid w:val="00016EE5"/>
    <w:rsid w:val="00017E1A"/>
    <w:rsid w:val="00023D0C"/>
    <w:rsid w:val="00034293"/>
    <w:rsid w:val="000413C9"/>
    <w:rsid w:val="00041AB0"/>
    <w:rsid w:val="000510CF"/>
    <w:rsid w:val="00077D81"/>
    <w:rsid w:val="000814CF"/>
    <w:rsid w:val="000914E2"/>
    <w:rsid w:val="000A00F1"/>
    <w:rsid w:val="000A4992"/>
    <w:rsid w:val="000A4E9B"/>
    <w:rsid w:val="000A54A1"/>
    <w:rsid w:val="000E3230"/>
    <w:rsid w:val="000E67A5"/>
    <w:rsid w:val="000F6897"/>
    <w:rsid w:val="00120F6C"/>
    <w:rsid w:val="0012266B"/>
    <w:rsid w:val="00143ECE"/>
    <w:rsid w:val="001510B1"/>
    <w:rsid w:val="00151122"/>
    <w:rsid w:val="00153DE3"/>
    <w:rsid w:val="001566C5"/>
    <w:rsid w:val="00157A55"/>
    <w:rsid w:val="00166D18"/>
    <w:rsid w:val="00170468"/>
    <w:rsid w:val="00172AF6"/>
    <w:rsid w:val="00177FEB"/>
    <w:rsid w:val="00184B1F"/>
    <w:rsid w:val="00185851"/>
    <w:rsid w:val="00190B05"/>
    <w:rsid w:val="00190B47"/>
    <w:rsid w:val="001A2F1E"/>
    <w:rsid w:val="001B53D6"/>
    <w:rsid w:val="001E2B03"/>
    <w:rsid w:val="001F074D"/>
    <w:rsid w:val="001F0E10"/>
    <w:rsid w:val="001F793F"/>
    <w:rsid w:val="00212DF8"/>
    <w:rsid w:val="00234E91"/>
    <w:rsid w:val="002375BD"/>
    <w:rsid w:val="002411E4"/>
    <w:rsid w:val="0024569E"/>
    <w:rsid w:val="00257758"/>
    <w:rsid w:val="00267B6E"/>
    <w:rsid w:val="002727CF"/>
    <w:rsid w:val="002763ED"/>
    <w:rsid w:val="00286FA5"/>
    <w:rsid w:val="0029097A"/>
    <w:rsid w:val="002B027D"/>
    <w:rsid w:val="002B59BC"/>
    <w:rsid w:val="002D04D6"/>
    <w:rsid w:val="00321E0B"/>
    <w:rsid w:val="00324B0E"/>
    <w:rsid w:val="00337B5B"/>
    <w:rsid w:val="00347B39"/>
    <w:rsid w:val="003518A9"/>
    <w:rsid w:val="00351D70"/>
    <w:rsid w:val="00383C2D"/>
    <w:rsid w:val="003853C0"/>
    <w:rsid w:val="00386B78"/>
    <w:rsid w:val="0039796A"/>
    <w:rsid w:val="003A1D4A"/>
    <w:rsid w:val="003C01F8"/>
    <w:rsid w:val="003C0D45"/>
    <w:rsid w:val="003C684E"/>
    <w:rsid w:val="003C7711"/>
    <w:rsid w:val="003D7E38"/>
    <w:rsid w:val="003E3BC7"/>
    <w:rsid w:val="003E5E7D"/>
    <w:rsid w:val="00402D21"/>
    <w:rsid w:val="0040362A"/>
    <w:rsid w:val="00404E0A"/>
    <w:rsid w:val="0041157B"/>
    <w:rsid w:val="00411902"/>
    <w:rsid w:val="0043240D"/>
    <w:rsid w:val="00444506"/>
    <w:rsid w:val="00446ED3"/>
    <w:rsid w:val="00455C9C"/>
    <w:rsid w:val="00462923"/>
    <w:rsid w:val="00464781"/>
    <w:rsid w:val="004718D5"/>
    <w:rsid w:val="00471C93"/>
    <w:rsid w:val="00476D42"/>
    <w:rsid w:val="004826E8"/>
    <w:rsid w:val="00482862"/>
    <w:rsid w:val="004E3D02"/>
    <w:rsid w:val="004F2471"/>
    <w:rsid w:val="004F38D9"/>
    <w:rsid w:val="00520230"/>
    <w:rsid w:val="0053000D"/>
    <w:rsid w:val="00533F69"/>
    <w:rsid w:val="00535F78"/>
    <w:rsid w:val="00544594"/>
    <w:rsid w:val="00546ECD"/>
    <w:rsid w:val="0055571D"/>
    <w:rsid w:val="005604B6"/>
    <w:rsid w:val="00563D47"/>
    <w:rsid w:val="0056581F"/>
    <w:rsid w:val="0058541E"/>
    <w:rsid w:val="0058581C"/>
    <w:rsid w:val="0059200F"/>
    <w:rsid w:val="00597306"/>
    <w:rsid w:val="00597525"/>
    <w:rsid w:val="005B7494"/>
    <w:rsid w:val="005E0755"/>
    <w:rsid w:val="005F4698"/>
    <w:rsid w:val="00605FC2"/>
    <w:rsid w:val="006210E6"/>
    <w:rsid w:val="00631734"/>
    <w:rsid w:val="00631D7C"/>
    <w:rsid w:val="00633738"/>
    <w:rsid w:val="00656725"/>
    <w:rsid w:val="006576EA"/>
    <w:rsid w:val="006653AD"/>
    <w:rsid w:val="00673E63"/>
    <w:rsid w:val="00674DD0"/>
    <w:rsid w:val="006773DA"/>
    <w:rsid w:val="00677E3A"/>
    <w:rsid w:val="00692DB2"/>
    <w:rsid w:val="006A10F2"/>
    <w:rsid w:val="006A5389"/>
    <w:rsid w:val="006A6B1B"/>
    <w:rsid w:val="006B28F9"/>
    <w:rsid w:val="006B3402"/>
    <w:rsid w:val="007073B7"/>
    <w:rsid w:val="007116ED"/>
    <w:rsid w:val="00713E43"/>
    <w:rsid w:val="0071590B"/>
    <w:rsid w:val="007270D8"/>
    <w:rsid w:val="0073010E"/>
    <w:rsid w:val="00731BE1"/>
    <w:rsid w:val="00735661"/>
    <w:rsid w:val="00735B75"/>
    <w:rsid w:val="00736914"/>
    <w:rsid w:val="00750413"/>
    <w:rsid w:val="007507BF"/>
    <w:rsid w:val="00752136"/>
    <w:rsid w:val="00760581"/>
    <w:rsid w:val="007605A4"/>
    <w:rsid w:val="00762E39"/>
    <w:rsid w:val="0077081A"/>
    <w:rsid w:val="00780877"/>
    <w:rsid w:val="007B2E6C"/>
    <w:rsid w:val="007B457E"/>
    <w:rsid w:val="007C4C20"/>
    <w:rsid w:val="00804DCB"/>
    <w:rsid w:val="0081321D"/>
    <w:rsid w:val="0082482B"/>
    <w:rsid w:val="00827366"/>
    <w:rsid w:val="00837845"/>
    <w:rsid w:val="00872A3D"/>
    <w:rsid w:val="00875F60"/>
    <w:rsid w:val="00877ACD"/>
    <w:rsid w:val="00893581"/>
    <w:rsid w:val="008B6E2A"/>
    <w:rsid w:val="008B7392"/>
    <w:rsid w:val="008D6FFC"/>
    <w:rsid w:val="008F23AB"/>
    <w:rsid w:val="008F54D7"/>
    <w:rsid w:val="009066B5"/>
    <w:rsid w:val="00906C11"/>
    <w:rsid w:val="00906F03"/>
    <w:rsid w:val="009120E5"/>
    <w:rsid w:val="0092105C"/>
    <w:rsid w:val="00921638"/>
    <w:rsid w:val="00942158"/>
    <w:rsid w:val="00950062"/>
    <w:rsid w:val="00956E96"/>
    <w:rsid w:val="00965C1C"/>
    <w:rsid w:val="00966567"/>
    <w:rsid w:val="00991815"/>
    <w:rsid w:val="009926C1"/>
    <w:rsid w:val="00993552"/>
    <w:rsid w:val="009A00B9"/>
    <w:rsid w:val="009C68D8"/>
    <w:rsid w:val="009E1C87"/>
    <w:rsid w:val="009E28C9"/>
    <w:rsid w:val="009E2C86"/>
    <w:rsid w:val="009E44F2"/>
    <w:rsid w:val="009E7B85"/>
    <w:rsid w:val="009F0D15"/>
    <w:rsid w:val="009F0D8B"/>
    <w:rsid w:val="009F1CEC"/>
    <w:rsid w:val="009F7308"/>
    <w:rsid w:val="00A00870"/>
    <w:rsid w:val="00A20E14"/>
    <w:rsid w:val="00A254BA"/>
    <w:rsid w:val="00A26532"/>
    <w:rsid w:val="00A306DC"/>
    <w:rsid w:val="00A4515D"/>
    <w:rsid w:val="00A543E0"/>
    <w:rsid w:val="00A61917"/>
    <w:rsid w:val="00A66274"/>
    <w:rsid w:val="00A83409"/>
    <w:rsid w:val="00A90E35"/>
    <w:rsid w:val="00A95EE9"/>
    <w:rsid w:val="00A9696A"/>
    <w:rsid w:val="00AB7633"/>
    <w:rsid w:val="00AB766A"/>
    <w:rsid w:val="00AC3BA2"/>
    <w:rsid w:val="00AD5FA4"/>
    <w:rsid w:val="00AD7CAA"/>
    <w:rsid w:val="00AE721C"/>
    <w:rsid w:val="00B1042E"/>
    <w:rsid w:val="00B179F8"/>
    <w:rsid w:val="00B2315C"/>
    <w:rsid w:val="00B24D7F"/>
    <w:rsid w:val="00B2582A"/>
    <w:rsid w:val="00B419D0"/>
    <w:rsid w:val="00B458DD"/>
    <w:rsid w:val="00B5536E"/>
    <w:rsid w:val="00B64803"/>
    <w:rsid w:val="00BA00A5"/>
    <w:rsid w:val="00BA7A8D"/>
    <w:rsid w:val="00BB73DD"/>
    <w:rsid w:val="00BD13C4"/>
    <w:rsid w:val="00BD63D6"/>
    <w:rsid w:val="00BE6420"/>
    <w:rsid w:val="00BE7A87"/>
    <w:rsid w:val="00C218F5"/>
    <w:rsid w:val="00C23059"/>
    <w:rsid w:val="00C2784D"/>
    <w:rsid w:val="00C32B73"/>
    <w:rsid w:val="00C348CC"/>
    <w:rsid w:val="00C5328F"/>
    <w:rsid w:val="00C57A41"/>
    <w:rsid w:val="00C70D04"/>
    <w:rsid w:val="00C7286C"/>
    <w:rsid w:val="00C7647F"/>
    <w:rsid w:val="00C81DF5"/>
    <w:rsid w:val="00CA224B"/>
    <w:rsid w:val="00CA2EA1"/>
    <w:rsid w:val="00CA39D9"/>
    <w:rsid w:val="00CB3167"/>
    <w:rsid w:val="00CC42E4"/>
    <w:rsid w:val="00CC48CE"/>
    <w:rsid w:val="00CE65A9"/>
    <w:rsid w:val="00CE684B"/>
    <w:rsid w:val="00D24795"/>
    <w:rsid w:val="00D519F3"/>
    <w:rsid w:val="00D53F53"/>
    <w:rsid w:val="00D5761D"/>
    <w:rsid w:val="00D62227"/>
    <w:rsid w:val="00D72F13"/>
    <w:rsid w:val="00D9224D"/>
    <w:rsid w:val="00DC0A83"/>
    <w:rsid w:val="00DC4258"/>
    <w:rsid w:val="00DC79CE"/>
    <w:rsid w:val="00E15E08"/>
    <w:rsid w:val="00E16D62"/>
    <w:rsid w:val="00E20453"/>
    <w:rsid w:val="00E2191D"/>
    <w:rsid w:val="00E23B66"/>
    <w:rsid w:val="00E30A5B"/>
    <w:rsid w:val="00E33229"/>
    <w:rsid w:val="00E33C61"/>
    <w:rsid w:val="00E349B2"/>
    <w:rsid w:val="00E47954"/>
    <w:rsid w:val="00E57212"/>
    <w:rsid w:val="00E6241B"/>
    <w:rsid w:val="00E65757"/>
    <w:rsid w:val="00E65BC5"/>
    <w:rsid w:val="00E84D29"/>
    <w:rsid w:val="00E87B52"/>
    <w:rsid w:val="00E94FE1"/>
    <w:rsid w:val="00EC7C59"/>
    <w:rsid w:val="00ED23B5"/>
    <w:rsid w:val="00ED4882"/>
    <w:rsid w:val="00EE3CC9"/>
    <w:rsid w:val="00EE40C1"/>
    <w:rsid w:val="00EE7B1B"/>
    <w:rsid w:val="00EF4CE2"/>
    <w:rsid w:val="00EF6F98"/>
    <w:rsid w:val="00F004D6"/>
    <w:rsid w:val="00F02081"/>
    <w:rsid w:val="00F12BB6"/>
    <w:rsid w:val="00F13ADD"/>
    <w:rsid w:val="00F45A64"/>
    <w:rsid w:val="00F53450"/>
    <w:rsid w:val="00F810BF"/>
    <w:rsid w:val="00F8212E"/>
    <w:rsid w:val="00F97491"/>
    <w:rsid w:val="00FA10C2"/>
    <w:rsid w:val="00FC2C27"/>
    <w:rsid w:val="00FF6331"/>
    <w:rsid w:val="03F39E3A"/>
    <w:rsid w:val="2272DA96"/>
    <w:rsid w:val="2F6239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8551C"/>
  <w15:chartTrackingRefBased/>
  <w15:docId w15:val="{E5BD4E52-922B-448C-B3C3-E05DE45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4A"/>
    <w:pPr>
      <w:spacing w:before="120" w:after="120" w:line="280" w:lineRule="atLeast"/>
      <w:jc w:val="both"/>
    </w:pPr>
    <w:rPr>
      <w:sz w:val="22"/>
      <w:szCs w:val="22"/>
      <w:lang w:eastAsia="en-NZ"/>
    </w:rPr>
  </w:style>
  <w:style w:type="paragraph" w:styleId="Heading1">
    <w:name w:val="heading 1"/>
    <w:basedOn w:val="Normal"/>
    <w:next w:val="BodyText"/>
    <w:link w:val="Heading1Char"/>
    <w:qFormat/>
    <w:rsid w:val="003A1D4A"/>
    <w:pPr>
      <w:keepNext/>
      <w:tabs>
        <w:tab w:val="left" w:pos="851"/>
      </w:tabs>
      <w:spacing w:line="240" w:lineRule="auto"/>
      <w:jc w:val="left"/>
      <w:outlineLvl w:val="0"/>
    </w:pPr>
    <w:rPr>
      <w:rFonts w:ascii="Arial" w:eastAsiaTheme="majorEastAsia" w:hAnsi="Arial" w:cstheme="majorBidi"/>
      <w:b/>
      <w:bCs/>
      <w:color w:val="1C556C"/>
      <w:sz w:val="28"/>
      <w:szCs w:val="28"/>
    </w:rPr>
  </w:style>
  <w:style w:type="paragraph" w:styleId="Heading2">
    <w:name w:val="heading 2"/>
    <w:basedOn w:val="Normal"/>
    <w:next w:val="BodyText"/>
    <w:link w:val="Heading2Char"/>
    <w:qFormat/>
    <w:rsid w:val="003A1D4A"/>
    <w:pPr>
      <w:keepNext/>
      <w:tabs>
        <w:tab w:val="left" w:pos="851"/>
      </w:tabs>
      <w:spacing w:before="360" w:after="0" w:line="240" w:lineRule="auto"/>
      <w:jc w:val="left"/>
      <w:outlineLvl w:val="1"/>
    </w:pPr>
    <w:rPr>
      <w:rFonts w:ascii="Arial" w:eastAsia="Times New Roman" w:hAnsi="Arial"/>
      <w:b/>
      <w:bCs/>
      <w:color w:val="0F7B7D"/>
      <w:sz w:val="24"/>
      <w:szCs w:val="26"/>
    </w:rPr>
  </w:style>
  <w:style w:type="paragraph" w:styleId="Heading3">
    <w:name w:val="heading 3"/>
    <w:basedOn w:val="Normal"/>
    <w:next w:val="BodyText"/>
    <w:link w:val="Heading3Char"/>
    <w:qFormat/>
    <w:rsid w:val="003A1D4A"/>
    <w:pPr>
      <w:keepNext/>
      <w:tabs>
        <w:tab w:val="left" w:pos="851"/>
      </w:tabs>
      <w:spacing w:before="360" w:after="0" w:line="240" w:lineRule="auto"/>
      <w:jc w:val="left"/>
      <w:outlineLvl w:val="2"/>
    </w:pPr>
    <w:rPr>
      <w:rFonts w:ascii="Arial" w:eastAsia="Times New Roman" w:hAnsi="Arial"/>
      <w:b/>
      <w:bCs/>
    </w:rPr>
  </w:style>
  <w:style w:type="paragraph" w:styleId="Heading4">
    <w:name w:val="heading 4"/>
    <w:basedOn w:val="NoSpacing"/>
    <w:next w:val="BodyText"/>
    <w:link w:val="Heading4Char"/>
    <w:qFormat/>
    <w:rsid w:val="003A1D4A"/>
    <w:pPr>
      <w:numPr>
        <w:numId w:val="0"/>
      </w:numPr>
      <w:ind w:left="357"/>
      <w:outlineLvl w:val="3"/>
    </w:pPr>
    <w:rPr>
      <w:rFonts w:eastAsia="Times New Roman" w:cs="Arial"/>
      <w:i/>
      <w:color w:val="000000" w:themeColor="text1"/>
      <w:szCs w:val="22"/>
    </w:rPr>
  </w:style>
  <w:style w:type="paragraph" w:styleId="Heading5">
    <w:name w:val="heading 5"/>
    <w:basedOn w:val="Normal"/>
    <w:next w:val="BodyText"/>
    <w:link w:val="Heading5Char"/>
    <w:qFormat/>
    <w:rsid w:val="003A1D4A"/>
    <w:pPr>
      <w:keepNext/>
      <w:spacing w:before="320" w:after="0" w:line="240" w:lineRule="auto"/>
      <w:jc w:val="left"/>
      <w:outlineLvl w:val="4"/>
    </w:pPr>
    <w:rPr>
      <w:rFonts w:ascii="Arial" w:eastAsia="Times New Roman" w:hAnsi="Arial"/>
      <w:i/>
    </w:rPr>
  </w:style>
  <w:style w:type="paragraph" w:styleId="Heading6">
    <w:name w:val="heading 6"/>
    <w:basedOn w:val="Normal"/>
    <w:next w:val="Normal"/>
    <w:link w:val="Heading6Char"/>
    <w:semiHidden/>
    <w:rsid w:val="003A1D4A"/>
    <w:pPr>
      <w:numPr>
        <w:ilvl w:val="5"/>
        <w:numId w:val="1"/>
      </w:numPr>
      <w:spacing w:before="240" w:line="288" w:lineRule="auto"/>
      <w:jc w:val="left"/>
      <w:outlineLvl w:val="5"/>
    </w:pPr>
    <w:rPr>
      <w:rFonts w:ascii="Times New Roman" w:eastAsia="Times New Roman" w:hAnsi="Times New Roman"/>
      <w:b/>
      <w:szCs w:val="20"/>
      <w:lang w:val="en-AU" w:eastAsia="en-US"/>
    </w:rPr>
  </w:style>
  <w:style w:type="paragraph" w:styleId="Heading7">
    <w:name w:val="heading 7"/>
    <w:basedOn w:val="Normal"/>
    <w:next w:val="Normal"/>
    <w:link w:val="Heading7Char"/>
    <w:semiHidden/>
    <w:qFormat/>
    <w:rsid w:val="003A1D4A"/>
    <w:pPr>
      <w:numPr>
        <w:ilvl w:val="6"/>
        <w:numId w:val="1"/>
      </w:numPr>
      <w:spacing w:before="240" w:line="288" w:lineRule="auto"/>
      <w:jc w:val="left"/>
      <w:outlineLvl w:val="6"/>
    </w:pPr>
    <w:rPr>
      <w:rFonts w:ascii="Times New Roman" w:eastAsia="Times New Roman" w:hAnsi="Times New Roman"/>
      <w:szCs w:val="20"/>
      <w:lang w:val="en-AU" w:eastAsia="en-US"/>
    </w:rPr>
  </w:style>
  <w:style w:type="paragraph" w:styleId="Heading8">
    <w:name w:val="heading 8"/>
    <w:basedOn w:val="Normal"/>
    <w:next w:val="Normal"/>
    <w:link w:val="Heading8Char"/>
    <w:semiHidden/>
    <w:qFormat/>
    <w:rsid w:val="003A1D4A"/>
    <w:pPr>
      <w:numPr>
        <w:ilvl w:val="7"/>
        <w:numId w:val="1"/>
      </w:numPr>
      <w:spacing w:before="240" w:line="288" w:lineRule="auto"/>
      <w:jc w:val="left"/>
      <w:outlineLvl w:val="7"/>
    </w:pPr>
    <w:rPr>
      <w:rFonts w:ascii="Times New Roman" w:eastAsia="Times New Roman" w:hAnsi="Times New Roman"/>
      <w:i/>
      <w:szCs w:val="20"/>
      <w:lang w:val="en-AU" w:eastAsia="en-US"/>
    </w:rPr>
  </w:style>
  <w:style w:type="paragraph" w:styleId="Heading9">
    <w:name w:val="heading 9"/>
    <w:basedOn w:val="Heading1"/>
    <w:next w:val="Normal"/>
    <w:link w:val="Heading9Char"/>
    <w:semiHidden/>
    <w:qFormat/>
    <w:rsid w:val="003A1D4A"/>
    <w:pPr>
      <w:numPr>
        <w:ilvl w:val="8"/>
        <w:numId w:val="1"/>
      </w:numPr>
      <w:tabs>
        <w:tab w:val="clear" w:pos="851"/>
      </w:tabs>
      <w:spacing w:before="240"/>
      <w:outlineLvl w:val="8"/>
    </w:pPr>
    <w:rPr>
      <w:rFonts w:eastAsia="Times New Roman"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
    <w:name w:val="Box"/>
    <w:basedOn w:val="Normal"/>
    <w:uiPriority w:val="1"/>
    <w:qFormat/>
    <w:rsid w:val="003A1D4A"/>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rFonts w:eastAsia="Times New Roman"/>
      <w:color w:val="1C556C"/>
      <w:sz w:val="20"/>
    </w:rPr>
  </w:style>
  <w:style w:type="paragraph" w:customStyle="1" w:styleId="Boxbullet">
    <w:name w:val="Box bullet"/>
    <w:basedOn w:val="Box"/>
    <w:uiPriority w:val="1"/>
    <w:qFormat/>
    <w:rsid w:val="003A1D4A"/>
    <w:pPr>
      <w:numPr>
        <w:numId w:val="2"/>
      </w:numPr>
      <w:tabs>
        <w:tab w:val="left" w:pos="680"/>
      </w:tabs>
      <w:spacing w:before="0"/>
    </w:pPr>
  </w:style>
  <w:style w:type="paragraph" w:customStyle="1" w:styleId="Boxheading">
    <w:name w:val="Box heading"/>
    <w:basedOn w:val="Box"/>
    <w:next w:val="Box"/>
    <w:uiPriority w:val="1"/>
    <w:qFormat/>
    <w:rsid w:val="003A1D4A"/>
    <w:pPr>
      <w:keepNext/>
      <w:spacing w:after="0"/>
    </w:pPr>
    <w:rPr>
      <w:b/>
    </w:rPr>
  </w:style>
  <w:style w:type="paragraph" w:customStyle="1" w:styleId="Bullet">
    <w:name w:val="Bullet"/>
    <w:basedOn w:val="Normal"/>
    <w:link w:val="BulletChar"/>
    <w:qFormat/>
    <w:rsid w:val="003A1D4A"/>
    <w:pPr>
      <w:numPr>
        <w:numId w:val="3"/>
      </w:numPr>
      <w:tabs>
        <w:tab w:val="left" w:pos="397"/>
      </w:tabs>
      <w:spacing w:before="0" w:line="280" w:lineRule="exact"/>
      <w:jc w:val="left"/>
    </w:pPr>
    <w:rPr>
      <w:rFonts w:eastAsia="Times New Roman"/>
      <w:szCs w:val="20"/>
    </w:rPr>
  </w:style>
  <w:style w:type="character" w:customStyle="1" w:styleId="BulletChar">
    <w:name w:val="Bullet Char"/>
    <w:link w:val="Bullet"/>
    <w:locked/>
    <w:rsid w:val="003A1D4A"/>
    <w:rPr>
      <w:rFonts w:eastAsia="Times New Roman"/>
      <w:sz w:val="22"/>
      <w:lang w:eastAsia="en-NZ"/>
    </w:rPr>
  </w:style>
  <w:style w:type="paragraph" w:customStyle="1" w:styleId="Heading">
    <w:name w:val="Heading"/>
    <w:basedOn w:val="Heading1"/>
    <w:next w:val="Normal"/>
    <w:uiPriority w:val="3"/>
    <w:rsid w:val="003A1D4A"/>
    <w:rPr>
      <w:rFonts w:eastAsia="Times New Roman" w:cs="Times New Roman"/>
    </w:rPr>
  </w:style>
  <w:style w:type="character" w:customStyle="1" w:styleId="Heading1Char">
    <w:name w:val="Heading 1 Char"/>
    <w:link w:val="Heading1"/>
    <w:rsid w:val="003A1D4A"/>
    <w:rPr>
      <w:rFonts w:ascii="Arial" w:eastAsiaTheme="majorEastAsia" w:hAnsi="Arial" w:cstheme="majorBidi"/>
      <w:b/>
      <w:bCs/>
      <w:color w:val="1C556C"/>
      <w:sz w:val="28"/>
      <w:szCs w:val="28"/>
      <w:lang w:eastAsia="en-NZ"/>
    </w:rPr>
  </w:style>
  <w:style w:type="paragraph" w:customStyle="1" w:styleId="Sub-list">
    <w:name w:val="Sub-list"/>
    <w:basedOn w:val="Normal"/>
    <w:uiPriority w:val="99"/>
    <w:qFormat/>
    <w:rsid w:val="003A1D4A"/>
    <w:pPr>
      <w:numPr>
        <w:numId w:val="4"/>
      </w:numPr>
      <w:tabs>
        <w:tab w:val="left" w:pos="794"/>
      </w:tabs>
      <w:spacing w:before="0"/>
      <w:jc w:val="left"/>
    </w:pPr>
    <w:rPr>
      <w:rFonts w:eastAsia="Times New Roman"/>
    </w:rPr>
  </w:style>
  <w:style w:type="paragraph" w:customStyle="1" w:styleId="Figureheading">
    <w:name w:val="Figure heading"/>
    <w:basedOn w:val="Normal"/>
    <w:next w:val="BodyText"/>
    <w:qFormat/>
    <w:rsid w:val="003A1D4A"/>
    <w:pPr>
      <w:keepNext/>
      <w:ind w:left="1134" w:hanging="1134"/>
      <w:jc w:val="left"/>
    </w:pPr>
    <w:rPr>
      <w:rFonts w:eastAsia="Times New Roman"/>
      <w:b/>
      <w:sz w:val="20"/>
    </w:rPr>
  </w:style>
  <w:style w:type="paragraph" w:styleId="BodyText">
    <w:name w:val="Body Text"/>
    <w:basedOn w:val="Normal"/>
    <w:link w:val="BodyTextChar"/>
    <w:qFormat/>
    <w:rsid w:val="003A1D4A"/>
    <w:pPr>
      <w:jc w:val="left"/>
    </w:pPr>
    <w:rPr>
      <w:rFonts w:ascii="Arial" w:hAnsi="Arial"/>
    </w:rPr>
  </w:style>
  <w:style w:type="character" w:customStyle="1" w:styleId="BodyTextChar">
    <w:name w:val="Body Text Char"/>
    <w:link w:val="BodyText"/>
    <w:rsid w:val="003A1D4A"/>
    <w:rPr>
      <w:rFonts w:ascii="Arial" w:hAnsi="Arial"/>
      <w:sz w:val="22"/>
      <w:szCs w:val="22"/>
      <w:lang w:eastAsia="en-NZ"/>
    </w:rPr>
  </w:style>
  <w:style w:type="paragraph" w:customStyle="1" w:styleId="Imprint">
    <w:name w:val="Imprint"/>
    <w:basedOn w:val="Normal"/>
    <w:uiPriority w:val="3"/>
    <w:rsid w:val="003A1D4A"/>
    <w:pPr>
      <w:jc w:val="left"/>
    </w:pPr>
    <w:rPr>
      <w:rFonts w:eastAsia="Times New Roman"/>
    </w:rPr>
  </w:style>
  <w:style w:type="paragraph" w:customStyle="1" w:styleId="Note">
    <w:name w:val="Note"/>
    <w:basedOn w:val="BodyText"/>
    <w:next w:val="Normal"/>
    <w:uiPriority w:val="1"/>
    <w:qFormat/>
    <w:rsid w:val="003A1D4A"/>
    <w:rPr>
      <w:rFonts w:eastAsia="Times New Roman"/>
      <w:sz w:val="18"/>
    </w:rPr>
  </w:style>
  <w:style w:type="paragraph" w:customStyle="1" w:styleId="References">
    <w:name w:val="References"/>
    <w:basedOn w:val="Normal"/>
    <w:uiPriority w:val="1"/>
    <w:qFormat/>
    <w:rsid w:val="003A1D4A"/>
    <w:pPr>
      <w:spacing w:line="260" w:lineRule="atLeast"/>
      <w:jc w:val="left"/>
    </w:pPr>
    <w:rPr>
      <w:rFonts w:eastAsia="Times New Roman"/>
      <w:sz w:val="20"/>
    </w:rPr>
  </w:style>
  <w:style w:type="paragraph" w:customStyle="1" w:styleId="Source">
    <w:name w:val="Source"/>
    <w:basedOn w:val="Normal"/>
    <w:next w:val="Normal"/>
    <w:uiPriority w:val="1"/>
    <w:qFormat/>
    <w:rsid w:val="003A1D4A"/>
    <w:pPr>
      <w:tabs>
        <w:tab w:val="left" w:pos="680"/>
      </w:tabs>
      <w:jc w:val="left"/>
    </w:pPr>
    <w:rPr>
      <w:rFonts w:eastAsia="Times New Roman"/>
      <w:sz w:val="18"/>
    </w:rPr>
  </w:style>
  <w:style w:type="paragraph" w:customStyle="1" w:styleId="Tableheading">
    <w:name w:val="Table heading"/>
    <w:basedOn w:val="Normal"/>
    <w:next w:val="Normal"/>
    <w:qFormat/>
    <w:rsid w:val="003A1D4A"/>
    <w:pPr>
      <w:keepNext/>
      <w:ind w:left="1134" w:hanging="1134"/>
      <w:jc w:val="left"/>
    </w:pPr>
    <w:rPr>
      <w:rFonts w:ascii="Arial" w:eastAsia="Times New Roman" w:hAnsi="Arial"/>
      <w:b/>
      <w:sz w:val="20"/>
    </w:rPr>
  </w:style>
  <w:style w:type="paragraph" w:customStyle="1" w:styleId="TableText">
    <w:name w:val="TableText"/>
    <w:basedOn w:val="Normal"/>
    <w:qFormat/>
    <w:rsid w:val="003A1D4A"/>
    <w:pPr>
      <w:spacing w:before="60" w:after="60" w:line="240" w:lineRule="atLeast"/>
      <w:jc w:val="left"/>
    </w:pPr>
    <w:rPr>
      <w:rFonts w:eastAsia="Times New Roman"/>
      <w:sz w:val="18"/>
    </w:rPr>
  </w:style>
  <w:style w:type="paragraph" w:customStyle="1" w:styleId="TableTextbold">
    <w:name w:val="TableText bold"/>
    <w:basedOn w:val="TableText"/>
    <w:rsid w:val="003A1D4A"/>
    <w:rPr>
      <w:b/>
    </w:rPr>
  </w:style>
  <w:style w:type="paragraph" w:customStyle="1" w:styleId="Captions">
    <w:name w:val="Captions"/>
    <w:basedOn w:val="Note"/>
    <w:next w:val="Normal"/>
    <w:semiHidden/>
    <w:rsid w:val="003A1D4A"/>
    <w:pPr>
      <w:tabs>
        <w:tab w:val="left" w:pos="851"/>
      </w:tabs>
    </w:pPr>
  </w:style>
  <w:style w:type="paragraph" w:customStyle="1" w:styleId="Glossary">
    <w:name w:val="Glossary"/>
    <w:basedOn w:val="Normal"/>
    <w:uiPriority w:val="1"/>
    <w:qFormat/>
    <w:rsid w:val="003A1D4A"/>
    <w:pPr>
      <w:tabs>
        <w:tab w:val="left" w:pos="2835"/>
      </w:tabs>
      <w:spacing w:after="0"/>
      <w:jc w:val="left"/>
    </w:pPr>
    <w:rPr>
      <w:rFonts w:eastAsia="Times New Roman"/>
    </w:rPr>
  </w:style>
  <w:style w:type="paragraph" w:customStyle="1" w:styleId="Footerodd">
    <w:name w:val="Footer odd"/>
    <w:basedOn w:val="Normal"/>
    <w:uiPriority w:val="1"/>
    <w:rsid w:val="003A1D4A"/>
    <w:pPr>
      <w:tabs>
        <w:tab w:val="right" w:pos="7938"/>
        <w:tab w:val="right" w:pos="8505"/>
      </w:tabs>
      <w:jc w:val="left"/>
    </w:pPr>
    <w:rPr>
      <w:rFonts w:eastAsia="Times New Roman"/>
      <w:sz w:val="16"/>
    </w:rPr>
  </w:style>
  <w:style w:type="paragraph" w:customStyle="1" w:styleId="Footereven">
    <w:name w:val="Footer even"/>
    <w:basedOn w:val="Normal"/>
    <w:uiPriority w:val="1"/>
    <w:rsid w:val="003A1D4A"/>
    <w:pPr>
      <w:tabs>
        <w:tab w:val="left" w:pos="567"/>
      </w:tabs>
    </w:pPr>
    <w:rPr>
      <w:rFonts w:eastAsia="Times New Roman"/>
      <w:sz w:val="16"/>
    </w:rPr>
  </w:style>
  <w:style w:type="paragraph" w:customStyle="1" w:styleId="Numberedparagraph">
    <w:name w:val="Numbered paragraph"/>
    <w:basedOn w:val="Normal"/>
    <w:uiPriority w:val="1"/>
    <w:qFormat/>
    <w:rsid w:val="003A1D4A"/>
    <w:pPr>
      <w:numPr>
        <w:numId w:val="5"/>
      </w:numPr>
      <w:spacing w:before="0"/>
      <w:jc w:val="left"/>
    </w:pPr>
    <w:rPr>
      <w:rFonts w:eastAsia="Times New Roman"/>
    </w:rPr>
  </w:style>
  <w:style w:type="paragraph" w:customStyle="1" w:styleId="Sub-lista">
    <w:name w:val="Sub-list a"/>
    <w:aliases w:val="b"/>
    <w:basedOn w:val="NoSpacing"/>
    <w:uiPriority w:val="2"/>
    <w:rsid w:val="003A1D4A"/>
    <w:rPr>
      <w:rFonts w:asciiTheme="minorHAnsi" w:eastAsia="Times New Roman" w:hAnsiTheme="minorHAnsi"/>
    </w:rPr>
  </w:style>
  <w:style w:type="paragraph" w:styleId="NoSpacing">
    <w:name w:val="No Spacing"/>
    <w:aliases w:val="Numbered Paragraphs"/>
    <w:uiPriority w:val="1"/>
    <w:qFormat/>
    <w:rsid w:val="003A1D4A"/>
    <w:pPr>
      <w:numPr>
        <w:numId w:val="6"/>
      </w:numPr>
      <w:spacing w:before="120" w:after="120"/>
      <w:jc w:val="both"/>
    </w:pPr>
    <w:rPr>
      <w:rFonts w:ascii="Arial" w:hAnsi="Arial"/>
      <w:sz w:val="22"/>
    </w:rPr>
  </w:style>
  <w:style w:type="paragraph" w:customStyle="1" w:styleId="Sub-listi">
    <w:name w:val="Sub-list i"/>
    <w:aliases w:val="ii"/>
    <w:basedOn w:val="BodyText"/>
    <w:semiHidden/>
    <w:rsid w:val="003A1D4A"/>
    <w:pPr>
      <w:numPr>
        <w:numId w:val="7"/>
      </w:numPr>
      <w:tabs>
        <w:tab w:val="num" w:pos="360"/>
      </w:tabs>
      <w:spacing w:before="60" w:after="60"/>
    </w:pPr>
    <w:rPr>
      <w:rFonts w:eastAsia="Times New Roman"/>
    </w:rPr>
  </w:style>
  <w:style w:type="paragraph" w:customStyle="1" w:styleId="TableBullet">
    <w:name w:val="TableBullet"/>
    <w:basedOn w:val="Normal"/>
    <w:qFormat/>
    <w:rsid w:val="003A1D4A"/>
    <w:pPr>
      <w:numPr>
        <w:numId w:val="8"/>
      </w:numPr>
      <w:spacing w:before="0" w:after="60" w:line="240" w:lineRule="atLeast"/>
      <w:jc w:val="left"/>
    </w:pPr>
    <w:rPr>
      <w:rFonts w:eastAsia="Times New Roman" w:cs="Arial"/>
      <w:sz w:val="18"/>
      <w:szCs w:val="16"/>
    </w:rPr>
  </w:style>
  <w:style w:type="paragraph" w:customStyle="1" w:styleId="TableDash">
    <w:name w:val="TableDash"/>
    <w:basedOn w:val="TableBullet"/>
    <w:qFormat/>
    <w:rsid w:val="003A1D4A"/>
    <w:pPr>
      <w:numPr>
        <w:numId w:val="9"/>
      </w:numPr>
    </w:pPr>
  </w:style>
  <w:style w:type="table" w:customStyle="1" w:styleId="LightGrid-Accent11">
    <w:name w:val="Light Grid - Accent 11"/>
    <w:basedOn w:val="TableNormal"/>
    <w:uiPriority w:val="62"/>
    <w:rsid w:val="003A1D4A"/>
    <w:rPr>
      <w:rFonts w:eastAsia="Calibri"/>
      <w:lang w:eastAsia="en-NZ"/>
    </w:rPr>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Cambria" w:eastAsia="Times New Roman" w:hAnsi="Cambria"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Cambria" w:eastAsia="Times New Roman" w:hAnsi="Cambria"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3A1D4A"/>
    <w:rPr>
      <w:rFonts w:eastAsia="Calibri"/>
      <w:color w:val="153F50"/>
      <w:lang w:eastAsia="en-NZ"/>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3A1D4A"/>
    <w:rPr>
      <w:rFonts w:eastAsia="Calibri"/>
      <w:lang w:eastAsia="en-NZ"/>
    </w:rPr>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paragraph" w:customStyle="1" w:styleId="Boxa">
    <w:name w:val="Box a"/>
    <w:aliases w:val="b list"/>
    <w:basedOn w:val="Sub-listi"/>
    <w:semiHidden/>
    <w:qFormat/>
    <w:rsid w:val="003A1D4A"/>
    <w:pPr>
      <w:numPr>
        <w:ilvl w:val="1"/>
        <w:numId w:val="10"/>
      </w:numPr>
      <w:pBdr>
        <w:top w:val="single" w:sz="6" w:space="15" w:color="0092CF"/>
        <w:left w:val="single" w:sz="6" w:space="15" w:color="0092CF"/>
        <w:bottom w:val="single" w:sz="6" w:space="15" w:color="0092CF"/>
        <w:right w:val="single" w:sz="6" w:space="15" w:color="0092CF"/>
      </w:pBdr>
      <w:tabs>
        <w:tab w:val="clear" w:pos="1043"/>
        <w:tab w:val="num" w:pos="360"/>
        <w:tab w:val="left" w:pos="426"/>
      </w:tabs>
      <w:spacing w:before="120" w:after="0"/>
      <w:ind w:right="284"/>
    </w:pPr>
    <w:rPr>
      <w:color w:val="0092CF"/>
      <w:sz w:val="20"/>
      <w:szCs w:val="20"/>
    </w:rPr>
  </w:style>
  <w:style w:type="paragraph" w:customStyle="1" w:styleId="BoxBullet0">
    <w:name w:val="Box Bullet"/>
    <w:basedOn w:val="Box"/>
    <w:semiHidden/>
    <w:rsid w:val="003A1D4A"/>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3A1D4A"/>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paragraph" w:customStyle="1" w:styleId="Casestudyheading">
    <w:name w:val="Case study heading"/>
    <w:basedOn w:val="BodyText"/>
    <w:uiPriority w:val="1"/>
    <w:qFormat/>
    <w:rsid w:val="003A1D4A"/>
    <w:pPr>
      <w:keepNext/>
      <w:spacing w:line="240" w:lineRule="auto"/>
      <w:ind w:left="284"/>
    </w:pPr>
    <w:rPr>
      <w:rFonts w:eastAsia="Times New Roman"/>
      <w:b/>
      <w:caps/>
      <w:color w:val="FFFFFF"/>
    </w:rPr>
  </w:style>
  <w:style w:type="numbering" w:customStyle="1" w:styleId="Style1">
    <w:name w:val="Style1"/>
    <w:uiPriority w:val="99"/>
    <w:rsid w:val="003A1D4A"/>
    <w:pPr>
      <w:numPr>
        <w:numId w:val="11"/>
      </w:numPr>
    </w:pPr>
  </w:style>
  <w:style w:type="numbering" w:customStyle="1" w:styleId="Bullets">
    <w:name w:val="Bullets"/>
    <w:uiPriority w:val="99"/>
    <w:rsid w:val="003A1D4A"/>
    <w:pPr>
      <w:numPr>
        <w:numId w:val="12"/>
      </w:numPr>
    </w:pPr>
  </w:style>
  <w:style w:type="numbering" w:customStyle="1" w:styleId="Style2">
    <w:name w:val="Style2"/>
    <w:uiPriority w:val="99"/>
    <w:rsid w:val="003A1D4A"/>
    <w:pPr>
      <w:numPr>
        <w:numId w:val="13"/>
      </w:numPr>
    </w:pPr>
  </w:style>
  <w:style w:type="numbering" w:customStyle="1" w:styleId="Bulletss">
    <w:name w:val="Bulletss"/>
    <w:uiPriority w:val="99"/>
    <w:rsid w:val="003A1D4A"/>
    <w:pPr>
      <w:numPr>
        <w:numId w:val="14"/>
      </w:numPr>
    </w:pPr>
  </w:style>
  <w:style w:type="paragraph" w:customStyle="1" w:styleId="Greenbullet-casestudytables">
    <w:name w:val="Green bullet - case study tables"/>
    <w:basedOn w:val="Bullet"/>
    <w:uiPriority w:val="1"/>
    <w:rsid w:val="003A1D4A"/>
    <w:pPr>
      <w:numPr>
        <w:numId w:val="15"/>
      </w:numPr>
      <w:tabs>
        <w:tab w:val="left" w:pos="397"/>
      </w:tabs>
      <w:ind w:right="284"/>
    </w:pPr>
    <w:rPr>
      <w:color w:val="0F7B7D"/>
      <w:sz w:val="20"/>
    </w:rPr>
  </w:style>
  <w:style w:type="paragraph" w:customStyle="1" w:styleId="Greentext-casestudytables">
    <w:name w:val="Green text - case study tables"/>
    <w:basedOn w:val="BodyText"/>
    <w:uiPriority w:val="1"/>
    <w:rsid w:val="003A1D4A"/>
    <w:pPr>
      <w:ind w:left="284" w:right="284"/>
    </w:pPr>
    <w:rPr>
      <w:rFonts w:eastAsia="Times New Roman"/>
      <w:color w:val="0F7B7D"/>
      <w:sz w:val="20"/>
    </w:rPr>
  </w:style>
  <w:style w:type="paragraph" w:customStyle="1" w:styleId="Greenheading-casestudytables">
    <w:name w:val="Green heading - case study tables"/>
    <w:basedOn w:val="Greentext-casestudytables"/>
    <w:next w:val="Greentext-casestudytables"/>
    <w:uiPriority w:val="1"/>
    <w:rsid w:val="003A1D4A"/>
    <w:pPr>
      <w:keepNext/>
      <w:spacing w:before="240" w:after="0"/>
    </w:pPr>
    <w:rPr>
      <w:b/>
    </w:rPr>
  </w:style>
  <w:style w:type="numbering" w:customStyle="1" w:styleId="Style3">
    <w:name w:val="Style3"/>
    <w:uiPriority w:val="99"/>
    <w:rsid w:val="003A1D4A"/>
    <w:pPr>
      <w:numPr>
        <w:numId w:val="16"/>
      </w:numPr>
    </w:pPr>
  </w:style>
  <w:style w:type="paragraph" w:customStyle="1" w:styleId="TRNormal">
    <w:name w:val="_TRNormal"/>
    <w:qFormat/>
    <w:rsid w:val="003A1D4A"/>
    <w:pPr>
      <w:ind w:left="567" w:hanging="567"/>
    </w:pPr>
    <w:rPr>
      <w:rFonts w:ascii="Arial" w:eastAsia="Times New Roman" w:hAnsi="Arial"/>
      <w:sz w:val="22"/>
    </w:rPr>
  </w:style>
  <w:style w:type="character" w:customStyle="1" w:styleId="Heading2Char">
    <w:name w:val="Heading 2 Char"/>
    <w:link w:val="Heading2"/>
    <w:rsid w:val="003A1D4A"/>
    <w:rPr>
      <w:rFonts w:ascii="Arial" w:eastAsia="Times New Roman" w:hAnsi="Arial"/>
      <w:b/>
      <w:bCs/>
      <w:color w:val="0F7B7D"/>
      <w:sz w:val="24"/>
      <w:szCs w:val="26"/>
      <w:lang w:eastAsia="en-NZ"/>
    </w:rPr>
  </w:style>
  <w:style w:type="character" w:customStyle="1" w:styleId="Heading3Char">
    <w:name w:val="Heading 3 Char"/>
    <w:link w:val="Heading3"/>
    <w:rsid w:val="003A1D4A"/>
    <w:rPr>
      <w:rFonts w:ascii="Arial" w:eastAsia="Times New Roman" w:hAnsi="Arial"/>
      <w:b/>
      <w:bCs/>
      <w:sz w:val="22"/>
      <w:szCs w:val="22"/>
      <w:lang w:eastAsia="en-NZ"/>
    </w:rPr>
  </w:style>
  <w:style w:type="character" w:customStyle="1" w:styleId="Heading4Char">
    <w:name w:val="Heading 4 Char"/>
    <w:link w:val="Heading4"/>
    <w:rsid w:val="003A1D4A"/>
    <w:rPr>
      <w:rFonts w:ascii="Arial" w:eastAsia="Times New Roman" w:hAnsi="Arial" w:cs="Arial"/>
      <w:i/>
      <w:color w:val="000000" w:themeColor="text1"/>
      <w:sz w:val="22"/>
      <w:szCs w:val="22"/>
    </w:rPr>
  </w:style>
  <w:style w:type="character" w:customStyle="1" w:styleId="Heading5Char">
    <w:name w:val="Heading 5 Char"/>
    <w:link w:val="Heading5"/>
    <w:rsid w:val="003A1D4A"/>
    <w:rPr>
      <w:rFonts w:ascii="Arial" w:eastAsia="Times New Roman" w:hAnsi="Arial"/>
      <w:i/>
      <w:sz w:val="22"/>
      <w:szCs w:val="22"/>
      <w:lang w:eastAsia="en-NZ"/>
    </w:rPr>
  </w:style>
  <w:style w:type="character" w:customStyle="1" w:styleId="Heading6Char">
    <w:name w:val="Heading 6 Char"/>
    <w:link w:val="Heading6"/>
    <w:semiHidden/>
    <w:rsid w:val="003A1D4A"/>
    <w:rPr>
      <w:rFonts w:ascii="Times New Roman" w:eastAsia="Times New Roman" w:hAnsi="Times New Roman"/>
      <w:b/>
      <w:sz w:val="22"/>
      <w:lang w:val="en-AU"/>
    </w:rPr>
  </w:style>
  <w:style w:type="character" w:customStyle="1" w:styleId="Heading7Char">
    <w:name w:val="Heading 7 Char"/>
    <w:link w:val="Heading7"/>
    <w:semiHidden/>
    <w:rsid w:val="003A1D4A"/>
    <w:rPr>
      <w:rFonts w:ascii="Times New Roman" w:eastAsia="Times New Roman" w:hAnsi="Times New Roman"/>
      <w:sz w:val="22"/>
      <w:lang w:val="en-AU"/>
    </w:rPr>
  </w:style>
  <w:style w:type="character" w:customStyle="1" w:styleId="Heading8Char">
    <w:name w:val="Heading 8 Char"/>
    <w:link w:val="Heading8"/>
    <w:semiHidden/>
    <w:rsid w:val="003A1D4A"/>
    <w:rPr>
      <w:rFonts w:ascii="Times New Roman" w:eastAsia="Times New Roman" w:hAnsi="Times New Roman"/>
      <w:i/>
      <w:sz w:val="22"/>
      <w:lang w:val="en-AU"/>
    </w:rPr>
  </w:style>
  <w:style w:type="character" w:customStyle="1" w:styleId="Heading9Char">
    <w:name w:val="Heading 9 Char"/>
    <w:link w:val="Heading9"/>
    <w:semiHidden/>
    <w:rsid w:val="003A1D4A"/>
    <w:rPr>
      <w:rFonts w:ascii="Arial" w:eastAsia="Times New Roman" w:hAnsi="Arial"/>
      <w:b/>
      <w:color w:val="FFFFFF"/>
      <w:kern w:val="28"/>
      <w:sz w:val="2"/>
      <w:lang w:val="en-AU"/>
    </w:rPr>
  </w:style>
  <w:style w:type="paragraph" w:styleId="TOC1">
    <w:name w:val="toc 1"/>
    <w:basedOn w:val="Normal"/>
    <w:next w:val="Normal"/>
    <w:uiPriority w:val="39"/>
    <w:rsid w:val="003A1D4A"/>
    <w:pPr>
      <w:tabs>
        <w:tab w:val="right" w:pos="8505"/>
      </w:tabs>
      <w:spacing w:before="280" w:after="0" w:line="240" w:lineRule="auto"/>
      <w:ind w:left="567" w:right="567" w:hanging="567"/>
      <w:jc w:val="left"/>
    </w:pPr>
    <w:rPr>
      <w:rFonts w:eastAsia="Times New Roman"/>
    </w:rPr>
  </w:style>
  <w:style w:type="paragraph" w:styleId="TOC2">
    <w:name w:val="toc 2"/>
    <w:basedOn w:val="Normal"/>
    <w:next w:val="Normal"/>
    <w:uiPriority w:val="39"/>
    <w:rsid w:val="003A1D4A"/>
    <w:pPr>
      <w:tabs>
        <w:tab w:val="right" w:pos="8505"/>
      </w:tabs>
      <w:spacing w:before="60" w:after="60" w:line="240" w:lineRule="auto"/>
      <w:ind w:left="1134" w:right="567" w:hanging="567"/>
      <w:jc w:val="left"/>
    </w:pPr>
    <w:rPr>
      <w:rFonts w:eastAsia="Times New Roman"/>
    </w:rPr>
  </w:style>
  <w:style w:type="paragraph" w:styleId="TOC3">
    <w:name w:val="toc 3"/>
    <w:basedOn w:val="Normal"/>
    <w:next w:val="Normal"/>
    <w:autoRedefine/>
    <w:semiHidden/>
    <w:rsid w:val="003A1D4A"/>
    <w:pPr>
      <w:ind w:left="440"/>
    </w:pPr>
    <w:rPr>
      <w:rFonts w:eastAsia="Times New Roman"/>
    </w:rPr>
  </w:style>
  <w:style w:type="paragraph" w:styleId="TOC4">
    <w:name w:val="toc 4"/>
    <w:basedOn w:val="Normal"/>
    <w:next w:val="Normal"/>
    <w:semiHidden/>
    <w:rsid w:val="003A1D4A"/>
    <w:pPr>
      <w:tabs>
        <w:tab w:val="right" w:pos="8505"/>
      </w:tabs>
      <w:spacing w:before="180" w:after="0" w:line="240" w:lineRule="auto"/>
      <w:ind w:left="1134" w:right="567" w:hanging="1134"/>
      <w:jc w:val="left"/>
    </w:pPr>
    <w:rPr>
      <w:rFonts w:ascii="Arial" w:eastAsia="Times New Roman" w:hAnsi="Arial"/>
      <w:sz w:val="20"/>
      <w:szCs w:val="20"/>
      <w:lang w:eastAsia="en-GB"/>
    </w:rPr>
  </w:style>
  <w:style w:type="paragraph" w:styleId="FootnoteText">
    <w:name w:val="footnote text"/>
    <w:basedOn w:val="Normal"/>
    <w:link w:val="FootnoteTextChar"/>
    <w:uiPriority w:val="99"/>
    <w:rsid w:val="003A1D4A"/>
    <w:pPr>
      <w:spacing w:before="0" w:after="60" w:line="240" w:lineRule="atLeast"/>
      <w:ind w:left="284" w:hanging="284"/>
      <w:jc w:val="left"/>
    </w:pPr>
    <w:rPr>
      <w:rFonts w:eastAsia="Times New Roman"/>
      <w:sz w:val="19"/>
    </w:rPr>
  </w:style>
  <w:style w:type="character" w:customStyle="1" w:styleId="FootnoteTextChar">
    <w:name w:val="Footnote Text Char"/>
    <w:link w:val="FootnoteText"/>
    <w:uiPriority w:val="99"/>
    <w:rsid w:val="003A1D4A"/>
    <w:rPr>
      <w:rFonts w:eastAsia="Times New Roman"/>
      <w:sz w:val="19"/>
      <w:szCs w:val="22"/>
      <w:lang w:eastAsia="en-NZ"/>
    </w:rPr>
  </w:style>
  <w:style w:type="paragraph" w:styleId="Header">
    <w:name w:val="header"/>
    <w:basedOn w:val="Normal"/>
    <w:link w:val="HeaderChar"/>
    <w:semiHidden/>
    <w:rsid w:val="003A1D4A"/>
    <w:pPr>
      <w:jc w:val="center"/>
    </w:pPr>
    <w:rPr>
      <w:rFonts w:ascii="Arial" w:eastAsia="Times New Roman" w:hAnsi="Arial"/>
      <w:sz w:val="16"/>
    </w:rPr>
  </w:style>
  <w:style w:type="character" w:customStyle="1" w:styleId="HeaderChar">
    <w:name w:val="Header Char"/>
    <w:link w:val="Header"/>
    <w:semiHidden/>
    <w:rsid w:val="003A1D4A"/>
    <w:rPr>
      <w:rFonts w:ascii="Arial" w:eastAsia="Times New Roman" w:hAnsi="Arial"/>
      <w:sz w:val="16"/>
      <w:szCs w:val="22"/>
      <w:lang w:eastAsia="en-NZ"/>
    </w:rPr>
  </w:style>
  <w:style w:type="paragraph" w:styleId="Footer">
    <w:name w:val="footer"/>
    <w:basedOn w:val="Normal"/>
    <w:link w:val="FooterChar"/>
    <w:uiPriority w:val="99"/>
    <w:rsid w:val="003A1D4A"/>
    <w:pPr>
      <w:tabs>
        <w:tab w:val="center" w:pos="4153"/>
        <w:tab w:val="right" w:pos="8306"/>
      </w:tabs>
    </w:pPr>
    <w:rPr>
      <w:rFonts w:eastAsia="Times New Roman"/>
    </w:rPr>
  </w:style>
  <w:style w:type="character" w:customStyle="1" w:styleId="FooterChar">
    <w:name w:val="Footer Char"/>
    <w:link w:val="Footer"/>
    <w:uiPriority w:val="99"/>
    <w:rsid w:val="003A1D4A"/>
    <w:rPr>
      <w:rFonts w:eastAsia="Times New Roman"/>
      <w:sz w:val="22"/>
      <w:szCs w:val="22"/>
      <w:lang w:eastAsia="en-NZ"/>
    </w:rPr>
  </w:style>
  <w:style w:type="paragraph" w:styleId="Caption">
    <w:name w:val="caption"/>
    <w:basedOn w:val="Normal"/>
    <w:next w:val="Normal"/>
    <w:uiPriority w:val="35"/>
    <w:semiHidden/>
    <w:qFormat/>
    <w:rsid w:val="003A1D4A"/>
    <w:pPr>
      <w:spacing w:before="0" w:after="200" w:line="240" w:lineRule="auto"/>
    </w:pPr>
    <w:rPr>
      <w:rFonts w:ascii="Times New Roman" w:eastAsia="Times New Roman" w:hAnsi="Times New Roman"/>
      <w:b/>
      <w:bCs/>
      <w:color w:val="1C556C"/>
      <w:sz w:val="18"/>
      <w:szCs w:val="18"/>
      <w:lang w:eastAsia="en-US"/>
    </w:rPr>
  </w:style>
  <w:style w:type="paragraph" w:styleId="TableofFigures">
    <w:name w:val="table of figures"/>
    <w:basedOn w:val="Normal"/>
    <w:next w:val="Normal"/>
    <w:uiPriority w:val="99"/>
    <w:rsid w:val="003A1D4A"/>
    <w:pPr>
      <w:spacing w:before="0"/>
      <w:ind w:left="1134" w:right="567" w:hanging="1134"/>
      <w:jc w:val="left"/>
    </w:pPr>
    <w:rPr>
      <w:rFonts w:eastAsia="Times New Roman"/>
    </w:rPr>
  </w:style>
  <w:style w:type="character" w:styleId="FootnoteReference">
    <w:name w:val="footnote reference"/>
    <w:semiHidden/>
    <w:rsid w:val="003A1D4A"/>
    <w:rPr>
      <w:rFonts w:ascii="Calibri" w:hAnsi="Calibri"/>
      <w:color w:val="183C47"/>
      <w:sz w:val="22"/>
      <w:vertAlign w:val="superscript"/>
    </w:rPr>
  </w:style>
  <w:style w:type="character" w:styleId="CommentReference">
    <w:name w:val="annotation reference"/>
    <w:uiPriority w:val="99"/>
    <w:semiHidden/>
    <w:rsid w:val="003A1D4A"/>
    <w:rPr>
      <w:sz w:val="16"/>
      <w:szCs w:val="16"/>
    </w:rPr>
  </w:style>
  <w:style w:type="character" w:styleId="EndnoteReference">
    <w:name w:val="endnote reference"/>
    <w:uiPriority w:val="99"/>
    <w:semiHidden/>
    <w:unhideWhenUsed/>
    <w:rsid w:val="003A1D4A"/>
    <w:rPr>
      <w:vertAlign w:val="superscript"/>
    </w:rPr>
  </w:style>
  <w:style w:type="paragraph" w:styleId="EndnoteText">
    <w:name w:val="endnote text"/>
    <w:basedOn w:val="Normal"/>
    <w:link w:val="EndnoteTextChar"/>
    <w:uiPriority w:val="99"/>
    <w:semiHidden/>
    <w:rsid w:val="003A1D4A"/>
    <w:pPr>
      <w:spacing w:after="60"/>
    </w:pPr>
    <w:rPr>
      <w:rFonts w:eastAsia="Times New Roman"/>
      <w:sz w:val="20"/>
    </w:rPr>
  </w:style>
  <w:style w:type="character" w:customStyle="1" w:styleId="EndnoteTextChar">
    <w:name w:val="Endnote Text Char"/>
    <w:link w:val="EndnoteText"/>
    <w:uiPriority w:val="99"/>
    <w:semiHidden/>
    <w:rsid w:val="003A1D4A"/>
    <w:rPr>
      <w:rFonts w:eastAsia="Times New Roman"/>
      <w:szCs w:val="22"/>
      <w:lang w:eastAsia="en-NZ"/>
    </w:rPr>
  </w:style>
  <w:style w:type="paragraph" w:styleId="Title">
    <w:name w:val="Title"/>
    <w:basedOn w:val="Normal"/>
    <w:link w:val="TitleChar"/>
    <w:uiPriority w:val="2"/>
    <w:rsid w:val="003A1D4A"/>
    <w:pPr>
      <w:spacing w:line="360" w:lineRule="auto"/>
      <w:jc w:val="center"/>
    </w:pPr>
    <w:rPr>
      <w:rFonts w:eastAsia="Times New Roman"/>
      <w:b/>
      <w:color w:val="17556C"/>
      <w:sz w:val="52"/>
    </w:rPr>
  </w:style>
  <w:style w:type="character" w:customStyle="1" w:styleId="TitleChar">
    <w:name w:val="Title Char"/>
    <w:link w:val="Title"/>
    <w:uiPriority w:val="2"/>
    <w:rsid w:val="003A1D4A"/>
    <w:rPr>
      <w:rFonts w:eastAsia="Times New Roman"/>
      <w:b/>
      <w:color w:val="17556C"/>
      <w:sz w:val="52"/>
      <w:szCs w:val="22"/>
      <w:lang w:eastAsia="en-NZ"/>
    </w:rPr>
  </w:style>
  <w:style w:type="paragraph" w:styleId="Subtitle">
    <w:name w:val="Subtitle"/>
    <w:basedOn w:val="Title"/>
    <w:link w:val="SubtitleChar"/>
    <w:uiPriority w:val="2"/>
    <w:rsid w:val="003A1D4A"/>
    <w:pPr>
      <w:spacing w:before="600" w:line="240" w:lineRule="auto"/>
    </w:pPr>
    <w:rPr>
      <w:sz w:val="36"/>
      <w:szCs w:val="36"/>
    </w:rPr>
  </w:style>
  <w:style w:type="character" w:customStyle="1" w:styleId="SubtitleChar">
    <w:name w:val="Subtitle Char"/>
    <w:link w:val="Subtitle"/>
    <w:uiPriority w:val="2"/>
    <w:rsid w:val="003A1D4A"/>
    <w:rPr>
      <w:rFonts w:eastAsia="Times New Roman"/>
      <w:b/>
      <w:color w:val="17556C"/>
      <w:sz w:val="36"/>
      <w:szCs w:val="36"/>
      <w:lang w:eastAsia="en-NZ"/>
    </w:rPr>
  </w:style>
  <w:style w:type="character" w:styleId="Hyperlink">
    <w:name w:val="Hyperlink"/>
    <w:uiPriority w:val="99"/>
    <w:qFormat/>
    <w:rsid w:val="003A1D4A"/>
    <w:rPr>
      <w:color w:val="32809C"/>
      <w:u w:val="none"/>
    </w:rPr>
  </w:style>
  <w:style w:type="character" w:styleId="FollowedHyperlink">
    <w:name w:val="FollowedHyperlink"/>
    <w:uiPriority w:val="99"/>
    <w:semiHidden/>
    <w:rsid w:val="003A1D4A"/>
    <w:rPr>
      <w:color w:val="800080"/>
      <w:u w:val="none"/>
    </w:rPr>
  </w:style>
  <w:style w:type="character" w:styleId="Strong">
    <w:name w:val="Strong"/>
    <w:uiPriority w:val="22"/>
    <w:qFormat/>
    <w:rsid w:val="003A1D4A"/>
    <w:rPr>
      <w:b/>
      <w:bCs/>
    </w:rPr>
  </w:style>
  <w:style w:type="paragraph" w:styleId="NormalWeb">
    <w:name w:val="Normal (Web)"/>
    <w:basedOn w:val="Normal"/>
    <w:uiPriority w:val="99"/>
    <w:unhideWhenUsed/>
    <w:rsid w:val="003A1D4A"/>
    <w:pPr>
      <w:spacing w:before="100" w:beforeAutospacing="1" w:after="100" w:afterAutospacing="1" w:line="240" w:lineRule="auto"/>
      <w:jc w:val="left"/>
    </w:pPr>
    <w:rPr>
      <w:rFonts w:ascii="Times New Roman" w:hAnsi="Times New Roman"/>
      <w:sz w:val="24"/>
      <w:szCs w:val="24"/>
    </w:rPr>
  </w:style>
  <w:style w:type="paragraph" w:styleId="CommentText">
    <w:name w:val="annotation text"/>
    <w:basedOn w:val="Normal"/>
    <w:link w:val="CommentTextChar"/>
    <w:uiPriority w:val="99"/>
    <w:unhideWhenUsed/>
    <w:rsid w:val="003A1D4A"/>
    <w:pPr>
      <w:spacing w:line="240" w:lineRule="auto"/>
    </w:pPr>
    <w:rPr>
      <w:sz w:val="20"/>
      <w:szCs w:val="20"/>
    </w:rPr>
  </w:style>
  <w:style w:type="character" w:customStyle="1" w:styleId="CommentTextChar">
    <w:name w:val="Comment Text Char"/>
    <w:basedOn w:val="DefaultParagraphFont"/>
    <w:link w:val="CommentText"/>
    <w:uiPriority w:val="99"/>
    <w:rsid w:val="003A1D4A"/>
    <w:rPr>
      <w:lang w:eastAsia="en-NZ"/>
    </w:rPr>
  </w:style>
  <w:style w:type="paragraph" w:styleId="CommentSubject">
    <w:name w:val="annotation subject"/>
    <w:basedOn w:val="Normal"/>
    <w:link w:val="CommentSubjectChar"/>
    <w:uiPriority w:val="99"/>
    <w:semiHidden/>
    <w:rsid w:val="003A1D4A"/>
    <w:rPr>
      <w:rFonts w:eastAsia="Times New Roman"/>
      <w:b/>
      <w:bCs/>
      <w:sz w:val="20"/>
    </w:rPr>
  </w:style>
  <w:style w:type="character" w:customStyle="1" w:styleId="CommentSubjectChar">
    <w:name w:val="Comment Subject Char"/>
    <w:link w:val="CommentSubject"/>
    <w:uiPriority w:val="99"/>
    <w:semiHidden/>
    <w:rsid w:val="003A1D4A"/>
    <w:rPr>
      <w:rFonts w:eastAsia="Times New Roman"/>
      <w:b/>
      <w:bCs/>
      <w:szCs w:val="22"/>
      <w:lang w:eastAsia="en-NZ"/>
    </w:rPr>
  </w:style>
  <w:style w:type="paragraph" w:styleId="BalloonText">
    <w:name w:val="Balloon Text"/>
    <w:basedOn w:val="Normal"/>
    <w:link w:val="BalloonTextChar"/>
    <w:semiHidden/>
    <w:unhideWhenUsed/>
    <w:rsid w:val="003A1D4A"/>
    <w:rPr>
      <w:rFonts w:ascii="Tahoma" w:eastAsia="Times New Roman" w:hAnsi="Tahoma"/>
      <w:sz w:val="16"/>
      <w:szCs w:val="16"/>
    </w:rPr>
  </w:style>
  <w:style w:type="character" w:customStyle="1" w:styleId="BalloonTextChar">
    <w:name w:val="Balloon Text Char"/>
    <w:link w:val="BalloonText"/>
    <w:semiHidden/>
    <w:rsid w:val="003A1D4A"/>
    <w:rPr>
      <w:rFonts w:ascii="Tahoma" w:eastAsia="Times New Roman" w:hAnsi="Tahoma"/>
      <w:sz w:val="16"/>
      <w:szCs w:val="16"/>
      <w:lang w:eastAsia="en-NZ"/>
    </w:rPr>
  </w:style>
  <w:style w:type="table" w:styleId="TableGrid">
    <w:name w:val="Table Grid"/>
    <w:basedOn w:val="TableNormal"/>
    <w:uiPriority w:val="39"/>
    <w:rsid w:val="003A1D4A"/>
    <w:pPr>
      <w:jc w:val="both"/>
    </w:pPr>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1D4A"/>
    <w:rPr>
      <w:color w:val="808080"/>
    </w:rPr>
  </w:style>
  <w:style w:type="table" w:styleId="LightShading-Accent1">
    <w:name w:val="Light Shading Accent 1"/>
    <w:basedOn w:val="TableNormal"/>
    <w:uiPriority w:val="60"/>
    <w:rsid w:val="003A1D4A"/>
    <w:rPr>
      <w:rFonts w:eastAsia="Times New Roman"/>
      <w:color w:val="153F50"/>
      <w:lang w:val="en-US" w:eastAsia="en-NZ"/>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paragraph" w:styleId="ListParagraph">
    <w:name w:val="List Paragraph"/>
    <w:basedOn w:val="Normal"/>
    <w:uiPriority w:val="34"/>
    <w:qFormat/>
    <w:rsid w:val="003A1D4A"/>
    <w:pPr>
      <w:spacing w:before="0" w:after="0" w:line="240" w:lineRule="auto"/>
      <w:ind w:left="720"/>
      <w:contextualSpacing/>
    </w:pPr>
    <w:rPr>
      <w:rFonts w:ascii="Times New Roman" w:eastAsia="Times New Roman" w:hAnsi="Times New Roman"/>
      <w:szCs w:val="20"/>
      <w:lang w:eastAsia="en-GB"/>
    </w:rPr>
  </w:style>
  <w:style w:type="paragraph" w:styleId="Quote">
    <w:name w:val="Quote"/>
    <w:basedOn w:val="Normal"/>
    <w:next w:val="BodyText"/>
    <w:link w:val="QuoteChar"/>
    <w:uiPriority w:val="1"/>
    <w:qFormat/>
    <w:rsid w:val="003A1D4A"/>
    <w:pPr>
      <w:spacing w:before="60" w:after="60"/>
      <w:ind w:left="567" w:right="567"/>
      <w:jc w:val="left"/>
    </w:pPr>
    <w:rPr>
      <w:rFonts w:eastAsia="Times New Roman"/>
      <w:sz w:val="20"/>
    </w:rPr>
  </w:style>
  <w:style w:type="character" w:customStyle="1" w:styleId="QuoteChar">
    <w:name w:val="Quote Char"/>
    <w:link w:val="Quote"/>
    <w:uiPriority w:val="1"/>
    <w:rsid w:val="003A1D4A"/>
    <w:rPr>
      <w:rFonts w:eastAsia="Times New Roman"/>
      <w:szCs w:val="22"/>
      <w:lang w:eastAsia="en-NZ"/>
    </w:rPr>
  </w:style>
  <w:style w:type="table" w:styleId="MediumShading1-Accent2">
    <w:name w:val="Medium Shading 1 Accent 2"/>
    <w:basedOn w:val="TableNormal"/>
    <w:uiPriority w:val="63"/>
    <w:rsid w:val="003A1D4A"/>
    <w:rPr>
      <w:rFonts w:eastAsia="Calibri"/>
      <w:lang w:eastAsia="en-NZ"/>
    </w:rPr>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3">
    <w:name w:val="Light List Accent 3"/>
    <w:basedOn w:val="TableNormal"/>
    <w:uiPriority w:val="61"/>
    <w:rsid w:val="003A1D4A"/>
    <w:rPr>
      <w:rFonts w:eastAsia="Times New Roman"/>
      <w:lang w:val="en-US" w:eastAsia="en-NZ"/>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table" w:styleId="LightList-Accent5">
    <w:name w:val="Light List Accent 5"/>
    <w:basedOn w:val="TableNormal"/>
    <w:uiPriority w:val="61"/>
    <w:rsid w:val="003A1D4A"/>
    <w:rPr>
      <w:rFonts w:eastAsia="Calibri"/>
      <w:lang w:eastAsia="en-NZ"/>
    </w:rPr>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3A1D4A"/>
    <w:rPr>
      <w:rFonts w:eastAsia="Calibri"/>
      <w:lang w:eastAsia="en-NZ"/>
    </w:rPr>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Cambria" w:eastAsia="Times New Roman" w:hAnsi="Cambria"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Cambria" w:eastAsia="Times New Roman" w:hAnsi="Cambria"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paragraph" w:customStyle="1" w:styleId="paragraph">
    <w:name w:val="paragraph"/>
    <w:basedOn w:val="Normal"/>
    <w:rsid w:val="00464781"/>
    <w:pPr>
      <w:spacing w:before="100" w:beforeAutospacing="1" w:after="100" w:afterAutospacing="1" w:line="240" w:lineRule="auto"/>
      <w:jc w:val="left"/>
    </w:pPr>
    <w:rPr>
      <w:rFonts w:ascii="Times New Roman" w:eastAsia="Times New Roman" w:hAnsi="Times New Roman"/>
      <w:kern w:val="0"/>
      <w:sz w:val="24"/>
      <w:szCs w:val="24"/>
      <w14:ligatures w14:val="none"/>
    </w:rPr>
  </w:style>
  <w:style w:type="character" w:customStyle="1" w:styleId="normaltextrun">
    <w:name w:val="normaltextrun"/>
    <w:basedOn w:val="DefaultParagraphFont"/>
    <w:rsid w:val="00464781"/>
  </w:style>
  <w:style w:type="character" w:customStyle="1" w:styleId="eop">
    <w:name w:val="eop"/>
    <w:basedOn w:val="DefaultParagraphFont"/>
    <w:rsid w:val="00464781"/>
  </w:style>
  <w:style w:type="character" w:customStyle="1" w:styleId="findhit">
    <w:name w:val="findhit"/>
    <w:basedOn w:val="DefaultParagraphFont"/>
    <w:rsid w:val="00ED4882"/>
  </w:style>
  <w:style w:type="character" w:customStyle="1" w:styleId="superscript">
    <w:name w:val="superscript"/>
    <w:basedOn w:val="DefaultParagraphFont"/>
    <w:rsid w:val="00ED4882"/>
  </w:style>
  <w:style w:type="character" w:styleId="UnresolvedMention">
    <w:name w:val="Unresolved Mention"/>
    <w:basedOn w:val="DefaultParagraphFont"/>
    <w:uiPriority w:val="99"/>
    <w:semiHidden/>
    <w:unhideWhenUsed/>
    <w:rsid w:val="000914E2"/>
    <w:rPr>
      <w:color w:val="605E5C"/>
      <w:shd w:val="clear" w:color="auto" w:fill="E1DFDD"/>
    </w:rPr>
  </w:style>
  <w:style w:type="paragraph" w:styleId="Revision">
    <w:name w:val="Revision"/>
    <w:hidden/>
    <w:uiPriority w:val="99"/>
    <w:semiHidden/>
    <w:rsid w:val="00631D7C"/>
    <w:rPr>
      <w:sz w:val="22"/>
      <w:szCs w:val="22"/>
      <w:lang w:eastAsia="en-NZ"/>
    </w:rPr>
  </w:style>
  <w:style w:type="character" w:customStyle="1" w:styleId="cf01">
    <w:name w:val="cf01"/>
    <w:basedOn w:val="DefaultParagraphFont"/>
    <w:rsid w:val="001F0E10"/>
    <w:rPr>
      <w:rFonts w:ascii="Segoe UI" w:hAnsi="Segoe UI" w:cs="Segoe UI" w:hint="default"/>
      <w:sz w:val="18"/>
      <w:szCs w:val="18"/>
    </w:rPr>
  </w:style>
  <w:style w:type="character" w:styleId="Mention">
    <w:name w:val="Mention"/>
    <w:basedOn w:val="DefaultParagraphFont"/>
    <w:uiPriority w:val="99"/>
    <w:unhideWhenUsed/>
    <w:rsid w:val="001F0E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37931">
      <w:bodyDiv w:val="1"/>
      <w:marLeft w:val="0"/>
      <w:marRight w:val="0"/>
      <w:marTop w:val="0"/>
      <w:marBottom w:val="0"/>
      <w:divBdr>
        <w:top w:val="none" w:sz="0" w:space="0" w:color="auto"/>
        <w:left w:val="none" w:sz="0" w:space="0" w:color="auto"/>
        <w:bottom w:val="none" w:sz="0" w:space="0" w:color="auto"/>
        <w:right w:val="none" w:sz="0" w:space="0" w:color="auto"/>
      </w:divBdr>
      <w:divsChild>
        <w:div w:id="177545413">
          <w:marLeft w:val="0"/>
          <w:marRight w:val="0"/>
          <w:marTop w:val="0"/>
          <w:marBottom w:val="0"/>
          <w:divBdr>
            <w:top w:val="none" w:sz="0" w:space="0" w:color="auto"/>
            <w:left w:val="none" w:sz="0" w:space="0" w:color="auto"/>
            <w:bottom w:val="none" w:sz="0" w:space="0" w:color="auto"/>
            <w:right w:val="none" w:sz="0" w:space="0" w:color="auto"/>
          </w:divBdr>
        </w:div>
        <w:div w:id="181407577">
          <w:marLeft w:val="0"/>
          <w:marRight w:val="0"/>
          <w:marTop w:val="0"/>
          <w:marBottom w:val="0"/>
          <w:divBdr>
            <w:top w:val="none" w:sz="0" w:space="0" w:color="auto"/>
            <w:left w:val="none" w:sz="0" w:space="0" w:color="auto"/>
            <w:bottom w:val="none" w:sz="0" w:space="0" w:color="auto"/>
            <w:right w:val="none" w:sz="0" w:space="0" w:color="auto"/>
          </w:divBdr>
        </w:div>
        <w:div w:id="259531413">
          <w:marLeft w:val="0"/>
          <w:marRight w:val="0"/>
          <w:marTop w:val="0"/>
          <w:marBottom w:val="0"/>
          <w:divBdr>
            <w:top w:val="none" w:sz="0" w:space="0" w:color="auto"/>
            <w:left w:val="none" w:sz="0" w:space="0" w:color="auto"/>
            <w:bottom w:val="none" w:sz="0" w:space="0" w:color="auto"/>
            <w:right w:val="none" w:sz="0" w:space="0" w:color="auto"/>
          </w:divBdr>
        </w:div>
        <w:div w:id="840777722">
          <w:marLeft w:val="0"/>
          <w:marRight w:val="0"/>
          <w:marTop w:val="0"/>
          <w:marBottom w:val="0"/>
          <w:divBdr>
            <w:top w:val="none" w:sz="0" w:space="0" w:color="auto"/>
            <w:left w:val="none" w:sz="0" w:space="0" w:color="auto"/>
            <w:bottom w:val="none" w:sz="0" w:space="0" w:color="auto"/>
            <w:right w:val="none" w:sz="0" w:space="0" w:color="auto"/>
          </w:divBdr>
        </w:div>
        <w:div w:id="1020859778">
          <w:marLeft w:val="0"/>
          <w:marRight w:val="0"/>
          <w:marTop w:val="0"/>
          <w:marBottom w:val="0"/>
          <w:divBdr>
            <w:top w:val="none" w:sz="0" w:space="0" w:color="auto"/>
            <w:left w:val="none" w:sz="0" w:space="0" w:color="auto"/>
            <w:bottom w:val="none" w:sz="0" w:space="0" w:color="auto"/>
            <w:right w:val="none" w:sz="0" w:space="0" w:color="auto"/>
          </w:divBdr>
        </w:div>
        <w:div w:id="1408914101">
          <w:marLeft w:val="0"/>
          <w:marRight w:val="0"/>
          <w:marTop w:val="0"/>
          <w:marBottom w:val="0"/>
          <w:divBdr>
            <w:top w:val="none" w:sz="0" w:space="0" w:color="auto"/>
            <w:left w:val="none" w:sz="0" w:space="0" w:color="auto"/>
            <w:bottom w:val="none" w:sz="0" w:space="0" w:color="auto"/>
            <w:right w:val="none" w:sz="0" w:space="0" w:color="auto"/>
          </w:divBdr>
        </w:div>
        <w:div w:id="1705128707">
          <w:marLeft w:val="0"/>
          <w:marRight w:val="0"/>
          <w:marTop w:val="0"/>
          <w:marBottom w:val="0"/>
          <w:divBdr>
            <w:top w:val="none" w:sz="0" w:space="0" w:color="auto"/>
            <w:left w:val="none" w:sz="0" w:space="0" w:color="auto"/>
            <w:bottom w:val="none" w:sz="0" w:space="0" w:color="auto"/>
            <w:right w:val="none" w:sz="0" w:space="0" w:color="auto"/>
          </w:divBdr>
        </w:div>
        <w:div w:id="1763139991">
          <w:marLeft w:val="0"/>
          <w:marRight w:val="0"/>
          <w:marTop w:val="0"/>
          <w:marBottom w:val="0"/>
          <w:divBdr>
            <w:top w:val="none" w:sz="0" w:space="0" w:color="auto"/>
            <w:left w:val="none" w:sz="0" w:space="0" w:color="auto"/>
            <w:bottom w:val="none" w:sz="0" w:space="0" w:color="auto"/>
            <w:right w:val="none" w:sz="0" w:space="0" w:color="auto"/>
          </w:divBdr>
        </w:div>
      </w:divsChild>
    </w:div>
    <w:div w:id="818810844">
      <w:bodyDiv w:val="1"/>
      <w:marLeft w:val="0"/>
      <w:marRight w:val="0"/>
      <w:marTop w:val="0"/>
      <w:marBottom w:val="0"/>
      <w:divBdr>
        <w:top w:val="none" w:sz="0" w:space="0" w:color="auto"/>
        <w:left w:val="none" w:sz="0" w:space="0" w:color="auto"/>
        <w:bottom w:val="none" w:sz="0" w:space="0" w:color="auto"/>
        <w:right w:val="none" w:sz="0" w:space="0" w:color="auto"/>
      </w:divBdr>
      <w:divsChild>
        <w:div w:id="25450772">
          <w:marLeft w:val="0"/>
          <w:marRight w:val="0"/>
          <w:marTop w:val="0"/>
          <w:marBottom w:val="0"/>
          <w:divBdr>
            <w:top w:val="none" w:sz="0" w:space="0" w:color="auto"/>
            <w:left w:val="none" w:sz="0" w:space="0" w:color="auto"/>
            <w:bottom w:val="none" w:sz="0" w:space="0" w:color="auto"/>
            <w:right w:val="none" w:sz="0" w:space="0" w:color="auto"/>
          </w:divBdr>
        </w:div>
        <w:div w:id="1176577655">
          <w:marLeft w:val="0"/>
          <w:marRight w:val="0"/>
          <w:marTop w:val="0"/>
          <w:marBottom w:val="0"/>
          <w:divBdr>
            <w:top w:val="none" w:sz="0" w:space="0" w:color="auto"/>
            <w:left w:val="none" w:sz="0" w:space="0" w:color="auto"/>
            <w:bottom w:val="none" w:sz="0" w:space="0" w:color="auto"/>
            <w:right w:val="none" w:sz="0" w:space="0" w:color="auto"/>
          </w:divBdr>
          <w:divsChild>
            <w:div w:id="213469325">
              <w:marLeft w:val="0"/>
              <w:marRight w:val="0"/>
              <w:marTop w:val="0"/>
              <w:marBottom w:val="0"/>
              <w:divBdr>
                <w:top w:val="none" w:sz="0" w:space="0" w:color="auto"/>
                <w:left w:val="none" w:sz="0" w:space="0" w:color="auto"/>
                <w:bottom w:val="none" w:sz="0" w:space="0" w:color="auto"/>
                <w:right w:val="none" w:sz="0" w:space="0" w:color="auto"/>
              </w:divBdr>
            </w:div>
            <w:div w:id="1061052839">
              <w:marLeft w:val="0"/>
              <w:marRight w:val="0"/>
              <w:marTop w:val="0"/>
              <w:marBottom w:val="0"/>
              <w:divBdr>
                <w:top w:val="none" w:sz="0" w:space="0" w:color="auto"/>
                <w:left w:val="none" w:sz="0" w:space="0" w:color="auto"/>
                <w:bottom w:val="none" w:sz="0" w:space="0" w:color="auto"/>
                <w:right w:val="none" w:sz="0" w:space="0" w:color="auto"/>
              </w:divBdr>
            </w:div>
            <w:div w:id="1473523250">
              <w:marLeft w:val="0"/>
              <w:marRight w:val="0"/>
              <w:marTop w:val="0"/>
              <w:marBottom w:val="0"/>
              <w:divBdr>
                <w:top w:val="none" w:sz="0" w:space="0" w:color="auto"/>
                <w:left w:val="none" w:sz="0" w:space="0" w:color="auto"/>
                <w:bottom w:val="none" w:sz="0" w:space="0" w:color="auto"/>
                <w:right w:val="none" w:sz="0" w:space="0" w:color="auto"/>
              </w:divBdr>
            </w:div>
            <w:div w:id="1640185688">
              <w:marLeft w:val="0"/>
              <w:marRight w:val="0"/>
              <w:marTop w:val="0"/>
              <w:marBottom w:val="0"/>
              <w:divBdr>
                <w:top w:val="none" w:sz="0" w:space="0" w:color="auto"/>
                <w:left w:val="none" w:sz="0" w:space="0" w:color="auto"/>
                <w:bottom w:val="none" w:sz="0" w:space="0" w:color="auto"/>
                <w:right w:val="none" w:sz="0" w:space="0" w:color="auto"/>
              </w:divBdr>
            </w:div>
            <w:div w:id="1723283528">
              <w:marLeft w:val="0"/>
              <w:marRight w:val="0"/>
              <w:marTop w:val="0"/>
              <w:marBottom w:val="0"/>
              <w:divBdr>
                <w:top w:val="none" w:sz="0" w:space="0" w:color="auto"/>
                <w:left w:val="none" w:sz="0" w:space="0" w:color="auto"/>
                <w:bottom w:val="none" w:sz="0" w:space="0" w:color="auto"/>
                <w:right w:val="none" w:sz="0" w:space="0" w:color="auto"/>
              </w:divBdr>
            </w:div>
          </w:divsChild>
        </w:div>
        <w:div w:id="1349673715">
          <w:marLeft w:val="0"/>
          <w:marRight w:val="0"/>
          <w:marTop w:val="0"/>
          <w:marBottom w:val="0"/>
          <w:divBdr>
            <w:top w:val="none" w:sz="0" w:space="0" w:color="auto"/>
            <w:left w:val="none" w:sz="0" w:space="0" w:color="auto"/>
            <w:bottom w:val="none" w:sz="0" w:space="0" w:color="auto"/>
            <w:right w:val="none" w:sz="0" w:space="0" w:color="auto"/>
          </w:divBdr>
          <w:divsChild>
            <w:div w:id="1017194114">
              <w:marLeft w:val="0"/>
              <w:marRight w:val="0"/>
              <w:marTop w:val="0"/>
              <w:marBottom w:val="0"/>
              <w:divBdr>
                <w:top w:val="none" w:sz="0" w:space="0" w:color="auto"/>
                <w:left w:val="none" w:sz="0" w:space="0" w:color="auto"/>
                <w:bottom w:val="none" w:sz="0" w:space="0" w:color="auto"/>
                <w:right w:val="none" w:sz="0" w:space="0" w:color="auto"/>
              </w:divBdr>
            </w:div>
            <w:div w:id="1676104097">
              <w:marLeft w:val="0"/>
              <w:marRight w:val="0"/>
              <w:marTop w:val="0"/>
              <w:marBottom w:val="0"/>
              <w:divBdr>
                <w:top w:val="none" w:sz="0" w:space="0" w:color="auto"/>
                <w:left w:val="none" w:sz="0" w:space="0" w:color="auto"/>
                <w:bottom w:val="none" w:sz="0" w:space="0" w:color="auto"/>
                <w:right w:val="none" w:sz="0" w:space="0" w:color="auto"/>
              </w:divBdr>
            </w:div>
            <w:div w:id="1714889682">
              <w:marLeft w:val="0"/>
              <w:marRight w:val="0"/>
              <w:marTop w:val="0"/>
              <w:marBottom w:val="0"/>
              <w:divBdr>
                <w:top w:val="none" w:sz="0" w:space="0" w:color="auto"/>
                <w:left w:val="none" w:sz="0" w:space="0" w:color="auto"/>
                <w:bottom w:val="none" w:sz="0" w:space="0" w:color="auto"/>
                <w:right w:val="none" w:sz="0" w:space="0" w:color="auto"/>
              </w:divBdr>
            </w:div>
          </w:divsChild>
        </w:div>
        <w:div w:id="181117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limatecommission.govt.nz/public/ETS-advice-July-22/PDFs/NZ-ETS-settings-2023-2027-final-report-web-27-July-2022.pdf" TargetMode="External"/><Relationship Id="rId2" Type="http://schemas.openxmlformats.org/officeDocument/2006/relationships/hyperlink" Target="https://www.climatecommission.govt.nz/public/ETS-advice/2023/2023-advice-on-NZ-ETS-unit-limit-and-price-control-settings.pdf" TargetMode="External"/><Relationship Id="rId1" Type="http://schemas.openxmlformats.org/officeDocument/2006/relationships/hyperlink" Target="https://www.legislation.govt.nz/regulation/public/2020/0264/latest/LMS375230.html?src=qs" TargetMode="External"/><Relationship Id="rId5" Type="http://schemas.openxmlformats.org/officeDocument/2006/relationships/hyperlink" Target="https://www.treasury.govt.nz/publications/efu/budget-economic-and-fiscal-update-2023" TargetMode="External"/><Relationship Id="rId4" Type="http://schemas.openxmlformats.org/officeDocument/2006/relationships/hyperlink" Target="https://view.officeapps.live.com/op/view.aspx?src=https%3A%2F%2Fwww.climatecommission.govt.nz%2Fpublic%2FETS-advice-July-22%2FTechnical-annexes-and-supplementary-documents%2FTechnical-annex-1-Unit-limit-settings-workbook.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TS_x0020_ID xmlns="0260602b-329e-45fc-b32d-889d2cd1ae59" xsi:nil="true"/>
    <_ip_UnifiedCompliancePolicyUIAction xmlns="http://schemas.microsoft.com/sharepoint/v3" xsi:nil="true"/>
    <Sender xmlns="0260602b-329e-45fc-b32d-889d2cd1ae59" xsi:nil="true"/>
    <Class xmlns="0260602b-329e-45fc-b32d-889d2cd1ae59" xsi:nil="true"/>
    <Document_x0020_Type xmlns="0260602b-329e-45fc-b32d-889d2cd1ae59" xsi:nil="true"/>
    <Receiver_x0020_Date xmlns="0260602b-329e-45fc-b32d-889d2cd1ae59" xsi:nil="true"/>
    <Legacy_x0020_Version xmlns="0260602b-329e-45fc-b32d-889d2cd1ae59" xsi:nil="true"/>
    <lcf76f155ced4ddcb4097134ff3c332f xmlns="0260602b-329e-45fc-b32d-889d2cd1ae59">
      <Terms xmlns="http://schemas.microsoft.com/office/infopath/2007/PartnerControls"/>
    </lcf76f155ced4ddcb4097134ff3c332f>
    <IconOverlay xmlns="http://schemas.microsoft.com/sharepoint/v4" xsi:nil="true"/>
    <Status xmlns="0260602b-329e-45fc-b32d-889d2cd1ae59" xsi:nil="true"/>
    <Supplemental_x0020_Markings xmlns="0260602b-329e-45fc-b32d-889d2cd1ae59" xsi:nil="true"/>
    <Year xmlns="0260602b-329e-45fc-b32d-889d2cd1ae59" xsi:nil="true"/>
    <_ip_UnifiedCompliancePolicyProperties xmlns="http://schemas.microsoft.com/sharepoint/v3" xsi:nil="true"/>
    <Sender_x0020_Date xmlns="0260602b-329e-45fc-b32d-889d2cd1ae59" xsi:nil="true"/>
    <Carbon_x0020_Copy xmlns="0260602b-329e-45fc-b32d-889d2cd1ae59" xsi:nil="true"/>
    <TaxCatchAll xmlns="58a6f171-52cb-4404-b47d-af1c8daf8fd1" xsi:nil="true"/>
    <Receiver xmlns="0260602b-329e-45fc-b32d-889d2cd1ae59" xsi:nil="true"/>
    <MTS_x0020_Type xmlns="0260602b-329e-45fc-b32d-889d2cd1ae59" xsi:nil="true"/>
    <Library xmlns="0260602b-329e-45fc-b32d-889d2cd1ae59" xsi:nil="true"/>
    <Author0 xmlns="0260602b-329e-45fc-b32d-889d2cd1ae59" xsi:nil="true"/>
    <Email_x0020_Table xmlns="0260602b-329e-45fc-b32d-889d2cd1ae59" xsi:nil="true"/>
    <Other_x0020_Details xmlns="0260602b-329e-45fc-b32d-889d2cd1ae59" xsi:nil="true"/>
    <Legacy_x0020_DocID xmlns="0260602b-329e-45fc-b32d-889d2cd1ae59" xsi:nil="true"/>
    <_dlc_DocId xmlns="58a6f171-52cb-4404-b47d-af1c8daf8fd1">ECM-1896812316-40511</_dlc_DocId>
    <_dlc_DocIdUrl xmlns="58a6f171-52cb-4404-b47d-af1c8daf8fd1">
      <Url>https://ministryforenvironment.sharepoint.com/sites/ECM-Pol-ETS/_layouts/15/DocIdRedir.aspx?ID=ECM-1896812316-40511</Url>
      <Description>ECM-1896812316-40511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40" ma:contentTypeDescription="Create a new document." ma:contentTypeScope="" ma:versionID="adfb158ab3b6592ad3eb0a159fdd61b1">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26fe5a323618a910b0cb9bc962a0095f"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8" nillable="true" ma:displayName="Taxonomy Catch All Column" ma:hidden="true" ma:list="{6e916042-cea3-48f2-970e-8528f5d6a2e1}"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3450-94C8-431D-BFA6-44DF301BBEE1}">
  <ds:schemaRefs>
    <ds:schemaRef ds:uri="http://schemas.microsoft.com/sharepoint/v3/contenttype/forms"/>
  </ds:schemaRefs>
</ds:datastoreItem>
</file>

<file path=customXml/itemProps2.xml><?xml version="1.0" encoding="utf-8"?>
<ds:datastoreItem xmlns:ds="http://schemas.openxmlformats.org/officeDocument/2006/customXml" ds:itemID="{229D53A4-CE9D-4954-A776-C06071B93F85}">
  <ds:schemaRefs>
    <ds:schemaRef ds:uri="http://schemas.microsoft.com/office/2006/metadata/properties"/>
    <ds:schemaRef ds:uri="http://schemas.microsoft.com/office/infopath/2007/PartnerControls"/>
    <ds:schemaRef ds:uri="0260602b-329e-45fc-b32d-889d2cd1ae59"/>
    <ds:schemaRef ds:uri="http://schemas.microsoft.com/sharepoint/v3"/>
    <ds:schemaRef ds:uri="http://schemas.microsoft.com/sharepoint/v4"/>
    <ds:schemaRef ds:uri="58a6f171-52cb-4404-b47d-af1c8daf8fd1"/>
  </ds:schemaRefs>
</ds:datastoreItem>
</file>

<file path=customXml/itemProps3.xml><?xml version="1.0" encoding="utf-8"?>
<ds:datastoreItem xmlns:ds="http://schemas.openxmlformats.org/officeDocument/2006/customXml" ds:itemID="{B67C13BC-EB47-47DF-84F1-260F88514F8E}">
  <ds:schemaRefs>
    <ds:schemaRef ds:uri="http://schemas.microsoft.com/sharepoint/events"/>
  </ds:schemaRefs>
</ds:datastoreItem>
</file>

<file path=customXml/itemProps4.xml><?xml version="1.0" encoding="utf-8"?>
<ds:datastoreItem xmlns:ds="http://schemas.openxmlformats.org/officeDocument/2006/customXml" ds:itemID="{363A32DC-87CC-4E36-A3CA-BB8BE4F77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FB375-6235-4729-8801-5BC0C0EF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Berg</dc:creator>
  <cp:keywords/>
  <dc:description/>
  <cp:lastModifiedBy>Charlotte Berg</cp:lastModifiedBy>
  <cp:revision>138</cp:revision>
  <dcterms:created xsi:type="dcterms:W3CDTF">2023-08-29T17:33:00Z</dcterms:created>
  <dcterms:modified xsi:type="dcterms:W3CDTF">2023-09-18T02:25:00Z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0x010100F01ED631E09C5F47A877DCE13B9406DB</vt:lpwstr>
  </property>
  <property fmtid="{D5CDD505-2E9C-101B-9397-08002B2CF9AE}" pid="3" name="ClassificationContentMarkingHeaderShapeIds">
    <vt:lpwstr>1,2,3</vt:lpwstr>
  </property>
  <property fmtid="{D5CDD505-2E9C-101B-9397-08002B2CF9AE}" pid="4" name="ClassificationContentMarkingHeaderFontProps">
    <vt:lpwstr>#000000,9,Calibri</vt:lpwstr>
  </property>
  <property fmtid="{D5CDD505-2E9C-101B-9397-08002B2CF9AE}" pid="5" name="ClassificationContentMarkingHeaderText">
    <vt:lpwstr>[IN-CONFIDENCE]</vt:lpwstr>
  </property>
  <property fmtid="{D5CDD505-2E9C-101B-9397-08002B2CF9AE}" pid="6" name="ClassificationContentMarkingFooterShapeIds">
    <vt:lpwstr>4,5,6</vt:lpwstr>
  </property>
  <property fmtid="{D5CDD505-2E9C-101B-9397-08002B2CF9AE}" pid="7" name="ClassificationContentMarkingFooterFontProps">
    <vt:lpwstr>#000000,9,Calibri</vt:lpwstr>
  </property>
  <property fmtid="{D5CDD505-2E9C-101B-9397-08002B2CF9AE}" pid="8" name="ClassificationContentMarkingFooterText">
    <vt:lpwstr>[IN-CONFIDENCE]</vt:lpwstr>
  </property>
  <property fmtid="{D5CDD505-2E9C-101B-9397-08002B2CF9AE}" pid="9" name="MSIP_Label_8cd314b8-d49f-4f88-9385-4c72a13ca99b_Enabled">
    <vt:lpwstr>true</vt:lpwstr>
  </property>
  <property fmtid="{D5CDD505-2E9C-101B-9397-08002B2CF9AE}" pid="10" name="MSIP_Label_8cd314b8-d49f-4f88-9385-4c72a13ca99b_SetDate">
    <vt:lpwstr>2023-08-29T04:09:33Z</vt:lpwstr>
  </property>
  <property fmtid="{D5CDD505-2E9C-101B-9397-08002B2CF9AE}" pid="11" name="MSIP_Label_8cd314b8-d49f-4f88-9385-4c72a13ca99b_Method">
    <vt:lpwstr>Privileged</vt:lpwstr>
  </property>
  <property fmtid="{D5CDD505-2E9C-101B-9397-08002B2CF9AE}" pid="12" name="MSIP_Label_8cd314b8-d49f-4f88-9385-4c72a13ca99b_Name">
    <vt:lpwstr>[IN-CONFIDENCE]</vt:lpwstr>
  </property>
  <property fmtid="{D5CDD505-2E9C-101B-9397-08002B2CF9AE}" pid="13" name="MSIP_Label_8cd314b8-d49f-4f88-9385-4c72a13ca99b_SiteId">
    <vt:lpwstr>761dd003-d4ff-4049-8a72-8549b20fcbb1</vt:lpwstr>
  </property>
  <property fmtid="{D5CDD505-2E9C-101B-9397-08002B2CF9AE}" pid="14" name="MSIP_Label_8cd314b8-d49f-4f88-9385-4c72a13ca99b_ActionId">
    <vt:lpwstr>e873507b-49f3-465a-8892-18af7081eca7</vt:lpwstr>
  </property>
  <property fmtid="{D5CDD505-2E9C-101B-9397-08002B2CF9AE}" pid="15" name="MSIP_Label_8cd314b8-d49f-4f88-9385-4c72a13ca99b_ContentBits">
    <vt:lpwstr>3</vt:lpwstr>
  </property>
  <property fmtid="{D5CDD505-2E9C-101B-9397-08002B2CF9AE}" pid="16" name="MediaServiceImageTags">
    <vt:lpwstr/>
  </property>
  <property fmtid="{D5CDD505-2E9C-101B-9397-08002B2CF9AE}" pid="17" name="_dlc_DocIdItemGuid">
    <vt:lpwstr>ba9a3910-7d60-4f76-8255-9d76d53dc351</vt:lpwstr>
  </property>
</Properties>
</file>